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61C" w:rsidP="008D761C" w:rsidRDefault="008D761C" w14:paraId="5E2FE4EC" w14:textId="3E0E9041">
      <w:pPr>
        <w:pStyle w:val="Geenafstand"/>
      </w:pPr>
      <w:r>
        <w:t>AH 2480</w:t>
      </w:r>
    </w:p>
    <w:p w:rsidR="008D761C" w:rsidP="008D761C" w:rsidRDefault="008D761C" w14:paraId="6E6E14A3" w14:textId="77777777">
      <w:pPr>
        <w:pStyle w:val="Geenafstand"/>
      </w:pPr>
      <w:r>
        <w:t>2026Z09940</w:t>
      </w:r>
    </w:p>
    <w:p w:rsidR="008D761C" w:rsidP="008D761C" w:rsidRDefault="008D761C" w14:paraId="101AA86E" w14:textId="77777777">
      <w:pPr>
        <w:pStyle w:val="Geenafstand"/>
      </w:pPr>
    </w:p>
    <w:p w:rsidR="008D761C" w:rsidP="008D761C" w:rsidRDefault="008D761C" w14:paraId="69BC3722" w14:textId="77777777">
      <w:pPr>
        <w:rPr>
          <w:bCs/>
          <w:sz w:val="24"/>
          <w:szCs w:val="24"/>
        </w:rPr>
      </w:pPr>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6 juli 2026)</w:t>
      </w:r>
    </w:p>
    <w:p w:rsidR="008D761C" w:rsidP="008D761C" w:rsidRDefault="008D761C" w14:paraId="749C15E0" w14:textId="4BF51263">
      <w:r w:rsidRPr="00D73ED1">
        <w:rPr>
          <w:color w:val="000000"/>
          <w:sz w:val="24"/>
          <w:szCs w:val="24"/>
        </w:rPr>
        <w:t>Zie ook Aanhangsel Handelingen, vergaderjaar 2025-2026, nr.</w:t>
      </w:r>
      <w:r>
        <w:rPr>
          <w:color w:val="000000"/>
          <w:sz w:val="24"/>
          <w:szCs w:val="24"/>
        </w:rPr>
        <w:t xml:space="preserve"> 2154</w:t>
      </w:r>
    </w:p>
    <w:p w:rsidRPr="00733A77" w:rsidR="008D761C" w:rsidP="008D761C" w:rsidRDefault="008D761C" w14:paraId="0EC67A65" w14:textId="6212CC96">
      <w:r w:rsidRPr="00D73ED1">
        <w:rPr>
          <w:color w:val="000000"/>
          <w:sz w:val="24"/>
          <w:szCs w:val="24"/>
        </w:rPr>
        <w:t>Zie ook Aanhangsel Handelingen, vergaderjaar 2025-2026, nr.</w:t>
      </w:r>
      <w:r>
        <w:rPr>
          <w:color w:val="000000"/>
          <w:sz w:val="24"/>
          <w:szCs w:val="24"/>
        </w:rPr>
        <w:t xml:space="preserve"> 2405</w:t>
      </w:r>
    </w:p>
    <w:p w:rsidRPr="00733A77" w:rsidR="008D761C" w:rsidP="008D761C" w:rsidRDefault="008D761C" w14:paraId="23001C40" w14:textId="77777777">
      <w:pPr>
        <w:rPr>
          <w:b/>
          <w:bCs/>
        </w:rPr>
      </w:pPr>
      <w:r w:rsidRPr="00733A77">
        <w:rPr>
          <w:b/>
          <w:bCs/>
        </w:rPr>
        <w:t>Vraag 1</w:t>
      </w:r>
    </w:p>
    <w:p w:rsidRPr="00733A77" w:rsidR="008D761C" w:rsidP="008D761C" w:rsidRDefault="008D761C" w14:paraId="5648900D" w14:textId="77777777">
      <w:pPr>
        <w:rPr>
          <w:b/>
          <w:bCs/>
        </w:rPr>
      </w:pPr>
      <w:r w:rsidRPr="00733A77">
        <w:rPr>
          <w:b/>
          <w:bCs/>
        </w:rPr>
        <w:t>Bent u bekend met het bericht 'Désirée (38) haar donor eist vaderrol: ‘In plaats van leuke dingen doen met Lenny, ben ik continu met rechtszaken bezig’'?</w:t>
      </w:r>
      <w:r w:rsidRPr="00733A77">
        <w:rPr>
          <w:rStyle w:val="Voetnootmarkering"/>
          <w:b/>
          <w:bCs/>
        </w:rPr>
        <w:footnoteReference w:id="1"/>
      </w:r>
      <w:r w:rsidRPr="00733A77">
        <w:rPr>
          <w:b/>
          <w:bCs/>
        </w:rPr>
        <w:t xml:space="preserve"> </w:t>
      </w:r>
    </w:p>
    <w:p w:rsidRPr="00733A77" w:rsidR="008D761C" w:rsidP="008D761C" w:rsidRDefault="008D761C" w14:paraId="38CB2388" w14:textId="77777777"/>
    <w:p w:rsidRPr="00733A77" w:rsidR="008D761C" w:rsidP="008D761C" w:rsidRDefault="008D761C" w14:paraId="641EE5F5" w14:textId="77777777">
      <w:r w:rsidRPr="00733A77">
        <w:rPr>
          <w:b/>
          <w:bCs/>
        </w:rPr>
        <w:t>Antwoord op vraag 1</w:t>
      </w:r>
    </w:p>
    <w:p w:rsidRPr="00733A77" w:rsidR="008D761C" w:rsidP="008D761C" w:rsidRDefault="008D761C" w14:paraId="1068C1C5" w14:textId="77777777">
      <w:r w:rsidRPr="00733A77">
        <w:t xml:space="preserve">Ja. </w:t>
      </w:r>
    </w:p>
    <w:p w:rsidRPr="00733A77" w:rsidR="008D761C" w:rsidP="008D761C" w:rsidRDefault="008D761C" w14:paraId="1DDE6D46" w14:textId="77777777"/>
    <w:p w:rsidRPr="00733A77" w:rsidR="008D761C" w:rsidP="008D761C" w:rsidRDefault="008D761C" w14:paraId="7912CD93" w14:textId="77777777">
      <w:pPr>
        <w:rPr>
          <w:b/>
          <w:bCs/>
        </w:rPr>
      </w:pPr>
      <w:r w:rsidRPr="00733A77">
        <w:rPr>
          <w:b/>
          <w:bCs/>
        </w:rPr>
        <w:t>Vraag 2</w:t>
      </w:r>
    </w:p>
    <w:p w:rsidRPr="00733A77" w:rsidR="008D761C" w:rsidP="008D761C" w:rsidRDefault="008D761C" w14:paraId="6165749D" w14:textId="77777777">
      <w:pPr>
        <w:rPr>
          <w:b/>
          <w:bCs/>
        </w:rPr>
      </w:pPr>
      <w:r w:rsidRPr="00733A77">
        <w:rPr>
          <w:b/>
          <w:bCs/>
        </w:rPr>
        <w:t xml:space="preserve">Kunt u, zonder in te gaan op deze individuele zaak, uiteenzetten welk wettelijk toetsingskader geldt wanneer een bekende donor, ondanks vooraf mondeling en schriftelijk gemaakte afspraken dat hij géén vaderrol krijgt, later alsnog erkenning, omgang of een vaderrol opeist? </w:t>
      </w:r>
    </w:p>
    <w:p w:rsidRPr="00733A77" w:rsidR="008D761C" w:rsidP="008D761C" w:rsidRDefault="008D761C" w14:paraId="0C37A0C0" w14:textId="77777777">
      <w:pPr>
        <w:rPr>
          <w:b/>
          <w:bCs/>
        </w:rPr>
      </w:pPr>
    </w:p>
    <w:p w:rsidRPr="00733A77" w:rsidR="008D761C" w:rsidP="008D761C" w:rsidRDefault="008D761C" w14:paraId="4D1EA6F0" w14:textId="77777777">
      <w:pPr>
        <w:rPr>
          <w:b/>
          <w:bCs/>
        </w:rPr>
      </w:pPr>
      <w:r w:rsidRPr="00733A77">
        <w:rPr>
          <w:b/>
          <w:bCs/>
        </w:rPr>
        <w:t>Vraag 3</w:t>
      </w:r>
    </w:p>
    <w:p w:rsidRPr="00733A77" w:rsidR="008D761C" w:rsidP="008D761C" w:rsidRDefault="008D761C" w14:paraId="2BF72014" w14:textId="77777777">
      <w:pPr>
        <w:rPr>
          <w:b/>
          <w:bCs/>
        </w:rPr>
      </w:pPr>
      <w:r w:rsidRPr="00733A77">
        <w:rPr>
          <w:b/>
          <w:bCs/>
        </w:rPr>
        <w:t xml:space="preserve">Klopt het dat een bekende donor niet automatisch recht heeft op omgang enkel omdat hij biologisch vader is, maar dat hij onder omstandigheden wel een beroep kan doen op een nauwe persoonlijke betrekking of family life? Welke juridische waarde heeft in dat kader een donorovereenkomst waarin expliciet is vastgelegd dat de donor geen juridische, opvoedkundige of verzorgende vaderrol zal krijgen? </w:t>
      </w:r>
    </w:p>
    <w:p w:rsidRPr="00733A77" w:rsidR="008D761C" w:rsidP="008D761C" w:rsidRDefault="008D761C" w14:paraId="42965F68" w14:textId="77777777">
      <w:pPr>
        <w:rPr>
          <w:b/>
          <w:bCs/>
        </w:rPr>
      </w:pPr>
    </w:p>
    <w:p w:rsidRPr="00733A77" w:rsidR="008D761C" w:rsidP="008D761C" w:rsidRDefault="008D761C" w14:paraId="1DD6DED7" w14:textId="77777777"/>
    <w:p w:rsidRPr="00733A77" w:rsidR="008D761C" w:rsidP="008D761C" w:rsidRDefault="008D761C" w14:paraId="572FB193" w14:textId="77777777">
      <w:r w:rsidRPr="00733A77">
        <w:rPr>
          <w:b/>
          <w:bCs/>
        </w:rPr>
        <w:t>Antwoord op vragen 2 en 3</w:t>
      </w:r>
    </w:p>
    <w:p w:rsidRPr="00733A77" w:rsidR="008D761C" w:rsidP="008D761C" w:rsidRDefault="008D761C" w14:paraId="5BBC3B94" w14:textId="77777777">
      <w:r w:rsidRPr="00733A77">
        <w:t>Wanneer de bekende donor erkenning wenst, dan is indien het kind nog geen zestien jaar is, de schriftelijke toestemming van de moeder of de vader vereist.</w:t>
      </w:r>
      <w:r w:rsidRPr="00733A77">
        <w:rPr>
          <w:rStyle w:val="Voetnootmarkering"/>
        </w:rPr>
        <w:footnoteReference w:id="2"/>
      </w:r>
      <w:r w:rsidRPr="00733A77">
        <w:t xml:space="preserve"> In het geval er geen toestemming wordt gegeven, dan kan deze toestemming door de toestemming van de rechtbank worden vervangen. </w:t>
      </w:r>
    </w:p>
    <w:p w:rsidRPr="00733A77" w:rsidR="008D761C" w:rsidP="008D761C" w:rsidRDefault="008D761C" w14:paraId="5F467B2C" w14:textId="77777777"/>
    <w:p w:rsidRPr="00733A77" w:rsidR="008D761C" w:rsidP="008D761C" w:rsidRDefault="008D761C" w14:paraId="2DF04218" w14:textId="77777777">
      <w:r w:rsidRPr="00733A77">
        <w:t>Als een bekende donor het kind wil erkennen, moet deze allereerst de biologische ouder zijn, zonder dat hij de verwekker is (niet de daad heeft verricht). Ook moet de bekende donor een nauwe persoonlijke betrekking hebben met het kind. De rechtbank verleent in ieder geval geen toestemming voor erkenning als dit de belangen van de moeder schaadt, als daar een ongestoorde verhouding bestaat of als de sociaalpsychologische en emotionele ontwikkeling van het kind in gevaar komt.</w:t>
      </w:r>
      <w:r w:rsidRPr="00733A77">
        <w:rPr>
          <w:rStyle w:val="Voetnootmarkering"/>
        </w:rPr>
        <w:footnoteReference w:id="3"/>
      </w:r>
    </w:p>
    <w:p w:rsidRPr="00733A77" w:rsidR="008D761C" w:rsidP="008D761C" w:rsidRDefault="008D761C" w14:paraId="752456E7" w14:textId="77777777"/>
    <w:p w:rsidRPr="00733A77" w:rsidR="008D761C" w:rsidP="008D761C" w:rsidRDefault="008D761C" w14:paraId="0E26C100" w14:textId="77777777"/>
    <w:p w:rsidRPr="00733A77" w:rsidR="008D761C" w:rsidP="008D761C" w:rsidRDefault="008D761C" w14:paraId="7FC6D1D2" w14:textId="77777777"/>
    <w:p w:rsidRPr="00733A77" w:rsidR="008D761C" w:rsidP="008D761C" w:rsidRDefault="008D761C" w14:paraId="096C67AB" w14:textId="77777777">
      <w:r w:rsidRPr="00733A77">
        <w:t>Een donor heeft niet automatisch recht op omgang met het kind enkel omdat hij de biologische vader is. Onder (uitzonderlijke) omstandigheden kan wel een beroep gedaan worden op het bestaan van een nauwe persoonlijke betrekking, op grond waarvan familieleven in de zin van artikel 8 EVRM wordt aangenomen.</w:t>
      </w:r>
      <w:r w:rsidRPr="00733A77">
        <w:rPr>
          <w:rStyle w:val="Voetnootmarkering"/>
        </w:rPr>
        <w:footnoteReference w:id="4"/>
      </w:r>
      <w:r w:rsidRPr="00733A77">
        <w:t xml:space="preserve"> Het enkele feit dat er een biologische band tussen de donor en het kind bestaat, is onvoldoende om te spreken over nauwe persoonlijke betrekking.</w:t>
      </w:r>
      <w:r w:rsidRPr="00733A77">
        <w:rPr>
          <w:rStyle w:val="Voetnootmarkering"/>
        </w:rPr>
        <w:footnoteReference w:id="5"/>
      </w:r>
      <w:r w:rsidRPr="00733A77">
        <w:t xml:space="preserve"> Volgens vaste rechtspraak van het EHRM en de Hoge Raad zijn bijkomende omstandigheden vereist. Relevante factoren voor het bestaan van een nauwe persoonlijke betrekking zijn onder meer de aard van de relatie tussen de biologische ouders (tussen de moeder en de donor) en de aantoonbare belangstelling en betrokkenheid van donor bij het kind, zowel vóór als na de geboorte.</w:t>
      </w:r>
      <w:r w:rsidRPr="00733A77">
        <w:rPr>
          <w:rStyle w:val="Voetnootmarkering"/>
          <w:color w:val="A02B93" w:themeColor="accent5"/>
          <w:sz w:val="16"/>
          <w:szCs w:val="16"/>
        </w:rPr>
        <w:footnoteReference w:id="6"/>
      </w:r>
      <w:r w:rsidRPr="00733A77">
        <w:t xml:space="preserve"> In uitzonderlijke situaties kunnen deze omstandigheden ertoe leiden dat sprake is van nauwe persoonlijke betrekkingen waardoor familieleven wordt vastgesteld. De afweging of de donor in nauwe persoonlijke betrekking tot het kind staat is dus zeer context-gebonden. Gemaakte afspraken in bijvoorbeeld een donorovereenkomst tussen de wensouder(s) en donor kunnen doorslaggevend zijn voor het bepalen of de donor in nauwe persoonlijke betrekking tot het kind staat. Een donorovereenkomst dient immers ter vastlegging van de intenties en afspraken van wensouder(s) en de bekende donor. Door middel van die overeenkomst proberen partijen duidelijkheid te scheppen en onduidelijkheid in de toekomst te voorkomen over de rol van de donor.</w:t>
      </w:r>
    </w:p>
    <w:p w:rsidRPr="00733A77" w:rsidR="008D761C" w:rsidP="008D761C" w:rsidRDefault="008D761C" w14:paraId="1ED1C0B2" w14:textId="77777777"/>
    <w:p w:rsidRPr="00733A77" w:rsidR="008D761C" w:rsidP="008D761C" w:rsidRDefault="008D761C" w14:paraId="6FDA41A1" w14:textId="77777777">
      <w:r w:rsidRPr="00733A77">
        <w:t>Nadat is vastgesteld dat de donor in nauwe persoonlijke betrekking tot het kind staat, wordt voor het bepalen van een omgangsregeling in de eerste plaats bezien of een omgangsregeling in het belang van het kind is. Het belang van het kind staat voorop. Dit betekent dat gemaakte afspraken in bijvoorbeeld een donorovereenkomst in een procedure terzijde kunnen worden geschoven wanneer die afspraken niet in het belang van het kind zijn.</w:t>
      </w:r>
    </w:p>
    <w:p w:rsidRPr="00733A77" w:rsidR="008D761C" w:rsidP="008D761C" w:rsidRDefault="008D761C" w14:paraId="2314BCF2" w14:textId="77777777"/>
    <w:p w:rsidRPr="00733A77" w:rsidR="008D761C" w:rsidP="008D761C" w:rsidRDefault="008D761C" w14:paraId="6DA14257" w14:textId="77777777">
      <w:r w:rsidRPr="00733A77">
        <w:t xml:space="preserve">In procedures kan daarnaast onduidelijkheid bestaan over hetgeen in de donorovereenkomst is beoogd, zodat deze overeenkomst aan de kant wordt gezet. Ook kunnen er bepaalde afspraken zijn gemaakt in de donorovereenkomst op het gebied van afstammings-, gezags- of </w:t>
      </w:r>
      <w:r w:rsidRPr="00733A77">
        <w:lastRenderedPageBreak/>
        <w:t>omgangsrecht die nietig of vernietigbaar zijn, waardoor de donorovereenkomst (gedeeltelijk) wordt gepasseerd.</w:t>
      </w:r>
    </w:p>
    <w:p w:rsidRPr="00733A77" w:rsidR="008D761C" w:rsidP="008D761C" w:rsidRDefault="008D761C" w14:paraId="5E7AE6CF" w14:textId="77777777"/>
    <w:p w:rsidRPr="00733A77" w:rsidR="008D761C" w:rsidP="008D761C" w:rsidRDefault="008D761C" w14:paraId="2BF57FEC" w14:textId="77777777">
      <w:pPr>
        <w:rPr>
          <w:b/>
          <w:bCs/>
        </w:rPr>
      </w:pPr>
      <w:r w:rsidRPr="00733A77">
        <w:rPr>
          <w:b/>
          <w:bCs/>
        </w:rPr>
        <w:t>Vraag 4</w:t>
      </w:r>
    </w:p>
    <w:p w:rsidRPr="00733A77" w:rsidR="008D761C" w:rsidP="008D761C" w:rsidRDefault="008D761C" w14:paraId="043949B8" w14:textId="77777777">
      <w:pPr>
        <w:rPr>
          <w:b/>
          <w:bCs/>
        </w:rPr>
      </w:pPr>
      <w:r w:rsidRPr="00733A77">
        <w:rPr>
          <w:b/>
          <w:bCs/>
        </w:rPr>
        <w:t xml:space="preserve">Klopt het dat een donorovereenkomst niet volledig kan uitsluiten dat een rechter later alsnog omgang of family life aanneemt? Acht u dat voor alleenstaande wensmoeders voldoende duidelijk voordat zij met een bekende donor in zee gaan? </w:t>
      </w:r>
    </w:p>
    <w:p w:rsidRPr="00733A77" w:rsidR="008D761C" w:rsidP="008D761C" w:rsidRDefault="008D761C" w14:paraId="24CDC82D" w14:textId="77777777"/>
    <w:p w:rsidRPr="00733A77" w:rsidR="008D761C" w:rsidP="008D761C" w:rsidRDefault="008D761C" w14:paraId="05851FE5" w14:textId="77777777">
      <w:r w:rsidRPr="00733A77">
        <w:rPr>
          <w:b/>
          <w:bCs/>
        </w:rPr>
        <w:t>Antwoord op vraag 4</w:t>
      </w:r>
    </w:p>
    <w:p w:rsidRPr="00733A77" w:rsidR="008D761C" w:rsidP="008D761C" w:rsidRDefault="008D761C" w14:paraId="5F255AD9" w14:textId="77777777">
      <w:r w:rsidRPr="00733A77">
        <w:t xml:space="preserve">Graag verwijs ik naar de antwoorden op de vragen 2 en 3. </w:t>
      </w:r>
    </w:p>
    <w:p w:rsidRPr="00733A77" w:rsidR="008D761C" w:rsidP="008D761C" w:rsidRDefault="008D761C" w14:paraId="371B1BB0" w14:textId="77777777">
      <w:r w:rsidRPr="00733A77">
        <w:t>Het Landelijk Informatiepunt Donorconceptie (</w:t>
      </w:r>
      <w:hyperlink w:history="1" r:id="rId6">
        <w:r w:rsidRPr="00733A77">
          <w:rPr>
            <w:rStyle w:val="Hyperlink"/>
          </w:rPr>
          <w:t>www.donorconceptie.nl</w:t>
        </w:r>
      </w:hyperlink>
      <w:r w:rsidRPr="00733A77">
        <w:t>), dat wordt gefinancierd door het ministerie van Volksgezondheid, Welzijn en Sport, informeert wensouders en aspirant-donoren over de juridische aspecten van donorconceptie. Het Landelijk Informatiepunt Donorconceptie adviseert wensouders en donoren bovendien om zich bij het opstellen van de donorovereenkomst te laten begeleiden door een gespecialiseerde advocaat of notaris, zodat de juridische consequenties van de te maken afspraken uitgelegd kunnen worden.</w:t>
      </w:r>
    </w:p>
    <w:p w:rsidRPr="00733A77" w:rsidR="008D761C" w:rsidP="008D761C" w:rsidRDefault="008D761C" w14:paraId="2601F526" w14:textId="77777777"/>
    <w:p w:rsidRPr="00733A77" w:rsidR="008D761C" w:rsidP="008D761C" w:rsidRDefault="008D761C" w14:paraId="34266DD9" w14:textId="77777777">
      <w:pPr>
        <w:rPr>
          <w:b/>
          <w:bCs/>
        </w:rPr>
      </w:pPr>
      <w:bookmarkStart w:name="_Hlk230947217" w:id="1"/>
      <w:r w:rsidRPr="00733A77">
        <w:rPr>
          <w:b/>
          <w:bCs/>
        </w:rPr>
        <w:t>Vraag 5</w:t>
      </w:r>
    </w:p>
    <w:p w:rsidRPr="00733A77" w:rsidR="008D761C" w:rsidP="008D761C" w:rsidRDefault="008D761C" w14:paraId="4150FCC4" w14:textId="77777777">
      <w:pPr>
        <w:rPr>
          <w:b/>
          <w:bCs/>
        </w:rPr>
      </w:pPr>
      <w:r w:rsidRPr="00733A77">
        <w:rPr>
          <w:b/>
          <w:bCs/>
        </w:rPr>
        <w:t xml:space="preserve">Hoe wordt in dit soort zaken het “belang van het kind” concreet vastgesteld? Kunt u aangeven welke factoren rechters en de Raad voor de Kinderbescherming daarbij in de praktijk meewegen? </w:t>
      </w:r>
    </w:p>
    <w:p w:rsidRPr="00733A77" w:rsidR="008D761C" w:rsidP="008D761C" w:rsidRDefault="008D761C" w14:paraId="5AFDCA5C" w14:textId="77777777"/>
    <w:p w:rsidRPr="00733A77" w:rsidR="008D761C" w:rsidP="008D761C" w:rsidRDefault="008D761C" w14:paraId="55491F7C" w14:textId="77777777">
      <w:r w:rsidRPr="00733A77">
        <w:rPr>
          <w:b/>
          <w:bCs/>
        </w:rPr>
        <w:t>Antwoord op vraag 5</w:t>
      </w:r>
    </w:p>
    <w:p w:rsidRPr="00733A77" w:rsidR="008D761C" w:rsidP="008D761C" w:rsidRDefault="008D761C" w14:paraId="7149BFBF" w14:textId="77777777">
      <w:r w:rsidRPr="00733A77">
        <w:t xml:space="preserve">Bij de afweging of bijvoorbeeld omgang in het belang van het kind is, worden door de Raad voor de Kinderbescherming (hierna: RvdK) en door rechters alle omstandigheden omtrent het kind betrokken. </w:t>
      </w:r>
    </w:p>
    <w:bookmarkEnd w:id="1"/>
    <w:p w:rsidRPr="00733A77" w:rsidR="008D761C" w:rsidP="008D761C" w:rsidRDefault="008D761C" w14:paraId="354DEB36" w14:textId="77777777"/>
    <w:p w:rsidRPr="00733A77" w:rsidR="008D761C" w:rsidP="008D761C" w:rsidRDefault="008D761C" w14:paraId="094554F5" w14:textId="77777777">
      <w:pPr>
        <w:rPr>
          <w:b/>
          <w:bCs/>
        </w:rPr>
      </w:pPr>
      <w:r w:rsidRPr="00733A77">
        <w:rPr>
          <w:b/>
          <w:bCs/>
        </w:rPr>
        <w:t>Vraag 6</w:t>
      </w:r>
    </w:p>
    <w:p w:rsidRPr="00733A77" w:rsidR="008D761C" w:rsidP="008D761C" w:rsidRDefault="008D761C" w14:paraId="43D8E26B" w14:textId="77777777">
      <w:pPr>
        <w:rPr>
          <w:b/>
          <w:bCs/>
        </w:rPr>
      </w:pPr>
      <w:r w:rsidRPr="00733A77">
        <w:rPr>
          <w:b/>
          <w:bCs/>
        </w:rPr>
        <w:t xml:space="preserve">Wordt bij de beoordeling van het belang van het kind ook meegewogen of sprake is van bedreiging, stalking, intimidatie, psychische druk, dwingende controle of andere signalen die kunnen wijzen op onveiligheid? </w:t>
      </w:r>
    </w:p>
    <w:p w:rsidRPr="00733A77" w:rsidR="008D761C" w:rsidP="008D761C" w:rsidRDefault="008D761C" w14:paraId="7272EB2D" w14:textId="77777777"/>
    <w:p w:rsidRPr="00733A77" w:rsidR="008D761C" w:rsidP="008D761C" w:rsidRDefault="008D761C" w14:paraId="3DB5020D" w14:textId="77777777">
      <w:r w:rsidRPr="00733A77">
        <w:rPr>
          <w:b/>
          <w:bCs/>
        </w:rPr>
        <w:t>Antwoord op vraag 6</w:t>
      </w:r>
    </w:p>
    <w:p w:rsidRPr="00733A77" w:rsidR="008D761C" w:rsidP="008D761C" w:rsidRDefault="008D761C" w14:paraId="641C8B5B" w14:textId="77777777">
      <w:r w:rsidRPr="00733A77">
        <w:t>Uit onderzoek volgt dat het in de huidige praktijk niet vanzelfsprekend is dat de impact van huiselijk geweld en onveiligheid wordt meegewogen in rechterlijke beslissingen over zorgregelingen, omgang en gezag.</w:t>
      </w:r>
      <w:r w:rsidRPr="00733A77">
        <w:rPr>
          <w:rStyle w:val="Voetnootmarkering"/>
        </w:rPr>
        <w:footnoteReference w:id="7"/>
      </w:r>
      <w:r w:rsidRPr="00733A77">
        <w:t xml:space="preserve"> De noodzaak om tot verbeteringen te komen is bevestigd </w:t>
      </w:r>
      <w:r w:rsidRPr="00733A77">
        <w:lastRenderedPageBreak/>
        <w:t xml:space="preserve">door gesprekken met diverse betrokken organisaties, experts en ervaringsdeskundigen. Immers, het meemaken van huiselijk geweld en kindermishandeling als slachtoffer of getuige is al ingrijpend. Wanneer daar vervolgens onvoldoende of geen aandacht voor is in de juridische procedure is dat onwenselijk en kan zelfs schadelijk zijn. Overigens is gebleken dat dit knelpunt niet alleen de familierechtelijke procedures betreft, maar ook de jeugd- of strafrechtelijke procedures. Het is evident dat dit anders moet. Daarom zijn wij samen met de organisaties aan de slag met het verbetertraject met als doel huiselijk geweld en kindermishandeling in het familie-, jeugd- en strafrecht beter te onderzoeken, naar voren te brengen en mee te nemen. </w:t>
      </w:r>
      <w:r w:rsidRPr="00733A77">
        <w:rPr>
          <w:color w:val="262626" w:themeColor="text1" w:themeTint="D9"/>
        </w:rPr>
        <w:t xml:space="preserve">Waar voorheen het uitgangspunt vooral was dat contact of omgang met beide ouders het meest in het belang van het kind was, willen we met de betrokken partners er naartoe werken dat in die belangenafweging (het risico op) getuige zijn van huiselijk geweld ook prominent wordt meegewogen. </w:t>
      </w:r>
      <w:r w:rsidRPr="00733A77">
        <w:t>Uw Kamer wordt voor de zomer in de voortgangsbrief Geweld tegen vrouwen, huiselijk geweld en kindermishandeling geïnformeerd over de voortgang van het verbetertraject.</w:t>
      </w:r>
    </w:p>
    <w:p w:rsidRPr="00733A77" w:rsidR="008D761C" w:rsidP="008D761C" w:rsidRDefault="008D761C" w14:paraId="361B0BB5" w14:textId="77777777"/>
    <w:p w:rsidRPr="00733A77" w:rsidR="008D761C" w:rsidP="008D761C" w:rsidRDefault="008D761C" w14:paraId="469CFCF0" w14:textId="77777777">
      <w:pPr>
        <w:rPr>
          <w:b/>
          <w:bCs/>
        </w:rPr>
      </w:pPr>
      <w:r w:rsidRPr="00733A77">
        <w:rPr>
          <w:b/>
          <w:bCs/>
        </w:rPr>
        <w:t>Vraag 7</w:t>
      </w:r>
    </w:p>
    <w:p w:rsidRPr="00733A77" w:rsidR="008D761C" w:rsidP="008D761C" w:rsidRDefault="008D761C" w14:paraId="0FA06965" w14:textId="77777777">
      <w:pPr>
        <w:rPr>
          <w:b/>
          <w:bCs/>
        </w:rPr>
      </w:pPr>
      <w:r w:rsidRPr="00733A77">
        <w:rPr>
          <w:b/>
          <w:bCs/>
        </w:rPr>
        <w:t xml:space="preserve">Deelt u de opvatting dat onveiligheid van de verzorgende ouder ook kan doorwerken in de veiligheid en ontwikkeling van het kind, en daarom niet los mag worden gezien van het belang van het kind? </w:t>
      </w:r>
    </w:p>
    <w:p w:rsidRPr="00733A77" w:rsidR="008D761C" w:rsidP="008D761C" w:rsidRDefault="008D761C" w14:paraId="17F7F1E1" w14:textId="77777777"/>
    <w:p w:rsidRPr="00733A77" w:rsidR="008D761C" w:rsidP="008D761C" w:rsidRDefault="008D761C" w14:paraId="1E070255" w14:textId="77777777">
      <w:pPr>
        <w:rPr>
          <w:b/>
          <w:bCs/>
        </w:rPr>
      </w:pPr>
      <w:r w:rsidRPr="00733A77">
        <w:rPr>
          <w:b/>
          <w:bCs/>
        </w:rPr>
        <w:t>Antwoord op vraag 7</w:t>
      </w:r>
    </w:p>
    <w:p w:rsidRPr="00733A77" w:rsidR="008D761C" w:rsidP="008D761C" w:rsidRDefault="008D761C" w14:paraId="0DF13632" w14:textId="77777777">
      <w:r w:rsidRPr="00733A77">
        <w:t xml:space="preserve">Ja. </w:t>
      </w:r>
    </w:p>
    <w:p w:rsidR="008D761C" w:rsidP="008D761C" w:rsidRDefault="008D761C" w14:paraId="79B8E24B" w14:textId="77777777"/>
    <w:p w:rsidR="008D761C" w:rsidP="008D761C" w:rsidRDefault="008D761C" w14:paraId="44CE580C" w14:textId="77777777"/>
    <w:p w:rsidR="008D761C" w:rsidP="008D761C" w:rsidRDefault="008D761C" w14:paraId="3B14A77D" w14:textId="77777777"/>
    <w:p w:rsidRPr="00733A77" w:rsidR="008D761C" w:rsidP="008D761C" w:rsidRDefault="008D761C" w14:paraId="226A4C2A" w14:textId="77777777"/>
    <w:p w:rsidRPr="00733A77" w:rsidR="008D761C" w:rsidP="008D761C" w:rsidRDefault="008D761C" w14:paraId="62F8B45B" w14:textId="77777777">
      <w:pPr>
        <w:rPr>
          <w:b/>
          <w:bCs/>
        </w:rPr>
      </w:pPr>
      <w:bookmarkStart w:name="_Hlk231464641" w:id="2"/>
      <w:r w:rsidRPr="00733A77">
        <w:rPr>
          <w:b/>
          <w:bCs/>
        </w:rPr>
        <w:t>Vraag 8</w:t>
      </w:r>
    </w:p>
    <w:p w:rsidRPr="00733A77" w:rsidR="008D761C" w:rsidP="008D761C" w:rsidRDefault="008D761C" w14:paraId="7A2C03BC" w14:textId="77777777">
      <w:pPr>
        <w:rPr>
          <w:b/>
          <w:bCs/>
        </w:rPr>
      </w:pPr>
      <w:r w:rsidRPr="00733A77">
        <w:rPr>
          <w:b/>
          <w:bCs/>
        </w:rPr>
        <w:t xml:space="preserve">Hoe voorkomt het huidige stelsel dat een juridische procedure over omgang of erkenning zelf wordt gebruikt als middel van druk, controle of intimidatie richting de moeder? </w:t>
      </w:r>
    </w:p>
    <w:p w:rsidRPr="00733A77" w:rsidR="008D761C" w:rsidP="008D761C" w:rsidRDefault="008D761C" w14:paraId="05984D18" w14:textId="77777777"/>
    <w:p w:rsidRPr="00733A77" w:rsidR="008D761C" w:rsidP="008D761C" w:rsidRDefault="008D761C" w14:paraId="3ED246B2" w14:textId="77777777">
      <w:r w:rsidRPr="00733A77">
        <w:rPr>
          <w:b/>
          <w:bCs/>
        </w:rPr>
        <w:t>Antwoord op vraag 8</w:t>
      </w:r>
    </w:p>
    <w:p w:rsidRPr="00733A77" w:rsidR="008D761C" w:rsidP="008D761C" w:rsidRDefault="008D761C" w14:paraId="23EEDE40" w14:textId="77777777">
      <w:r w:rsidRPr="00733A77">
        <w:t xml:space="preserve">Ik deel de zorg dat juridische procedures gebruikt kunnen worden als middel van druk, controle en intimidatie. In algemene zin geldt dat, om misbruik van procesrecht te voorkomen, het noodzakelijk is dat wordt gewaarborgd dat wanneer er onderbouwde vermoedens zijn of sprake is van huiselijk geweld en/of kindermishandeling, waaronder dwingende controle, dit altijd wordt meegewogen in de familierechtelijke procedure. Daartoe dient voornoemd verbetertraject. Dit verbetertraject ziet onder meer op het verbinden van het straf- en civielrecht, het verbeteren van de informatievoorziening aan de familierechter, kennisbevordering van de betrokken professionals en het ontwikkelen van een toetsingskader. Uw Kamer wordt voor de zomer geïnformeerd over de voortgang van het verbetertraject. </w:t>
      </w:r>
    </w:p>
    <w:p w:rsidRPr="00733A77" w:rsidR="008D761C" w:rsidP="008D761C" w:rsidRDefault="008D761C" w14:paraId="1DD110F3" w14:textId="77777777"/>
    <w:p w:rsidRPr="00733A77" w:rsidR="008D761C" w:rsidP="008D761C" w:rsidRDefault="008D761C" w14:paraId="7883E9A1" w14:textId="77777777">
      <w:r w:rsidRPr="00733A77">
        <w:t xml:space="preserve">Daarnaast geldt dat de toegang tot de rechter een grondrecht is, dat vraagt om verantwoord gebruik. Mogelijk misbruik van sommigen kan moeilijk een rechtvaardiging vormen voor het beperken van de toegang tot de rechter van allen. Het is aan de wetgever in het algemeen en de rechter in individuele gevallen om een passend evenwicht te vinden tussen de verwezenlijking van de procedurele rechten van partijen en de bescherming tegen misbruik van procedures. </w:t>
      </w:r>
    </w:p>
    <w:bookmarkEnd w:id="2"/>
    <w:p w:rsidRPr="00733A77" w:rsidR="008D761C" w:rsidP="008D761C" w:rsidRDefault="008D761C" w14:paraId="77A6BDE5" w14:textId="77777777"/>
    <w:p w:rsidRPr="00733A77" w:rsidR="008D761C" w:rsidP="008D761C" w:rsidRDefault="008D761C" w14:paraId="52CFF67F" w14:textId="77777777">
      <w:pPr>
        <w:rPr>
          <w:b/>
          <w:bCs/>
        </w:rPr>
      </w:pPr>
      <w:r w:rsidRPr="00733A77">
        <w:rPr>
          <w:b/>
          <w:bCs/>
        </w:rPr>
        <w:t>Vraag 9</w:t>
      </w:r>
    </w:p>
    <w:p w:rsidRPr="00733A77" w:rsidR="008D761C" w:rsidP="008D761C" w:rsidRDefault="008D761C" w14:paraId="0F304D2B" w14:textId="77777777">
      <w:pPr>
        <w:rPr>
          <w:b/>
          <w:bCs/>
        </w:rPr>
      </w:pPr>
      <w:r w:rsidRPr="00733A77">
        <w:rPr>
          <w:b/>
          <w:bCs/>
        </w:rPr>
        <w:t xml:space="preserve">Hoe verhoudt de aanpak van femicide en psychisch geweld zich tot het familierechtelijke uitgangspunt dat contact met een ouder of biologische vader in beginsel in het belang van het kind kan zijn? </w:t>
      </w:r>
    </w:p>
    <w:p w:rsidRPr="00733A77" w:rsidR="008D761C" w:rsidP="008D761C" w:rsidRDefault="008D761C" w14:paraId="4B0D14BB" w14:textId="77777777"/>
    <w:p w:rsidRPr="00733A77" w:rsidR="008D761C" w:rsidP="008D761C" w:rsidRDefault="008D761C" w14:paraId="4FE126EB" w14:textId="77777777">
      <w:pPr>
        <w:rPr>
          <w:b/>
          <w:bCs/>
        </w:rPr>
      </w:pPr>
      <w:r w:rsidRPr="00733A77">
        <w:rPr>
          <w:b/>
          <w:bCs/>
        </w:rPr>
        <w:t>Antwoord op vraag 9</w:t>
      </w:r>
    </w:p>
    <w:p w:rsidRPr="00733A77" w:rsidR="008D761C" w:rsidP="008D761C" w:rsidRDefault="008D761C" w14:paraId="0B9EEF2C" w14:textId="77777777">
      <w:pPr>
        <w:rPr>
          <w:color w:val="262626" w:themeColor="text1" w:themeTint="D9"/>
        </w:rPr>
      </w:pPr>
      <w:r w:rsidRPr="00733A77">
        <w:rPr>
          <w:color w:val="262626" w:themeColor="text1" w:themeTint="D9"/>
        </w:rPr>
        <w:t xml:space="preserve">Graag verwijs ik naar het antwoord op vraag 6. </w:t>
      </w:r>
    </w:p>
    <w:p w:rsidRPr="00733A77" w:rsidR="008D761C" w:rsidP="008D761C" w:rsidRDefault="008D761C" w14:paraId="6B4A30BE" w14:textId="77777777"/>
    <w:p w:rsidRPr="00733A77" w:rsidR="008D761C" w:rsidP="008D761C" w:rsidRDefault="008D761C" w14:paraId="183CC6FC" w14:textId="77777777">
      <w:pPr>
        <w:rPr>
          <w:b/>
          <w:bCs/>
        </w:rPr>
      </w:pPr>
      <w:bookmarkStart w:name="_Hlk230947336" w:id="3"/>
      <w:r w:rsidRPr="00733A77">
        <w:rPr>
          <w:b/>
          <w:bCs/>
        </w:rPr>
        <w:t>Vraag 10</w:t>
      </w:r>
    </w:p>
    <w:p w:rsidRPr="00733A77" w:rsidR="008D761C" w:rsidP="008D761C" w:rsidRDefault="008D761C" w14:paraId="6EAA82FE" w14:textId="77777777">
      <w:pPr>
        <w:rPr>
          <w:b/>
          <w:bCs/>
        </w:rPr>
      </w:pPr>
      <w:r w:rsidRPr="00733A77">
        <w:rPr>
          <w:b/>
          <w:bCs/>
        </w:rPr>
        <w:t xml:space="preserve">Aangezien de Raad voor de Kinderbescherming stelt dat contact met beide ouders alleen uitgangspunt is “als dat veilig kan”; hoe wordt geborgd dat dit uitgangspunt ook consequent wordt toegepast bij bekende donoren die geen oorspronkelijke vaderrol zouden hebben? </w:t>
      </w:r>
    </w:p>
    <w:bookmarkEnd w:id="3"/>
    <w:p w:rsidRPr="00733A77" w:rsidR="008D761C" w:rsidP="008D761C" w:rsidRDefault="008D761C" w14:paraId="1E703520" w14:textId="77777777"/>
    <w:p w:rsidRPr="00733A77" w:rsidR="008D761C" w:rsidP="008D761C" w:rsidRDefault="008D761C" w14:paraId="51B2C100" w14:textId="77777777">
      <w:r w:rsidRPr="00733A77">
        <w:rPr>
          <w:b/>
          <w:bCs/>
        </w:rPr>
        <w:t>Antwoord op vraag 10</w:t>
      </w:r>
    </w:p>
    <w:p w:rsidRPr="00733A77" w:rsidR="008D761C" w:rsidP="008D761C" w:rsidRDefault="008D761C" w14:paraId="51A2F591" w14:textId="77777777">
      <w:r w:rsidRPr="00733A77">
        <w:t xml:space="preserve">In het onderzoek van de RvdK wordt gekeken naar het belang van het kind enerzijds om te weten van wie het afstamt en om daarmee contact te mogen hebben, en anderzijds om veilig op te mogen groeien. Wanneer er sprake lijkt te zijn van signalen van onveiligheid, is de RvdK terughoudend met hun advies over het laten vastleggen van directe afspraken ten aanzien van omgang, alvorens hier meer duidelijkheid over ontstaat en er een juiste afweging gemaakt kan worden tussen het belang van omgang en het belang van veiligheid. </w:t>
      </w:r>
    </w:p>
    <w:p w:rsidR="008D761C" w:rsidP="008D761C" w:rsidRDefault="008D761C" w14:paraId="73B389F9" w14:textId="77777777"/>
    <w:p w:rsidR="008D761C" w:rsidP="008D761C" w:rsidRDefault="008D761C" w14:paraId="49C10E8A" w14:textId="77777777"/>
    <w:p w:rsidR="008D761C" w:rsidP="008D761C" w:rsidRDefault="008D761C" w14:paraId="0E57B25B" w14:textId="77777777"/>
    <w:p w:rsidRPr="00733A77" w:rsidR="008D761C" w:rsidP="008D761C" w:rsidRDefault="008D761C" w14:paraId="556207F4" w14:textId="77777777"/>
    <w:p w:rsidRPr="00733A77" w:rsidR="008D761C" w:rsidP="008D761C" w:rsidRDefault="008D761C" w14:paraId="2CD7ECA4" w14:textId="77777777">
      <w:pPr>
        <w:rPr>
          <w:b/>
          <w:bCs/>
        </w:rPr>
      </w:pPr>
      <w:bookmarkStart w:name="_Hlk231397125" w:id="4"/>
      <w:r w:rsidRPr="00733A77">
        <w:rPr>
          <w:b/>
          <w:bCs/>
        </w:rPr>
        <w:t>Vraag 11</w:t>
      </w:r>
    </w:p>
    <w:p w:rsidRPr="00733A77" w:rsidR="008D761C" w:rsidP="008D761C" w:rsidRDefault="008D761C" w14:paraId="729E109D" w14:textId="77777777">
      <w:pPr>
        <w:rPr>
          <w:b/>
          <w:bCs/>
        </w:rPr>
      </w:pPr>
      <w:r w:rsidRPr="00733A77">
        <w:rPr>
          <w:b/>
          <w:bCs/>
        </w:rPr>
        <w:t xml:space="preserve">Beschikt u over cijfers van zaken waarin een donorovereenkomst door de rechter anders wordt gewogen dan de wensmoeder vooraf mocht verwachten? Zo nee, acht u het wenselijk hier meer inzicht in te krijgen? </w:t>
      </w:r>
    </w:p>
    <w:p w:rsidRPr="00733A77" w:rsidR="008D761C" w:rsidP="008D761C" w:rsidRDefault="008D761C" w14:paraId="34F04A5A" w14:textId="77777777"/>
    <w:p w:rsidRPr="00733A77" w:rsidR="008D761C" w:rsidP="008D761C" w:rsidRDefault="008D761C" w14:paraId="01612728" w14:textId="77777777">
      <w:r w:rsidRPr="00733A77">
        <w:rPr>
          <w:b/>
          <w:bCs/>
        </w:rPr>
        <w:lastRenderedPageBreak/>
        <w:t>Antwoord op vraag 11</w:t>
      </w:r>
    </w:p>
    <w:p w:rsidRPr="00733A77" w:rsidR="008D761C" w:rsidP="008D761C" w:rsidRDefault="008D761C" w14:paraId="0727CF73" w14:textId="77777777">
      <w:r w:rsidRPr="00733A77">
        <w:t xml:space="preserve">Nee, ik beschik niet over dergelijke cijfers. Zoals ik bij het antwoord van vraag 2 en 3 heb aangegeven is een rechterlijke beslissing omkleedt met verschillende voorwaarden, waarin de donorovereenkomst doorgaans ook wordt meegenomen in de afweging. Op dit moment zie ik geen aanleiding voor een breder onderzoek. </w:t>
      </w:r>
    </w:p>
    <w:bookmarkEnd w:id="4"/>
    <w:p w:rsidRPr="00733A77" w:rsidR="008D761C" w:rsidP="008D761C" w:rsidRDefault="008D761C" w14:paraId="1D4E1ECF" w14:textId="77777777"/>
    <w:p w:rsidRPr="00733A77" w:rsidR="008D761C" w:rsidP="008D761C" w:rsidRDefault="008D761C" w14:paraId="5900BABC" w14:textId="77777777">
      <w:pPr>
        <w:rPr>
          <w:b/>
          <w:bCs/>
        </w:rPr>
      </w:pPr>
      <w:r w:rsidRPr="00733A77">
        <w:rPr>
          <w:b/>
          <w:bCs/>
        </w:rPr>
        <w:t>Vraag 12</w:t>
      </w:r>
    </w:p>
    <w:p w:rsidRPr="00733A77" w:rsidR="008D761C" w:rsidP="008D761C" w:rsidRDefault="008D761C" w14:paraId="0C08A417" w14:textId="77777777">
      <w:pPr>
        <w:rPr>
          <w:b/>
          <w:bCs/>
        </w:rPr>
      </w:pPr>
      <w:r w:rsidRPr="00733A77">
        <w:rPr>
          <w:b/>
          <w:bCs/>
        </w:rPr>
        <w:t xml:space="preserve">Acht u de huidige informatievoorziening aan alleenstaande wensmoeders en bekende donoren voldoende duidelijk over de juridische risico’s van donorconceptie met een bekende donor, waaronder het verschil tussen een donor, een juridische ouder, een erkenner, een gezaghebbende ouder en iemand met omgangsrecht? </w:t>
      </w:r>
    </w:p>
    <w:p w:rsidRPr="00733A77" w:rsidR="008D761C" w:rsidP="008D761C" w:rsidRDefault="008D761C" w14:paraId="428BC3CC" w14:textId="77777777">
      <w:pPr>
        <w:rPr>
          <w:b/>
          <w:bCs/>
        </w:rPr>
      </w:pPr>
    </w:p>
    <w:p w:rsidRPr="00733A77" w:rsidR="008D761C" w:rsidP="008D761C" w:rsidRDefault="008D761C" w14:paraId="06E340DB" w14:textId="77777777">
      <w:pPr>
        <w:rPr>
          <w:b/>
          <w:bCs/>
        </w:rPr>
      </w:pPr>
      <w:r w:rsidRPr="00733A77">
        <w:rPr>
          <w:b/>
          <w:bCs/>
        </w:rPr>
        <w:t>Vraag 13</w:t>
      </w:r>
    </w:p>
    <w:p w:rsidRPr="00733A77" w:rsidR="008D761C" w:rsidP="008D761C" w:rsidRDefault="008D761C" w14:paraId="573BB992" w14:textId="77777777">
      <w:pPr>
        <w:rPr>
          <w:b/>
          <w:bCs/>
        </w:rPr>
      </w:pPr>
      <w:r w:rsidRPr="00733A77">
        <w:rPr>
          <w:b/>
          <w:bCs/>
        </w:rPr>
        <w:t>Bent u bereid stappen te zetten om de rechtspositie en rechtszekerheid van alleenstaande wensmoeders bij gebruik van een bekende donor beter te borgen? Zo ja, op welke wijze wilt u dat doen, bijvoorbeeld via wetgeving, betere voorlichting, richtlijnen of aanvullende waarborgen in de beoordeling van omgangs- en erkenningsverzoeken?</w:t>
      </w:r>
    </w:p>
    <w:p w:rsidRPr="00733A77" w:rsidR="008D761C" w:rsidP="008D761C" w:rsidRDefault="008D761C" w14:paraId="294AEFBB" w14:textId="77777777"/>
    <w:p w:rsidRPr="00733A77" w:rsidR="008D761C" w:rsidP="008D761C" w:rsidRDefault="008D761C" w14:paraId="3ADB9CAB" w14:textId="77777777">
      <w:r w:rsidRPr="00733A77">
        <w:rPr>
          <w:b/>
          <w:bCs/>
        </w:rPr>
        <w:t>Antwoord op vragen 12 en 13</w:t>
      </w:r>
    </w:p>
    <w:p w:rsidRPr="00733A77" w:rsidR="008D761C" w:rsidP="008D761C" w:rsidRDefault="008D761C" w14:paraId="16162DC1" w14:textId="77777777">
      <w:r w:rsidRPr="00733A77">
        <w:t>Ja, ik acht de huidige informatievoorziening over de juridische risico’s van donorconceptie aan alleenstaande wensmoeders en bekende donoren voldoende duidelijk. Zoals in de beantwoording van vraag 4 aangegeven, informeert het Landelijk Informatiepunt Donorconceptie (</w:t>
      </w:r>
      <w:hyperlink w:history="1" r:id="rId7">
        <w:r w:rsidRPr="00733A77">
          <w:rPr>
            <w:rStyle w:val="Hyperlink"/>
          </w:rPr>
          <w:t>www.donorconceptie.nl</w:t>
        </w:r>
      </w:hyperlink>
      <w:r w:rsidRPr="00733A77">
        <w:t>) wensouders en aspirant-donoren over de juridische aspecten van donorconceptie. Het Landelijk Informatiepunt Donorconceptie adviseert wensouders en donoren bovendien om zich bij het opstellen van de donorovereenkomst te laten begeleiden door een gespecialiseerde advocaat of notaris, zodat de juridische consequenties van de te maken afspraken uitgelegd kunnen worden. Het ministerie van Volksgezondheid, Welzijn en Sport heeft geen rol bij de inhoud van individuele donorovereenkomsten of andere afspraken die tussen betrokkenen worden gemaakt of notarieel worden vastgelegd.</w:t>
      </w:r>
    </w:p>
    <w:p w:rsidR="008D761C" w:rsidP="008D761C" w:rsidRDefault="008D761C" w14:paraId="6BE61296" w14:textId="77777777">
      <w:r w:rsidRPr="00733A77">
        <w:t>Het kabinet ziet op dit moment geen noodzaak om aanvullend beleid of wetgeving te ontwikkelen voor alleenstaande wensmoeders die gebruikmaken van een bekende donor. Op donorconceptie.nl is reeds toegankelijke en betrouwbare informatie beschikbaar over verschillende vormen van donorconceptie, waaronder het gebruik van bekende donoren door alleenstaande wensmoeders.</w:t>
      </w:r>
    </w:p>
    <w:p w:rsidR="002C3023" w:rsidRDefault="002C3023" w14:paraId="7463FDA6" w14:textId="77777777"/>
    <w:sectPr w:rsidR="002C30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7B5" w14:textId="77777777" w:rsidR="00022031" w:rsidRDefault="00022031" w:rsidP="008D761C">
      <w:pPr>
        <w:spacing w:after="0" w:line="240" w:lineRule="auto"/>
      </w:pPr>
      <w:r>
        <w:separator/>
      </w:r>
    </w:p>
  </w:endnote>
  <w:endnote w:type="continuationSeparator" w:id="0">
    <w:p w14:paraId="3128724F" w14:textId="77777777" w:rsidR="00022031" w:rsidRDefault="00022031" w:rsidP="008D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AA37" w14:textId="77777777" w:rsidR="008D761C" w:rsidRPr="008D761C" w:rsidRDefault="008D761C" w:rsidP="008D7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70D0" w14:textId="77777777" w:rsidR="008D761C" w:rsidRPr="008D761C" w:rsidRDefault="008D761C" w:rsidP="008D76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C355" w14:textId="77777777" w:rsidR="008D761C" w:rsidRPr="008D761C" w:rsidRDefault="008D761C" w:rsidP="008D76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ED8E" w14:textId="77777777" w:rsidR="00022031" w:rsidRDefault="00022031" w:rsidP="008D761C">
      <w:pPr>
        <w:spacing w:after="0" w:line="240" w:lineRule="auto"/>
      </w:pPr>
      <w:r>
        <w:separator/>
      </w:r>
    </w:p>
  </w:footnote>
  <w:footnote w:type="continuationSeparator" w:id="0">
    <w:p w14:paraId="0E62237D" w14:textId="77777777" w:rsidR="00022031" w:rsidRDefault="00022031" w:rsidP="008D761C">
      <w:pPr>
        <w:spacing w:after="0" w:line="240" w:lineRule="auto"/>
      </w:pPr>
      <w:r>
        <w:continuationSeparator/>
      </w:r>
    </w:p>
  </w:footnote>
  <w:footnote w:id="1">
    <w:p w14:paraId="39FD1165" w14:textId="77777777" w:rsidR="008D761C" w:rsidRPr="007D24CF" w:rsidRDefault="008D761C" w:rsidP="008D761C">
      <w:pPr>
        <w:pStyle w:val="Voetnoottekst"/>
        <w:rPr>
          <w:sz w:val="16"/>
          <w:szCs w:val="16"/>
        </w:rPr>
      </w:pPr>
      <w:r w:rsidRPr="007D24CF">
        <w:rPr>
          <w:rStyle w:val="Voetnootmarkering"/>
          <w:sz w:val="16"/>
          <w:szCs w:val="16"/>
        </w:rPr>
        <w:footnoteRef/>
      </w:r>
      <w:r w:rsidRPr="007D24CF">
        <w:rPr>
          <w:sz w:val="16"/>
          <w:szCs w:val="16"/>
        </w:rPr>
        <w:t xml:space="preserve"> De Telegraaf, 10 mei 2026, Désirée (38) haar donor eist vaderrol: ’In plaats van leuke dingen doen met Lenny, ben ik continu met rechtszaken bezig’ (</w:t>
      </w:r>
      <w:bookmarkStart w:id="0" w:name="_Hlk230947249"/>
      <w:r>
        <w:rPr>
          <w:sz w:val="16"/>
          <w:szCs w:val="16"/>
        </w:rPr>
        <w:fldChar w:fldCharType="begin"/>
      </w:r>
      <w:r>
        <w:rPr>
          <w:sz w:val="16"/>
          <w:szCs w:val="16"/>
        </w:rPr>
        <w:instrText>HYPERLINK "</w:instrText>
      </w:r>
      <w:r w:rsidRPr="007D24CF">
        <w:rPr>
          <w:sz w:val="16"/>
          <w:szCs w:val="16"/>
        </w:rPr>
        <w:instrText>https://www.telegraaf.nl/vrouw/achter-het</w:instrText>
      </w:r>
      <w:r>
        <w:rPr>
          <w:sz w:val="16"/>
          <w:szCs w:val="16"/>
        </w:rPr>
        <w:instrText>-</w:instrText>
      </w:r>
      <w:r w:rsidRPr="007D24CF">
        <w:rPr>
          <w:sz w:val="16"/>
          <w:szCs w:val="16"/>
        </w:rPr>
        <w:instrText>nieuws/desiree-38-haar-donor-eist-vaderrol-in-plaats-van-leuke-dingen-doen-met-lenny-ben-ik</w:instrText>
      </w:r>
      <w:r>
        <w:rPr>
          <w:sz w:val="16"/>
          <w:szCs w:val="16"/>
        </w:rPr>
        <w:instrText>-</w:instrText>
      </w:r>
      <w:r w:rsidRPr="007D24CF">
        <w:rPr>
          <w:sz w:val="16"/>
          <w:szCs w:val="16"/>
        </w:rPr>
        <w:instrText>continu-met-rechtszaken-bezig/150281054.html</w:instrText>
      </w:r>
      <w:r>
        <w:rPr>
          <w:sz w:val="16"/>
          <w:szCs w:val="16"/>
        </w:rPr>
        <w:instrText>"</w:instrText>
      </w:r>
      <w:r>
        <w:rPr>
          <w:sz w:val="16"/>
          <w:szCs w:val="16"/>
        </w:rPr>
      </w:r>
      <w:r>
        <w:rPr>
          <w:sz w:val="16"/>
          <w:szCs w:val="16"/>
        </w:rPr>
        <w:fldChar w:fldCharType="separate"/>
      </w:r>
      <w:r w:rsidRPr="00D91FC0">
        <w:rPr>
          <w:rStyle w:val="Hyperlink"/>
          <w:sz w:val="16"/>
          <w:szCs w:val="16"/>
        </w:rPr>
        <w:t>https://www.telegraaf.nl/vrouw/achter-het-nieuws/desiree-38-haar-donor-eist-vaderrol-in-plaats-van-leuke-dingen-doen-met-lenny-ben-ik-continu-met-rechtszaken-bezig/150281054.html</w:t>
      </w:r>
      <w:r>
        <w:rPr>
          <w:sz w:val="16"/>
          <w:szCs w:val="16"/>
        </w:rPr>
        <w:fldChar w:fldCharType="end"/>
      </w:r>
      <w:bookmarkEnd w:id="0"/>
      <w:r w:rsidRPr="007D24CF">
        <w:rPr>
          <w:sz w:val="16"/>
          <w:szCs w:val="16"/>
        </w:rPr>
        <w:t>)</w:t>
      </w:r>
    </w:p>
  </w:footnote>
  <w:footnote w:id="2">
    <w:p w14:paraId="3C9126AF" w14:textId="77777777" w:rsidR="008D761C" w:rsidRPr="00C019B2" w:rsidRDefault="008D761C" w:rsidP="008D761C">
      <w:pPr>
        <w:pStyle w:val="Voetnoottekst"/>
        <w:rPr>
          <w:sz w:val="16"/>
          <w:szCs w:val="16"/>
        </w:rPr>
      </w:pPr>
      <w:r w:rsidRPr="00C019B2">
        <w:rPr>
          <w:rStyle w:val="Voetnootmarkering"/>
          <w:sz w:val="16"/>
          <w:szCs w:val="16"/>
        </w:rPr>
        <w:footnoteRef/>
      </w:r>
      <w:r w:rsidRPr="00C019B2">
        <w:rPr>
          <w:sz w:val="16"/>
          <w:szCs w:val="16"/>
        </w:rPr>
        <w:t xml:space="preserve"> Artikel 1:204 lid 1 sub c jo. lid 2 BW.</w:t>
      </w:r>
    </w:p>
  </w:footnote>
  <w:footnote w:id="3">
    <w:p w14:paraId="2785DCFF" w14:textId="77777777" w:rsidR="008D761C" w:rsidRPr="006E5484" w:rsidRDefault="008D761C" w:rsidP="008D761C">
      <w:pPr>
        <w:pStyle w:val="Voetnoottekst"/>
        <w:rPr>
          <w:sz w:val="16"/>
          <w:szCs w:val="16"/>
        </w:rPr>
      </w:pPr>
      <w:r w:rsidRPr="006E5484">
        <w:rPr>
          <w:rStyle w:val="Voetnootmarkering"/>
          <w:sz w:val="16"/>
          <w:szCs w:val="16"/>
        </w:rPr>
        <w:footnoteRef/>
      </w:r>
      <w:r w:rsidRPr="006E5484">
        <w:rPr>
          <w:sz w:val="16"/>
          <w:szCs w:val="16"/>
        </w:rPr>
        <w:t xml:space="preserve"> Artikel 1:204 lid 3 sub b BW.</w:t>
      </w:r>
    </w:p>
  </w:footnote>
  <w:footnote w:id="4">
    <w:p w14:paraId="557BD8CF" w14:textId="77777777" w:rsidR="008D761C" w:rsidRDefault="008D761C" w:rsidP="008D761C">
      <w:pPr>
        <w:pStyle w:val="Voetnoottekst"/>
      </w:pPr>
      <w:r w:rsidRPr="000E4D00">
        <w:rPr>
          <w:rStyle w:val="Voetnootmarkering"/>
          <w:sz w:val="16"/>
          <w:szCs w:val="16"/>
        </w:rPr>
        <w:footnoteRef/>
      </w:r>
      <w:r w:rsidRPr="000E4D00">
        <w:rPr>
          <w:sz w:val="16"/>
          <w:szCs w:val="16"/>
        </w:rPr>
        <w:t xml:space="preserve"> EHRM 21 december 2010, </w:t>
      </w:r>
      <w:r w:rsidRPr="000E4D00">
        <w:rPr>
          <w:i/>
          <w:iCs/>
          <w:sz w:val="16"/>
          <w:szCs w:val="16"/>
        </w:rPr>
        <w:t>Anayo t. Duitsland</w:t>
      </w:r>
      <w:r w:rsidRPr="000E4D00">
        <w:rPr>
          <w:sz w:val="16"/>
          <w:szCs w:val="16"/>
        </w:rPr>
        <w:t xml:space="preserve"> (no. 20578/07), para 56 – 57.</w:t>
      </w:r>
    </w:p>
  </w:footnote>
  <w:footnote w:id="5">
    <w:p w14:paraId="0B39638E" w14:textId="77777777" w:rsidR="008D761C" w:rsidRDefault="008D761C" w:rsidP="008D761C">
      <w:pPr>
        <w:pStyle w:val="Voetnoottekst"/>
      </w:pPr>
      <w:r w:rsidRPr="000E4D00">
        <w:rPr>
          <w:rStyle w:val="Voetnootmarkering"/>
          <w:sz w:val="16"/>
          <w:szCs w:val="16"/>
        </w:rPr>
        <w:footnoteRef/>
      </w:r>
      <w:r w:rsidRPr="000E4D00">
        <w:rPr>
          <w:sz w:val="16"/>
          <w:szCs w:val="16"/>
        </w:rPr>
        <w:t xml:space="preserve"> EHRM 21 december 2010, </w:t>
      </w:r>
      <w:r w:rsidRPr="000E4D00">
        <w:rPr>
          <w:i/>
          <w:iCs/>
          <w:sz w:val="16"/>
          <w:szCs w:val="16"/>
        </w:rPr>
        <w:t>Anayo t. Duitsland</w:t>
      </w:r>
      <w:r w:rsidRPr="000E4D00">
        <w:rPr>
          <w:sz w:val="16"/>
          <w:szCs w:val="16"/>
        </w:rPr>
        <w:t xml:space="preserve"> (no. 20578/07), para 56.</w:t>
      </w:r>
    </w:p>
  </w:footnote>
  <w:footnote w:id="6">
    <w:p w14:paraId="33ACF6B5" w14:textId="77777777" w:rsidR="008D761C" w:rsidRPr="000E4D00" w:rsidRDefault="008D761C" w:rsidP="008D761C">
      <w:pPr>
        <w:pStyle w:val="Voetnoottekst"/>
        <w:rPr>
          <w:sz w:val="16"/>
          <w:szCs w:val="16"/>
        </w:rPr>
      </w:pPr>
      <w:r w:rsidRPr="000E4D00">
        <w:rPr>
          <w:rStyle w:val="Voetnootmarkering"/>
          <w:sz w:val="16"/>
          <w:szCs w:val="16"/>
        </w:rPr>
        <w:footnoteRef/>
      </w:r>
      <w:r w:rsidRPr="000E4D00">
        <w:rPr>
          <w:sz w:val="16"/>
          <w:szCs w:val="16"/>
        </w:rPr>
        <w:t xml:space="preserve"> EHRM 21 december 2010, </w:t>
      </w:r>
      <w:r w:rsidRPr="000E4D00">
        <w:rPr>
          <w:i/>
          <w:iCs/>
          <w:sz w:val="16"/>
          <w:szCs w:val="16"/>
        </w:rPr>
        <w:t>Anayo t. Duitsland</w:t>
      </w:r>
      <w:r w:rsidRPr="000E4D00">
        <w:rPr>
          <w:sz w:val="16"/>
          <w:szCs w:val="16"/>
        </w:rPr>
        <w:t xml:space="preserve"> (no. 20578/07), para 57.</w:t>
      </w:r>
    </w:p>
  </w:footnote>
  <w:footnote w:id="7">
    <w:p w14:paraId="0D815978" w14:textId="77777777" w:rsidR="008D761C" w:rsidRDefault="008D761C" w:rsidP="008D761C">
      <w:pPr>
        <w:pStyle w:val="Voetnoottekst"/>
      </w:pPr>
      <w:r>
        <w:rPr>
          <w:rStyle w:val="Voetnootmarkering"/>
        </w:rPr>
        <w:footnoteRef/>
      </w:r>
      <w:r>
        <w:t xml:space="preserve"> </w:t>
      </w:r>
      <w:r w:rsidRPr="003B37DD">
        <w:rPr>
          <w:sz w:val="16"/>
          <w:szCs w:val="16"/>
        </w:rPr>
        <w:t>‘Waar geweld uit beeld raakt’ door het Verwey-Jonker Instituut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9A2B" w14:textId="77777777" w:rsidR="008D761C" w:rsidRPr="008D761C" w:rsidRDefault="008D761C" w:rsidP="008D7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76FA" w14:textId="77777777" w:rsidR="008D761C" w:rsidRPr="008D761C" w:rsidRDefault="008D761C" w:rsidP="008D76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50B8" w14:textId="77777777" w:rsidR="008D761C" w:rsidRPr="008D761C" w:rsidRDefault="008D761C" w:rsidP="008D76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1C"/>
    <w:rsid w:val="00022031"/>
    <w:rsid w:val="002C3023"/>
    <w:rsid w:val="0063434C"/>
    <w:rsid w:val="008D761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3563"/>
  <w15:chartTrackingRefBased/>
  <w15:docId w15:val="{59120E23-099C-4294-8C59-934A7DC1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76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76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76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76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76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76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76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76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76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76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76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76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76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76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76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761C"/>
    <w:rPr>
      <w:rFonts w:eastAsiaTheme="majorEastAsia" w:cstheme="majorBidi"/>
      <w:color w:val="272727" w:themeColor="text1" w:themeTint="D8"/>
    </w:rPr>
  </w:style>
  <w:style w:type="paragraph" w:styleId="Titel">
    <w:name w:val="Title"/>
    <w:basedOn w:val="Standaard"/>
    <w:next w:val="Standaard"/>
    <w:link w:val="TitelChar"/>
    <w:uiPriority w:val="10"/>
    <w:qFormat/>
    <w:rsid w:val="008D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76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76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76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76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761C"/>
    <w:rPr>
      <w:i/>
      <w:iCs/>
      <w:color w:val="404040" w:themeColor="text1" w:themeTint="BF"/>
    </w:rPr>
  </w:style>
  <w:style w:type="paragraph" w:styleId="Lijstalinea">
    <w:name w:val="List Paragraph"/>
    <w:basedOn w:val="Standaard"/>
    <w:uiPriority w:val="34"/>
    <w:qFormat/>
    <w:rsid w:val="008D761C"/>
    <w:pPr>
      <w:ind w:left="720"/>
      <w:contextualSpacing/>
    </w:pPr>
  </w:style>
  <w:style w:type="character" w:styleId="Intensievebenadrukking">
    <w:name w:val="Intense Emphasis"/>
    <w:basedOn w:val="Standaardalinea-lettertype"/>
    <w:uiPriority w:val="21"/>
    <w:qFormat/>
    <w:rsid w:val="008D761C"/>
    <w:rPr>
      <w:i/>
      <w:iCs/>
      <w:color w:val="0F4761" w:themeColor="accent1" w:themeShade="BF"/>
    </w:rPr>
  </w:style>
  <w:style w:type="paragraph" w:styleId="Duidelijkcitaat">
    <w:name w:val="Intense Quote"/>
    <w:basedOn w:val="Standaard"/>
    <w:next w:val="Standaard"/>
    <w:link w:val="DuidelijkcitaatChar"/>
    <w:uiPriority w:val="30"/>
    <w:qFormat/>
    <w:rsid w:val="008D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761C"/>
    <w:rPr>
      <w:i/>
      <w:iCs/>
      <w:color w:val="0F4761" w:themeColor="accent1" w:themeShade="BF"/>
    </w:rPr>
  </w:style>
  <w:style w:type="character" w:styleId="Intensieveverwijzing">
    <w:name w:val="Intense Reference"/>
    <w:basedOn w:val="Standaardalinea-lettertype"/>
    <w:uiPriority w:val="32"/>
    <w:qFormat/>
    <w:rsid w:val="008D761C"/>
    <w:rPr>
      <w:b/>
      <w:bCs/>
      <w:smallCaps/>
      <w:color w:val="0F4761" w:themeColor="accent1" w:themeShade="BF"/>
      <w:spacing w:val="5"/>
    </w:rPr>
  </w:style>
  <w:style w:type="character" w:styleId="Hyperlink">
    <w:name w:val="Hyperlink"/>
    <w:basedOn w:val="Standaardalinea-lettertype"/>
    <w:uiPriority w:val="99"/>
    <w:unhideWhenUsed/>
    <w:rsid w:val="008D761C"/>
    <w:rPr>
      <w:color w:val="467886" w:themeColor="hyperlink"/>
      <w:u w:val="single"/>
    </w:rPr>
  </w:style>
  <w:style w:type="paragraph" w:styleId="Voetnoottekst">
    <w:name w:val="footnote text"/>
    <w:link w:val="VoetnoottekstChar"/>
    <w:rsid w:val="008D761C"/>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8D761C"/>
    <w:rPr>
      <w:rFonts w:ascii="Verdana" w:eastAsia="DejaVu Sans" w:hAnsi="Verdana" w:cs="Lohit Hindi"/>
      <w:kern w:val="0"/>
      <w:sz w:val="13"/>
      <w:szCs w:val="13"/>
      <w:lang w:eastAsia="nl-NL"/>
      <w14:ligatures w14:val="none"/>
    </w:rPr>
  </w:style>
  <w:style w:type="character" w:styleId="Voetnootmarkering">
    <w:name w:val="footnote reference"/>
    <w:basedOn w:val="Standaardalinea-lettertype"/>
    <w:uiPriority w:val="99"/>
    <w:semiHidden/>
    <w:unhideWhenUsed/>
    <w:rsid w:val="008D761C"/>
    <w:rPr>
      <w:vertAlign w:val="superscript"/>
    </w:rPr>
  </w:style>
  <w:style w:type="paragraph" w:styleId="Koptekst">
    <w:name w:val="header"/>
    <w:basedOn w:val="Standaard"/>
    <w:link w:val="KoptekstChar"/>
    <w:uiPriority w:val="99"/>
    <w:unhideWhenUsed/>
    <w:rsid w:val="008D76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761C"/>
  </w:style>
  <w:style w:type="paragraph" w:styleId="Voettekst">
    <w:name w:val="footer"/>
    <w:basedOn w:val="Standaard"/>
    <w:link w:val="VoettekstChar"/>
    <w:uiPriority w:val="99"/>
    <w:unhideWhenUsed/>
    <w:rsid w:val="008D76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761C"/>
  </w:style>
  <w:style w:type="paragraph" w:styleId="Geenafstand">
    <w:name w:val="No Spacing"/>
    <w:uiPriority w:val="1"/>
    <w:qFormat/>
    <w:rsid w:val="008D76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donorconceptie.n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norconceptie.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1940</ap:Words>
  <ap:Characters>10671</ap:Characters>
  <ap:DocSecurity>0</ap:DocSecurity>
  <ap:Lines>88</ap:Lines>
  <ap:Paragraphs>25</ap:Paragraphs>
  <ap:ScaleCrop>false</ap:ScaleCrop>
  <ap:LinksUpToDate>false</ap:LinksUpToDate>
  <ap:CharactersWithSpaces>12586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2026-07-06T08:32:00.0000000Z</dcterms:created>
  <dcterms:modified xsi:type="dcterms:W3CDTF">2026-07-06T08:33:00.0000000Z</dcterms:modified>
  <version/>
  <category/>
</coreProperties>
</file>