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1F17" w:rsidR="00F05189" w:rsidRDefault="00341F17" w14:paraId="474B6BA9" w14:textId="77777777">
      <w:pPr>
        <w:jc w:val="center"/>
        <w:rPr>
          <w:rFonts w:ascii="Marianne" w:hAnsi="Marianne"/>
          <w:b/>
          <w:bCs/>
          <w:i/>
          <w:iCs/>
          <w:sz w:val="20"/>
          <w:szCs w:val="20"/>
          <w:lang w:val="en-GB"/>
        </w:rPr>
      </w:pPr>
      <w:r w:rsidRPr="00341F17">
        <w:rPr>
          <w:rFonts w:ascii="Marianne" w:hAnsi="Marianne"/>
          <w:b/>
          <w:bCs/>
          <w:i/>
          <w:iCs/>
          <w:sz w:val="20"/>
          <w:szCs w:val="20"/>
          <w:lang w:val="en-GB"/>
        </w:rPr>
        <w:t>Fighting against organised crime at the EU level:</w:t>
      </w:r>
    </w:p>
    <w:p w:rsidRPr="00341F17" w:rsidR="00F05189" w:rsidRDefault="00341F17" w14:paraId="336E1959" w14:textId="77777777">
      <w:pPr>
        <w:jc w:val="center"/>
        <w:rPr>
          <w:rFonts w:ascii="Marianne" w:hAnsi="Marianne"/>
          <w:b/>
          <w:bCs/>
          <w:i/>
          <w:iCs/>
          <w:sz w:val="20"/>
          <w:szCs w:val="20"/>
          <w:lang w:val="en-GB"/>
        </w:rPr>
      </w:pPr>
      <w:r w:rsidRPr="00341F17">
        <w:rPr>
          <w:rFonts w:ascii="Marianne" w:hAnsi="Marianne"/>
          <w:b/>
          <w:bCs/>
          <w:i/>
          <w:iCs/>
          <w:sz w:val="20"/>
          <w:szCs w:val="20"/>
          <w:lang w:val="en-GB"/>
        </w:rPr>
        <w:t xml:space="preserve"> the legal way forward</w:t>
      </w:r>
    </w:p>
    <w:p w:rsidRPr="00341F17" w:rsidR="00F05189" w:rsidRDefault="00F05189" w14:paraId="21CF34D7" w14:textId="77777777">
      <w:pPr>
        <w:jc w:val="center"/>
        <w:rPr>
          <w:rFonts w:ascii="Marianne" w:hAnsi="Marianne"/>
          <w:b/>
          <w:bCs/>
          <w:i/>
          <w:iCs/>
          <w:sz w:val="20"/>
          <w:szCs w:val="20"/>
          <w:lang w:val="en-GB"/>
        </w:rPr>
      </w:pPr>
    </w:p>
    <w:p w:rsidRPr="00341F17" w:rsidR="00F05189" w:rsidRDefault="00341F17" w14:paraId="252AD6DA" w14:textId="1D7083E1">
      <w:pPr>
        <w:jc w:val="both"/>
        <w:rPr>
          <w:rFonts w:ascii="Marianne" w:hAnsi="Marianne"/>
          <w:sz w:val="20"/>
          <w:szCs w:val="20"/>
          <w:lang w:val="en-GB"/>
        </w:rPr>
      </w:pPr>
      <w:r w:rsidRPr="00341F17">
        <w:rPr>
          <w:rFonts w:ascii="Marianne" w:hAnsi="Marianne"/>
          <w:sz w:val="20"/>
          <w:szCs w:val="20"/>
          <w:lang w:val="en-GB"/>
        </w:rPr>
        <w:t xml:space="preserve">Uniting our efforts at the European level to fight against organised crime is of the utmost importance, taking into consideration its cross-border nature. This fight of course takes many roads, one of which is striving to have up-to-date legal instruments at our disposal, enabling us to address organised crime comprehensively and effectively. </w:t>
      </w:r>
    </w:p>
    <w:p w:rsidRPr="00341F17" w:rsidR="00F05189" w:rsidRDefault="00341F17" w14:paraId="77812C41" w14:textId="0D5F896D">
      <w:pPr>
        <w:jc w:val="both"/>
        <w:rPr>
          <w:rFonts w:ascii="Marianne" w:hAnsi="Marianne"/>
          <w:b/>
          <w:bCs/>
          <w:sz w:val="20"/>
          <w:szCs w:val="20"/>
          <w:lang w:val="en-GB"/>
        </w:rPr>
      </w:pPr>
      <w:r w:rsidRPr="00341F17">
        <w:rPr>
          <w:rFonts w:ascii="Marianne" w:hAnsi="Marianne"/>
          <w:sz w:val="20"/>
          <w:szCs w:val="20"/>
          <w:lang w:val="en-GB"/>
        </w:rPr>
        <w:t>We</w:t>
      </w:r>
      <w:r w:rsidRPr="009A4326">
        <w:rPr>
          <w:rFonts w:ascii="Marianne" w:hAnsi="Marianne"/>
          <w:sz w:val="20"/>
          <w:szCs w:val="20"/>
          <w:lang w:val="en-GB"/>
        </w:rPr>
        <w:t>, [</w:t>
      </w:r>
      <w:r w:rsidR="00BD633B">
        <w:rPr>
          <w:rFonts w:ascii="Marianne" w:hAnsi="Marianne"/>
          <w:sz w:val="20"/>
          <w:szCs w:val="20"/>
          <w:lang w:val="en-GB"/>
        </w:rPr>
        <w:t>X</w:t>
      </w:r>
      <w:r w:rsidRPr="009A4326">
        <w:rPr>
          <w:rFonts w:ascii="Marianne" w:hAnsi="Marianne"/>
          <w:sz w:val="20"/>
          <w:szCs w:val="20"/>
          <w:lang w:val="en-GB"/>
        </w:rPr>
        <w:t xml:space="preserve">, </w:t>
      </w:r>
      <w:r w:rsidR="00BD633B">
        <w:rPr>
          <w:rFonts w:ascii="Marianne" w:hAnsi="Marianne"/>
          <w:sz w:val="20"/>
          <w:szCs w:val="20"/>
          <w:lang w:val="en-GB"/>
        </w:rPr>
        <w:t>X</w:t>
      </w:r>
      <w:r w:rsidRPr="009A4326">
        <w:rPr>
          <w:rFonts w:ascii="Marianne" w:hAnsi="Marianne"/>
          <w:sz w:val="20"/>
          <w:szCs w:val="20"/>
          <w:lang w:val="en-GB"/>
        </w:rPr>
        <w:t xml:space="preserve">, France, </w:t>
      </w:r>
      <w:r w:rsidR="00BD633B">
        <w:rPr>
          <w:rFonts w:ascii="Marianne" w:hAnsi="Marianne"/>
          <w:sz w:val="20"/>
          <w:szCs w:val="20"/>
          <w:lang w:val="en-GB"/>
        </w:rPr>
        <w:t>X</w:t>
      </w:r>
      <w:r w:rsidRPr="009A4326">
        <w:rPr>
          <w:rFonts w:ascii="Marianne" w:hAnsi="Marianne"/>
          <w:sz w:val="20"/>
          <w:szCs w:val="20"/>
          <w:lang w:val="en-GB"/>
        </w:rPr>
        <w:t>, Netherlands</w:t>
      </w:r>
      <w:r w:rsidRPr="009A4326" w:rsidR="0097217A">
        <w:rPr>
          <w:rFonts w:ascii="Marianne" w:hAnsi="Marianne"/>
          <w:sz w:val="20"/>
          <w:szCs w:val="20"/>
          <w:lang w:val="en-GB"/>
        </w:rPr>
        <w:t xml:space="preserve">, </w:t>
      </w:r>
      <w:r w:rsidR="00BD633B">
        <w:rPr>
          <w:rFonts w:ascii="Marianne" w:hAnsi="Marianne"/>
          <w:sz w:val="20"/>
          <w:szCs w:val="20"/>
          <w:lang w:val="en-GB"/>
        </w:rPr>
        <w:t>X</w:t>
      </w:r>
      <w:r w:rsidRPr="009A4326">
        <w:rPr>
          <w:rFonts w:ascii="Marianne" w:hAnsi="Marianne"/>
          <w:sz w:val="20"/>
          <w:szCs w:val="20"/>
          <w:lang w:val="en-GB"/>
        </w:rPr>
        <w:t xml:space="preserve"> and </w:t>
      </w:r>
      <w:r w:rsidR="00BD633B">
        <w:rPr>
          <w:rFonts w:ascii="Marianne" w:hAnsi="Marianne"/>
          <w:sz w:val="20"/>
          <w:szCs w:val="20"/>
          <w:lang w:val="en-GB"/>
        </w:rPr>
        <w:t>X</w:t>
      </w:r>
      <w:r w:rsidRPr="009A4326">
        <w:rPr>
          <w:rFonts w:ascii="Marianne" w:hAnsi="Marianne"/>
          <w:sz w:val="20"/>
          <w:szCs w:val="20"/>
          <w:lang w:val="en-GB"/>
        </w:rPr>
        <w:t>],</w:t>
      </w:r>
      <w:r w:rsidRPr="00341F17">
        <w:rPr>
          <w:rFonts w:ascii="Marianne" w:hAnsi="Marianne"/>
          <w:sz w:val="20"/>
          <w:szCs w:val="20"/>
          <w:lang w:val="en-GB"/>
        </w:rPr>
        <w:t xml:space="preserve"> consider the following points in the announced revision of the Council Framework Decision 2008/841/JHA on the fight against organised crime: </w:t>
      </w:r>
    </w:p>
    <w:p w:rsidRPr="00341F17" w:rsidR="00F05189" w:rsidRDefault="00341F17" w14:paraId="318BA942" w14:textId="4B3ABA22">
      <w:pPr>
        <w:numPr>
          <w:ilvl w:val="1"/>
          <w:numId w:val="2"/>
        </w:numPr>
        <w:jc w:val="both"/>
        <w:rPr>
          <w:rFonts w:ascii="Marianne" w:hAnsi="Marianne"/>
          <w:b/>
          <w:bCs/>
          <w:i/>
          <w:iCs/>
          <w:sz w:val="20"/>
          <w:szCs w:val="20"/>
          <w:lang w:val="en-GB"/>
        </w:rPr>
      </w:pPr>
      <w:r w:rsidRPr="00341F17">
        <w:rPr>
          <w:rFonts w:ascii="Marianne" w:hAnsi="Marianne"/>
          <w:b/>
          <w:bCs/>
          <w:i/>
          <w:iCs/>
          <w:sz w:val="20"/>
          <w:szCs w:val="20"/>
          <w:lang w:val="en-GB"/>
        </w:rPr>
        <w:t>Harmonising the penalties for participation in a criminal organisation to ensure efficient cross-border criminal cooperation</w:t>
      </w:r>
    </w:p>
    <w:p w:rsidRPr="00341F17" w:rsidR="00F05189" w:rsidRDefault="00341F17" w14:paraId="55E91554" w14:textId="77777777">
      <w:pPr>
        <w:jc w:val="both"/>
        <w:rPr>
          <w:rFonts w:ascii="Marianne" w:hAnsi="Marianne"/>
          <w:sz w:val="20"/>
          <w:szCs w:val="20"/>
          <w:lang w:val="en-US"/>
        </w:rPr>
      </w:pPr>
      <w:r w:rsidRPr="00341F17">
        <w:rPr>
          <w:rFonts w:ascii="Marianne" w:hAnsi="Marianne"/>
          <w:sz w:val="20"/>
          <w:szCs w:val="20"/>
          <w:lang w:val="en-US"/>
        </w:rPr>
        <w:t xml:space="preserve">The fight against </w:t>
      </w:r>
      <w:proofErr w:type="spellStart"/>
      <w:r w:rsidRPr="00341F17">
        <w:rPr>
          <w:rFonts w:ascii="Marianne" w:hAnsi="Marianne"/>
          <w:sz w:val="20"/>
          <w:szCs w:val="20"/>
          <w:lang w:val="en-US"/>
        </w:rPr>
        <w:t>organised</w:t>
      </w:r>
      <w:proofErr w:type="spellEnd"/>
      <w:r w:rsidRPr="00341F17">
        <w:rPr>
          <w:rFonts w:ascii="Marianne" w:hAnsi="Marianne"/>
          <w:sz w:val="20"/>
          <w:szCs w:val="20"/>
          <w:lang w:val="en-US"/>
        </w:rPr>
        <w:t xml:space="preserve"> crime must be based on effective cross-border judicial cooperation, including by ensuring the full </w:t>
      </w:r>
      <w:proofErr w:type="spellStart"/>
      <w:r w:rsidRPr="00341F17">
        <w:rPr>
          <w:rFonts w:ascii="Marianne" w:hAnsi="Marianne"/>
          <w:sz w:val="20"/>
          <w:szCs w:val="20"/>
          <w:lang w:val="en-US"/>
        </w:rPr>
        <w:t>mobilisation</w:t>
      </w:r>
      <w:proofErr w:type="spellEnd"/>
      <w:r w:rsidRPr="00341F17">
        <w:rPr>
          <w:rFonts w:ascii="Marianne" w:hAnsi="Marianne"/>
          <w:sz w:val="20"/>
          <w:szCs w:val="20"/>
          <w:lang w:val="en-US"/>
        </w:rPr>
        <w:t xml:space="preserve"> of mutual recognition instruments. </w:t>
      </w:r>
    </w:p>
    <w:p w:rsidRPr="00341F17" w:rsidR="00F05189" w:rsidRDefault="00341F17" w14:paraId="69E414E0" w14:textId="4D82E278">
      <w:pPr>
        <w:jc w:val="both"/>
        <w:rPr>
          <w:rFonts w:ascii="Marianne" w:hAnsi="Marianne"/>
          <w:sz w:val="20"/>
          <w:szCs w:val="20"/>
          <w:lang w:val="en-GB"/>
        </w:rPr>
      </w:pPr>
      <w:r w:rsidRPr="00341F17">
        <w:rPr>
          <w:rFonts w:ascii="Marianne" w:hAnsi="Marianne"/>
          <w:sz w:val="20"/>
          <w:szCs w:val="20"/>
          <w:lang w:val="en-GB"/>
        </w:rPr>
        <w:t xml:space="preserve">We therefore consider necessary to provide for a minimum threshold for the maximum prison sentence incurred, of at least 3 years, regarding participation in a criminal organisation, and this </w:t>
      </w:r>
      <w:proofErr w:type="gramStart"/>
      <w:r w:rsidRPr="00341F17">
        <w:rPr>
          <w:rFonts w:ascii="Marianne" w:hAnsi="Marianne"/>
          <w:sz w:val="20"/>
          <w:szCs w:val="20"/>
          <w:lang w:val="en-GB"/>
        </w:rPr>
        <w:t>in order to</w:t>
      </w:r>
      <w:proofErr w:type="gramEnd"/>
      <w:r w:rsidRPr="00341F17">
        <w:rPr>
          <w:rFonts w:ascii="Marianne" w:hAnsi="Marianne"/>
          <w:sz w:val="20"/>
          <w:szCs w:val="20"/>
          <w:lang w:val="en-GB"/>
        </w:rPr>
        <w:t xml:space="preserve"> ensure the full applicability of the European arrest warrant and the European investigation order without the need to verify double criminality.</w:t>
      </w:r>
    </w:p>
    <w:p w:rsidRPr="00341F17" w:rsidR="00F05189" w:rsidRDefault="00341F17" w14:paraId="6E01BBA6" w14:textId="77777777">
      <w:pPr>
        <w:pStyle w:val="Lijstalinea"/>
        <w:numPr>
          <w:ilvl w:val="0"/>
          <w:numId w:val="3"/>
        </w:numPr>
        <w:jc w:val="both"/>
        <w:rPr>
          <w:rFonts w:ascii="Marianne" w:hAnsi="Marianne"/>
          <w:b/>
          <w:bCs/>
          <w:i/>
          <w:iCs/>
          <w:sz w:val="20"/>
          <w:szCs w:val="20"/>
          <w:lang w:val="en-GB"/>
        </w:rPr>
      </w:pPr>
      <w:r w:rsidRPr="00341F17">
        <w:rPr>
          <w:rFonts w:ascii="Marianne" w:hAnsi="Marianne"/>
          <w:b/>
          <w:bCs/>
          <w:i/>
          <w:iCs/>
          <w:sz w:val="20"/>
          <w:szCs w:val="20"/>
          <w:lang w:val="en-GB"/>
        </w:rPr>
        <w:t>Taking into consideration the level of dangerousness of persons directing organised criminal groups to fight more effectively against their impunity</w:t>
      </w:r>
    </w:p>
    <w:p w:rsidRPr="00341F17" w:rsidR="00F05189" w:rsidRDefault="00341F17" w14:paraId="5388CD2F" w14:textId="3136FF18">
      <w:pPr>
        <w:jc w:val="both"/>
        <w:rPr>
          <w:rFonts w:ascii="Marianne" w:hAnsi="Marianne"/>
          <w:sz w:val="20"/>
          <w:szCs w:val="20"/>
          <w:lang w:val="en-GB"/>
        </w:rPr>
      </w:pPr>
      <w:r w:rsidRPr="00341F17">
        <w:rPr>
          <w:rFonts w:ascii="Marianne" w:hAnsi="Marianne"/>
          <w:sz w:val="20"/>
          <w:szCs w:val="20"/>
          <w:lang w:val="en-GB"/>
        </w:rPr>
        <w:t xml:space="preserve">It appears necessary to distinguish between the direction of an organised crime group and all the other roles such as those currently referred to in article 2 par. (a) of the Framework Decision </w:t>
      </w:r>
      <w:proofErr w:type="gramStart"/>
      <w:r w:rsidRPr="00341F17">
        <w:rPr>
          <w:rFonts w:ascii="Marianne" w:hAnsi="Marianne"/>
          <w:sz w:val="20"/>
          <w:szCs w:val="20"/>
          <w:lang w:val="en-GB"/>
        </w:rPr>
        <w:t>in order to</w:t>
      </w:r>
      <w:proofErr w:type="gramEnd"/>
      <w:r w:rsidRPr="00341F17">
        <w:rPr>
          <w:rFonts w:ascii="Marianne" w:hAnsi="Marianne"/>
          <w:sz w:val="20"/>
          <w:szCs w:val="20"/>
          <w:lang w:val="en-GB"/>
        </w:rPr>
        <w:t xml:space="preserve"> ensure that group leaders can be punished more severely.</w:t>
      </w:r>
    </w:p>
    <w:p w:rsidRPr="00341F17" w:rsidR="00F05189" w:rsidRDefault="00341F17" w14:paraId="423463E8" w14:textId="77777777">
      <w:pPr>
        <w:pStyle w:val="Lijstalinea"/>
        <w:numPr>
          <w:ilvl w:val="0"/>
          <w:numId w:val="3"/>
        </w:numPr>
        <w:jc w:val="both"/>
        <w:rPr>
          <w:rFonts w:ascii="Marianne" w:hAnsi="Marianne"/>
          <w:b/>
          <w:bCs/>
          <w:i/>
          <w:iCs/>
          <w:sz w:val="20"/>
          <w:szCs w:val="20"/>
          <w:lang w:val="en-GB"/>
        </w:rPr>
      </w:pPr>
      <w:r w:rsidRPr="00341F17">
        <w:rPr>
          <w:rFonts w:ascii="Marianne" w:hAnsi="Marianne"/>
          <w:b/>
          <w:bCs/>
          <w:i/>
          <w:iCs/>
          <w:sz w:val="20"/>
          <w:szCs w:val="20"/>
          <w:lang w:val="en-GB"/>
        </w:rPr>
        <w:t>Allowing for reduced penalties or exemption from penalties for organised crime offences for individuals who collaborate during the justice proceedings</w:t>
      </w:r>
    </w:p>
    <w:p w:rsidRPr="00341F17" w:rsidR="00F05189" w:rsidRDefault="00341F17" w14:paraId="6EE9A155" w14:textId="77777777">
      <w:pPr>
        <w:jc w:val="both"/>
        <w:rPr>
          <w:rFonts w:ascii="Marianne" w:hAnsi="Marianne"/>
          <w:sz w:val="20"/>
          <w:szCs w:val="20"/>
          <w:lang w:val="en-GB"/>
        </w:rPr>
      </w:pPr>
      <w:r w:rsidRPr="00341F17">
        <w:rPr>
          <w:rFonts w:ascii="Marianne" w:hAnsi="Marianne"/>
          <w:sz w:val="20"/>
          <w:szCs w:val="20"/>
          <w:lang w:val="en-GB"/>
        </w:rPr>
        <w:t>We believe that individuals who cooperate during the justice proceedings play a vital role in the fight against serious crime, as they can be a crucial source of information for prosecution services and to dismantle criminal structures.</w:t>
      </w:r>
    </w:p>
    <w:p w:rsidRPr="00341F17" w:rsidR="00F05189" w:rsidRDefault="00341F17" w14:paraId="13DF22DB" w14:textId="77777777">
      <w:pPr>
        <w:jc w:val="both"/>
        <w:rPr>
          <w:rFonts w:ascii="Marianne" w:hAnsi="Marianne"/>
          <w:sz w:val="20"/>
          <w:szCs w:val="20"/>
          <w:lang w:val="en-GB"/>
        </w:rPr>
      </w:pPr>
      <w:r w:rsidRPr="00341F17">
        <w:rPr>
          <w:rFonts w:ascii="Marianne" w:hAnsi="Marianne"/>
          <w:sz w:val="20"/>
          <w:szCs w:val="20"/>
          <w:lang w:val="en-GB"/>
        </w:rPr>
        <w:t>Article 4 of the Council Framework Decision 2008/841/JHA states that each Member State may provide for reductions in penalties or exemption from penalties when the offender renounced criminal activity and provided the administrative or judicial authorities with specific listed relevant information.</w:t>
      </w:r>
    </w:p>
    <w:p w:rsidRPr="00341F17" w:rsidR="00F05189" w:rsidRDefault="00341F17" w14:paraId="7248F177" w14:textId="4CFBC236">
      <w:pPr>
        <w:jc w:val="both"/>
        <w:rPr>
          <w:rFonts w:ascii="Marianne" w:hAnsi="Marianne"/>
          <w:sz w:val="20"/>
          <w:szCs w:val="20"/>
          <w:lang w:val="en-GB"/>
        </w:rPr>
      </w:pPr>
      <w:r w:rsidRPr="00341F17">
        <w:rPr>
          <w:rFonts w:ascii="Marianne" w:hAnsi="Marianne"/>
          <w:sz w:val="20"/>
          <w:szCs w:val="20"/>
          <w:lang w:val="en-GB"/>
        </w:rPr>
        <w:t xml:space="preserve">We are in </w:t>
      </w:r>
      <w:proofErr w:type="spellStart"/>
      <w:r w:rsidRPr="00341F17">
        <w:rPr>
          <w:rFonts w:ascii="Marianne" w:hAnsi="Marianne"/>
          <w:sz w:val="20"/>
          <w:szCs w:val="20"/>
          <w:lang w:val="en-GB"/>
        </w:rPr>
        <w:t>favor</w:t>
      </w:r>
      <w:proofErr w:type="spellEnd"/>
      <w:r w:rsidRPr="00341F17">
        <w:rPr>
          <w:rFonts w:ascii="Marianne" w:hAnsi="Marianne"/>
          <w:sz w:val="20"/>
          <w:szCs w:val="20"/>
          <w:lang w:val="en-GB"/>
        </w:rPr>
        <w:t xml:space="preserve"> of a provision </w:t>
      </w:r>
      <w:r w:rsidRPr="009A4326">
        <w:rPr>
          <w:rFonts w:ascii="Marianne" w:hAnsi="Marianne"/>
          <w:sz w:val="20"/>
          <w:szCs w:val="20"/>
          <w:lang w:val="en-GB"/>
        </w:rPr>
        <w:t xml:space="preserve">that clearly expresses the importance of the matter and urges the Member States to take the necessary measures, while </w:t>
      </w:r>
      <w:r w:rsidRPr="009A4326" w:rsidR="0097217A">
        <w:rPr>
          <w:rFonts w:ascii="Marianne" w:hAnsi="Marianne"/>
          <w:sz w:val="20"/>
          <w:szCs w:val="20"/>
          <w:lang w:val="en-GB"/>
        </w:rPr>
        <w:t xml:space="preserve">allowing </w:t>
      </w:r>
      <w:r w:rsidRPr="009A4326">
        <w:rPr>
          <w:rFonts w:ascii="Marianne" w:hAnsi="Marianne"/>
          <w:sz w:val="20"/>
          <w:szCs w:val="20"/>
          <w:lang w:val="en-GB"/>
        </w:rPr>
        <w:t>for flexibility when implementing the provision in national law</w:t>
      </w:r>
      <w:r w:rsidRPr="009A4326" w:rsidR="0097217A">
        <w:rPr>
          <w:rFonts w:ascii="Marianne" w:hAnsi="Marianne"/>
          <w:sz w:val="20"/>
          <w:szCs w:val="20"/>
          <w:lang w:val="en-GB"/>
        </w:rPr>
        <w:t>, in line with provision on mitigating circumstances of the Council conclusions on Model provisions on EU substantive criminal law of December, 9</w:t>
      </w:r>
      <w:r w:rsidRPr="009A4326" w:rsidR="0097217A">
        <w:rPr>
          <w:rFonts w:ascii="Marianne" w:hAnsi="Marianne"/>
          <w:sz w:val="20"/>
          <w:szCs w:val="20"/>
          <w:vertAlign w:val="superscript"/>
          <w:lang w:val="en-GB"/>
        </w:rPr>
        <w:t>th</w:t>
      </w:r>
      <w:r w:rsidRPr="009A4326" w:rsidR="0097217A">
        <w:rPr>
          <w:rFonts w:ascii="Marianne" w:hAnsi="Marianne"/>
          <w:sz w:val="20"/>
          <w:szCs w:val="20"/>
          <w:lang w:val="en-GB"/>
        </w:rPr>
        <w:t xml:space="preserve"> </w:t>
      </w:r>
      <w:proofErr w:type="gramStart"/>
      <w:r w:rsidRPr="009A4326" w:rsidR="0097217A">
        <w:rPr>
          <w:rFonts w:ascii="Marianne" w:hAnsi="Marianne"/>
          <w:sz w:val="20"/>
          <w:szCs w:val="20"/>
          <w:lang w:val="en-GB"/>
        </w:rPr>
        <w:t>2025</w:t>
      </w:r>
      <w:r w:rsidRPr="009A4326">
        <w:rPr>
          <w:rFonts w:ascii="Marianne" w:hAnsi="Marianne"/>
          <w:sz w:val="20"/>
          <w:szCs w:val="20"/>
          <w:lang w:val="en-GB"/>
        </w:rPr>
        <w:t>..</w:t>
      </w:r>
      <w:proofErr w:type="gramEnd"/>
    </w:p>
    <w:p w:rsidRPr="00341F17" w:rsidR="00F05189" w:rsidRDefault="00341F17" w14:paraId="73644E20" w14:textId="77777777">
      <w:pPr>
        <w:pStyle w:val="Lijstalinea"/>
        <w:numPr>
          <w:ilvl w:val="0"/>
          <w:numId w:val="3"/>
        </w:numPr>
        <w:jc w:val="both"/>
        <w:rPr>
          <w:rFonts w:ascii="Marianne" w:hAnsi="Marianne"/>
          <w:b/>
          <w:bCs/>
          <w:sz w:val="20"/>
          <w:szCs w:val="20"/>
          <w:lang w:val="en-GB"/>
        </w:rPr>
      </w:pPr>
      <w:r w:rsidRPr="00341F17">
        <w:rPr>
          <w:rFonts w:ascii="Marianne" w:hAnsi="Marianne"/>
          <w:b/>
          <w:bCs/>
          <w:i/>
          <w:iCs/>
          <w:sz w:val="20"/>
          <w:szCs w:val="20"/>
          <w:lang w:val="en-GB"/>
        </w:rPr>
        <w:t>Exclude the harmonisation of the special investigation techniques and of the admissibility of evidence</w:t>
      </w:r>
    </w:p>
    <w:p w:rsidRPr="00341F17" w:rsidR="00F05189" w:rsidRDefault="00341F17" w14:paraId="6A16110B" w14:textId="71567A5D">
      <w:pPr>
        <w:jc w:val="both"/>
        <w:rPr>
          <w:rFonts w:ascii="Marianne" w:hAnsi="Marianne"/>
          <w:sz w:val="20"/>
          <w:szCs w:val="20"/>
          <w:lang w:val="en-GB"/>
        </w:rPr>
      </w:pPr>
      <w:r w:rsidRPr="00341F17">
        <w:rPr>
          <w:rFonts w:ascii="Marianne" w:hAnsi="Marianne"/>
          <w:sz w:val="20"/>
          <w:szCs w:val="20"/>
          <w:lang w:val="en-GB"/>
        </w:rPr>
        <w:t>We are opposed to any harmonisation of special investigation techniques, both in terms of the conditions for using such measures and the rules governing them, as this might disrupt our procedural systems and thus go against the objective of an efficient fight against criminal organisation.</w:t>
      </w:r>
    </w:p>
    <w:p w:rsidRPr="00341F17" w:rsidR="00F05189" w:rsidRDefault="00341F17" w14:paraId="6B98B0BB" w14:textId="381DCCC7">
      <w:pPr>
        <w:jc w:val="both"/>
        <w:rPr>
          <w:rFonts w:ascii="Marianne" w:hAnsi="Marianne"/>
          <w:sz w:val="20"/>
          <w:szCs w:val="20"/>
          <w:lang w:val="en-GB"/>
        </w:rPr>
      </w:pPr>
      <w:r w:rsidRPr="00341F17">
        <w:rPr>
          <w:rFonts w:ascii="Marianne" w:hAnsi="Marianne"/>
          <w:sz w:val="20"/>
          <w:szCs w:val="20"/>
          <w:lang w:val="en-GB"/>
        </w:rPr>
        <w:t>We risk losing the flexibility and efficiency offered by our national legal systems, as these are today tailored and fine-tuned to our national conditions and therefore are</w:t>
      </w:r>
      <w:r w:rsidRPr="009A4326">
        <w:rPr>
          <w:rFonts w:ascii="Marianne" w:hAnsi="Marianne"/>
          <w:kern w:val="0"/>
          <w:sz w:val="20"/>
          <w:szCs w:val="20"/>
          <w:lang w:val="en-GB"/>
          <w14:ligatures w14:val="none"/>
        </w:rPr>
        <w:t xml:space="preserve"> more effective than those</w:t>
      </w:r>
      <w:r w:rsidRPr="00341F17">
        <w:rPr>
          <w:rFonts w:ascii="Marianne" w:hAnsi="Marianne"/>
          <w:kern w:val="0"/>
          <w:sz w:val="20"/>
          <w:szCs w:val="20"/>
          <w:lang w:val="en-GB"/>
          <w14:ligatures w14:val="none"/>
        </w:rPr>
        <w:t xml:space="preserve"> than could be imposed by even minimal </w:t>
      </w:r>
      <w:proofErr w:type="gramStart"/>
      <w:r w:rsidRPr="00341F17">
        <w:rPr>
          <w:rFonts w:ascii="Marianne" w:hAnsi="Marianne"/>
          <w:kern w:val="0"/>
          <w:sz w:val="20"/>
          <w:szCs w:val="20"/>
          <w:lang w:val="en-GB"/>
          <w14:ligatures w14:val="none"/>
        </w:rPr>
        <w:t>harmonisation</w:t>
      </w:r>
      <w:r w:rsidRPr="00341F17">
        <w:rPr>
          <w:rFonts w:ascii="Marianne" w:hAnsi="Marianne"/>
          <w:sz w:val="20"/>
          <w:szCs w:val="20"/>
          <w:lang w:val="en-GB"/>
        </w:rPr>
        <w:t>..</w:t>
      </w:r>
      <w:proofErr w:type="gramEnd"/>
      <w:r w:rsidRPr="00341F17">
        <w:rPr>
          <w:rFonts w:ascii="Marianne" w:hAnsi="Marianne"/>
          <w:sz w:val="20"/>
          <w:szCs w:val="20"/>
          <w:lang w:val="en-GB"/>
        </w:rPr>
        <w:t xml:space="preserve"> </w:t>
      </w:r>
    </w:p>
    <w:p w:rsidRPr="00341F17" w:rsidR="00F05189" w:rsidRDefault="00341F17" w14:paraId="5BC0D8B0" w14:textId="120772EF">
      <w:pPr>
        <w:jc w:val="both"/>
        <w:rPr>
          <w:rFonts w:ascii="Marianne" w:hAnsi="Marianne"/>
          <w:sz w:val="20"/>
          <w:szCs w:val="20"/>
          <w:lang w:val="en-GB"/>
        </w:rPr>
      </w:pPr>
      <w:r w:rsidRPr="00341F17">
        <w:rPr>
          <w:rFonts w:ascii="Marianne" w:hAnsi="Marianne"/>
          <w:sz w:val="20"/>
          <w:szCs w:val="20"/>
          <w:lang w:val="en-GB"/>
        </w:rPr>
        <w:lastRenderedPageBreak/>
        <w:t xml:space="preserve">We also wonder if this would first require the adoption of a unanimous decision of the Council identifying investigative measures as specific elements of criminal procedure that may be subject to minimum harmonisation, in accordance with article 82(2) (d) TFEU. </w:t>
      </w:r>
    </w:p>
    <w:p w:rsidRPr="00341F17" w:rsidR="00F05189" w:rsidRDefault="00341F17" w14:paraId="1045C15D" w14:textId="77777777">
      <w:pPr>
        <w:jc w:val="both"/>
        <w:rPr>
          <w:rFonts w:ascii="Marianne" w:hAnsi="Marianne"/>
          <w:sz w:val="20"/>
          <w:szCs w:val="20"/>
          <w:lang w:val="en-GB"/>
        </w:rPr>
      </w:pPr>
      <w:r w:rsidRPr="00341F17">
        <w:rPr>
          <w:rFonts w:ascii="Marianne" w:hAnsi="Marianne"/>
          <w:sz w:val="20"/>
          <w:szCs w:val="20"/>
          <w:lang w:val="en-GB"/>
        </w:rPr>
        <w:t xml:space="preserve">It could ultimately pave the way for harmonising the admissibility of evidence at EU level, </w:t>
      </w:r>
      <w:r w:rsidRPr="00341F17">
        <w:rPr>
          <w:rFonts w:ascii="Marianne" w:hAnsi="Marianne"/>
          <w:sz w:val="20"/>
          <w:szCs w:val="20"/>
          <w:lang w:val="en-US"/>
        </w:rPr>
        <w:t>which we believe has no added value and would complicate the work of investigators and judicial authorities</w:t>
      </w:r>
      <w:r w:rsidRPr="00341F17">
        <w:rPr>
          <w:rFonts w:ascii="Marianne" w:hAnsi="Marianne"/>
          <w:sz w:val="20"/>
          <w:szCs w:val="20"/>
          <w:lang w:val="en-GB"/>
        </w:rPr>
        <w:t xml:space="preserve">. </w:t>
      </w:r>
    </w:p>
    <w:p w:rsidRPr="00341F17" w:rsidR="00F05189" w:rsidRDefault="00341F17" w14:paraId="5F17D610" w14:textId="42D0E456">
      <w:pPr>
        <w:jc w:val="both"/>
        <w:rPr>
          <w:rFonts w:ascii="Marianne" w:hAnsi="Marianne"/>
          <w:sz w:val="20"/>
          <w:szCs w:val="20"/>
          <w:lang w:val="en-GB"/>
        </w:rPr>
      </w:pPr>
      <w:r w:rsidRPr="00341F17">
        <w:rPr>
          <w:rFonts w:ascii="Marianne" w:hAnsi="Marianne"/>
          <w:sz w:val="20"/>
          <w:szCs w:val="20"/>
          <w:lang w:val="en-GB"/>
        </w:rPr>
        <w:t xml:space="preserve">Therefore, we can only support the mention of the necessity for Member States to provide for special investigation measures where </w:t>
      </w:r>
      <w:proofErr w:type="gramStart"/>
      <w:r w:rsidRPr="00341F17">
        <w:rPr>
          <w:rFonts w:ascii="Marianne" w:hAnsi="Marianne"/>
          <w:sz w:val="20"/>
          <w:szCs w:val="20"/>
          <w:lang w:val="en-GB"/>
        </w:rPr>
        <w:t>appropriate, and</w:t>
      </w:r>
      <w:proofErr w:type="gramEnd"/>
      <w:r w:rsidRPr="00341F17">
        <w:rPr>
          <w:rFonts w:ascii="Marianne" w:hAnsi="Marianne"/>
          <w:sz w:val="20"/>
          <w:szCs w:val="20"/>
          <w:lang w:val="en-GB"/>
        </w:rPr>
        <w:t xml:space="preserve"> could give examples of these tools – such as controlled deliveries and cross-border surveillance – in the recitals.</w:t>
      </w:r>
    </w:p>
    <w:p w:rsidRPr="00341F17" w:rsidR="00F05189" w:rsidRDefault="00341F17" w14:paraId="307C1661" w14:textId="7FBFC4BE">
      <w:pPr>
        <w:jc w:val="both"/>
        <w:rPr>
          <w:rFonts w:ascii="Marianne" w:hAnsi="Marianne"/>
          <w:sz w:val="20"/>
          <w:szCs w:val="20"/>
          <w:lang w:val="en-GB"/>
        </w:rPr>
      </w:pPr>
      <w:r w:rsidRPr="00341F17">
        <w:rPr>
          <w:rFonts w:ascii="Marianne" w:hAnsi="Marianne"/>
          <w:sz w:val="20"/>
          <w:szCs w:val="20"/>
          <w:lang w:val="en-GB"/>
        </w:rPr>
        <w:t>This statement does not concern international judicial cooperation instruments, such as the European Investigation Order</w:t>
      </w:r>
      <w:r w:rsidRPr="009A4326">
        <w:rPr>
          <w:rFonts w:ascii="Marianne" w:hAnsi="Marianne"/>
          <w:sz w:val="20"/>
          <w:szCs w:val="20"/>
          <w:lang w:val="en-GB"/>
        </w:rPr>
        <w:t xml:space="preserve">, </w:t>
      </w:r>
      <w:r w:rsidRPr="009A4326" w:rsidR="00465694">
        <w:rPr>
          <w:rFonts w:ascii="Marianne" w:hAnsi="Marianne"/>
          <w:kern w:val="0"/>
          <w:sz w:val="20"/>
          <w:szCs w:val="20"/>
          <w:lang w:val="en-GB"/>
          <w14:ligatures w14:val="none"/>
        </w:rPr>
        <w:t>in so far as those instruments do not result in harmonisation of conditions for use of special investigation techniques in national procedures</w:t>
      </w:r>
      <w:r w:rsidRPr="009A4326">
        <w:rPr>
          <w:rFonts w:ascii="Marianne" w:hAnsi="Marianne"/>
          <w:sz w:val="20"/>
          <w:szCs w:val="20"/>
          <w:lang w:val="en-GB"/>
        </w:rPr>
        <w:t>.</w:t>
      </w:r>
    </w:p>
    <w:sectPr w:rsidRPr="00341F17" w:rsidR="00F0518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altName w:val="Calibri"/>
    <w:panose1 w:val="00000000000000000000"/>
    <w:charset w:val="00"/>
    <w:family w:val="modern"/>
    <w:notTrueType/>
    <w:pitch w:val="variable"/>
    <w:sig w:usb0="0000000F"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533B3A"/>
    <w:multiLevelType w:val="hybridMultilevel"/>
    <w:tmpl w:val="DFD2222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BE22C8A"/>
    <w:multiLevelType w:val="hybridMultilevel"/>
    <w:tmpl w:val="671E5EEC"/>
    <w:lvl w:ilvl="0" w:tplc="28DABAEC">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B7C31FA"/>
    <w:multiLevelType w:val="hybridMultilevel"/>
    <w:tmpl w:val="09A66E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6322898"/>
    <w:multiLevelType w:val="multilevel"/>
    <w:tmpl w:val="186C6512"/>
    <w:numStyleLink w:val="Strecklistan"/>
  </w:abstractNum>
  <w:abstractNum w:abstractNumId="5" w15:restartNumberingAfterBreak="0">
    <w:nsid w:val="7F0C4244"/>
    <w:multiLevelType w:val="hybridMultilevel"/>
    <w:tmpl w:val="4A865C14"/>
    <w:lvl w:ilvl="0" w:tplc="DC4284E2">
      <w:start w:val="1"/>
      <w:numFmt w:val="bullet"/>
      <w:lvlText w:val="-"/>
      <w:lvlJc w:val="left"/>
      <w:pPr>
        <w:ind w:left="405" w:hanging="360"/>
      </w:pPr>
      <w:rPr>
        <w:rFonts w:ascii="Aptos" w:eastAsiaTheme="minorHAnsi" w:hAnsi="Aptos" w:cstheme="minorBid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num w:numId="1" w16cid:durableId="963192576">
    <w:abstractNumId w:val="0"/>
  </w:num>
  <w:num w:numId="2" w16cid:durableId="1877113165">
    <w:abstractNumId w:val="4"/>
  </w:num>
  <w:num w:numId="3" w16cid:durableId="1125612861">
    <w:abstractNumId w:val="2"/>
  </w:num>
  <w:num w:numId="4" w16cid:durableId="707796554">
    <w:abstractNumId w:val="5"/>
  </w:num>
  <w:num w:numId="5" w16cid:durableId="728068513">
    <w:abstractNumId w:val="3"/>
  </w:num>
  <w:num w:numId="6" w16cid:durableId="1037196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189"/>
    <w:rsid w:val="00341F17"/>
    <w:rsid w:val="00465694"/>
    <w:rsid w:val="00506A23"/>
    <w:rsid w:val="006F4AE8"/>
    <w:rsid w:val="0097217A"/>
    <w:rsid w:val="009A4326"/>
    <w:rsid w:val="00BD633B"/>
    <w:rsid w:val="00EA0346"/>
    <w:rsid w:val="00ED0D04"/>
    <w:rsid w:val="00F051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07FEB"/>
  <w15:chartTrackingRefBased/>
  <w15:docId w15:val="{EF550797-6D08-4DC0-A71F-81B210843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Pr>
      <w:rFonts w:eastAsiaTheme="majorEastAsia" w:cstheme="majorBidi"/>
      <w:color w:val="272727" w:themeColor="text1" w:themeTint="D8"/>
    </w:rPr>
  </w:style>
  <w:style w:type="paragraph" w:styleId="Titel">
    <w:name w:val="Title"/>
    <w:basedOn w:val="Standaard"/>
    <w:next w:val="Standaard"/>
    <w:link w:val="Titel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pPr>
      <w:spacing w:before="160"/>
      <w:jc w:val="center"/>
    </w:pPr>
    <w:rPr>
      <w:i/>
      <w:iCs/>
      <w:color w:val="404040" w:themeColor="text1" w:themeTint="BF"/>
    </w:rPr>
  </w:style>
  <w:style w:type="character" w:customStyle="1" w:styleId="CitaatChar">
    <w:name w:val="Citaat Char"/>
    <w:basedOn w:val="Standaardalinea-lettertype"/>
    <w:link w:val="Citaat"/>
    <w:uiPriority w:val="29"/>
    <w:rPr>
      <w:i/>
      <w:iCs/>
      <w:color w:val="404040" w:themeColor="text1" w:themeTint="BF"/>
    </w:rPr>
  </w:style>
  <w:style w:type="paragraph" w:styleId="Lijstalinea">
    <w:name w:val="List Paragraph"/>
    <w:basedOn w:val="Standaard"/>
    <w:uiPriority w:val="34"/>
    <w:qFormat/>
    <w:pPr>
      <w:ind w:left="720"/>
      <w:contextualSpacing/>
    </w:pPr>
  </w:style>
  <w:style w:type="character" w:styleId="Intensievebenadrukking">
    <w:name w:val="Intense Emphasis"/>
    <w:basedOn w:val="Standaardalinea-lettertype"/>
    <w:uiPriority w:val="21"/>
    <w:qFormat/>
    <w:rPr>
      <w:i/>
      <w:iCs/>
      <w:color w:val="0F4761" w:themeColor="accent1" w:themeShade="BF"/>
    </w:rPr>
  </w:style>
  <w:style w:type="paragraph" w:styleId="Duidelijkcitaat">
    <w:name w:val="Intense Quote"/>
    <w:basedOn w:val="Standaard"/>
    <w:next w:val="Standaard"/>
    <w:link w:val="Duidelijkcitaat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Pr>
      <w:i/>
      <w:iCs/>
      <w:color w:val="0F4761" w:themeColor="accent1" w:themeShade="BF"/>
    </w:rPr>
  </w:style>
  <w:style w:type="character" w:styleId="Intensieveverwijzing">
    <w:name w:val="Intense Reference"/>
    <w:basedOn w:val="Standaardalinea-lettertype"/>
    <w:uiPriority w:val="32"/>
    <w:qFormat/>
    <w:rPr>
      <w:b/>
      <w:bCs/>
      <w:smallCaps/>
      <w:color w:val="0F4761" w:themeColor="accent1" w:themeShade="BF"/>
      <w:spacing w:val="5"/>
    </w:rPr>
  </w:style>
  <w:style w:type="paragraph" w:styleId="Tekstopmerking">
    <w:name w:val="annotation text"/>
    <w:basedOn w:val="Standaard"/>
    <w:link w:val="TekstopmerkingChar"/>
    <w:uiPriority w:val="99"/>
    <w:unhideWhenUsed/>
    <w:pPr>
      <w:spacing w:after="280" w:line="240" w:lineRule="auto"/>
    </w:pPr>
    <w:rPr>
      <w:kern w:val="0"/>
      <w:sz w:val="20"/>
      <w:szCs w:val="20"/>
      <w:lang w:val="en-GB"/>
      <w14:ligatures w14:val="none"/>
    </w:rPr>
  </w:style>
  <w:style w:type="character" w:customStyle="1" w:styleId="TekstopmerkingChar">
    <w:name w:val="Tekst opmerking Char"/>
    <w:basedOn w:val="Standaardalinea-lettertype"/>
    <w:link w:val="Tekstopmerking"/>
    <w:uiPriority w:val="99"/>
    <w:rPr>
      <w:kern w:val="0"/>
      <w:sz w:val="20"/>
      <w:szCs w:val="20"/>
      <w:lang w:val="en-GB"/>
      <w14:ligatures w14:val="none"/>
    </w:rPr>
  </w:style>
  <w:style w:type="paragraph" w:customStyle="1" w:styleId="Strecklista">
    <w:name w:val="Strecklista"/>
    <w:basedOn w:val="Lijstopsomteken"/>
    <w:uiPriority w:val="6"/>
    <w:qFormat/>
    <w:pPr>
      <w:numPr>
        <w:numId w:val="2"/>
      </w:numPr>
      <w:tabs>
        <w:tab w:val="clear" w:pos="425"/>
        <w:tab w:val="num" w:pos="360"/>
      </w:tabs>
      <w:spacing w:after="100" w:line="276" w:lineRule="auto"/>
    </w:pPr>
    <w:rPr>
      <w:kern w:val="0"/>
      <w:sz w:val="25"/>
      <w:szCs w:val="25"/>
      <w:lang w:val="sv-SE"/>
      <w14:ligatures w14:val="none"/>
    </w:rPr>
  </w:style>
  <w:style w:type="paragraph" w:customStyle="1" w:styleId="Strecklista2">
    <w:name w:val="Strecklista 2"/>
    <w:basedOn w:val="Strecklista"/>
    <w:uiPriority w:val="6"/>
    <w:semiHidden/>
    <w:qFormat/>
    <w:pPr>
      <w:numPr>
        <w:ilvl w:val="1"/>
      </w:numPr>
      <w:tabs>
        <w:tab w:val="clear" w:pos="851"/>
        <w:tab w:val="num" w:pos="360"/>
      </w:tabs>
    </w:pPr>
  </w:style>
  <w:style w:type="paragraph" w:customStyle="1" w:styleId="Strecklista3">
    <w:name w:val="Strecklista 3"/>
    <w:basedOn w:val="Plattetekst"/>
    <w:uiPriority w:val="6"/>
    <w:semiHidden/>
    <w:qFormat/>
    <w:pPr>
      <w:numPr>
        <w:ilvl w:val="2"/>
        <w:numId w:val="2"/>
      </w:numPr>
      <w:tabs>
        <w:tab w:val="clear" w:pos="1276"/>
        <w:tab w:val="num" w:pos="360"/>
        <w:tab w:val="left" w:pos="1701"/>
        <w:tab w:val="left" w:pos="3600"/>
        <w:tab w:val="left" w:pos="5387"/>
      </w:tabs>
      <w:spacing w:after="100" w:line="276" w:lineRule="auto"/>
      <w:ind w:left="0" w:firstLine="0"/>
    </w:pPr>
    <w:rPr>
      <w:kern w:val="0"/>
      <w:sz w:val="25"/>
      <w:szCs w:val="25"/>
      <w:lang w:val="en-GB"/>
      <w14:ligatures w14:val="none"/>
    </w:rPr>
  </w:style>
  <w:style w:type="character" w:styleId="Verwijzingopmerking">
    <w:name w:val="annotation reference"/>
    <w:basedOn w:val="Standaardalinea-lettertype"/>
    <w:uiPriority w:val="99"/>
    <w:semiHidden/>
    <w:unhideWhenUsed/>
    <w:rPr>
      <w:noProof w:val="0"/>
      <w:sz w:val="16"/>
      <w:szCs w:val="16"/>
    </w:rPr>
  </w:style>
  <w:style w:type="numbering" w:customStyle="1" w:styleId="Strecklistan">
    <w:name w:val="Strecklistan"/>
    <w:uiPriority w:val="99"/>
    <w:pPr>
      <w:numPr>
        <w:numId w:val="1"/>
      </w:numPr>
    </w:pPr>
  </w:style>
  <w:style w:type="paragraph" w:styleId="Lijstopsomteken">
    <w:name w:val="List Bullet"/>
    <w:basedOn w:val="Standaard"/>
    <w:uiPriority w:val="99"/>
    <w:semiHidden/>
    <w:unhideWhenUsed/>
    <w:pPr>
      <w:tabs>
        <w:tab w:val="num" w:pos="425"/>
      </w:tabs>
      <w:ind w:left="425" w:hanging="425"/>
      <w:contextualSpacing/>
    </w:pPr>
  </w:style>
  <w:style w:type="paragraph" w:styleId="Plattetekst">
    <w:name w:val="Body Text"/>
    <w:basedOn w:val="Standaard"/>
    <w:link w:val="PlattetekstChar"/>
    <w:uiPriority w:val="99"/>
    <w:semiHidden/>
    <w:unhideWhenUsed/>
    <w:pPr>
      <w:spacing w:after="120"/>
    </w:pPr>
  </w:style>
  <w:style w:type="character" w:customStyle="1" w:styleId="PlattetekstChar">
    <w:name w:val="Platte tekst Char"/>
    <w:basedOn w:val="Standaardalinea-lettertype"/>
    <w:link w:val="Plattetekst"/>
    <w:uiPriority w:val="99"/>
    <w:semiHidden/>
  </w:style>
  <w:style w:type="character" w:styleId="Hyperlink">
    <w:name w:val="Hyperlink"/>
    <w:basedOn w:val="Standaardalinea-lettertype"/>
    <w:uiPriority w:val="99"/>
    <w:unhideWhenUsed/>
    <w:rPr>
      <w:color w:val="467886" w:themeColor="hyperlink"/>
      <w:u w:val="single"/>
    </w:rPr>
  </w:style>
  <w:style w:type="character" w:styleId="Onopgelostemelding">
    <w:name w:val="Unresolved Mention"/>
    <w:basedOn w:val="Standaardalinea-lettertype"/>
    <w:uiPriority w:val="99"/>
    <w:semiHidden/>
    <w:unhideWhenUsed/>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pPr>
      <w:spacing w:after="160"/>
    </w:pPr>
    <w:rPr>
      <w:b/>
      <w:bCs/>
      <w:kern w:val="2"/>
      <w:lang w:val="fr-FR"/>
      <w14:ligatures w14:val="standardContextual"/>
    </w:rPr>
  </w:style>
  <w:style w:type="character" w:customStyle="1" w:styleId="OnderwerpvanopmerkingChar">
    <w:name w:val="Onderwerp van opmerking Char"/>
    <w:basedOn w:val="TekstopmerkingChar"/>
    <w:link w:val="Onderwerpvanopmerking"/>
    <w:uiPriority w:val="99"/>
    <w:semiHidden/>
    <w:rPr>
      <w:b/>
      <w:bCs/>
      <w:kern w:val="0"/>
      <w:sz w:val="20"/>
      <w:szCs w:val="20"/>
      <w:lang w:val="en-GB"/>
      <w14:ligatures w14:val="none"/>
    </w:rPr>
  </w:style>
  <w:style w:type="paragraph" w:styleId="Revisie">
    <w:name w:val="Revision"/>
    <w:hidden/>
    <w:uiPriority w:val="99"/>
    <w:semiHidden/>
    <w:pPr>
      <w:spacing w:after="0" w:line="240" w:lineRule="auto"/>
    </w:pPr>
  </w:style>
  <w:style w:type="paragraph" w:styleId="HTML-voorafopgemaakt">
    <w:name w:val="HTML Preformatted"/>
    <w:basedOn w:val="Standaard"/>
    <w:link w:val="HTML-voorafopgemaaktChar"/>
    <w:uiPriority w:val="99"/>
    <w:semiHidden/>
    <w:unhideWhenUsed/>
    <w:pPr>
      <w:spacing w:after="0"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306">
      <w:bodyDiv w:val="1"/>
      <w:marLeft w:val="0"/>
      <w:marRight w:val="0"/>
      <w:marTop w:val="0"/>
      <w:marBottom w:val="0"/>
      <w:divBdr>
        <w:top w:val="none" w:sz="0" w:space="0" w:color="auto"/>
        <w:left w:val="none" w:sz="0" w:space="0" w:color="auto"/>
        <w:bottom w:val="none" w:sz="0" w:space="0" w:color="auto"/>
        <w:right w:val="none" w:sz="0" w:space="0" w:color="auto"/>
      </w:divBdr>
    </w:div>
    <w:div w:id="726535806">
      <w:bodyDiv w:val="1"/>
      <w:marLeft w:val="0"/>
      <w:marRight w:val="0"/>
      <w:marTop w:val="0"/>
      <w:marBottom w:val="0"/>
      <w:divBdr>
        <w:top w:val="none" w:sz="0" w:space="0" w:color="auto"/>
        <w:left w:val="none" w:sz="0" w:space="0" w:color="auto"/>
        <w:bottom w:val="none" w:sz="0" w:space="0" w:color="auto"/>
        <w:right w:val="none" w:sz="0" w:space="0" w:color="auto"/>
      </w:divBdr>
    </w:div>
    <w:div w:id="747850638">
      <w:bodyDiv w:val="1"/>
      <w:marLeft w:val="0"/>
      <w:marRight w:val="0"/>
      <w:marTop w:val="0"/>
      <w:marBottom w:val="0"/>
      <w:divBdr>
        <w:top w:val="none" w:sz="0" w:space="0" w:color="auto"/>
        <w:left w:val="none" w:sz="0" w:space="0" w:color="auto"/>
        <w:bottom w:val="none" w:sz="0" w:space="0" w:color="auto"/>
        <w:right w:val="none" w:sz="0" w:space="0" w:color="auto"/>
      </w:divBdr>
    </w:div>
    <w:div w:id="1088815467">
      <w:bodyDiv w:val="1"/>
      <w:marLeft w:val="0"/>
      <w:marRight w:val="0"/>
      <w:marTop w:val="0"/>
      <w:marBottom w:val="0"/>
      <w:divBdr>
        <w:top w:val="none" w:sz="0" w:space="0" w:color="auto"/>
        <w:left w:val="none" w:sz="0" w:space="0" w:color="auto"/>
        <w:bottom w:val="none" w:sz="0" w:space="0" w:color="auto"/>
        <w:right w:val="none" w:sz="0" w:space="0" w:color="auto"/>
      </w:divBdr>
    </w:div>
    <w:div w:id="1212183229">
      <w:bodyDiv w:val="1"/>
      <w:marLeft w:val="0"/>
      <w:marRight w:val="0"/>
      <w:marTop w:val="0"/>
      <w:marBottom w:val="0"/>
      <w:divBdr>
        <w:top w:val="none" w:sz="0" w:space="0" w:color="auto"/>
        <w:left w:val="none" w:sz="0" w:space="0" w:color="auto"/>
        <w:bottom w:val="none" w:sz="0" w:space="0" w:color="auto"/>
        <w:right w:val="none" w:sz="0" w:space="0" w:color="auto"/>
      </w:divBdr>
    </w:div>
    <w:div w:id="1387610819">
      <w:bodyDiv w:val="1"/>
      <w:marLeft w:val="0"/>
      <w:marRight w:val="0"/>
      <w:marTop w:val="0"/>
      <w:marBottom w:val="0"/>
      <w:divBdr>
        <w:top w:val="none" w:sz="0" w:space="0" w:color="auto"/>
        <w:left w:val="none" w:sz="0" w:space="0" w:color="auto"/>
        <w:bottom w:val="none" w:sz="0" w:space="0" w:color="auto"/>
        <w:right w:val="none" w:sz="0" w:space="0" w:color="auto"/>
      </w:divBdr>
    </w:div>
    <w:div w:id="1532375199">
      <w:bodyDiv w:val="1"/>
      <w:marLeft w:val="0"/>
      <w:marRight w:val="0"/>
      <w:marTop w:val="0"/>
      <w:marBottom w:val="0"/>
      <w:divBdr>
        <w:top w:val="none" w:sz="0" w:space="0" w:color="auto"/>
        <w:left w:val="none" w:sz="0" w:space="0" w:color="auto"/>
        <w:bottom w:val="none" w:sz="0" w:space="0" w:color="auto"/>
        <w:right w:val="none" w:sz="0" w:space="0" w:color="auto"/>
      </w:divBdr>
    </w:div>
    <w:div w:id="1769307180">
      <w:bodyDiv w:val="1"/>
      <w:marLeft w:val="0"/>
      <w:marRight w:val="0"/>
      <w:marTop w:val="0"/>
      <w:marBottom w:val="0"/>
      <w:divBdr>
        <w:top w:val="none" w:sz="0" w:space="0" w:color="auto"/>
        <w:left w:val="none" w:sz="0" w:space="0" w:color="auto"/>
        <w:bottom w:val="none" w:sz="0" w:space="0" w:color="auto"/>
        <w:right w:val="none" w:sz="0" w:space="0" w:color="auto"/>
      </w:divBdr>
    </w:div>
    <w:div w:id="1771466992">
      <w:bodyDiv w:val="1"/>
      <w:marLeft w:val="0"/>
      <w:marRight w:val="0"/>
      <w:marTop w:val="0"/>
      <w:marBottom w:val="0"/>
      <w:divBdr>
        <w:top w:val="none" w:sz="0" w:space="0" w:color="auto"/>
        <w:left w:val="none" w:sz="0" w:space="0" w:color="auto"/>
        <w:bottom w:val="none" w:sz="0" w:space="0" w:color="auto"/>
        <w:right w:val="none" w:sz="0" w:space="0" w:color="auto"/>
      </w:divBdr>
    </w:div>
    <w:div w:id="1853101400">
      <w:bodyDiv w:val="1"/>
      <w:marLeft w:val="0"/>
      <w:marRight w:val="0"/>
      <w:marTop w:val="0"/>
      <w:marBottom w:val="0"/>
      <w:divBdr>
        <w:top w:val="none" w:sz="0" w:space="0" w:color="auto"/>
        <w:left w:val="none" w:sz="0" w:space="0" w:color="auto"/>
        <w:bottom w:val="none" w:sz="0" w:space="0" w:color="auto"/>
        <w:right w:val="none" w:sz="0" w:space="0" w:color="auto"/>
      </w:divBdr>
    </w:div>
    <w:div w:id="209119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672</ap:Words>
  <ap:Characters>3702</ap:Characters>
  <ap:DocSecurity>4</ap:DocSecurity>
  <ap:Lines>30</ap:Lines>
  <ap:Paragraphs>8</ap:Paragraphs>
  <ap:ScaleCrop>false</ap:ScaleCrop>
  <ap:HeadingPairs>
    <vt:vector baseType="variant" size="2">
      <vt:variant>
        <vt:lpstr>Titre</vt:lpstr>
      </vt:variant>
      <vt:variant>
        <vt:i4>1</vt:i4>
      </vt:variant>
    </vt:vector>
  </ap:HeadingPairs>
  <ap:TitlesOfParts>
    <vt:vector baseType="lpstr" size="1">
      <vt:lpstr/>
    </vt:vector>
  </ap:TitlesOfParts>
  <ap:LinksUpToDate>false</ap:LinksUpToDate>
  <ap:CharactersWithSpaces>4366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2026-07-03T15:33:00.0000000Z</dcterms:created>
  <dcterms:modified xsi:type="dcterms:W3CDTF">2026-07-03T15:33:00.0000000Z</dcterms:modified>
  <version/>
  <category/>
</coreProperties>
</file>