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BCE" w:rsidP="00CD7BCE" w:rsidRDefault="00CD7BCE" w14:paraId="45ECB237" w14:textId="15E6FAE5">
      <w:pPr>
        <w:rPr>
          <w:b/>
          <w:bCs/>
        </w:rPr>
      </w:pPr>
      <w:r>
        <w:rPr>
          <w:b/>
          <w:bCs/>
        </w:rPr>
        <w:t>AH 2476</w:t>
      </w:r>
    </w:p>
    <w:p w:rsidR="00CD7BCE" w:rsidP="00CD7BCE" w:rsidRDefault="00CD7BCE" w14:paraId="37995A72" w14:textId="379501DC">
      <w:pPr>
        <w:rPr>
          <w:b/>
          <w:bCs/>
        </w:rPr>
      </w:pPr>
      <w:r>
        <w:rPr>
          <w:b/>
          <w:bCs/>
        </w:rPr>
        <w:t>2026Z12429</w:t>
      </w:r>
    </w:p>
    <w:p w:rsidRPr="00E174F2" w:rsidR="00CD7BCE" w:rsidP="00CD7BCE" w:rsidRDefault="00CD7BCE" w14:paraId="28AD2D43" w14:textId="14FEAF9D">
      <w:pPr>
        <w:rPr>
          <w:b/>
          <w:bCs/>
        </w:rPr>
      </w:pPr>
      <w:r w:rsidRPr="00CD7BCE">
        <w:rPr>
          <w:b/>
          <w:bCs/>
          <w:sz w:val="24"/>
          <w:szCs w:val="24"/>
        </w:rPr>
        <w:t xml:space="preserve">Antwoord van staatssecretaris Eerenberg (Financiën) (ontvangen </w:t>
      </w:r>
      <w:r>
        <w:rPr>
          <w:b/>
          <w:bCs/>
          <w:sz w:val="24"/>
          <w:szCs w:val="24"/>
        </w:rPr>
        <w:t xml:space="preserve"> 3 juli 2026)</w:t>
      </w:r>
    </w:p>
    <w:p w:rsidRPr="00E174F2" w:rsidR="00CD7BCE" w:rsidP="00CD7BCE" w:rsidRDefault="00CD7BCE" w14:paraId="247DB263"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Vraag 1.</w:t>
      </w:r>
    </w:p>
    <w:p w:rsidRPr="00E174F2" w:rsidR="00CD7BCE" w:rsidP="00CD7BCE" w:rsidRDefault="00CD7BCE" w14:paraId="0531419B" w14:textId="77777777">
      <w:pPr>
        <w:spacing w:after="0" w:line="240" w:lineRule="auto"/>
        <w:rPr>
          <w:rFonts w:eastAsia="Calibri" w:cs="Times New Roman"/>
          <w:kern w:val="0"/>
          <w14:ligatures w14:val="none"/>
        </w:rPr>
      </w:pPr>
      <w:r w:rsidRPr="00E174F2">
        <w:rPr>
          <w:rFonts w:eastAsia="Calibri" w:cs="Times New Roman"/>
          <w:kern w:val="0"/>
          <w14:ligatures w14:val="none"/>
        </w:rPr>
        <w:t>Bent u zich ervan bewust dat uw ambtsvoorganger bij de behandeling van de Wet implementatie tweede EU-richtlijn antibelastingontwijking heeft aangegeven[1] te verwachten dat het grootste deel van de belastingplichtigen met een CV/BV-structuur de structuur zal wijzigen, dat het niet valt uit te sluiten dat een groep belastingplichtigen daarbij op zoek zal gaan naar een andere wijze om de belastingdruk te verlagen en dat hij niet kon overzien hoe dergelijke structuren zouden worden vormgegeven?</w:t>
      </w:r>
    </w:p>
    <w:p w:rsidRPr="00E174F2" w:rsidR="00CD7BCE" w:rsidP="00CD7BCE" w:rsidRDefault="00CD7BCE" w14:paraId="4DAE8F48" w14:textId="77777777">
      <w:pPr>
        <w:spacing w:after="0" w:line="240" w:lineRule="auto"/>
        <w:rPr>
          <w:rFonts w:eastAsia="Calibri" w:cs="Times New Roman"/>
          <w:kern w:val="0"/>
          <w14:ligatures w14:val="none"/>
        </w:rPr>
      </w:pPr>
    </w:p>
    <w:p w:rsidRPr="00E174F2" w:rsidR="00CD7BCE" w:rsidP="00CD7BCE" w:rsidRDefault="00CD7BCE" w14:paraId="3CBB8AEF"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Antwoord vraag 1</w:t>
      </w:r>
      <w:r>
        <w:rPr>
          <w:rFonts w:eastAsia="Calibri" w:cs="Times New Roman"/>
          <w:b/>
          <w:bCs/>
          <w:kern w:val="0"/>
          <w14:ligatures w14:val="none"/>
        </w:rPr>
        <w:t>.</w:t>
      </w:r>
    </w:p>
    <w:p w:rsidRPr="00245946" w:rsidR="00CD7BCE" w:rsidP="00CD7BCE" w:rsidRDefault="00CD7BCE" w14:paraId="01CDBB22" w14:textId="77777777">
      <w:pPr>
        <w:spacing w:after="0" w:line="240" w:lineRule="auto"/>
        <w:rPr>
          <w:rFonts w:eastAsia="Calibri" w:cs="Times New Roman"/>
          <w:kern w:val="0"/>
          <w:szCs w:val="18"/>
          <w14:ligatures w14:val="none"/>
        </w:rPr>
      </w:pPr>
      <w:r w:rsidRPr="00245946">
        <w:rPr>
          <w:rFonts w:eastAsia="Calibri" w:cs="Times New Roman"/>
          <w:kern w:val="0"/>
          <w:szCs w:val="18"/>
          <w14:ligatures w14:val="none"/>
        </w:rPr>
        <w:t>Ja, daar ben ik mij van bewust. In dat verband geldt dat Nederland de afgelopen jaren veel maatregelen tegen belastingontwijking heeft genomen, zowel internationaal als nationaal. Op basis van de cijfers volgt dat deze maatregelen effectief zijn. Sinds 1 januari 2021 heft Nederland een conditionele bronbelasting op rente- en royaltybetalingen aan een gelieerd lichaam dat gevestigd is in een laagbelastende jurisdictie en in misbruiksituaties. Nederland stelt jaarlijks deze laagbelastende jurisdicties vast in de Regeling laagbelastende staten en niet-coöperatieve rechtsgebieden voor belastingdoeleinden. Er blijkt bijvoorbeeld al een aanzienlijke daling van rente-, royalty-, en dividendstromen naar laagbelastende jurisdicties van € 37 miljard in 2019 naar € 7 miljard in 2024.</w:t>
      </w:r>
      <w:r w:rsidRPr="00245946">
        <w:rPr>
          <w:rFonts w:eastAsia="Calibri" w:cs="Times New Roman"/>
          <w:kern w:val="0"/>
          <w:szCs w:val="18"/>
          <w:vertAlign w:val="superscript"/>
          <w14:ligatures w14:val="none"/>
        </w:rPr>
        <w:footnoteReference w:id="1"/>
      </w:r>
      <w:r w:rsidRPr="00245946">
        <w:rPr>
          <w:rFonts w:eastAsia="Calibri" w:cs="Times New Roman"/>
          <w:kern w:val="0"/>
          <w:szCs w:val="18"/>
          <w14:ligatures w14:val="none"/>
        </w:rPr>
        <w:t xml:space="preserve"> Verder zijn de eerste en tweede Europese anti-belastingontwijkingsrichtlijnen (ATAD1 en ATAD2) geïmplementeerd, die onder meer hebben geleid tot beperkingen op het gebied van de renteaftrek en het tegengaan van structuren die gebruik maken van verschillen tussen belastingwetgeving van landen (hybride mismatches). Een belangrijke stap in de aanpak van het verschuiven van winsten naar laagbelastende staten is bovendien de wereldwijde minimumbelasting die in Nederland in de Wet minimumbelasting 2024 is geïmplementeerd. Deze wet en de internationale afspraken die aan die wet ten grondslag liggen, beogen te waarborgen dat multinationale en binnenlandse groepen met een geconsolideerde jaaromzet van ten minste € 750 miljoen effectief ten minste 15% belasting over hun winst betalen. Om dubbele niet-heffing als gevolg van een verschillende interpretatie van het arm’s-lengthbeginsel te voorkomen, is in Nederland de Wet tegengaan mismatches bij toepassing zakelijkheidsbeginsel in werking getreden. Deze wet is erop gericht om mismatches te voorkomen die ontstaan door toepassing van het arm’s-lengthbeginsel en die leiden tot dubbele niet-heffing (zogenoemde ‘informeel-kapitaalstructuren’). Het kabinet is ervan overtuigd dat het belastingstelsel door al deze maatregelen robuuster is gemaakt tegen internationale belastingontwijking.</w:t>
      </w:r>
    </w:p>
    <w:p w:rsidRPr="00245946" w:rsidR="00CD7BCE" w:rsidP="00CD7BCE" w:rsidRDefault="00CD7BCE" w14:paraId="4C90C5B1" w14:textId="77777777">
      <w:pPr>
        <w:spacing w:after="0" w:line="240" w:lineRule="auto"/>
        <w:rPr>
          <w:rFonts w:eastAsia="Calibri" w:cs="Times New Roman"/>
          <w:kern w:val="0"/>
          <w:szCs w:val="18"/>
          <w14:ligatures w14:val="none"/>
        </w:rPr>
      </w:pPr>
    </w:p>
    <w:p w:rsidRPr="00E174F2" w:rsidR="00CD7BCE" w:rsidP="00CD7BCE" w:rsidRDefault="00CD7BCE" w14:paraId="68FCF5EF" w14:textId="77777777">
      <w:pPr>
        <w:spacing w:after="0" w:line="240" w:lineRule="auto"/>
        <w:rPr>
          <w:rFonts w:eastAsia="Calibri" w:cs="Times New Roman"/>
          <w:kern w:val="0"/>
          <w:szCs w:val="18"/>
          <w14:ligatures w14:val="none"/>
        </w:rPr>
      </w:pPr>
      <w:r w:rsidRPr="00245946">
        <w:rPr>
          <w:rFonts w:eastAsia="Calibri" w:cs="Times New Roman"/>
          <w:kern w:val="0"/>
          <w:szCs w:val="18"/>
          <w14:ligatures w14:val="none"/>
        </w:rPr>
        <w:t>Het voorgaande laat onverlet dat het kabinet zal onderzoeken of territoriale belastingstelsels in samenhang met de bestaande maatregelen kunnen leiden tot uitkomsten die onvoldoende door het huidige instrumentarium worden bestreken.</w:t>
      </w:r>
    </w:p>
    <w:p w:rsidR="00CD7BCE" w:rsidP="00CD7BCE" w:rsidRDefault="00CD7BCE" w14:paraId="4B73D27A" w14:textId="77777777">
      <w:pPr>
        <w:spacing w:after="0" w:line="240" w:lineRule="auto"/>
        <w:rPr>
          <w:rFonts w:eastAsia="Calibri" w:cs="Times New Roman"/>
          <w:b/>
          <w:bCs/>
          <w:kern w:val="0"/>
          <w14:ligatures w14:val="none"/>
        </w:rPr>
      </w:pPr>
    </w:p>
    <w:p w:rsidR="00CD7BCE" w:rsidP="00CD7BCE" w:rsidRDefault="00CD7BCE" w14:paraId="355E6771"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 xml:space="preserve">Vraag 2. </w:t>
      </w:r>
    </w:p>
    <w:p w:rsidRPr="00E174F2" w:rsidR="00CD7BCE" w:rsidP="00CD7BCE" w:rsidRDefault="00CD7BCE" w14:paraId="01B31AB8" w14:textId="77777777">
      <w:pPr>
        <w:spacing w:after="0" w:line="240" w:lineRule="auto"/>
        <w:rPr>
          <w:rFonts w:eastAsia="Calibri" w:cs="Times New Roman"/>
          <w:kern w:val="0"/>
          <w14:ligatures w14:val="none"/>
        </w:rPr>
      </w:pPr>
      <w:r w:rsidRPr="00E174F2">
        <w:rPr>
          <w:rFonts w:eastAsia="Calibri" w:cs="Times New Roman"/>
          <w:kern w:val="0"/>
          <w14:ligatures w14:val="none"/>
        </w:rPr>
        <w:t>Kunt u thans wel overzien hoe belastingplichtigen met een CV/BV-structuur hun structuur naar aanleiding van de Wet implementatie tweede EU-richtlijn antibelastingontwijking hebben aangepast? Zo ja, kunt u een overzicht verstrekken van alternatieve structuren die zij in dat kader hebben geïmplementeerd? Zo nee, bent u bereid om dit door het ministerie van Financiën in samenwerking met de Belastingdienst te laten onderzoeken, op vergelijkbare wijze als in 2016 met het onderzoek dat heeft geleid tot de notitie CV/BV-structuren in Nederland [2]?</w:t>
      </w:r>
    </w:p>
    <w:p w:rsidRPr="0047265C" w:rsidR="00CD7BCE" w:rsidP="00CD7BCE" w:rsidRDefault="00CD7BCE" w14:paraId="4F14AEF4" w14:textId="77777777">
      <w:pPr>
        <w:spacing w:after="0" w:line="240" w:lineRule="auto"/>
        <w:rPr>
          <w:rFonts w:eastAsia="Calibri" w:cs="Times New Roman"/>
          <w:b/>
          <w:bCs/>
          <w:kern w:val="0"/>
          <w14:ligatures w14:val="none"/>
        </w:rPr>
      </w:pPr>
    </w:p>
    <w:p w:rsidRPr="00E174F2" w:rsidR="00CD7BCE" w:rsidP="00CD7BCE" w:rsidRDefault="00CD7BCE" w14:paraId="6788A3A0"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 xml:space="preserve">Vraag 3. </w:t>
      </w:r>
    </w:p>
    <w:p w:rsidRPr="00E174F2" w:rsidR="00CD7BCE" w:rsidP="00CD7BCE" w:rsidRDefault="00CD7BCE" w14:paraId="7FFA31EC" w14:textId="77777777">
      <w:pPr>
        <w:spacing w:after="0" w:line="240" w:lineRule="auto"/>
        <w:rPr>
          <w:rFonts w:eastAsia="Calibri" w:cs="Times New Roman"/>
          <w:kern w:val="0"/>
          <w14:ligatures w14:val="none"/>
        </w:rPr>
      </w:pPr>
      <w:r w:rsidRPr="00E174F2">
        <w:rPr>
          <w:rFonts w:eastAsia="Calibri" w:cs="Times New Roman"/>
          <w:kern w:val="0"/>
          <w14:ligatures w14:val="none"/>
        </w:rPr>
        <w:t>Klopt het dat één van de alternatieve structuren die in dit kader zijn geïmplementeerd het tussenschuiven van een Singaporese vennootschap behelst, zodanig dat de Amerikaanse vennootschap daarna de aandelen in de Singaporese vennootschap houdt, de Singaporese vennootschap vennoot is in de CV met een winstaandeel van meer dan 99 procent en de CV de aandelen houdt in de BV?</w:t>
      </w:r>
    </w:p>
    <w:p w:rsidRPr="0047265C" w:rsidR="00CD7BCE" w:rsidP="00CD7BCE" w:rsidRDefault="00CD7BCE" w14:paraId="3C5A3427" w14:textId="77777777">
      <w:pPr>
        <w:spacing w:after="0" w:line="240" w:lineRule="auto"/>
        <w:rPr>
          <w:rFonts w:eastAsia="Calibri" w:cs="Times New Roman"/>
          <w:kern w:val="0"/>
          <w14:ligatures w14:val="none"/>
        </w:rPr>
      </w:pPr>
    </w:p>
    <w:p w:rsidRPr="00E174F2" w:rsidR="00CD7BCE" w:rsidP="00CD7BCE" w:rsidRDefault="00CD7BCE" w14:paraId="6B8F9B1A"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Antwoord vraag 2 en 3</w:t>
      </w:r>
      <w:r>
        <w:rPr>
          <w:rFonts w:eastAsia="Calibri" w:cs="Times New Roman"/>
          <w:b/>
          <w:bCs/>
          <w:kern w:val="0"/>
          <w14:ligatures w14:val="none"/>
        </w:rPr>
        <w:t>.</w:t>
      </w:r>
    </w:p>
    <w:p w:rsidRPr="0047265C" w:rsidR="00CD7BCE" w:rsidP="00CD7BCE" w:rsidRDefault="00CD7BCE" w14:paraId="7F3E139A" w14:textId="77777777">
      <w:pPr>
        <w:spacing w:after="0" w:line="240" w:lineRule="auto"/>
        <w:rPr>
          <w:rFonts w:eastAsia="Calibri" w:cs="Times New Roman"/>
          <w:kern w:val="0"/>
          <w14:ligatures w14:val="none"/>
        </w:rPr>
      </w:pPr>
      <w:r>
        <w:rPr>
          <w:rFonts w:eastAsia="Calibri" w:cs="Times New Roman"/>
          <w:kern w:val="0"/>
          <w14:ligatures w14:val="none"/>
        </w:rPr>
        <w:t xml:space="preserve">Met ingang van </w:t>
      </w:r>
      <w:r w:rsidRPr="003355B6">
        <w:rPr>
          <w:rFonts w:eastAsia="Calibri" w:cs="Times New Roman"/>
          <w:kern w:val="0"/>
          <w14:ligatures w14:val="none"/>
        </w:rPr>
        <w:t>1 januari 2020 zijn in de Wet op de vennootschapsbelasting 1969</w:t>
      </w:r>
      <w:r>
        <w:rPr>
          <w:rFonts w:eastAsia="Calibri" w:cs="Times New Roman"/>
          <w:kern w:val="0"/>
          <w14:ligatures w14:val="none"/>
        </w:rPr>
        <w:t xml:space="preserve"> (Wet Vpb 1969)</w:t>
      </w:r>
      <w:r w:rsidRPr="003355B6">
        <w:rPr>
          <w:rFonts w:eastAsia="Calibri" w:cs="Times New Roman"/>
          <w:kern w:val="0"/>
          <w14:ligatures w14:val="none"/>
        </w:rPr>
        <w:t xml:space="preserve"> de hybridemismatchmaatregen die volgen uit de tweede EU-richtlijn antibelastingontwijking (ATAD2)</w:t>
      </w:r>
      <w:r w:rsidRPr="003355B6">
        <w:rPr>
          <w:rFonts w:eastAsia="Calibri" w:cs="Times New Roman"/>
          <w:kern w:val="0"/>
          <w:vertAlign w:val="superscript"/>
          <w14:ligatures w14:val="none"/>
        </w:rPr>
        <w:footnoteReference w:id="2"/>
      </w:r>
      <w:r w:rsidRPr="003355B6">
        <w:rPr>
          <w:rFonts w:eastAsia="Calibri" w:cs="Times New Roman"/>
          <w:kern w:val="0"/>
          <w14:ligatures w14:val="none"/>
        </w:rPr>
        <w:t xml:space="preserve"> in werking getreden.</w:t>
      </w:r>
      <w:r w:rsidRPr="003355B6">
        <w:rPr>
          <w:rFonts w:eastAsia="Calibri" w:cs="Times New Roman"/>
          <w:kern w:val="0"/>
          <w:vertAlign w:val="superscript"/>
          <w14:ligatures w14:val="none"/>
        </w:rPr>
        <w:footnoteReference w:id="3"/>
      </w:r>
      <w:r w:rsidRPr="003355B6">
        <w:rPr>
          <w:rFonts w:eastAsia="Calibri" w:cs="Times New Roman"/>
          <w:kern w:val="0"/>
          <w:vertAlign w:val="superscript"/>
          <w14:ligatures w14:val="none"/>
        </w:rPr>
        <w:t xml:space="preserve"> </w:t>
      </w:r>
      <w:r w:rsidRPr="0047265C">
        <w:rPr>
          <w:rFonts w:eastAsia="Calibri" w:cs="Times New Roman"/>
          <w:kern w:val="0"/>
          <w14:ligatures w14:val="none"/>
        </w:rPr>
        <w:t xml:space="preserve">Er bestaat geen compleet overzicht </w:t>
      </w:r>
      <w:r>
        <w:rPr>
          <w:rFonts w:eastAsia="Calibri" w:cs="Times New Roman"/>
          <w:kern w:val="0"/>
          <w14:ligatures w14:val="none"/>
        </w:rPr>
        <w:t>op welke wijze</w:t>
      </w:r>
      <w:r w:rsidRPr="0047265C">
        <w:rPr>
          <w:rFonts w:eastAsia="Calibri" w:cs="Times New Roman"/>
          <w:kern w:val="0"/>
          <w14:ligatures w14:val="none"/>
        </w:rPr>
        <w:t xml:space="preserve"> belastingplichtigen hun structuur hebben aangepast naar aanleiding van </w:t>
      </w:r>
      <w:r>
        <w:rPr>
          <w:rFonts w:eastAsia="Calibri" w:cs="Times New Roman"/>
          <w:kern w:val="0"/>
          <w14:ligatures w14:val="none"/>
        </w:rPr>
        <w:t>ATAD2</w:t>
      </w:r>
      <w:r w:rsidRPr="0047265C">
        <w:rPr>
          <w:rFonts w:eastAsia="Calibri" w:cs="Times New Roman"/>
          <w:kern w:val="0"/>
          <w14:ligatures w14:val="none"/>
        </w:rPr>
        <w:t xml:space="preserve">. Door de implementatie van ATAD2 en door de intrekking van het zogenoemde cv/bv-besluit per 1 januari 2020 is het fiscale voordeel van de cv/bv-structuur weggenomen. Deze maatregelen hebben hun effect gehad. </w:t>
      </w:r>
      <w:r>
        <w:rPr>
          <w:rFonts w:eastAsia="Calibri" w:cs="Times New Roman"/>
          <w:kern w:val="0"/>
          <w14:ligatures w14:val="none"/>
        </w:rPr>
        <w:t>Voor n</w:t>
      </w:r>
      <w:r w:rsidRPr="0047265C">
        <w:rPr>
          <w:rFonts w:eastAsia="Calibri" w:cs="Times New Roman"/>
          <w:kern w:val="0"/>
          <w14:ligatures w14:val="none"/>
        </w:rPr>
        <w:t>ieuwe cv/bv-structuren</w:t>
      </w:r>
      <w:r>
        <w:rPr>
          <w:rFonts w:eastAsia="Calibri" w:cs="Times New Roman"/>
          <w:kern w:val="0"/>
          <w14:ligatures w14:val="none"/>
        </w:rPr>
        <w:t xml:space="preserve"> geldt dat deze</w:t>
      </w:r>
      <w:r w:rsidRPr="0047265C">
        <w:rPr>
          <w:rFonts w:eastAsia="Calibri" w:cs="Times New Roman"/>
          <w:kern w:val="0"/>
          <w14:ligatures w14:val="none"/>
        </w:rPr>
        <w:t xml:space="preserve"> sindsdien niet of nauwelijks </w:t>
      </w:r>
      <w:r>
        <w:rPr>
          <w:rFonts w:eastAsia="Calibri" w:cs="Times New Roman"/>
          <w:kern w:val="0"/>
          <w14:ligatures w14:val="none"/>
        </w:rPr>
        <w:t xml:space="preserve">zijn </w:t>
      </w:r>
      <w:r w:rsidRPr="0047265C">
        <w:rPr>
          <w:rFonts w:eastAsia="Calibri" w:cs="Times New Roman"/>
          <w:kern w:val="0"/>
          <w14:ligatures w14:val="none"/>
        </w:rPr>
        <w:t>opgezet en de bestaande structuren zijn</w:t>
      </w:r>
      <w:r>
        <w:rPr>
          <w:rFonts w:eastAsia="Calibri" w:cs="Times New Roman"/>
          <w:kern w:val="0"/>
          <w14:ligatures w14:val="none"/>
        </w:rPr>
        <w:t xml:space="preserve"> destijds</w:t>
      </w:r>
      <w:r w:rsidRPr="0047265C">
        <w:rPr>
          <w:rFonts w:eastAsia="Calibri" w:cs="Times New Roman"/>
          <w:kern w:val="0"/>
          <w14:ligatures w14:val="none"/>
        </w:rPr>
        <w:t xml:space="preserve"> vrijwel allemaal verlaten.</w:t>
      </w:r>
      <w:r>
        <w:rPr>
          <w:rFonts w:eastAsia="Calibri" w:cs="Times New Roman"/>
          <w:kern w:val="0"/>
          <w14:ligatures w14:val="none"/>
        </w:rPr>
        <w:t xml:space="preserve"> </w:t>
      </w:r>
      <w:r w:rsidRPr="0047265C">
        <w:rPr>
          <w:rFonts w:eastAsia="Calibri" w:cs="Times New Roman"/>
          <w:kern w:val="0"/>
          <w14:ligatures w14:val="none"/>
        </w:rPr>
        <w:t>Het beeld uit de praktijk is dat multinationals daarbij verschillende manieren hebben gekozen. Een aantal heeft de structuur in stand gelaten, maar vanuit Amerikaans perspectief gekozen voor een transparante behandeling van de CV.</w:t>
      </w:r>
      <w:r>
        <w:rPr>
          <w:rFonts w:eastAsia="Calibri" w:cs="Times New Roman"/>
          <w:kern w:val="0"/>
          <w14:ligatures w14:val="none"/>
        </w:rPr>
        <w:t xml:space="preserve"> </w:t>
      </w:r>
      <w:r w:rsidRPr="0047265C">
        <w:rPr>
          <w:rFonts w:eastAsia="Calibri" w:cs="Times New Roman"/>
          <w:kern w:val="0"/>
          <w14:ligatures w14:val="none"/>
        </w:rPr>
        <w:t xml:space="preserve">Omdat de CV vanuit Nederlands perspectief ook als transparant wordt behandeld, is het fiscaal voordeel weggenomen. Andere multinationals hebben de activa van de CV, waaronder vaak intellectuele activa, overgedragen aan een entiteit. In een aantal gevallen was dat </w:t>
      </w:r>
      <w:r>
        <w:rPr>
          <w:rFonts w:eastAsia="Calibri" w:cs="Times New Roman"/>
          <w:kern w:val="0"/>
          <w14:ligatures w14:val="none"/>
        </w:rPr>
        <w:t>de Verenigde Staten</w:t>
      </w:r>
      <w:r w:rsidRPr="0047265C">
        <w:rPr>
          <w:rFonts w:eastAsia="Calibri" w:cs="Times New Roman"/>
          <w:kern w:val="0"/>
          <w14:ligatures w14:val="none"/>
        </w:rPr>
        <w:t>, in een aantal gevallen Nederland</w:t>
      </w:r>
      <w:r>
        <w:rPr>
          <w:rFonts w:eastAsia="Calibri" w:cs="Times New Roman"/>
          <w:kern w:val="0"/>
          <w14:ligatures w14:val="none"/>
        </w:rPr>
        <w:t xml:space="preserve"> of </w:t>
      </w:r>
      <w:r w:rsidRPr="0047265C">
        <w:rPr>
          <w:rFonts w:eastAsia="Calibri" w:cs="Times New Roman"/>
          <w:kern w:val="0"/>
          <w14:ligatures w14:val="none"/>
        </w:rPr>
        <w:t xml:space="preserve">andere landen. In die gevallen is de hybride mismatch opgeheven. </w:t>
      </w:r>
    </w:p>
    <w:p w:rsidRPr="0047265C" w:rsidR="00CD7BCE" w:rsidP="00CD7BCE" w:rsidRDefault="00CD7BCE" w14:paraId="0B82EF2A" w14:textId="77777777">
      <w:pPr>
        <w:spacing w:after="0" w:line="240" w:lineRule="auto"/>
        <w:rPr>
          <w:rFonts w:eastAsia="Calibri" w:cs="Times New Roman"/>
          <w:kern w:val="0"/>
          <w14:ligatures w14:val="none"/>
        </w:rPr>
      </w:pPr>
    </w:p>
    <w:p w:rsidR="00CD7BCE" w:rsidP="00CD7BCE" w:rsidRDefault="00CD7BCE" w14:paraId="391DC73F" w14:textId="77777777">
      <w:pPr>
        <w:spacing w:after="0" w:line="240" w:lineRule="auto"/>
        <w:rPr>
          <w:rFonts w:eastAsia="Calibri" w:cs="Times New Roman"/>
        </w:rPr>
      </w:pPr>
      <w:r w:rsidRPr="0047265C">
        <w:rPr>
          <w:rFonts w:eastAsia="Calibri" w:cs="Times New Roman"/>
          <w:kern w:val="0"/>
          <w14:ligatures w14:val="none"/>
        </w:rPr>
        <w:t>Er is geen systematisch overzicht van de wijze waarop multinationals hun structuur hebben aangepast om de toepassing van de maatregelen tegen de hybridemismatch te voorkomen. De Belastingdienst heeft daar ook niet in alle gevallen en in detail zicht op omdat andere landen betrokken zijn en die informatie niet in alle gevallen relevant is voor de Nederlandse belastingheffing. Alleen al om die reden zal een onderzoek geen compleet inzicht geven. Bovendien is in voorkomende gevallen gekozen voor een tijdelijke oplossing voorafgaand aan de implementatie van de definitieve structuur. D</w:t>
      </w:r>
      <w:r>
        <w:rPr>
          <w:rFonts w:eastAsia="Calibri" w:cs="Times New Roman"/>
          <w:kern w:val="0"/>
          <w14:ligatures w14:val="none"/>
        </w:rPr>
        <w:t>aarnaast volgt</w:t>
      </w:r>
      <w:r w:rsidRPr="0047265C">
        <w:rPr>
          <w:rFonts w:eastAsia="Calibri" w:cs="Times New Roman"/>
          <w:kern w:val="0"/>
          <w14:ligatures w14:val="none"/>
        </w:rPr>
        <w:t xml:space="preserve"> uit het onderzoek uit 2016 dat het niet mogelijk was om op basis van bestaande gegevens cv/bv-structuren te identificeren. Het exacte aantal kon toen niet worden bepaald.</w:t>
      </w:r>
    </w:p>
    <w:p w:rsidR="00CD7BCE" w:rsidP="00CD7BCE" w:rsidRDefault="00CD7BCE" w14:paraId="46717D13" w14:textId="77777777">
      <w:pPr>
        <w:spacing w:after="0" w:line="240" w:lineRule="auto"/>
        <w:rPr>
          <w:rFonts w:eastAsia="Calibri" w:cs="Times New Roman"/>
          <w:kern w:val="0"/>
          <w14:ligatures w14:val="none"/>
        </w:rPr>
      </w:pPr>
    </w:p>
    <w:p w:rsidR="00CD7BCE" w:rsidP="00CD7BCE" w:rsidRDefault="00CD7BCE" w14:paraId="0AD81CCB" w14:textId="77777777">
      <w:pPr>
        <w:spacing w:after="0" w:line="240" w:lineRule="auto"/>
        <w:rPr>
          <w:rFonts w:eastAsia="Calibri" w:cs="Times New Roman"/>
          <w:kern w:val="0"/>
          <w14:ligatures w14:val="none"/>
        </w:rPr>
      </w:pPr>
      <w:r>
        <w:rPr>
          <w:rFonts w:eastAsia="Calibri" w:cs="Times New Roman"/>
          <w:kern w:val="0"/>
          <w14:ligatures w14:val="none"/>
        </w:rPr>
        <w:t>In 2024 is een analyse uitgevoerd naar het effect van de hybridemismatchmaatregelen. In de brief van 11 december 2024 is mijn ambtsvoorganger daarop ingegaan.</w:t>
      </w:r>
      <w:r>
        <w:rPr>
          <w:rStyle w:val="Voetnootmarkering"/>
          <w:rFonts w:eastAsia="Calibri" w:cs="Times New Roman"/>
          <w:kern w:val="0"/>
          <w14:ligatures w14:val="none"/>
        </w:rPr>
        <w:footnoteReference w:id="4"/>
      </w:r>
      <w:r>
        <w:rPr>
          <w:rFonts w:eastAsia="Calibri" w:cs="Times New Roman"/>
          <w:kern w:val="0"/>
          <w14:ligatures w14:val="none"/>
        </w:rPr>
        <w:t xml:space="preserve"> Uit deze analyse is naar voren gekomen dat </w:t>
      </w:r>
      <w:r w:rsidRPr="00135E15">
        <w:rPr>
          <w:rFonts w:eastAsia="Calibri" w:cs="Times New Roman"/>
          <w:kern w:val="0"/>
          <w14:ligatures w14:val="none"/>
        </w:rPr>
        <w:t xml:space="preserve">er vier indicaties aanwezig </w:t>
      </w:r>
      <w:r>
        <w:rPr>
          <w:rFonts w:eastAsia="Calibri" w:cs="Times New Roman"/>
          <w:kern w:val="0"/>
          <w14:ligatures w14:val="none"/>
        </w:rPr>
        <w:t xml:space="preserve">zijn </w:t>
      </w:r>
      <w:r w:rsidRPr="00135E15">
        <w:rPr>
          <w:rFonts w:eastAsia="Calibri" w:cs="Times New Roman"/>
          <w:kern w:val="0"/>
          <w14:ligatures w14:val="none"/>
        </w:rPr>
        <w:t>waaruit blijkt dat de wetgeving effectief is</w:t>
      </w:r>
      <w:r>
        <w:rPr>
          <w:rFonts w:eastAsia="Calibri" w:cs="Times New Roman"/>
          <w:kern w:val="0"/>
          <w14:ligatures w14:val="none"/>
        </w:rPr>
        <w:t xml:space="preserve"> gebleken:</w:t>
      </w:r>
    </w:p>
    <w:p w:rsidRPr="00EC2734" w:rsidR="00CD7BCE" w:rsidP="00CD7BCE" w:rsidRDefault="00CD7BCE" w14:paraId="1FD557E3" w14:textId="77777777">
      <w:pPr>
        <w:pStyle w:val="Lijstalinea"/>
        <w:numPr>
          <w:ilvl w:val="0"/>
          <w:numId w:val="1"/>
        </w:numPr>
        <w:spacing w:after="0" w:line="240" w:lineRule="auto"/>
        <w:rPr>
          <w:rFonts w:eastAsia="Calibri" w:cs="Times New Roman"/>
          <w:kern w:val="0"/>
          <w14:ligatures w14:val="none"/>
        </w:rPr>
      </w:pPr>
      <w:r w:rsidRPr="00EC2734">
        <w:rPr>
          <w:rFonts w:eastAsia="Calibri" w:cs="Times New Roman"/>
          <w:kern w:val="0"/>
          <w14:ligatures w14:val="none"/>
        </w:rPr>
        <w:t xml:space="preserve">Er zijn geen rulings meer met betrekking tot cv/bv-structuren; </w:t>
      </w:r>
    </w:p>
    <w:p w:rsidRPr="00EC2734" w:rsidR="00CD7BCE" w:rsidP="00CD7BCE" w:rsidRDefault="00CD7BCE" w14:paraId="56996586" w14:textId="77777777">
      <w:pPr>
        <w:pStyle w:val="Lijstalinea"/>
        <w:numPr>
          <w:ilvl w:val="0"/>
          <w:numId w:val="1"/>
        </w:numPr>
        <w:spacing w:after="0" w:line="240" w:lineRule="auto"/>
        <w:rPr>
          <w:rFonts w:eastAsia="Calibri" w:cs="Times New Roman"/>
          <w:kern w:val="0"/>
          <w14:ligatures w14:val="none"/>
        </w:rPr>
      </w:pPr>
      <w:r w:rsidRPr="00EC2734">
        <w:rPr>
          <w:rFonts w:eastAsia="Calibri" w:cs="Times New Roman"/>
          <w:kern w:val="0"/>
          <w14:ligatures w14:val="none"/>
        </w:rPr>
        <w:t xml:space="preserve">Het aantal cv’s met gestort commanditair kapitaal in Amerikaanse dollars is duidelijk dalende; </w:t>
      </w:r>
    </w:p>
    <w:p w:rsidRPr="00EC2734" w:rsidR="00CD7BCE" w:rsidP="00CD7BCE" w:rsidRDefault="00CD7BCE" w14:paraId="55D89926" w14:textId="77777777">
      <w:pPr>
        <w:pStyle w:val="Lijstalinea"/>
        <w:numPr>
          <w:ilvl w:val="0"/>
          <w:numId w:val="1"/>
        </w:numPr>
        <w:spacing w:after="0" w:line="240" w:lineRule="auto"/>
        <w:rPr>
          <w:rFonts w:eastAsia="Calibri" w:cs="Times New Roman"/>
          <w:kern w:val="0"/>
          <w14:ligatures w14:val="none"/>
        </w:rPr>
      </w:pPr>
      <w:r w:rsidRPr="00EC2734">
        <w:rPr>
          <w:rFonts w:eastAsia="Calibri" w:cs="Times New Roman"/>
          <w:kern w:val="0"/>
          <w14:ligatures w14:val="none"/>
        </w:rPr>
        <w:t xml:space="preserve">Amerikaanse bedrijven rapporteren minder commerciële winst in Nederland, terwijl hun wezenlijke economische activiteiten in Nederland niet lijken te zijn afgebouwd; </w:t>
      </w:r>
    </w:p>
    <w:p w:rsidRPr="00EC2734" w:rsidR="00CD7BCE" w:rsidP="00CD7BCE" w:rsidRDefault="00CD7BCE" w14:paraId="71782DFA" w14:textId="77777777">
      <w:pPr>
        <w:pStyle w:val="Lijstalinea"/>
        <w:numPr>
          <w:ilvl w:val="0"/>
          <w:numId w:val="1"/>
        </w:numPr>
        <w:spacing w:after="0" w:line="240" w:lineRule="auto"/>
        <w:rPr>
          <w:rFonts w:eastAsia="Calibri" w:cs="Times New Roman"/>
          <w:kern w:val="0"/>
          <w14:ligatures w14:val="none"/>
        </w:rPr>
      </w:pPr>
      <w:r w:rsidRPr="00EC2734">
        <w:rPr>
          <w:rFonts w:eastAsia="Calibri" w:cs="Times New Roman"/>
          <w:kern w:val="0"/>
          <w14:ligatures w14:val="none"/>
        </w:rPr>
        <w:t xml:space="preserve">Daar waar nog wel hybridemismatches aanwezig zijn, wordt ook in de aangifte de winst aangepast. </w:t>
      </w:r>
    </w:p>
    <w:p w:rsidR="00CD7BCE" w:rsidP="00CD7BCE" w:rsidRDefault="00CD7BCE" w14:paraId="2A88D498" w14:textId="77777777">
      <w:pPr>
        <w:spacing w:after="0" w:line="240" w:lineRule="auto"/>
        <w:rPr>
          <w:rFonts w:eastAsia="Calibri" w:cs="Times New Roman"/>
          <w:kern w:val="0"/>
          <w14:ligatures w14:val="none"/>
        </w:rPr>
      </w:pPr>
    </w:p>
    <w:p w:rsidR="00CD7BCE" w:rsidP="00CD7BCE" w:rsidRDefault="00CD7BCE" w14:paraId="5E509FF6" w14:textId="77777777">
      <w:pPr>
        <w:spacing w:after="0" w:line="240" w:lineRule="auto"/>
        <w:rPr>
          <w:rFonts w:eastAsia="Calibri" w:cs="Times New Roman"/>
          <w:b/>
          <w:bCs/>
          <w:kern w:val="0"/>
          <w14:ligatures w14:val="none"/>
        </w:rPr>
      </w:pPr>
      <w:r>
        <w:rPr>
          <w:rFonts w:eastAsia="Calibri" w:cs="Times New Roman"/>
          <w:b/>
          <w:bCs/>
          <w:kern w:val="0"/>
          <w14:ligatures w14:val="none"/>
        </w:rPr>
        <w:t xml:space="preserve">Vraag </w:t>
      </w:r>
      <w:r w:rsidRPr="00E174F2">
        <w:rPr>
          <w:rFonts w:eastAsia="Calibri" w:cs="Times New Roman"/>
          <w:b/>
          <w:bCs/>
          <w:kern w:val="0"/>
          <w14:ligatures w14:val="none"/>
        </w:rPr>
        <w:t xml:space="preserve">4. </w:t>
      </w:r>
    </w:p>
    <w:p w:rsidRPr="00E174F2" w:rsidR="00CD7BCE" w:rsidP="00CD7BCE" w:rsidRDefault="00CD7BCE" w14:paraId="56158AEA" w14:textId="77777777">
      <w:pPr>
        <w:spacing w:after="0" w:line="240" w:lineRule="auto"/>
        <w:rPr>
          <w:rFonts w:eastAsia="Calibri" w:cs="Times New Roman"/>
          <w:kern w:val="0"/>
          <w14:ligatures w14:val="none"/>
        </w:rPr>
      </w:pPr>
      <w:r w:rsidRPr="00E174F2">
        <w:rPr>
          <w:rFonts w:eastAsia="Calibri" w:cs="Times New Roman"/>
          <w:kern w:val="0"/>
          <w14:ligatures w14:val="none"/>
        </w:rPr>
        <w:t>Klopt het dat het mogelijk is of was om de CV voor toepassing van de Singaporese belastingwet als transparant te kwalificeren?</w:t>
      </w:r>
    </w:p>
    <w:p w:rsidRPr="00B84DA9" w:rsidR="00CD7BCE" w:rsidP="00CD7BCE" w:rsidRDefault="00CD7BCE" w14:paraId="137F1817" w14:textId="77777777">
      <w:pPr>
        <w:spacing w:after="0" w:line="240" w:lineRule="auto"/>
        <w:rPr>
          <w:rFonts w:eastAsia="Calibri" w:cs="Times New Roman"/>
          <w:kern w:val="0"/>
          <w:sz w:val="20"/>
          <w:szCs w:val="20"/>
          <w14:ligatures w14:val="none"/>
        </w:rPr>
      </w:pPr>
    </w:p>
    <w:p w:rsidRPr="00E174F2" w:rsidR="00CD7BCE" w:rsidP="00CD7BCE" w:rsidRDefault="00CD7BCE" w14:paraId="0DCBDF1C"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Antwoord vraag 4.</w:t>
      </w:r>
    </w:p>
    <w:p w:rsidRPr="00A12083" w:rsidR="00CD7BCE" w:rsidP="00CD7BCE" w:rsidRDefault="00CD7BCE" w14:paraId="613AE3DA" w14:textId="77777777">
      <w:pPr>
        <w:spacing w:after="0" w:line="240" w:lineRule="auto"/>
        <w:rPr>
          <w:rFonts w:eastAsia="Calibri" w:cs="Times New Roman"/>
          <w:kern w:val="0"/>
          <w14:ligatures w14:val="none"/>
        </w:rPr>
      </w:pPr>
      <w:r w:rsidRPr="00A12083">
        <w:rPr>
          <w:rFonts w:eastAsia="Calibri" w:cs="Times New Roman"/>
          <w:kern w:val="0"/>
          <w14:ligatures w14:val="none"/>
        </w:rPr>
        <w:t xml:space="preserve">De fiscale kwalificatie van een lichaam volgt uit de nationale wet- en regelgeving van elke betrokken jurisdictie. De kwalificatie van een CV voor Singaporese belastingdoeleinden, is dus ook afhankelijk van de Singaporese fiscale kwalificatieregels. </w:t>
      </w:r>
    </w:p>
    <w:p w:rsidR="00CD7BCE" w:rsidP="00CD7BCE" w:rsidRDefault="00CD7BCE" w14:paraId="2B440241" w14:textId="77777777">
      <w:pPr>
        <w:spacing w:after="0" w:line="240" w:lineRule="auto"/>
        <w:rPr>
          <w:rFonts w:eastAsia="Calibri" w:cs="Times New Roman"/>
          <w:kern w:val="0"/>
          <w14:ligatures w14:val="none"/>
        </w:rPr>
      </w:pPr>
      <w:r w:rsidRPr="00A12083">
        <w:rPr>
          <w:rFonts w:eastAsia="Calibri" w:cs="Times New Roman"/>
          <w:kern w:val="0"/>
          <w14:ligatures w14:val="none"/>
        </w:rPr>
        <w:t>Voor Nederlandse fiscale doeleinden is het kwalificatiebeleid voor (buitenlandse) rechtsvormen met ingang van 2025 is aangepast.</w:t>
      </w:r>
      <w:r w:rsidRPr="00A12083">
        <w:rPr>
          <w:rFonts w:eastAsia="Calibri" w:cs="Times New Roman"/>
          <w:kern w:val="0"/>
          <w:vertAlign w:val="superscript"/>
          <w14:ligatures w14:val="none"/>
        </w:rPr>
        <w:footnoteReference w:id="5"/>
      </w:r>
      <w:r w:rsidRPr="00A12083">
        <w:rPr>
          <w:rFonts w:eastAsia="Calibri" w:cs="Times New Roman"/>
          <w:kern w:val="0"/>
          <w14:ligatures w14:val="none"/>
        </w:rPr>
        <w:t xml:space="preserve"> De aanpassingen zijn er onder andere op gericht te voorkómen dat kwalificatieverschillen ontstaan. </w:t>
      </w:r>
      <w:r>
        <w:rPr>
          <w:rFonts w:eastAsia="Calibri" w:cs="Times New Roman"/>
          <w:kern w:val="0"/>
          <w14:ligatures w14:val="none"/>
        </w:rPr>
        <w:t>D</w:t>
      </w:r>
      <w:r w:rsidRPr="00AC33DF">
        <w:rPr>
          <w:rFonts w:eastAsia="Calibri" w:cs="Times New Roman"/>
          <w:kern w:val="0"/>
          <w14:ligatures w14:val="none"/>
        </w:rPr>
        <w:t>aarmee wordt de oorzaak van hybride mismatches aangepakt.</w:t>
      </w:r>
      <w:r>
        <w:rPr>
          <w:rFonts w:eastAsia="Calibri" w:cs="Times New Roman"/>
          <w:kern w:val="0"/>
          <w14:ligatures w14:val="none"/>
        </w:rPr>
        <w:t xml:space="preserve"> Ingevolge deze aanpassingen is ook de zelfstandige belastingplicht van de open CV komen te vervallen. Een CV is derhalve voor Nederlandse fiscale doeleinden transparant, tenzij het als fonds voor gemene rekening of als omgekeerd hybride lichaam is aan te merken</w:t>
      </w:r>
      <w:r w:rsidRPr="00B84DA9">
        <w:rPr>
          <w:rFonts w:eastAsia="Calibri" w:cs="Times New Roman"/>
          <w:kern w:val="0"/>
          <w14:ligatures w14:val="none"/>
        </w:rPr>
        <w:t>. De kwalificatie van een lichaam of samenwerkingsverband kan voor de toepassing van de hybride mismatchmaatregelen deel uitmaken van de beoordeling door de inspecteur. Deze beoordeling vindt plaats aan de hand van de feiten en omstandigheden van het individuele geval en de relevante Nederlandse en Singaporese belastingwetgeving</w:t>
      </w:r>
    </w:p>
    <w:p w:rsidRPr="00B84DA9" w:rsidR="00CD7BCE" w:rsidP="00CD7BCE" w:rsidRDefault="00CD7BCE" w14:paraId="6B174C34" w14:textId="77777777">
      <w:pPr>
        <w:spacing w:after="0" w:line="240" w:lineRule="auto"/>
        <w:rPr>
          <w:rFonts w:eastAsia="Calibri" w:cs="Times New Roman"/>
          <w:i/>
          <w:iCs/>
          <w:kern w:val="0"/>
          <w14:ligatures w14:val="none"/>
        </w:rPr>
      </w:pPr>
    </w:p>
    <w:p w:rsidRPr="00E174F2" w:rsidR="00CD7BCE" w:rsidP="00CD7BCE" w:rsidRDefault="00CD7BCE" w14:paraId="77D369DD"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 xml:space="preserve">Vraag 5. </w:t>
      </w:r>
    </w:p>
    <w:p w:rsidRPr="00E174F2" w:rsidR="00CD7BCE" w:rsidP="00CD7BCE" w:rsidRDefault="00CD7BCE" w14:paraId="0491309C"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Klopt het dat Singapore een territoriaal belastingstelsel heeft of had en dat dit er in deze structuur toe zou leiden of heeft geleid dat de winst die de Singaporese vennootschap geniet ter zake van haar deelname als vennoot in de CV door Singapore niet werd of wordt belast?</w:t>
      </w:r>
    </w:p>
    <w:p w:rsidRPr="00B84DA9" w:rsidR="00CD7BCE" w:rsidP="00CD7BCE" w:rsidRDefault="00CD7BCE" w14:paraId="510284BF" w14:textId="77777777">
      <w:pPr>
        <w:spacing w:after="0" w:line="240" w:lineRule="auto"/>
        <w:rPr>
          <w:rFonts w:eastAsia="Calibri" w:cs="Times New Roman"/>
          <w:kern w:val="0"/>
          <w:sz w:val="20"/>
          <w:szCs w:val="20"/>
          <w14:ligatures w14:val="none"/>
        </w:rPr>
      </w:pPr>
    </w:p>
    <w:p w:rsidRPr="00E174F2" w:rsidR="00CD7BCE" w:rsidP="00CD7BCE" w:rsidRDefault="00CD7BCE" w14:paraId="68AB7671"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Antwoord 5</w:t>
      </w:r>
      <w:r>
        <w:rPr>
          <w:rFonts w:eastAsia="Calibri" w:cs="Times New Roman"/>
          <w:b/>
          <w:bCs/>
          <w:kern w:val="0"/>
          <w14:ligatures w14:val="none"/>
        </w:rPr>
        <w:t>.</w:t>
      </w:r>
    </w:p>
    <w:p w:rsidRPr="00B84DA9" w:rsidR="00CD7BCE" w:rsidP="00CD7BCE" w:rsidRDefault="00CD7BCE" w14:paraId="14EBABD7" w14:textId="77777777">
      <w:pPr>
        <w:spacing w:after="0" w:line="240" w:lineRule="auto"/>
        <w:rPr>
          <w:rFonts w:eastAsia="Calibri" w:cs="Times New Roman"/>
          <w:kern w:val="0"/>
          <w14:ligatures w14:val="none"/>
        </w:rPr>
      </w:pPr>
      <w:r>
        <w:rPr>
          <w:rFonts w:eastAsia="Calibri" w:cs="Times New Roman"/>
          <w:kern w:val="0"/>
          <w14:ligatures w14:val="none"/>
        </w:rPr>
        <w:t xml:space="preserve">Het is mij niet bekend of Singapore een territoriaal belastingstelsel, of een vorm daarvan, heeft. </w:t>
      </w:r>
      <w:r w:rsidRPr="00B84DA9">
        <w:rPr>
          <w:rFonts w:eastAsia="Calibri" w:cs="Times New Roman"/>
          <w:kern w:val="0"/>
          <w14:ligatures w14:val="none"/>
        </w:rPr>
        <w:t xml:space="preserve">In een territoriaal belastingstelsel is belastingheffing doorgaans gericht op binnenlands gegenereerde inkomsten en wordt buitenlands broninkomen vrijgesteld of anderszins niet in de heffing betrokken. In hoeverre een opbrengst in een territoriaal belastingstelsel wordt belast, is dus afhankelijk van de inkomenstoerekeningsregels en specifieke vrijstellingsgronden van dat stelsel. In voorkomende gevallen kan een territoriaal belastingstelsel tot gevolg hebben dat winst die wordt genoten uit deelname als vennoot in een CV niet in de belastingheffing wordt betrokken in de jurisdictie waar het territoriale belastingstelsel van toepassing is. Om vast te stellen of dit in de bevraagde structuur het geval is, is een feitelijke toetsing van alle feiten en omstandigheden van het concrete geval voor de toepassing van de relevante Singaporese belastingwetgeving vereist. </w:t>
      </w:r>
      <w:r>
        <w:rPr>
          <w:rFonts w:eastAsia="Calibri" w:cs="Times New Roman"/>
          <w:kern w:val="0"/>
          <w14:ligatures w14:val="none"/>
        </w:rPr>
        <w:t>Ik</w:t>
      </w:r>
      <w:r w:rsidRPr="00B84DA9">
        <w:rPr>
          <w:rFonts w:eastAsia="Calibri" w:cs="Times New Roman"/>
          <w:kern w:val="0"/>
          <w14:ligatures w14:val="none"/>
        </w:rPr>
        <w:t xml:space="preserve"> kan hier verder in algemene zin geen uitlatingen over doen.  </w:t>
      </w:r>
    </w:p>
    <w:p w:rsidRPr="00B84DA9" w:rsidR="00CD7BCE" w:rsidP="00CD7BCE" w:rsidRDefault="00CD7BCE" w14:paraId="302C01F7" w14:textId="77777777">
      <w:pPr>
        <w:spacing w:after="0" w:line="240" w:lineRule="auto"/>
        <w:rPr>
          <w:rFonts w:eastAsia="Calibri" w:cs="Times New Roman"/>
          <w:i/>
          <w:iCs/>
          <w:kern w:val="0"/>
          <w14:ligatures w14:val="none"/>
        </w:rPr>
      </w:pPr>
    </w:p>
    <w:p w:rsidRPr="00E174F2" w:rsidR="00CD7BCE" w:rsidP="00CD7BCE" w:rsidRDefault="00CD7BCE" w14:paraId="235436AD"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 xml:space="preserve">Vraag 6. </w:t>
      </w:r>
    </w:p>
    <w:p w:rsidRPr="00E174F2" w:rsidR="00CD7BCE" w:rsidP="00CD7BCE" w:rsidRDefault="00CD7BCE" w14:paraId="70C24B6F" w14:textId="77777777">
      <w:pPr>
        <w:spacing w:after="0" w:line="240" w:lineRule="auto"/>
        <w:rPr>
          <w:rFonts w:eastAsia="Calibri" w:cs="Times New Roman"/>
          <w:kern w:val="0"/>
          <w14:ligatures w14:val="none"/>
        </w:rPr>
      </w:pPr>
      <w:r w:rsidRPr="00E174F2">
        <w:rPr>
          <w:rFonts w:eastAsia="Calibri" w:cs="Times New Roman"/>
          <w:kern w:val="0"/>
          <w14:ligatures w14:val="none"/>
        </w:rPr>
        <w:t>Klopt het, ervan uitgaande dat Singapore de CV als transparant zou zien, dat voor de jaren 2020 en 2021 royalty’s die de BV aan de CV betaalde, aftrekbaar bleven omdat de aftrekbeperking van de antimismatchregels niet van toepassing was aangezien er geen sprake was van een mismatch omdat Singapore de CV net als Nederland als transparant beschouwde?</w:t>
      </w:r>
    </w:p>
    <w:p w:rsidRPr="00B84DA9" w:rsidR="00CD7BCE" w:rsidP="00CD7BCE" w:rsidRDefault="00CD7BCE" w14:paraId="68D4D131" w14:textId="77777777">
      <w:pPr>
        <w:spacing w:after="0" w:line="240" w:lineRule="auto"/>
        <w:rPr>
          <w:rFonts w:eastAsia="Calibri" w:cs="Times New Roman"/>
          <w:kern w:val="0"/>
          <w:sz w:val="20"/>
          <w:szCs w:val="20"/>
          <w14:ligatures w14:val="none"/>
        </w:rPr>
      </w:pPr>
    </w:p>
    <w:p w:rsidRPr="00E174F2" w:rsidR="00CD7BCE" w:rsidP="00CD7BCE" w:rsidRDefault="00CD7BCE" w14:paraId="476A25FC"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Antwoord vraag 6</w:t>
      </w:r>
      <w:r>
        <w:rPr>
          <w:rFonts w:eastAsia="Calibri" w:cs="Times New Roman"/>
          <w:b/>
          <w:bCs/>
          <w:kern w:val="0"/>
          <w14:ligatures w14:val="none"/>
        </w:rPr>
        <w:t>.</w:t>
      </w:r>
    </w:p>
    <w:p w:rsidRPr="00E13B70" w:rsidR="00CD7BCE" w:rsidP="00CD7BCE" w:rsidRDefault="00CD7BCE" w14:paraId="4E3FFE93" w14:textId="77777777">
      <w:pPr>
        <w:spacing w:after="0" w:line="240" w:lineRule="auto"/>
        <w:rPr>
          <w:rFonts w:eastAsia="Calibri" w:cs="Times New Roman"/>
          <w:kern w:val="0"/>
          <w14:ligatures w14:val="none"/>
        </w:rPr>
      </w:pPr>
      <w:r w:rsidRPr="00B84DA9">
        <w:rPr>
          <w:rFonts w:eastAsia="Calibri" w:cs="Times New Roman"/>
          <w:kern w:val="0"/>
          <w14:ligatures w14:val="none"/>
        </w:rPr>
        <w:t>De maatregelen</w:t>
      </w:r>
      <w:r>
        <w:rPr>
          <w:rFonts w:eastAsia="Calibri" w:cs="Times New Roman"/>
          <w:kern w:val="0"/>
          <w14:ligatures w14:val="none"/>
        </w:rPr>
        <w:t xml:space="preserve"> die volgen uit ATAD2</w:t>
      </w:r>
      <w:r w:rsidRPr="00B84DA9">
        <w:rPr>
          <w:rFonts w:eastAsia="Calibri" w:cs="Times New Roman"/>
          <w:kern w:val="0"/>
          <w14:ligatures w14:val="none"/>
        </w:rPr>
        <w:t xml:space="preserve"> bestrijden belastingontwijking waarbij gebruik wordt gemaakt van zogenoemde hybridemismatches. Hybridemismatches zijn situaties waarin een belastingvoordeel wordt behaald door gebruik te maken van de verschillen tussen vennootschapsbelastingstelsels; meer in het bijzonder door gebruik te maken van verschillen in de fiscale behandeling (kwalificatie) van lichamen, instrumenten of vaste inrichtingen. Met de hybridemismatchmaatregel wordt beoogd de voordelen van hybridemismatches te neutraliseren die worden veroorzaakt door de wisselwerking van (kwalificatie)verschillen tussen belastingstelsels. De maatregelen </w:t>
      </w:r>
      <w:r>
        <w:rPr>
          <w:rFonts w:eastAsia="Calibri" w:cs="Times New Roman"/>
          <w:kern w:val="0"/>
          <w14:ligatures w14:val="none"/>
        </w:rPr>
        <w:t>hebben tot doel</w:t>
      </w:r>
      <w:r w:rsidRPr="00B84DA9">
        <w:rPr>
          <w:rFonts w:eastAsia="Calibri" w:cs="Times New Roman"/>
          <w:kern w:val="0"/>
          <w14:ligatures w14:val="none"/>
        </w:rPr>
        <w:t xml:space="preserve"> om mismatches te</w:t>
      </w:r>
      <w:r>
        <w:rPr>
          <w:rFonts w:eastAsia="Calibri" w:cs="Times New Roman"/>
          <w:kern w:val="0"/>
          <w14:ligatures w14:val="none"/>
        </w:rPr>
        <w:t xml:space="preserve"> bestrijden</w:t>
      </w:r>
      <w:r w:rsidRPr="00B84DA9">
        <w:rPr>
          <w:rFonts w:eastAsia="Calibri" w:cs="Times New Roman"/>
          <w:kern w:val="0"/>
          <w14:ligatures w14:val="none"/>
        </w:rPr>
        <w:t xml:space="preserve"> die hun oorsprong hebben in een hybride element. Voor de toepassing van de hybride mismatchmaatregelen beoordeelt de inspecteur aan de hand van de feiten en de </w:t>
      </w:r>
      <w:r w:rsidRPr="00B84DA9">
        <w:rPr>
          <w:rFonts w:eastAsia="Calibri" w:cs="Times New Roman"/>
          <w:kern w:val="0"/>
          <w14:ligatures w14:val="none"/>
        </w:rPr>
        <w:lastRenderedPageBreak/>
        <w:t>omstandigheden van het concrete geval of de betaling van royalty’s leidt tot een aftrek zonder betrekking in de heffing of een dubbele aftrek en of die uitkomst het gevolg is van een kwalificatieverschil of een verschil in toerekening tussen de betrokken jurisdicties.</w:t>
      </w:r>
      <w:r w:rsidRPr="00087D0D">
        <w:rPr>
          <w:rFonts w:eastAsia="Calibri" w:cs="Times New Roman"/>
          <w:kern w:val="0"/>
          <w14:ligatures w14:val="none"/>
        </w:rPr>
        <w:t xml:space="preserve"> Als er geen sprake is van een hybride mismatch, </w:t>
      </w:r>
      <w:r w:rsidRPr="00E13B70">
        <w:rPr>
          <w:rFonts w:eastAsia="Calibri" w:cs="Times New Roman"/>
          <w:kern w:val="0"/>
          <w14:ligatures w14:val="none"/>
        </w:rPr>
        <w:t xml:space="preserve">dan beperkt ATAD2 de aftrek van royalty’s niet. </w:t>
      </w:r>
    </w:p>
    <w:p w:rsidRPr="00B84DA9" w:rsidR="00CD7BCE" w:rsidP="00CD7BCE" w:rsidRDefault="00CD7BCE" w14:paraId="081638EE" w14:textId="77777777">
      <w:pPr>
        <w:spacing w:after="0" w:line="240" w:lineRule="auto"/>
        <w:rPr>
          <w:rFonts w:eastAsia="Calibri" w:cs="Times New Roman"/>
          <w:b/>
          <w:bCs/>
          <w:kern w:val="0"/>
          <w:sz w:val="20"/>
          <w:szCs w:val="20"/>
          <w14:ligatures w14:val="none"/>
        </w:rPr>
      </w:pPr>
    </w:p>
    <w:p w:rsidRPr="00E174F2" w:rsidR="00CD7BCE" w:rsidP="00CD7BCE" w:rsidRDefault="00CD7BCE" w14:paraId="5792A8AC" w14:textId="77777777">
      <w:pPr>
        <w:spacing w:after="0" w:line="240" w:lineRule="auto"/>
        <w:rPr>
          <w:rFonts w:eastAsia="Calibri" w:cs="Times New Roman"/>
          <w:b/>
          <w:bCs/>
          <w:i/>
          <w:iCs/>
          <w:kern w:val="0"/>
          <w14:ligatures w14:val="none"/>
        </w:rPr>
      </w:pPr>
      <w:r w:rsidRPr="00E174F2">
        <w:rPr>
          <w:rFonts w:eastAsia="Calibri" w:cs="Times New Roman"/>
          <w:b/>
          <w:bCs/>
          <w:i/>
          <w:iCs/>
          <w:kern w:val="0"/>
          <w14:ligatures w14:val="none"/>
        </w:rPr>
        <w:t xml:space="preserve">Vraag 7. </w:t>
      </w:r>
    </w:p>
    <w:p w:rsidRPr="00E174F2" w:rsidR="00CD7BCE" w:rsidP="00CD7BCE" w:rsidRDefault="00CD7BCE" w14:paraId="305DC0C0" w14:textId="77777777">
      <w:pPr>
        <w:spacing w:after="0" w:line="240" w:lineRule="auto"/>
        <w:rPr>
          <w:rFonts w:eastAsia="Calibri" w:cs="Times New Roman"/>
          <w:kern w:val="0"/>
          <w14:ligatures w14:val="none"/>
        </w:rPr>
      </w:pPr>
      <w:r w:rsidRPr="00E174F2">
        <w:rPr>
          <w:rFonts w:eastAsia="Calibri" w:cs="Times New Roman"/>
          <w:kern w:val="0"/>
          <w14:ligatures w14:val="none"/>
        </w:rPr>
        <w:t>Klopt het dat de CV sinds 2022 als een zogenoemde omgekeerde hybride wordt beschouwd omdat de Amerikaanse vennootschap als aandeelhouder van de Singaporese vennootschap een indirect belang heeft in de CV en de Verenigde Staten de CV als niet-transparant zien? Zo ja, betekent dit dat de CV belastingplichtig wordt voor de vennootschapsbelasting maar dat de winst die toerekenbaar is aan de Singaporese vennootschap aftrekbaar is indien wordt voldaan aan de voorwaarden van artikel 9, eerste lid, onderdeel e, van de Wet op de vennootschapsbelasting 1969?</w:t>
      </w:r>
    </w:p>
    <w:p w:rsidRPr="00B84DA9" w:rsidR="00CD7BCE" w:rsidP="00CD7BCE" w:rsidRDefault="00CD7BCE" w14:paraId="17B85FAB" w14:textId="77777777">
      <w:pPr>
        <w:spacing w:after="0" w:line="240" w:lineRule="auto"/>
        <w:rPr>
          <w:rFonts w:eastAsia="Calibri" w:cs="Times New Roman"/>
          <w:kern w:val="0"/>
          <w:sz w:val="20"/>
          <w:szCs w:val="20"/>
          <w14:ligatures w14:val="none"/>
        </w:rPr>
      </w:pPr>
    </w:p>
    <w:p w:rsidRPr="00E174F2" w:rsidR="00CD7BCE" w:rsidP="00CD7BCE" w:rsidRDefault="00CD7BCE" w14:paraId="173AD567" w14:textId="77777777">
      <w:pPr>
        <w:spacing w:after="0" w:line="240" w:lineRule="auto"/>
        <w:rPr>
          <w:rFonts w:eastAsia="Calibri" w:cs="Times New Roman"/>
          <w:b/>
          <w:bCs/>
          <w:kern w:val="0"/>
          <w:sz w:val="20"/>
          <w:szCs w:val="20"/>
          <w14:ligatures w14:val="none"/>
        </w:rPr>
      </w:pPr>
      <w:r w:rsidRPr="00E174F2">
        <w:rPr>
          <w:rFonts w:eastAsia="Calibri" w:cs="Times New Roman"/>
          <w:b/>
          <w:bCs/>
          <w:kern w:val="0"/>
          <w14:ligatures w14:val="none"/>
        </w:rPr>
        <w:t>Antwoord 7</w:t>
      </w:r>
      <w:r>
        <w:rPr>
          <w:rFonts w:eastAsia="Calibri" w:cs="Times New Roman"/>
          <w:b/>
          <w:bCs/>
          <w:kern w:val="0"/>
          <w14:ligatures w14:val="none"/>
        </w:rPr>
        <w:t>.</w:t>
      </w:r>
    </w:p>
    <w:p w:rsidRPr="00B84DA9" w:rsidR="00CD7BCE" w:rsidP="00CD7BCE" w:rsidRDefault="00CD7BCE" w14:paraId="47197F53" w14:textId="77777777">
      <w:pPr>
        <w:spacing w:after="0" w:line="240" w:lineRule="auto"/>
        <w:rPr>
          <w:rFonts w:eastAsia="Calibri" w:cs="Times New Roman"/>
          <w:kern w:val="0"/>
          <w14:ligatures w14:val="none"/>
        </w:rPr>
      </w:pPr>
      <w:r w:rsidRPr="00B84DA9">
        <w:rPr>
          <w:rFonts w:eastAsia="Calibri" w:cs="Times New Roman"/>
          <w:kern w:val="0"/>
          <w14:ligatures w14:val="none"/>
        </w:rPr>
        <w:t xml:space="preserve">Per 1 januari 2022 is in de Wet </w:t>
      </w:r>
      <w:r>
        <w:rPr>
          <w:rFonts w:eastAsia="Calibri" w:cs="Times New Roman"/>
          <w:kern w:val="0"/>
          <w14:ligatures w14:val="none"/>
        </w:rPr>
        <w:t xml:space="preserve">Vpb </w:t>
      </w:r>
      <w:r w:rsidRPr="00B84DA9">
        <w:rPr>
          <w:rFonts w:eastAsia="Calibri" w:cs="Times New Roman"/>
          <w:kern w:val="0"/>
          <w14:ligatures w14:val="none"/>
        </w:rPr>
        <w:t>1969 de belastingplichtmaatregel voor omgekeerde hybride lichamen uit ATAD2 in werking getreden.</w:t>
      </w:r>
      <w:r w:rsidRPr="0010096B">
        <w:rPr>
          <w:rFonts w:eastAsia="Calibri" w:cs="Times New Roman"/>
          <w:kern w:val="0"/>
          <w:vertAlign w:val="superscript"/>
          <w14:ligatures w14:val="none"/>
        </w:rPr>
        <w:footnoteReference w:id="6"/>
      </w:r>
      <w:r w:rsidRPr="0010096B">
        <w:rPr>
          <w:rFonts w:eastAsia="Calibri" w:cs="Times New Roman"/>
          <w:kern w:val="0"/>
          <w:vertAlign w:val="superscript"/>
          <w14:ligatures w14:val="none"/>
        </w:rPr>
        <w:t>.</w:t>
      </w:r>
      <w:r w:rsidRPr="00B84DA9">
        <w:rPr>
          <w:rFonts w:eastAsia="Calibri" w:cs="Times New Roman"/>
          <w:kern w:val="0"/>
          <w14:ligatures w14:val="none"/>
        </w:rPr>
        <w:t xml:space="preserve"> Op grond daarvan kan een naar Nederlands recht aangegaan of in Nederland gevestigd samenwerkingsverband dat in beginsel voor Nederlandse belastingwetgeving transparant is, onder omstandigheden worden aangemerkt als binnenlands belastingplichtig voor de Wet </w:t>
      </w:r>
      <w:r>
        <w:rPr>
          <w:rFonts w:eastAsia="Calibri" w:cs="Times New Roman"/>
          <w:kern w:val="0"/>
          <w14:ligatures w14:val="none"/>
        </w:rPr>
        <w:t>Vpb 1969</w:t>
      </w:r>
      <w:r w:rsidRPr="00B84DA9">
        <w:rPr>
          <w:rFonts w:eastAsia="Calibri" w:cs="Times New Roman"/>
          <w:kern w:val="0"/>
          <w14:ligatures w14:val="none"/>
        </w:rPr>
        <w:t xml:space="preserve">. </w:t>
      </w:r>
    </w:p>
    <w:p w:rsidRPr="00B84DA9" w:rsidR="00CD7BCE" w:rsidP="00CD7BCE" w:rsidRDefault="00CD7BCE" w14:paraId="383661C1" w14:textId="77777777">
      <w:pPr>
        <w:spacing w:after="0" w:line="240" w:lineRule="auto"/>
        <w:rPr>
          <w:rFonts w:eastAsia="Calibri" w:cs="Times New Roman"/>
          <w:kern w:val="0"/>
          <w14:ligatures w14:val="none"/>
        </w:rPr>
      </w:pPr>
      <w:r w:rsidRPr="00B84DA9">
        <w:rPr>
          <w:rFonts w:eastAsia="Calibri" w:cs="Times New Roman"/>
          <w:kern w:val="0"/>
          <w14:ligatures w14:val="none"/>
        </w:rPr>
        <w:t xml:space="preserve">Indien de CV als omgekeerd hybride lichaam binnenlands belastingplichtig is voor de Wet Vpb 1969, kan bij het bepalen van de winst onder omstandigheden een aftrek worden verleend voor het gedeelte van de winst van een lichaam dat in een naar de winst geheven belasting wordt betrokken bij de houders van stemrechten, kapitaalbelangen of winstrechten in dat lichaam die woonachtig of gevestigd zijn in een staat die dat lichaam niet als een belastingplichtige voor een naar de winst geheven belasting beschouwt. Van betrekking in de heffing is bijvoorbeeld geen sprake indien een betaling – op basis van de kwalificatie van die betaling – in aanmerking komt voor een belastingvrijstelling. Hiermee wordt voorkomen dat aftrek wordt verleend voor winst die niet in een naar de winst geheven belasting wordt betrokken. </w:t>
      </w:r>
      <w:r>
        <w:rPr>
          <w:rFonts w:eastAsia="Calibri" w:cs="Times New Roman"/>
          <w:kern w:val="0"/>
          <w14:ligatures w14:val="none"/>
        </w:rPr>
        <w:t>Er kan</w:t>
      </w:r>
      <w:r w:rsidRPr="00B84DA9">
        <w:rPr>
          <w:rFonts w:eastAsia="Calibri" w:cs="Times New Roman"/>
          <w:kern w:val="0"/>
          <w14:ligatures w14:val="none"/>
        </w:rPr>
        <w:t xml:space="preserve"> in algemene zin </w:t>
      </w:r>
      <w:r>
        <w:rPr>
          <w:rFonts w:eastAsia="Calibri" w:cs="Times New Roman"/>
          <w:kern w:val="0"/>
          <w14:ligatures w14:val="none"/>
        </w:rPr>
        <w:t xml:space="preserve">niet </w:t>
      </w:r>
      <w:r w:rsidRPr="00B84DA9">
        <w:rPr>
          <w:rFonts w:eastAsia="Calibri" w:cs="Times New Roman"/>
          <w:kern w:val="0"/>
          <w14:ligatures w14:val="none"/>
        </w:rPr>
        <w:t>worden bevestigd dat de winst die toerekenbaar is aan de Singaporese vennootschap aftrekbaar is. De inspecteur beoordeelt dit aan de hand van de relevante feiten en omstandigheden van het concrete geval.</w:t>
      </w:r>
    </w:p>
    <w:p w:rsidRPr="0047265C" w:rsidR="00CD7BCE" w:rsidP="00CD7BCE" w:rsidRDefault="00CD7BCE" w14:paraId="1950F159" w14:textId="77777777">
      <w:pPr>
        <w:spacing w:after="0" w:line="240" w:lineRule="auto"/>
        <w:rPr>
          <w:rFonts w:eastAsia="Calibri" w:cs="Times New Roman"/>
          <w:b/>
          <w:bCs/>
          <w:kern w:val="0"/>
          <w14:ligatures w14:val="none"/>
        </w:rPr>
      </w:pPr>
    </w:p>
    <w:p w:rsidRPr="00E174F2" w:rsidR="00CD7BCE" w:rsidP="00CD7BCE" w:rsidRDefault="00CD7BCE" w14:paraId="51479AB4"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 xml:space="preserve">Vraag 8. </w:t>
      </w:r>
    </w:p>
    <w:p w:rsidRPr="00E174F2" w:rsidR="00CD7BCE" w:rsidP="00CD7BCE" w:rsidRDefault="00CD7BCE" w14:paraId="4306CE25" w14:textId="77777777">
      <w:pPr>
        <w:spacing w:after="0" w:line="240" w:lineRule="auto"/>
        <w:rPr>
          <w:rFonts w:eastAsia="Calibri" w:cs="Times New Roman"/>
          <w:kern w:val="0"/>
          <w14:ligatures w14:val="none"/>
        </w:rPr>
      </w:pPr>
      <w:r w:rsidRPr="00E174F2">
        <w:rPr>
          <w:rFonts w:eastAsia="Calibri" w:cs="Times New Roman"/>
          <w:kern w:val="0"/>
          <w14:ligatures w14:val="none"/>
        </w:rPr>
        <w:t xml:space="preserve">Kwalificeert of kwalificeerde de wijze waarop Singapore het inkomen van de Singaporese vennootschap als vennoot in de CV in de heffing betrok of betrekt als “in een naar de winst geheven belasting wordt betrokken” in de zin van </w:t>
      </w:r>
      <w:bookmarkStart w:name="_Hlk232684829" w:id="0"/>
      <w:r w:rsidRPr="00E174F2">
        <w:rPr>
          <w:rFonts w:eastAsia="Calibri" w:cs="Times New Roman"/>
          <w:kern w:val="0"/>
          <w14:ligatures w14:val="none"/>
        </w:rPr>
        <w:t>artikel 9, eerste lid, onderdeel e, van de Wet op de vennootschapsbelasting 1969</w:t>
      </w:r>
      <w:bookmarkEnd w:id="0"/>
      <w:r w:rsidRPr="00E174F2">
        <w:rPr>
          <w:rFonts w:eastAsia="Calibri" w:cs="Times New Roman"/>
          <w:kern w:val="0"/>
          <w14:ligatures w14:val="none"/>
        </w:rPr>
        <w:t>, zelfs indien daarbij wordt aangenomen dat Singapore over dit inkomen vanwege het aldaar vigerende territoriale belastingsysteem niet daadwerkelijk belasting heft? Is het mogelijk om over deze kwalificatie afspraken te maken met de Nederlandse fiscus? Zijn er met de Nederlandse fiscus afspraken gemaakt over deze kwalificatie en zo ja, hoeveel?</w:t>
      </w:r>
    </w:p>
    <w:p w:rsidRPr="0047265C" w:rsidR="00CD7BCE" w:rsidP="00CD7BCE" w:rsidRDefault="00CD7BCE" w14:paraId="771F4AB6" w14:textId="77777777">
      <w:pPr>
        <w:spacing w:after="0" w:line="240" w:lineRule="auto"/>
        <w:rPr>
          <w:rFonts w:eastAsia="Calibri" w:cs="Times New Roman"/>
          <w:i/>
          <w:iCs/>
          <w:kern w:val="0"/>
          <w14:ligatures w14:val="none"/>
        </w:rPr>
      </w:pPr>
    </w:p>
    <w:p w:rsidRPr="00E174F2" w:rsidR="00CD7BCE" w:rsidP="00CD7BCE" w:rsidRDefault="00CD7BCE" w14:paraId="06823031"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Vraag 9.</w:t>
      </w:r>
    </w:p>
    <w:p w:rsidRPr="00E174F2" w:rsidR="00CD7BCE" w:rsidP="00CD7BCE" w:rsidRDefault="00CD7BCE" w14:paraId="4B7F75E2" w14:textId="77777777">
      <w:pPr>
        <w:spacing w:after="0" w:line="240" w:lineRule="auto"/>
        <w:rPr>
          <w:rFonts w:eastAsia="Calibri" w:cs="Times New Roman"/>
          <w:kern w:val="0"/>
          <w14:ligatures w14:val="none"/>
        </w:rPr>
      </w:pPr>
      <w:r w:rsidRPr="00E174F2">
        <w:rPr>
          <w:rFonts w:eastAsia="Calibri" w:cs="Times New Roman"/>
          <w:kern w:val="0"/>
          <w14:ligatures w14:val="none"/>
        </w:rPr>
        <w:t>Veronderstellend dat de voorgaande vraag bevestigend wordt beantwoord, leidt één en ander er dan toe dat de CV vanaf 2022 weliswaar belastingplichtig is voor de Nederlandse vennootschapsbelasting maar dat er niettemin weinig Nederlandse vennootschapsbelasting kan worden geheven omdat bij het bepalen van de omvang van de winst van de CV de winst die toerekenbaar is aan de Singaporese vennootschap (ruim 99 procent) aftrekbaar is?</w:t>
      </w:r>
    </w:p>
    <w:p w:rsidRPr="0047265C" w:rsidR="00CD7BCE" w:rsidP="00CD7BCE" w:rsidRDefault="00CD7BCE" w14:paraId="73DA2DC6" w14:textId="77777777">
      <w:pPr>
        <w:spacing w:after="0" w:line="240" w:lineRule="auto"/>
        <w:rPr>
          <w:rFonts w:eastAsia="Calibri" w:cs="Times New Roman"/>
          <w:kern w:val="0"/>
          <w14:ligatures w14:val="none"/>
        </w:rPr>
      </w:pPr>
    </w:p>
    <w:p w:rsidRPr="00E174F2" w:rsidR="00CD7BCE" w:rsidP="00CD7BCE" w:rsidRDefault="00CD7BCE" w14:paraId="141AFA7F"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Antwoord vraag 8 &amp; 9</w:t>
      </w:r>
    </w:p>
    <w:p w:rsidRPr="0047265C" w:rsidR="00CD7BCE" w:rsidP="00CD7BCE" w:rsidRDefault="00CD7BCE" w14:paraId="6A088D76" w14:textId="77777777">
      <w:pPr>
        <w:spacing w:after="0" w:line="240" w:lineRule="auto"/>
        <w:rPr>
          <w:rFonts w:eastAsia="Calibri" w:cs="Times New Roman"/>
          <w:kern w:val="0"/>
          <w14:ligatures w14:val="none"/>
        </w:rPr>
      </w:pPr>
      <w:r w:rsidRPr="0047265C">
        <w:rPr>
          <w:rFonts w:eastAsia="Calibri" w:cs="Times New Roman"/>
          <w:kern w:val="0"/>
          <w14:ligatures w14:val="none"/>
        </w:rPr>
        <w:t>De Belastingdienst geeft binnen de kaders van wet- en regelgeving, beleid en jurisprudentie</w:t>
      </w:r>
    </w:p>
    <w:p w:rsidRPr="00621537" w:rsidR="00CD7BCE" w:rsidP="00CD7BCE" w:rsidRDefault="00CD7BCE" w14:paraId="6527D1F7" w14:textId="77777777">
      <w:pPr>
        <w:spacing w:after="0" w:line="240" w:lineRule="auto"/>
        <w:rPr>
          <w:rFonts w:eastAsia="Calibri" w:cs="Times New Roman"/>
          <w:kern w:val="0"/>
          <w14:ligatures w14:val="none"/>
        </w:rPr>
      </w:pPr>
      <w:r w:rsidRPr="0047265C">
        <w:rPr>
          <w:rFonts w:eastAsia="Calibri" w:cs="Times New Roman"/>
          <w:kern w:val="0"/>
          <w14:ligatures w14:val="none"/>
        </w:rPr>
        <w:lastRenderedPageBreak/>
        <w:t xml:space="preserve">zekerheid vooraf over de fiscale gevolgen van voorgenomen handelingen of transacties. Dit geldt ook over de toepassing van artikel 9, eerste lid, onderdeel e, van de Wet </w:t>
      </w:r>
      <w:r>
        <w:rPr>
          <w:rFonts w:eastAsia="Calibri" w:cs="Times New Roman"/>
          <w:kern w:val="0"/>
          <w14:ligatures w14:val="none"/>
        </w:rPr>
        <w:t xml:space="preserve">Vpb </w:t>
      </w:r>
      <w:r w:rsidRPr="0047265C">
        <w:rPr>
          <w:rFonts w:eastAsia="Calibri" w:cs="Times New Roman"/>
          <w:kern w:val="0"/>
          <w14:ligatures w14:val="none"/>
        </w:rPr>
        <w:t>1969 in een specifieke situatie. Met ingang van 1 juli 2019 is de Nederlandse rulingpraktijk aangescherpt. De wijzigingen zien op</w:t>
      </w:r>
      <w:r>
        <w:rPr>
          <w:rFonts w:eastAsia="Calibri" w:cs="Times New Roman"/>
          <w:kern w:val="0"/>
          <w14:ligatures w14:val="none"/>
        </w:rPr>
        <w:t xml:space="preserve"> </w:t>
      </w:r>
      <w:r w:rsidRPr="0047265C">
        <w:rPr>
          <w:rFonts w:eastAsia="Calibri" w:cs="Times New Roman"/>
          <w:kern w:val="0"/>
          <w14:ligatures w14:val="none"/>
        </w:rPr>
        <w:t>zowel de inhoud, het proces, als de transparantie. De eisen om zekerheid vooraf te kunnen krijgen</w:t>
      </w:r>
      <w:r>
        <w:rPr>
          <w:rFonts w:eastAsia="Calibri" w:cs="Times New Roman"/>
          <w:kern w:val="0"/>
          <w14:ligatures w14:val="none"/>
        </w:rPr>
        <w:t xml:space="preserve"> </w:t>
      </w:r>
      <w:r w:rsidRPr="0047265C">
        <w:rPr>
          <w:rFonts w:eastAsia="Calibri" w:cs="Times New Roman"/>
          <w:kern w:val="0"/>
          <w14:ligatures w14:val="none"/>
        </w:rPr>
        <w:t>zijn hierbij aangescherpt. Een van de aanscherpingen ziet erop dat naast Nederlandse besparing,</w:t>
      </w:r>
      <w:r>
        <w:rPr>
          <w:rFonts w:eastAsia="Calibri" w:cs="Times New Roman"/>
          <w:kern w:val="0"/>
          <w14:ligatures w14:val="none"/>
        </w:rPr>
        <w:t xml:space="preserve"> </w:t>
      </w:r>
      <w:r w:rsidRPr="0047265C">
        <w:rPr>
          <w:rFonts w:eastAsia="Calibri" w:cs="Times New Roman"/>
          <w:kern w:val="0"/>
          <w14:ligatures w14:val="none"/>
        </w:rPr>
        <w:t>ook buitenlandse belastingbesparing niet de enige dan wel doorslaggevende reden mag zijn van de</w:t>
      </w:r>
      <w:r>
        <w:rPr>
          <w:rFonts w:eastAsia="Calibri" w:cs="Times New Roman"/>
          <w:kern w:val="0"/>
          <w14:ligatures w14:val="none"/>
        </w:rPr>
        <w:t xml:space="preserve"> </w:t>
      </w:r>
      <w:r w:rsidRPr="0047265C">
        <w:rPr>
          <w:rFonts w:eastAsia="Calibri" w:cs="Times New Roman"/>
          <w:kern w:val="0"/>
          <w14:ligatures w14:val="none"/>
        </w:rPr>
        <w:t>rechtshandeling waarvoor zekerheid wordt gevraagd. Ook wordt met ingang van die datum geen</w:t>
      </w:r>
      <w:r>
        <w:rPr>
          <w:rFonts w:eastAsia="Calibri" w:cs="Times New Roman"/>
          <w:kern w:val="0"/>
          <w14:ligatures w14:val="none"/>
        </w:rPr>
        <w:t xml:space="preserve"> </w:t>
      </w:r>
      <w:r w:rsidRPr="0047265C">
        <w:rPr>
          <w:rFonts w:eastAsia="Calibri" w:cs="Times New Roman"/>
          <w:kern w:val="0"/>
          <w14:ligatures w14:val="none"/>
        </w:rPr>
        <w:t>zekerheid vooraf gegeven indien de gevraagde zekerheid vooraf betrekking heeft op de fiscale</w:t>
      </w:r>
      <w:r>
        <w:rPr>
          <w:rFonts w:eastAsia="Calibri" w:cs="Times New Roman"/>
          <w:kern w:val="0"/>
          <w14:ligatures w14:val="none"/>
        </w:rPr>
        <w:t xml:space="preserve"> </w:t>
      </w:r>
      <w:r w:rsidRPr="0047265C">
        <w:rPr>
          <w:rFonts w:eastAsia="Calibri" w:cs="Times New Roman"/>
          <w:kern w:val="0"/>
          <w14:ligatures w14:val="none"/>
        </w:rPr>
        <w:t>gevolgen van directe transacties met entiteiten die zijn gevestigd in staten die zijn opgenomen in</w:t>
      </w:r>
      <w:r>
        <w:rPr>
          <w:rFonts w:eastAsia="Calibri" w:cs="Times New Roman"/>
          <w:kern w:val="0"/>
          <w14:ligatures w14:val="none"/>
        </w:rPr>
        <w:t xml:space="preserve"> </w:t>
      </w:r>
      <w:r w:rsidRPr="0047265C">
        <w:rPr>
          <w:rFonts w:eastAsia="Calibri" w:cs="Times New Roman"/>
          <w:kern w:val="0"/>
          <w14:ligatures w14:val="none"/>
        </w:rPr>
        <w:t>de Regeling laagbelastende staten en niet-coöperatieve rechtsgebieden voor belastingdoeleinden.</w:t>
      </w:r>
      <w:r>
        <w:rPr>
          <w:rFonts w:eastAsia="Calibri" w:cs="Times New Roman"/>
          <w:kern w:val="0"/>
          <w14:ligatures w14:val="none"/>
        </w:rPr>
        <w:t xml:space="preserve"> </w:t>
      </w:r>
      <w:r w:rsidRPr="0047265C">
        <w:rPr>
          <w:rFonts w:eastAsia="Calibri" w:cs="Times New Roman"/>
          <w:kern w:val="0"/>
          <w14:ligatures w14:val="none"/>
        </w:rPr>
        <w:t>Aan het Besluit vooroverleg rulings met een internationaal karakter</w:t>
      </w:r>
      <w:r w:rsidRPr="0047265C">
        <w:rPr>
          <w:rFonts w:eastAsia="Calibri" w:cs="Times New Roman"/>
          <w:kern w:val="0"/>
          <w:vertAlign w:val="superscript"/>
          <w14:ligatures w14:val="none"/>
        </w:rPr>
        <w:footnoteReference w:id="7"/>
      </w:r>
      <w:r w:rsidRPr="0047265C">
        <w:rPr>
          <w:rFonts w:eastAsia="Calibri" w:cs="Times New Roman"/>
          <w:kern w:val="0"/>
          <w14:ligatures w14:val="none"/>
        </w:rPr>
        <w:t xml:space="preserve"> zijn per december 2023</w:t>
      </w:r>
      <w:r>
        <w:rPr>
          <w:rFonts w:eastAsia="Calibri" w:cs="Times New Roman"/>
          <w:kern w:val="0"/>
          <w14:ligatures w14:val="none"/>
        </w:rPr>
        <w:t xml:space="preserve"> </w:t>
      </w:r>
      <w:r w:rsidRPr="0047265C">
        <w:rPr>
          <w:rFonts w:eastAsia="Calibri" w:cs="Times New Roman"/>
          <w:kern w:val="0"/>
          <w14:ligatures w14:val="none"/>
        </w:rPr>
        <w:t>uitzonderingen toegevoegd die het mogelijk maken om onder strikte voorwaarden toch vooroverleg</w:t>
      </w:r>
      <w:r>
        <w:rPr>
          <w:rFonts w:eastAsia="Calibri" w:cs="Times New Roman"/>
          <w:kern w:val="0"/>
          <w14:ligatures w14:val="none"/>
        </w:rPr>
        <w:t xml:space="preserve"> </w:t>
      </w:r>
      <w:r w:rsidRPr="0047265C">
        <w:rPr>
          <w:rFonts w:eastAsia="Calibri" w:cs="Times New Roman"/>
          <w:kern w:val="0"/>
          <w14:ligatures w14:val="none"/>
        </w:rPr>
        <w:t>te voeren terwijl niet aan alle vereisten uit paragraaf 3 onderdeel a en b wordt voldaan. Bijvoorbeeld in situaties waarin een belastingontwijkende structuur binnen een zo kort mogelijk</w:t>
      </w:r>
      <w:r>
        <w:rPr>
          <w:rFonts w:eastAsia="Calibri" w:cs="Times New Roman"/>
          <w:kern w:val="0"/>
          <w14:ligatures w14:val="none"/>
        </w:rPr>
        <w:t xml:space="preserve"> </w:t>
      </w:r>
      <w:r w:rsidRPr="0047265C">
        <w:rPr>
          <w:rFonts w:eastAsia="Calibri" w:cs="Times New Roman"/>
          <w:kern w:val="0"/>
          <w14:ligatures w14:val="none"/>
        </w:rPr>
        <w:t>maar realistisch tijdpad volledig wordt ontmanteld of de Belastingdienst grondslag beschermende</w:t>
      </w:r>
      <w:r>
        <w:rPr>
          <w:rFonts w:eastAsia="Calibri" w:cs="Times New Roman"/>
          <w:kern w:val="0"/>
          <w14:ligatures w14:val="none"/>
        </w:rPr>
        <w:t xml:space="preserve"> </w:t>
      </w:r>
      <w:r w:rsidRPr="0047265C">
        <w:rPr>
          <w:rFonts w:eastAsia="Calibri" w:cs="Times New Roman"/>
          <w:kern w:val="0"/>
          <w14:ligatures w14:val="none"/>
        </w:rPr>
        <w:t>wetsartikelen wil toepassen waardoor de (Nederlandse en buitenlandse) belastingontwijkende</w:t>
      </w:r>
      <w:r>
        <w:rPr>
          <w:rFonts w:eastAsia="Calibri" w:cs="Times New Roman"/>
          <w:kern w:val="0"/>
          <w14:ligatures w14:val="none"/>
        </w:rPr>
        <w:t xml:space="preserve"> </w:t>
      </w:r>
      <w:r w:rsidRPr="0047265C">
        <w:rPr>
          <w:rFonts w:eastAsia="Calibri" w:cs="Times New Roman"/>
          <w:kern w:val="0"/>
          <w14:ligatures w14:val="none"/>
        </w:rPr>
        <w:t>elementen volledig worden weggenomen.</w:t>
      </w:r>
      <w:r>
        <w:rPr>
          <w:rFonts w:eastAsia="Calibri" w:cs="Times New Roman"/>
          <w:kern w:val="0"/>
          <w14:ligatures w14:val="none"/>
        </w:rPr>
        <w:t xml:space="preserve"> </w:t>
      </w:r>
      <w:r w:rsidRPr="0047265C">
        <w:rPr>
          <w:rFonts w:eastAsia="Calibri" w:cs="Times New Roman"/>
          <w:kern w:val="0"/>
          <w14:ligatures w14:val="none"/>
        </w:rPr>
        <w:t>De Belastingdienst beoordeelt dan ook in het kader van de behandeling van een verzoek tot internationaal vooroverleg het doel van de (rechts)handeling waarvoor zekerheid vooraf wordt gevraagd. Uit de door de Belastingdienst gepubliceerde anonieme samenvattingen</w:t>
      </w:r>
      <w:r w:rsidRPr="0047265C">
        <w:rPr>
          <w:rFonts w:eastAsia="Calibri" w:cs="Times New Roman"/>
          <w:kern w:val="0"/>
          <w:vertAlign w:val="superscript"/>
          <w14:ligatures w14:val="none"/>
        </w:rPr>
        <w:footnoteReference w:id="8"/>
      </w:r>
      <w:r w:rsidRPr="0047265C">
        <w:rPr>
          <w:rFonts w:eastAsia="Calibri" w:cs="Times New Roman"/>
          <w:kern w:val="0"/>
          <w14:ligatures w14:val="none"/>
        </w:rPr>
        <w:t xml:space="preserve"> blijkt dat een overweging is opgenomen of het besparen van Nederlandse of buitenlandse belasting al dan niet de enige dan wel doorslaggevende beweegreden is voor het verrichten van de rechts)handeling(en). Indien het besparen van Nederlandse of buitenlandse belasting de enige dan wel doorslaggevende reden is, wordt geen zekerheid vooraf verstrekt. Van alle toegewezen, afgewezen als ingetrokken verzoeken om vooroverleg wordt een geanonimiseerde samenvatting gepubliceerd.</w:t>
      </w:r>
      <w:r w:rsidRPr="0047265C">
        <w:rPr>
          <w:rFonts w:eastAsia="Calibri" w:cs="Times New Roman"/>
          <w:kern w:val="0"/>
          <w:vertAlign w:val="superscript"/>
          <w14:ligatures w14:val="none"/>
        </w:rPr>
        <w:footnoteReference w:id="9"/>
      </w:r>
      <w:r w:rsidRPr="0047265C">
        <w:rPr>
          <w:rFonts w:eastAsia="Calibri" w:cs="Times New Roman"/>
          <w:kern w:val="0"/>
          <w14:ligatures w14:val="none"/>
        </w:rPr>
        <w:t xml:space="preserve"> Een onafhankelijke onderzoekscommissie verricht periodiek een kwalitatief onderzoek naar de door de Belastingdienst afgegeven rulings met een internationaal karakter. De samenvatting en de resultaten van het onderzoek door de onafhankelijke commissie zijn als onderdeel van de Stand van zakenbrief Belastingdienst met uw Kamer gedeeld. De onderzoekscommissie is van mening dat, net als bij de eerdere onderzoeken, de Belastingdienst bij het verstrekken van rulings binnen de kaders van wetgeving, beleid en jurisprudentie blijft, zorgvuldig en consciëntieus werkt en het kwalitatieve niveau hierbij hoog ligt.</w:t>
      </w:r>
      <w:r>
        <w:rPr>
          <w:rFonts w:eastAsia="Calibri" w:cs="Times New Roman"/>
          <w:kern w:val="0"/>
          <w14:ligatures w14:val="none"/>
        </w:rPr>
        <w:t xml:space="preserve"> </w:t>
      </w:r>
      <w:r w:rsidRPr="00E13B70">
        <w:rPr>
          <w:rFonts w:eastAsia="Calibri" w:cs="Times New Roman"/>
          <w:kern w:val="0"/>
          <w14:ligatures w14:val="none"/>
        </w:rPr>
        <w:t>Er kan niet in algemene zin worden aangegeven of sprake is van een “</w:t>
      </w:r>
      <w:r w:rsidRPr="00E13B70">
        <w:rPr>
          <w:rFonts w:eastAsia="Calibri" w:cs="Times New Roman"/>
          <w:i/>
          <w:iCs/>
          <w:kern w:val="0"/>
          <w14:ligatures w14:val="none"/>
        </w:rPr>
        <w:t xml:space="preserve">in een naar de winst geheven belasting wordt betrokken” </w:t>
      </w:r>
      <w:r w:rsidRPr="00E13B70">
        <w:rPr>
          <w:rFonts w:eastAsia="Calibri" w:cs="Times New Roman"/>
          <w:kern w:val="0"/>
          <w14:ligatures w14:val="none"/>
        </w:rPr>
        <w:t>in de zin van artikel 9, eerste lid, onderdeel e, van de Wet Vpb 1969. Ook kan in algemene zin niet worden bevestigd dat de winst die toerekenbaar is aan een Singaporese vennootschap aftrekbaar is. De inspecteur beoordeelt dit aan de hand van de relevante feiten en omstandigheden van het concrete geval.</w:t>
      </w:r>
    </w:p>
    <w:p w:rsidRPr="0047265C" w:rsidR="00CD7BCE" w:rsidP="00CD7BCE" w:rsidRDefault="00CD7BCE" w14:paraId="43AED25D" w14:textId="77777777">
      <w:pPr>
        <w:spacing w:after="0" w:line="240" w:lineRule="auto"/>
        <w:rPr>
          <w:rFonts w:eastAsia="Calibri" w:cs="Times New Roman"/>
          <w:i/>
          <w:iCs/>
          <w:kern w:val="0"/>
          <w14:ligatures w14:val="none"/>
        </w:rPr>
      </w:pPr>
    </w:p>
    <w:p w:rsidRPr="00E174F2" w:rsidR="00CD7BCE" w:rsidP="00CD7BCE" w:rsidRDefault="00CD7BCE" w14:paraId="24C90743"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 xml:space="preserve">Vraag 10. </w:t>
      </w:r>
    </w:p>
    <w:p w:rsidRPr="00E174F2" w:rsidR="00CD7BCE" w:rsidP="00CD7BCE" w:rsidRDefault="00CD7BCE" w14:paraId="4F286823" w14:textId="77777777">
      <w:pPr>
        <w:spacing w:after="0" w:line="240" w:lineRule="auto"/>
        <w:rPr>
          <w:rFonts w:eastAsia="Calibri" w:cs="Times New Roman"/>
          <w:kern w:val="0"/>
          <w14:ligatures w14:val="none"/>
        </w:rPr>
      </w:pPr>
      <w:r w:rsidRPr="00E174F2">
        <w:rPr>
          <w:rFonts w:eastAsia="Calibri" w:cs="Times New Roman"/>
          <w:kern w:val="0"/>
          <w14:ligatures w14:val="none"/>
        </w:rPr>
        <w:t>Klopt het dat deze structuren zo kunnen worden opgezet dat de Singaporese vennootschap niet buitenlands belastingplichtig wordt voor de Nederlandse vennootschapsbelasting in de zin van artikel 17, onderdeel g, van de Wet vennootschapsbelasting 1969? Is het mogelijk om hierover afspraken te maken met de Nederlandse fiscus? Zijn hierover afspraken gemaakt en zo ja hoeveel?</w:t>
      </w:r>
    </w:p>
    <w:p w:rsidRPr="0047265C" w:rsidR="00CD7BCE" w:rsidP="00CD7BCE" w:rsidRDefault="00CD7BCE" w14:paraId="5C2FD58A" w14:textId="77777777">
      <w:pPr>
        <w:spacing w:after="0" w:line="240" w:lineRule="auto"/>
        <w:rPr>
          <w:rFonts w:eastAsia="Calibri" w:cs="Times New Roman"/>
          <w:i/>
          <w:iCs/>
          <w:kern w:val="0"/>
          <w14:ligatures w14:val="none"/>
        </w:rPr>
      </w:pPr>
    </w:p>
    <w:p w:rsidRPr="00E174F2" w:rsidR="00CD7BCE" w:rsidP="00CD7BCE" w:rsidRDefault="00CD7BCE" w14:paraId="321FEC45"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Vraag 11.</w:t>
      </w:r>
    </w:p>
    <w:p w:rsidRPr="00E174F2" w:rsidR="00CD7BCE" w:rsidP="00CD7BCE" w:rsidRDefault="00CD7BCE" w14:paraId="0DB7E471" w14:textId="77777777">
      <w:pPr>
        <w:spacing w:after="0" w:line="240" w:lineRule="auto"/>
        <w:rPr>
          <w:rFonts w:eastAsia="Calibri" w:cs="Times New Roman"/>
          <w:kern w:val="0"/>
          <w14:ligatures w14:val="none"/>
        </w:rPr>
      </w:pPr>
      <w:r w:rsidRPr="00E174F2">
        <w:rPr>
          <w:rFonts w:eastAsia="Calibri" w:cs="Times New Roman"/>
          <w:kern w:val="0"/>
          <w14:ligatures w14:val="none"/>
        </w:rPr>
        <w:t>Klopt het dat er afspraken over de in de voorgaande vragen bedoelde structuur met de Nederlandse fiscus zijn gemaakt en zijn er samenvattingen van deze afspraken gepubliceerd? Zo ja, kunt u specificeren waar deze afspraken in de ruling-database zijn terug te vinden? Zo nee, waarom niet?</w:t>
      </w:r>
    </w:p>
    <w:p w:rsidRPr="0047265C" w:rsidR="00CD7BCE" w:rsidP="00CD7BCE" w:rsidRDefault="00CD7BCE" w14:paraId="62C38091" w14:textId="77777777">
      <w:pPr>
        <w:spacing w:after="0" w:line="240" w:lineRule="auto"/>
        <w:rPr>
          <w:rFonts w:eastAsia="Calibri" w:cs="Times New Roman"/>
          <w:b/>
          <w:bCs/>
          <w:kern w:val="0"/>
          <w14:ligatures w14:val="none"/>
        </w:rPr>
      </w:pPr>
    </w:p>
    <w:p w:rsidRPr="00E174F2" w:rsidR="00CD7BCE" w:rsidP="00CD7BCE" w:rsidRDefault="00CD7BCE" w14:paraId="01281964"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Antwoord vraag 10 &amp; 11</w:t>
      </w:r>
      <w:r>
        <w:rPr>
          <w:rFonts w:eastAsia="Calibri" w:cs="Times New Roman"/>
          <w:b/>
          <w:bCs/>
          <w:kern w:val="0"/>
          <w14:ligatures w14:val="none"/>
        </w:rPr>
        <w:t>.</w:t>
      </w:r>
    </w:p>
    <w:p w:rsidRPr="0047265C" w:rsidR="00CD7BCE" w:rsidP="00CD7BCE" w:rsidRDefault="00CD7BCE" w14:paraId="7A62B537" w14:textId="77777777">
      <w:pPr>
        <w:spacing w:after="0" w:line="240" w:lineRule="auto"/>
        <w:rPr>
          <w:rFonts w:eastAsia="Calibri" w:cs="Times New Roman"/>
          <w:kern w:val="0"/>
          <w14:ligatures w14:val="none"/>
        </w:rPr>
      </w:pPr>
      <w:r w:rsidRPr="0047265C">
        <w:rPr>
          <w:rFonts w:eastAsia="Calibri" w:cs="Times New Roman"/>
          <w:kern w:val="0"/>
          <w14:ligatures w14:val="none"/>
        </w:rPr>
        <w:t xml:space="preserve">Het is aan een belanghebbende </w:t>
      </w:r>
      <w:r>
        <w:rPr>
          <w:rFonts w:eastAsia="Calibri" w:cs="Times New Roman"/>
          <w:kern w:val="0"/>
          <w14:ligatures w14:val="none"/>
        </w:rPr>
        <w:t>op welke wijze</w:t>
      </w:r>
      <w:r w:rsidRPr="0047265C">
        <w:rPr>
          <w:rFonts w:eastAsia="Calibri" w:cs="Times New Roman"/>
          <w:kern w:val="0"/>
          <w14:ligatures w14:val="none"/>
        </w:rPr>
        <w:t xml:space="preserve"> een structuur wordt opgezet, bij de opzet is geen rol weggelegd voor de Belastingdienst. De Belastingdienst beoordeelt slechts de fiscale gevolgen van een structuur op basis van de Nederlandse wet- en regelgeving, en houdt daarbij rekening met alle feiten en omstandigheden van de specifieke situatie.</w:t>
      </w:r>
      <w:bookmarkStart w:name="_Hlk232677009" w:id="1"/>
      <w:r>
        <w:rPr>
          <w:rFonts w:eastAsia="Calibri" w:cs="Times New Roman"/>
          <w:kern w:val="0"/>
          <w14:ligatures w14:val="none"/>
        </w:rPr>
        <w:t xml:space="preserve"> </w:t>
      </w:r>
      <w:r w:rsidRPr="0047265C">
        <w:rPr>
          <w:rFonts w:eastAsia="Calibri" w:cs="Times New Roman"/>
          <w:kern w:val="0"/>
          <w14:ligatures w14:val="none"/>
        </w:rPr>
        <w:t xml:space="preserve">Voor het antwoord op de vraag of een niet naar Nederlands recht opgerichte en in het buitenland gevestigde vennootschap buitenlands belastingplichtig is in de zin van artikel 17a, onderdeel g van de Wet op de Vennootschapsbelasting 1969, kan in principe zekerheid vooraf worden gevraagd. Het hangt echter af van de concrete feiten en omstandigheden of in een specifieke casus het geven van zekerheid vooraf mogelijk is. In het </w:t>
      </w:r>
      <w:r>
        <w:rPr>
          <w:rFonts w:eastAsia="Calibri" w:cs="Times New Roman"/>
          <w:kern w:val="0"/>
          <w14:ligatures w14:val="none"/>
        </w:rPr>
        <w:t xml:space="preserve">Besluit Fiscaal Bestuursrecht (BFB) </w:t>
      </w:r>
      <w:r w:rsidRPr="0047265C">
        <w:rPr>
          <w:rFonts w:eastAsia="Calibri" w:cs="Times New Roman"/>
          <w:kern w:val="0"/>
          <w14:ligatures w14:val="none"/>
        </w:rPr>
        <w:t>zijn de algemene kaders gegeven waarbinnen de Belastingdienst vooroverleg kan weigeren. Ook moet bij verzoeken over dit onderwerp worden voldaan aan de kaders van het Besluit vooroverleg met een internationaal karakter.</w:t>
      </w:r>
      <w:r w:rsidRPr="0047265C">
        <w:rPr>
          <w:rFonts w:eastAsia="Calibri" w:cs="Times New Roman"/>
          <w:kern w:val="0"/>
          <w:vertAlign w:val="superscript"/>
          <w14:ligatures w14:val="none"/>
        </w:rPr>
        <w:footnoteReference w:id="10"/>
      </w:r>
    </w:p>
    <w:bookmarkEnd w:id="1"/>
    <w:p w:rsidRPr="0047265C" w:rsidR="00CD7BCE" w:rsidP="00CD7BCE" w:rsidRDefault="00CD7BCE" w14:paraId="37CEFF69" w14:textId="77777777">
      <w:pPr>
        <w:spacing w:after="0" w:line="240" w:lineRule="auto"/>
        <w:rPr>
          <w:rFonts w:eastAsia="Calibri" w:cs="Times New Roman"/>
          <w:kern w:val="0"/>
          <w14:ligatures w14:val="none"/>
        </w:rPr>
      </w:pPr>
    </w:p>
    <w:p w:rsidR="00CD7BCE" w:rsidP="00CD7BCE" w:rsidRDefault="00CD7BCE" w14:paraId="1B292AE6" w14:textId="77777777">
      <w:pPr>
        <w:spacing w:after="0" w:line="240" w:lineRule="auto"/>
        <w:rPr>
          <w:rFonts w:eastAsia="Calibri" w:cs="Times New Roman"/>
          <w:kern w:val="0"/>
          <w14:ligatures w14:val="none"/>
        </w:rPr>
      </w:pPr>
      <w:r w:rsidRPr="0047265C">
        <w:rPr>
          <w:rFonts w:eastAsia="Calibri" w:cs="Times New Roman"/>
          <w:kern w:val="0"/>
          <w14:ligatures w14:val="none"/>
        </w:rPr>
        <w:t>Uit de gepubliceerde samenvattingen blijkt dat er zekerheid gegeven wordt over artikel 17a, onderdeel g van de Wet op de Vennootschapsbelasting 1969. In bijlage 2 van het jaarverslag van de rulings met een internationaal karakter wordt een uitsplitsing gegeven van de cijfers van toegekende rulings naar verschijningsvorm.</w:t>
      </w:r>
      <w:r w:rsidRPr="0047265C">
        <w:rPr>
          <w:rFonts w:eastAsia="Calibri" w:cs="Times New Roman"/>
          <w:kern w:val="0"/>
          <w:vertAlign w:val="superscript"/>
          <w14:ligatures w14:val="none"/>
        </w:rPr>
        <w:footnoteReference w:id="11"/>
      </w:r>
      <w:r w:rsidRPr="0047265C">
        <w:rPr>
          <w:rFonts w:eastAsia="Calibri" w:cs="Times New Roman"/>
          <w:kern w:val="0"/>
          <w14:ligatures w14:val="none"/>
        </w:rPr>
        <w:t xml:space="preserve"> Het aantal afgegeven afspraken ten aanzien van de specifieke bepaling van artikel 17a, onderdeel g van de Wet op de Vennootschapsbelasting 1969 wordt niet systematisch bijgehouden.</w:t>
      </w:r>
      <w:r>
        <w:rPr>
          <w:rFonts w:eastAsia="Calibri" w:cs="Times New Roman"/>
          <w:kern w:val="0"/>
          <w14:ligatures w14:val="none"/>
        </w:rPr>
        <w:t xml:space="preserve"> </w:t>
      </w:r>
      <w:r w:rsidRPr="0047265C">
        <w:rPr>
          <w:rFonts w:eastAsia="Calibri" w:cs="Times New Roman"/>
          <w:kern w:val="0"/>
          <w14:ligatures w14:val="none"/>
        </w:rPr>
        <w:t>Samenvattingen hierover zijn te herkennen, omdat bijvoorbeeld een volgende overweging is opgenomen:</w:t>
      </w:r>
      <w:r>
        <w:rPr>
          <w:rFonts w:eastAsia="Calibri" w:cs="Times New Roman"/>
          <w:kern w:val="0"/>
          <w14:ligatures w14:val="none"/>
        </w:rPr>
        <w:t xml:space="preserve"> </w:t>
      </w:r>
    </w:p>
    <w:p w:rsidRPr="0047265C" w:rsidR="00CD7BCE" w:rsidP="00CD7BCE" w:rsidRDefault="00CD7BCE" w14:paraId="155F8589" w14:textId="77777777">
      <w:pPr>
        <w:spacing w:after="0" w:line="240" w:lineRule="auto"/>
        <w:ind w:left="720"/>
        <w:rPr>
          <w:rFonts w:eastAsia="Calibri" w:cs="Times New Roman"/>
          <w:kern w:val="0"/>
          <w14:ligatures w14:val="none"/>
        </w:rPr>
      </w:pPr>
      <w:r w:rsidRPr="00DF6AB7">
        <w:rPr>
          <w:rFonts w:eastAsia="Calibri" w:cs="Times New Roman"/>
          <w:kern w:val="0"/>
          <w14:ligatures w14:val="none"/>
        </w:rPr>
        <w:t xml:space="preserve">“Eveneens is gekeken naar de uitbreiding van het Nederlandse ondernemingsbegrip in artikel 17a van de Wet Vpb. In dat artikel wordt het Nederlandse ondernemingsbegrip uitgebreid met een zevental categorieën. Beoordeeld is of de in het buitenland gevestigde commanditaire vennoten met betrekking tot hun belang in X voldoen aan deze uitbreidingen. In het gegeven geval wordt niet voldaan aan de bedoelde uitbreidingen van de Nederlandse onderneming." </w:t>
      </w:r>
      <w:r w:rsidRPr="00DF6AB7">
        <w:rPr>
          <w:rFonts w:eastAsia="Calibri" w:cs="Times New Roman"/>
          <w:kern w:val="0"/>
          <w:vertAlign w:val="superscript"/>
          <w14:ligatures w14:val="none"/>
        </w:rPr>
        <w:footnoteReference w:id="12"/>
      </w:r>
    </w:p>
    <w:p w:rsidR="00CD7BCE" w:rsidP="00CD7BCE" w:rsidRDefault="00CD7BCE" w14:paraId="0C92934B" w14:textId="77777777">
      <w:pPr>
        <w:spacing w:after="0" w:line="240" w:lineRule="auto"/>
        <w:rPr>
          <w:rFonts w:eastAsia="Calibri" w:cs="Times New Roman"/>
          <w:i/>
          <w:iCs/>
          <w:kern w:val="0"/>
          <w14:ligatures w14:val="none"/>
        </w:rPr>
      </w:pPr>
    </w:p>
    <w:p w:rsidRPr="00E174F2" w:rsidR="00CD7BCE" w:rsidP="00CD7BCE" w:rsidRDefault="00CD7BCE" w14:paraId="6E295266"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 xml:space="preserve">Vraag 12. </w:t>
      </w:r>
    </w:p>
    <w:p w:rsidRPr="00E174F2" w:rsidR="00CD7BCE" w:rsidP="00CD7BCE" w:rsidRDefault="00CD7BCE" w14:paraId="424B0F10" w14:textId="77777777">
      <w:pPr>
        <w:spacing w:after="0" w:line="240" w:lineRule="auto"/>
        <w:rPr>
          <w:rFonts w:eastAsia="Calibri" w:cs="Times New Roman"/>
          <w:kern w:val="0"/>
          <w14:ligatures w14:val="none"/>
        </w:rPr>
      </w:pPr>
      <w:r w:rsidRPr="00E174F2">
        <w:rPr>
          <w:rFonts w:eastAsia="Calibri" w:cs="Times New Roman"/>
          <w:kern w:val="0"/>
          <w14:ligatures w14:val="none"/>
        </w:rPr>
        <w:t>Leidt één en ander dan tot de slotsom dat na het tussenschuiven van een Singaporese vennootschap de CV/BV-structuur ondanks de Wet implementatie tweede EU-richtlijn antibelastingontwijking heeft kunnen voortbestaan? Zo ja, is de conclusie in de Effectmeting ATAD 2[3] dat deze wet CV/BV structuren effectief tegengaat dan onjuist?</w:t>
      </w:r>
    </w:p>
    <w:p w:rsidRPr="00140FA7" w:rsidR="00CD7BCE" w:rsidP="00CD7BCE" w:rsidRDefault="00CD7BCE" w14:paraId="548DA3F7" w14:textId="77777777">
      <w:pPr>
        <w:spacing w:after="0" w:line="240" w:lineRule="auto"/>
        <w:rPr>
          <w:rFonts w:eastAsia="Calibri" w:cs="Times New Roman"/>
          <w:kern w:val="0"/>
          <w:sz w:val="20"/>
          <w:szCs w:val="20"/>
          <w14:ligatures w14:val="none"/>
        </w:rPr>
      </w:pPr>
    </w:p>
    <w:p w:rsidRPr="00E174F2" w:rsidR="00CD7BCE" w:rsidP="00CD7BCE" w:rsidRDefault="00CD7BCE" w14:paraId="58D81BB0"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Antwoord vraag 12</w:t>
      </w:r>
      <w:r>
        <w:rPr>
          <w:rFonts w:eastAsia="Calibri" w:cs="Times New Roman"/>
          <w:b/>
          <w:bCs/>
          <w:kern w:val="0"/>
          <w14:ligatures w14:val="none"/>
        </w:rPr>
        <w:t>.</w:t>
      </w:r>
    </w:p>
    <w:p w:rsidR="00CD7BCE" w:rsidP="00CD7BCE" w:rsidRDefault="00CD7BCE" w14:paraId="75AB0A6C" w14:textId="77777777">
      <w:pPr>
        <w:spacing w:after="0" w:line="240" w:lineRule="auto"/>
        <w:rPr>
          <w:rFonts w:eastAsia="Calibri" w:cs="Times New Roman"/>
          <w:kern w:val="0"/>
          <w14:ligatures w14:val="none"/>
        </w:rPr>
      </w:pPr>
      <w:r w:rsidRPr="00140FA7">
        <w:rPr>
          <w:rFonts w:eastAsia="Calibri" w:cs="Times New Roman"/>
          <w:kern w:val="0"/>
          <w14:ligatures w14:val="none"/>
        </w:rPr>
        <w:t>In de effectmeting ATAD2 is op basis van meerdere, onafhankelijke indicatoren geconcludeerd dat de hybridemismatchmaatregelen – in samenhang met andere maatregelen – substantieel hebben bijgedragen aan het tegengaan van belastingontwijking door middel van CV/BV-structuren. De omstandigheid dat structuren met ongewenste belastingontwijking nog mogelijk kunnen zijn, doet daarbij geen afbreuk aan deze conclusie.</w:t>
      </w:r>
      <w:r>
        <w:rPr>
          <w:rFonts w:eastAsia="Calibri" w:cs="Times New Roman"/>
          <w:kern w:val="0"/>
          <w14:ligatures w14:val="none"/>
        </w:rPr>
        <w:t xml:space="preserve"> Uit de effectenmeting is gebleken dat </w:t>
      </w:r>
      <w:r w:rsidRPr="00C13D08">
        <w:rPr>
          <w:rFonts w:eastAsia="Calibri" w:cs="Times New Roman"/>
          <w:kern w:val="0"/>
          <w14:ligatures w14:val="none"/>
        </w:rPr>
        <w:t xml:space="preserve">er vier indicaties aanwezig </w:t>
      </w:r>
      <w:r>
        <w:rPr>
          <w:rFonts w:eastAsia="Calibri" w:cs="Times New Roman"/>
          <w:kern w:val="0"/>
          <w14:ligatures w14:val="none"/>
        </w:rPr>
        <w:t xml:space="preserve">zijn </w:t>
      </w:r>
      <w:r w:rsidRPr="00C13D08">
        <w:rPr>
          <w:rFonts w:eastAsia="Calibri" w:cs="Times New Roman"/>
          <w:kern w:val="0"/>
          <w14:ligatures w14:val="none"/>
        </w:rPr>
        <w:t>waaruit blijkt dat de wetgeving effectief is gebleken</w:t>
      </w:r>
      <w:r>
        <w:rPr>
          <w:rFonts w:eastAsia="Calibri" w:cs="Times New Roman"/>
          <w:kern w:val="0"/>
          <w14:ligatures w14:val="none"/>
        </w:rPr>
        <w:t>.</w:t>
      </w:r>
      <w:r>
        <w:rPr>
          <w:rStyle w:val="Voetnootmarkering"/>
          <w:rFonts w:eastAsia="Calibri" w:cs="Times New Roman"/>
          <w:kern w:val="0"/>
          <w14:ligatures w14:val="none"/>
        </w:rPr>
        <w:footnoteReference w:id="13"/>
      </w:r>
      <w:r>
        <w:rPr>
          <w:rFonts w:eastAsia="Calibri" w:cs="Times New Roman"/>
          <w:kern w:val="0"/>
          <w14:ligatures w14:val="none"/>
        </w:rPr>
        <w:t xml:space="preserve">  </w:t>
      </w:r>
    </w:p>
    <w:p w:rsidRPr="00C13D08" w:rsidR="00CD7BCE" w:rsidP="00CD7BCE" w:rsidRDefault="00CD7BCE" w14:paraId="3DBBC91F" w14:textId="77777777">
      <w:pPr>
        <w:spacing w:after="0" w:line="240" w:lineRule="auto"/>
        <w:rPr>
          <w:rFonts w:eastAsia="Calibri" w:cs="Times New Roman"/>
          <w:kern w:val="0"/>
          <w14:ligatures w14:val="none"/>
        </w:rPr>
      </w:pPr>
    </w:p>
    <w:p w:rsidRPr="00C13D08" w:rsidR="00CD7BCE" w:rsidP="00CD7BCE" w:rsidRDefault="00CD7BCE" w14:paraId="681F75B6" w14:textId="77777777">
      <w:pPr>
        <w:pStyle w:val="Lijstalinea"/>
        <w:numPr>
          <w:ilvl w:val="0"/>
          <w:numId w:val="2"/>
        </w:numPr>
        <w:spacing w:after="0" w:line="240" w:lineRule="auto"/>
        <w:rPr>
          <w:rFonts w:eastAsia="Calibri" w:cs="Times New Roman"/>
          <w:kern w:val="0"/>
          <w14:ligatures w14:val="none"/>
        </w:rPr>
      </w:pPr>
      <w:r w:rsidRPr="00C13D08">
        <w:rPr>
          <w:rFonts w:eastAsia="Calibri" w:cs="Times New Roman"/>
          <w:kern w:val="0"/>
          <w14:ligatures w14:val="none"/>
        </w:rPr>
        <w:t xml:space="preserve">Er zijn geen rulings meer met betrekking tot cv/bv-structuren; </w:t>
      </w:r>
    </w:p>
    <w:p w:rsidRPr="00233186" w:rsidR="00CD7BCE" w:rsidP="00CD7BCE" w:rsidRDefault="00CD7BCE" w14:paraId="19F3C3F3" w14:textId="77777777">
      <w:pPr>
        <w:pStyle w:val="Lijstalinea"/>
        <w:numPr>
          <w:ilvl w:val="0"/>
          <w:numId w:val="2"/>
        </w:numPr>
        <w:spacing w:after="0" w:line="240" w:lineRule="auto"/>
        <w:rPr>
          <w:rFonts w:eastAsia="Calibri" w:cs="Times New Roman"/>
          <w:kern w:val="0"/>
          <w14:ligatures w14:val="none"/>
        </w:rPr>
      </w:pPr>
      <w:r w:rsidRPr="00C13D08">
        <w:rPr>
          <w:rFonts w:eastAsia="Calibri" w:cs="Times New Roman"/>
          <w:kern w:val="0"/>
          <w14:ligatures w14:val="none"/>
        </w:rPr>
        <w:t xml:space="preserve">Het aantal cv’s met gestort commanditair kapitaal in Amerikaanse dollars is duidelijk dalende; </w:t>
      </w:r>
    </w:p>
    <w:p w:rsidRPr="00C13D08" w:rsidR="00CD7BCE" w:rsidP="00CD7BCE" w:rsidRDefault="00CD7BCE" w14:paraId="37B10C48" w14:textId="77777777">
      <w:pPr>
        <w:pStyle w:val="Lijstalinea"/>
        <w:numPr>
          <w:ilvl w:val="0"/>
          <w:numId w:val="2"/>
        </w:numPr>
        <w:spacing w:after="0" w:line="240" w:lineRule="auto"/>
        <w:rPr>
          <w:rFonts w:eastAsia="Calibri" w:cs="Times New Roman"/>
          <w:kern w:val="0"/>
          <w14:ligatures w14:val="none"/>
        </w:rPr>
      </w:pPr>
      <w:r w:rsidRPr="00C13D08">
        <w:rPr>
          <w:rFonts w:eastAsia="Calibri" w:cs="Times New Roman"/>
          <w:kern w:val="0"/>
          <w14:ligatures w14:val="none"/>
        </w:rPr>
        <w:t xml:space="preserve">Amerikaanse bedrijven rapporteren minder commerciële winst in Nederland, terwijl hun wezenlijke economische activiteiten in Nederland niet lijken te zijn afgebouwd; </w:t>
      </w:r>
    </w:p>
    <w:p w:rsidRPr="00C13D08" w:rsidR="00CD7BCE" w:rsidP="00CD7BCE" w:rsidRDefault="00CD7BCE" w14:paraId="1E30F92E" w14:textId="77777777">
      <w:pPr>
        <w:pStyle w:val="Lijstalinea"/>
        <w:numPr>
          <w:ilvl w:val="0"/>
          <w:numId w:val="2"/>
        </w:numPr>
        <w:spacing w:after="0" w:line="240" w:lineRule="auto"/>
        <w:rPr>
          <w:rFonts w:eastAsia="Calibri" w:cs="Times New Roman"/>
          <w:kern w:val="0"/>
          <w14:ligatures w14:val="none"/>
        </w:rPr>
      </w:pPr>
      <w:r w:rsidRPr="00C13D08">
        <w:rPr>
          <w:rFonts w:eastAsia="Calibri" w:cs="Times New Roman"/>
          <w:kern w:val="0"/>
          <w14:ligatures w14:val="none"/>
        </w:rPr>
        <w:lastRenderedPageBreak/>
        <w:t xml:space="preserve">Daar waar nog wel hybridemismatches aanwezig zijn, wordt ook in de aangifte de winst aangepast. </w:t>
      </w:r>
    </w:p>
    <w:p w:rsidRPr="0047265C" w:rsidR="00CD7BCE" w:rsidP="00CD7BCE" w:rsidRDefault="00CD7BCE" w14:paraId="57D41713" w14:textId="77777777">
      <w:pPr>
        <w:spacing w:after="0" w:line="240" w:lineRule="auto"/>
        <w:rPr>
          <w:rFonts w:eastAsia="Calibri" w:cs="Times New Roman"/>
          <w:b/>
          <w:bCs/>
          <w:kern w:val="0"/>
          <w14:ligatures w14:val="none"/>
        </w:rPr>
      </w:pPr>
    </w:p>
    <w:p w:rsidRPr="00E174F2" w:rsidR="00CD7BCE" w:rsidP="00CD7BCE" w:rsidRDefault="00CD7BCE" w14:paraId="7E862B09"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 xml:space="preserve">Vraag 13. </w:t>
      </w:r>
    </w:p>
    <w:p w:rsidRPr="00E174F2" w:rsidR="00CD7BCE" w:rsidP="00CD7BCE" w:rsidRDefault="00CD7BCE" w14:paraId="7C2DF120" w14:textId="77777777">
      <w:pPr>
        <w:spacing w:after="0" w:line="240" w:lineRule="auto"/>
        <w:rPr>
          <w:rFonts w:eastAsia="Calibri" w:cs="Times New Roman"/>
          <w:kern w:val="0"/>
          <w14:ligatures w14:val="none"/>
        </w:rPr>
      </w:pPr>
      <w:r w:rsidRPr="00E174F2">
        <w:rPr>
          <w:rFonts w:eastAsia="Calibri" w:cs="Times New Roman"/>
          <w:kern w:val="0"/>
          <w14:ligatures w14:val="none"/>
        </w:rPr>
        <w:t>Klopt het dat sinds 2025 de hiervoor besproken structuur zodanig wordt aangepast dat de Singaporese vennootschap wordt vervangen door een Zwitserse vennootschap? Kunt u verklaren waarom dat zo is?</w:t>
      </w:r>
    </w:p>
    <w:p w:rsidRPr="0047265C" w:rsidR="00CD7BCE" w:rsidP="00CD7BCE" w:rsidRDefault="00CD7BCE" w14:paraId="09885862" w14:textId="77777777">
      <w:pPr>
        <w:spacing w:after="0" w:line="240" w:lineRule="auto"/>
        <w:rPr>
          <w:rFonts w:eastAsia="Calibri" w:cs="Times New Roman"/>
          <w:b/>
          <w:bCs/>
          <w:kern w:val="0"/>
          <w14:ligatures w14:val="none"/>
        </w:rPr>
      </w:pPr>
    </w:p>
    <w:p w:rsidRPr="00E174F2" w:rsidR="00CD7BCE" w:rsidP="00CD7BCE" w:rsidRDefault="00CD7BCE" w14:paraId="4EB34F8A" w14:textId="77777777">
      <w:pPr>
        <w:spacing w:after="0" w:line="240" w:lineRule="auto"/>
        <w:rPr>
          <w:rFonts w:eastAsia="Calibri" w:cs="Times New Roman"/>
          <w:b/>
          <w:bCs/>
          <w:kern w:val="0"/>
          <w14:ligatures w14:val="none"/>
        </w:rPr>
      </w:pPr>
      <w:r w:rsidRPr="00E174F2">
        <w:rPr>
          <w:rFonts w:eastAsia="Calibri" w:cs="Times New Roman"/>
          <w:b/>
          <w:bCs/>
          <w:kern w:val="0"/>
          <w14:ligatures w14:val="none"/>
        </w:rPr>
        <w:t>Antwoord vraag 13</w:t>
      </w:r>
      <w:r>
        <w:rPr>
          <w:rFonts w:eastAsia="Calibri" w:cs="Times New Roman"/>
          <w:b/>
          <w:bCs/>
          <w:kern w:val="0"/>
          <w14:ligatures w14:val="none"/>
        </w:rPr>
        <w:t>.</w:t>
      </w:r>
    </w:p>
    <w:p w:rsidRPr="0047265C" w:rsidR="00CD7BCE" w:rsidP="00CD7BCE" w:rsidRDefault="00CD7BCE" w14:paraId="4FFF33DA" w14:textId="77777777">
      <w:pPr>
        <w:spacing w:after="0" w:line="240" w:lineRule="auto"/>
        <w:rPr>
          <w:rFonts w:eastAsia="Calibri" w:cs="Times New Roman"/>
          <w:kern w:val="0"/>
          <w14:ligatures w14:val="none"/>
        </w:rPr>
      </w:pPr>
      <w:r w:rsidRPr="0047265C">
        <w:rPr>
          <w:rFonts w:eastAsia="Calibri" w:cs="Times New Roman"/>
          <w:kern w:val="0"/>
          <w14:ligatures w14:val="none"/>
        </w:rPr>
        <w:t>Het is aan een belanghebbende hoe een structuur wordt opgezet, bij de opzet is geen rol weggelegd voor de Belastingdienst. Eventuele Nederlandse fiscale gevolgen op het moment dat een Singaporese vennootschap, bijvoorbeeld als moeder- of dochtermaatschappij, wordt vervangen door een Zwitserse vennootschap, wordt betrokken in het toezicht door de Belastingdienst.</w:t>
      </w:r>
    </w:p>
    <w:p w:rsidRPr="0047265C" w:rsidR="00CD7BCE" w:rsidP="00CD7BCE" w:rsidRDefault="00CD7BCE" w14:paraId="0C75206B" w14:textId="77777777">
      <w:pPr>
        <w:spacing w:after="0" w:line="240" w:lineRule="auto"/>
        <w:rPr>
          <w:rFonts w:eastAsia="Calibri" w:cs="Times New Roman"/>
          <w:b/>
          <w:bCs/>
          <w:kern w:val="0"/>
          <w14:ligatures w14:val="none"/>
        </w:rPr>
      </w:pPr>
    </w:p>
    <w:p w:rsidRPr="00E174F2" w:rsidR="00CD7BCE" w:rsidP="00CD7BCE" w:rsidRDefault="00CD7BCE" w14:paraId="046963C5" w14:textId="77777777">
      <w:pPr>
        <w:pStyle w:val="Geenafstand"/>
        <w:rPr>
          <w:b/>
          <w:bCs/>
          <w:lang w:val="nl-NL"/>
        </w:rPr>
      </w:pPr>
      <w:r w:rsidRPr="00E174F2">
        <w:rPr>
          <w:b/>
          <w:bCs/>
          <w:lang w:val="nl-NL"/>
        </w:rPr>
        <w:t>Vraag 14.</w:t>
      </w:r>
    </w:p>
    <w:p w:rsidRPr="00E174F2" w:rsidR="00CD7BCE" w:rsidP="00CD7BCE" w:rsidRDefault="00CD7BCE" w14:paraId="5A252733" w14:textId="77777777">
      <w:pPr>
        <w:pStyle w:val="Geenafstand"/>
        <w:rPr>
          <w:lang w:val="nl-NL"/>
        </w:rPr>
      </w:pPr>
      <w:r w:rsidRPr="00E174F2">
        <w:rPr>
          <w:lang w:val="nl-NL"/>
        </w:rPr>
        <w:t>Kunt u bevestigen dat een reden om de Singaporese vennootschap te vervangen door een Zwitserse vennootschap kan zijn gelegen in de invoering van de minimumbelasting door Singapore?</w:t>
      </w:r>
    </w:p>
    <w:p w:rsidR="00CD7BCE" w:rsidP="00CD7BCE" w:rsidRDefault="00CD7BCE" w14:paraId="5E5DB6ED" w14:textId="77777777">
      <w:pPr>
        <w:spacing w:after="0" w:line="240" w:lineRule="auto"/>
        <w:rPr>
          <w:rFonts w:eastAsia="Calibri" w:cs="Times New Roman"/>
          <w:b/>
          <w:bCs/>
          <w:kern w:val="0"/>
          <w:u w:val="single"/>
          <w14:ligatures w14:val="none"/>
        </w:rPr>
      </w:pPr>
    </w:p>
    <w:p w:rsidRPr="0009413A" w:rsidR="00CD7BCE" w:rsidP="00CD7BCE" w:rsidRDefault="00CD7BCE" w14:paraId="4C3F9569" w14:textId="77777777">
      <w:pPr>
        <w:spacing w:after="0" w:line="240" w:lineRule="auto"/>
        <w:rPr>
          <w:rFonts w:eastAsia="Calibri" w:cs="Times New Roman"/>
          <w:b/>
          <w:bCs/>
          <w:kern w:val="0"/>
          <w14:ligatures w14:val="none"/>
        </w:rPr>
      </w:pPr>
      <w:r w:rsidRPr="0009413A">
        <w:rPr>
          <w:rFonts w:eastAsia="Calibri" w:cs="Times New Roman"/>
          <w:b/>
          <w:bCs/>
          <w:kern w:val="0"/>
          <w14:ligatures w14:val="none"/>
        </w:rPr>
        <w:t>Antwoord vraag 14</w:t>
      </w:r>
      <w:r>
        <w:rPr>
          <w:rFonts w:eastAsia="Calibri" w:cs="Times New Roman"/>
          <w:b/>
          <w:bCs/>
          <w:kern w:val="0"/>
          <w14:ligatures w14:val="none"/>
        </w:rPr>
        <w:t>.</w:t>
      </w:r>
    </w:p>
    <w:p w:rsidRPr="00036553" w:rsidR="00CD7BCE" w:rsidP="00CD7BCE" w:rsidRDefault="00CD7BCE" w14:paraId="3E53CBE4" w14:textId="77777777">
      <w:pPr>
        <w:rPr>
          <w:rFonts w:cs="Arial"/>
          <w:szCs w:val="18"/>
        </w:rPr>
      </w:pPr>
      <w:r w:rsidRPr="00036553">
        <w:rPr>
          <w:rFonts w:cs="Arial"/>
          <w:szCs w:val="18"/>
        </w:rPr>
        <w:t xml:space="preserve">De wereldwijde minimumbelasting bewerkstelligt dat multinationale groepen met een omzet van € 750 miljoen of meer ten minste effectief 15% aan belasting over hun winst betalen. Indien het effectieve belastingtarief in een jurisdictie lager is dan het minimumbelastingtarief van 15%, dan wordt dat verschil bijgeheven. Of de desbetreffende laagbelaste jurisdictie een minimumbelasting heeft ingevoerd is daarbij niet van belang. Andere jurisdicties die wel een minimumbelasting hebben ingevoerd kunnen ter zake van de laagbelaste jurisdictie de bijheffing heffen, indien de multinationale groep binnen de reikwijdte van hun nationale wetgeving over de wereldwijde minimumbelasting valt. Met dit samenhangend stelsel van regels worden de doelstellingen van de wereldwijde minimumbelasting gewaarborgd, namelijk een ondergrens stellen aan belastingconcurrentie tussen landen en de prikkel verminderen voor multinationals om winsten naar laagbelastende staten te verplaatsen. De wereldwijde minimumbelasting zorgt daarmee voor een wereldwijd minimumniveau van belastingheffing voor multinationale groepen. Zowel </w:t>
      </w:r>
      <w:r w:rsidRPr="00036553">
        <w:rPr>
          <w:rFonts w:eastAsia="Times New Roman" w:cs="Times New Roman"/>
          <w:szCs w:val="18"/>
          <w:lang w:eastAsia="nl-NL"/>
        </w:rPr>
        <w:t xml:space="preserve">Singapore als Zwitserland hebben de regels voor de wereldwijde minimumbelasting in nationale wetgeving omgezet. Beide landen hebben op basis van het peer </w:t>
      </w:r>
      <w:r w:rsidRPr="00036553">
        <w:t>review proces dat op OESO-niveau is vormgegeven een kwalificerende inkomen-inclusiemaatregel en een kwalificerende binnenlandse bijheffingsmaatregel.</w:t>
      </w:r>
      <w:r w:rsidRPr="00036553">
        <w:rPr>
          <w:vertAlign w:val="superscript"/>
        </w:rPr>
        <w:footnoteReference w:id="14"/>
      </w:r>
      <w:r w:rsidRPr="00036553">
        <w:t xml:space="preserve"> Ook </w:t>
      </w:r>
      <w:r w:rsidRPr="00036553">
        <w:rPr>
          <w:rFonts w:eastAsia="Times New Roman" w:cs="Times New Roman"/>
          <w:szCs w:val="18"/>
          <w:lang w:eastAsia="nl-NL"/>
        </w:rPr>
        <w:t>kennen beide landen een kwalificerende binnenlandse bijheffing veiligehavenregel. De status van een</w:t>
      </w:r>
      <w:r w:rsidRPr="00036553">
        <w:t xml:space="preserve"> kwalificerende maatregel is van belang om de rangorde tussen de verschillende maatregelen te bepalen, en draagt bij aan de consistente toepassing van de </w:t>
      </w:r>
      <w:r w:rsidRPr="00036553">
        <w:rPr>
          <w:rFonts w:eastAsia="Times New Roman" w:cs="Times New Roman"/>
          <w:szCs w:val="18"/>
          <w:lang w:eastAsia="nl-NL"/>
        </w:rPr>
        <w:t>regels voor de wereldwijde minimumbelasting</w:t>
      </w:r>
      <w:r w:rsidRPr="00036553">
        <w:t>.</w:t>
      </w:r>
      <w:r w:rsidRPr="00036553">
        <w:rPr>
          <w:vertAlign w:val="superscript"/>
        </w:rPr>
        <w:footnoteReference w:id="15"/>
      </w:r>
      <w:r w:rsidRPr="00036553">
        <w:t xml:space="preserve"> </w:t>
      </w:r>
    </w:p>
    <w:p w:rsidRPr="0009413A" w:rsidR="00CD7BCE" w:rsidP="00CD7BCE" w:rsidRDefault="00CD7BCE" w14:paraId="2FC1AF23" w14:textId="77777777">
      <w:pPr>
        <w:pStyle w:val="Geenafstand"/>
        <w:rPr>
          <w:b/>
          <w:bCs/>
          <w:lang w:val="nl-NL"/>
        </w:rPr>
      </w:pPr>
      <w:r w:rsidRPr="0009413A">
        <w:rPr>
          <w:b/>
          <w:bCs/>
          <w:lang w:val="nl-NL"/>
        </w:rPr>
        <w:t xml:space="preserve">Vraag 15. </w:t>
      </w:r>
    </w:p>
    <w:p w:rsidRPr="00036553" w:rsidR="00CD7BCE" w:rsidP="00CD7BCE" w:rsidRDefault="00CD7BCE" w14:paraId="3468AC3B" w14:textId="77777777">
      <w:pPr>
        <w:pStyle w:val="Geenafstand"/>
        <w:rPr>
          <w:lang w:val="nl-NL"/>
        </w:rPr>
      </w:pPr>
      <w:r w:rsidRPr="00036553">
        <w:rPr>
          <w:lang w:val="nl-NL"/>
        </w:rPr>
        <w:t>Kunt u bevestigen dat de minimumbelasting in Zwitserland en/of in sommige Zwitserse kantons zodanig is geïmplementeerd dat daarvan een zogenoemd gekwalificeerd terugbetaalbaar belastingkrediet (QRTC) deel uitmaakt?</w:t>
      </w:r>
    </w:p>
    <w:p w:rsidR="00CD7BCE" w:rsidP="00CD7BCE" w:rsidRDefault="00CD7BCE" w14:paraId="2EA41718" w14:textId="77777777">
      <w:pPr>
        <w:spacing w:after="0" w:line="240" w:lineRule="auto"/>
        <w:rPr>
          <w:rFonts w:eastAsia="Calibri" w:cs="Times New Roman"/>
          <w:b/>
          <w:bCs/>
          <w:kern w:val="0"/>
          <w:u w:val="single"/>
          <w14:ligatures w14:val="none"/>
        </w:rPr>
      </w:pPr>
    </w:p>
    <w:p w:rsidRPr="0009413A" w:rsidR="00CD7BCE" w:rsidP="00CD7BCE" w:rsidRDefault="00CD7BCE" w14:paraId="6816CE61" w14:textId="77777777">
      <w:pPr>
        <w:spacing w:after="0" w:line="240" w:lineRule="auto"/>
        <w:rPr>
          <w:rFonts w:eastAsia="Calibri" w:cs="Times New Roman"/>
          <w:b/>
          <w:bCs/>
          <w:kern w:val="0"/>
          <w14:ligatures w14:val="none"/>
        </w:rPr>
      </w:pPr>
      <w:r w:rsidRPr="0009413A">
        <w:rPr>
          <w:rFonts w:eastAsia="Calibri" w:cs="Times New Roman"/>
          <w:b/>
          <w:bCs/>
          <w:kern w:val="0"/>
          <w14:ligatures w14:val="none"/>
        </w:rPr>
        <w:t>Antwoord vraag 15</w:t>
      </w:r>
      <w:r>
        <w:rPr>
          <w:rFonts w:eastAsia="Calibri" w:cs="Times New Roman"/>
          <w:b/>
          <w:bCs/>
          <w:kern w:val="0"/>
          <w14:ligatures w14:val="none"/>
        </w:rPr>
        <w:t>.</w:t>
      </w:r>
    </w:p>
    <w:p w:rsidRPr="00036553" w:rsidR="00CD7BCE" w:rsidP="00CD7BCE" w:rsidRDefault="00CD7BCE" w14:paraId="4DF85733" w14:textId="77777777">
      <w:pPr>
        <w:rPr>
          <w:rFonts w:eastAsia="Times New Roman" w:cs="Times New Roman"/>
          <w:lang w:eastAsia="nl-NL"/>
        </w:rPr>
      </w:pPr>
      <w:r w:rsidRPr="279CD1C3">
        <w:t xml:space="preserve">Aangezien het hier gaat om buitenlands belastingstelsels, is het niet mogelijk concreet te antwoorden op deze vragen. In algemene zin kan ik het volgende opmerken. Uit openbare bronnen blijkt dat in Zwitserland kwalificerende belastingtegoeden in voorkomende gevallen van toepassing kunnen zijn in </w:t>
      </w:r>
      <w:r w:rsidRPr="279CD1C3">
        <w:lastRenderedPageBreak/>
        <w:t xml:space="preserve">kader van de minimumbelasting. De regels voor de behandeling van zogenoemde kwalificerende restitueerbare belastingtegoeden maken deel uit van de </w:t>
      </w:r>
      <w:r w:rsidRPr="279CD1C3">
        <w:rPr>
          <w:rFonts w:eastAsia="Times New Roman" w:cs="Times New Roman"/>
          <w:lang w:eastAsia="nl-NL"/>
        </w:rPr>
        <w:t>OESO-modelregels inzake de wereldwijde minimumbelasting en de administratieve richtsnoeren die het IF na publicatie van de OESO-modelregels is overeengekomen.</w:t>
      </w:r>
      <w:r w:rsidRPr="279CD1C3">
        <w:rPr>
          <w:rFonts w:eastAsia="Times New Roman" w:cs="Times New Roman"/>
          <w:vertAlign w:val="superscript"/>
          <w:lang w:eastAsia="nl-NL"/>
        </w:rPr>
        <w:footnoteReference w:id="16"/>
      </w:r>
      <w:r w:rsidRPr="279CD1C3">
        <w:rPr>
          <w:rFonts w:eastAsia="Times New Roman" w:cs="Times New Roman"/>
          <w:lang w:eastAsia="nl-NL"/>
        </w:rPr>
        <w:t xml:space="preserve"> Onder welke voorwaarden restitueerbare belastingtegoeden kwalificeren en hoe dergelijke kwalificerende belastingtegoeden onder de regels voor de minimumbelasting dienen te worden behandeld, is derhalve internationaal afgesproken. </w:t>
      </w:r>
      <w:r w:rsidRPr="279CD1C3">
        <w:t>Momenteel hebben</w:t>
      </w:r>
      <w:r w:rsidRPr="279CD1C3">
        <w:rPr>
          <w:rFonts w:cs="Arial"/>
        </w:rPr>
        <w:t xml:space="preserve"> meer dan 65 staten, waaronder Zwitserland </w:t>
      </w:r>
      <w:r w:rsidRPr="00036553">
        <w:t>de wereldwijde minimumbelasting ingevoerd of daartoe concrete stappen genomen.</w:t>
      </w:r>
      <w:r w:rsidRPr="279CD1C3">
        <w:rPr>
          <w:rFonts w:cs="Arial"/>
          <w:vertAlign w:val="superscript"/>
        </w:rPr>
        <w:footnoteReference w:id="17"/>
      </w:r>
      <w:r w:rsidRPr="00036553">
        <w:t xml:space="preserve"> Het kabinet acht het</w:t>
      </w:r>
      <w:r w:rsidRPr="279CD1C3">
        <w:t xml:space="preserve"> van belang </w:t>
      </w:r>
      <w:r w:rsidRPr="279CD1C3">
        <w:rPr>
          <w:rFonts w:eastAsia="Times New Roman" w:cs="Times New Roman"/>
          <w:lang w:eastAsia="nl-NL"/>
        </w:rPr>
        <w:t xml:space="preserve">dat staten het samenhangend stelsel van regels </w:t>
      </w:r>
      <w:r w:rsidRPr="279CD1C3">
        <w:t>rondom de wereldwijde minimumbelasting consistent implementeren. Dit om discrepanties in de toepassing van de regels te verkleinen en de effectiviteit en stabiliteit van het internationale belastingstelsel te waarborgen. Daarnaast dienen de OESO-modelregels ook eenduidig te zijn geïmplementeerd voor de kwalificatie van de nationale regels over de minimumbelasting in het OESO peer review proces.</w:t>
      </w:r>
    </w:p>
    <w:p w:rsidR="00CD7BCE" w:rsidP="00CD7BCE" w:rsidRDefault="00CD7BCE" w14:paraId="4B3611F3" w14:textId="77777777">
      <w:pPr>
        <w:pStyle w:val="Geenafstand"/>
        <w:rPr>
          <w:i/>
          <w:iCs/>
          <w:lang w:val="nl-NL"/>
        </w:rPr>
      </w:pPr>
      <w:r w:rsidRPr="0009413A">
        <w:rPr>
          <w:b/>
          <w:bCs/>
          <w:lang w:val="nl-NL"/>
        </w:rPr>
        <w:t>Vraag 16</w:t>
      </w:r>
      <w:r w:rsidRPr="00036553">
        <w:rPr>
          <w:i/>
          <w:iCs/>
          <w:lang w:val="nl-NL"/>
        </w:rPr>
        <w:t xml:space="preserve">. </w:t>
      </w:r>
    </w:p>
    <w:p w:rsidRPr="0009413A" w:rsidR="00CD7BCE" w:rsidP="00CD7BCE" w:rsidRDefault="00CD7BCE" w14:paraId="745B699F" w14:textId="77777777">
      <w:pPr>
        <w:pStyle w:val="Geenafstand"/>
        <w:rPr>
          <w:i/>
          <w:iCs/>
          <w:lang w:val="nl-NL"/>
        </w:rPr>
      </w:pPr>
      <w:r w:rsidRPr="0009413A">
        <w:rPr>
          <w:lang w:val="nl-NL"/>
        </w:rPr>
        <w:t>Kunt u bevestigen dat het door middel van deze QRTC in Zwitserland mogelijk is om aldaar winst te behalen die belast wordt naar een effectief tarief dat aanzienlijk lager is dan 15 procent indien er bij het bepalen van het effectieve tarief anders dan voor de toepassing van de minimumbelasting vanuit wordt gegaan dat de QRTC in mindering komt op de belasting? Is het denkbaar om aldus in Zwitserland winst te behalen die wordt belast naar een effectief tarief dat kan liggen tussen de twee procent en de acht procent zonder dat daar wordt bij geheven op grond van de minimumbelasting?</w:t>
      </w:r>
    </w:p>
    <w:p w:rsidR="00CD7BCE" w:rsidP="00CD7BCE" w:rsidRDefault="00CD7BCE" w14:paraId="71EFEA80" w14:textId="77777777">
      <w:pPr>
        <w:spacing w:after="0" w:line="240" w:lineRule="auto"/>
        <w:rPr>
          <w:rFonts w:eastAsia="Calibri" w:cs="Times New Roman"/>
          <w:b/>
          <w:bCs/>
          <w:kern w:val="0"/>
          <w:u w:val="single"/>
          <w14:ligatures w14:val="none"/>
        </w:rPr>
      </w:pPr>
    </w:p>
    <w:p w:rsidRPr="0009413A" w:rsidR="00CD7BCE" w:rsidP="00CD7BCE" w:rsidRDefault="00CD7BCE" w14:paraId="1C042684" w14:textId="77777777">
      <w:pPr>
        <w:spacing w:after="0" w:line="240" w:lineRule="auto"/>
        <w:rPr>
          <w:rFonts w:eastAsia="Calibri" w:cs="Times New Roman"/>
          <w:b/>
          <w:bCs/>
          <w:kern w:val="0"/>
          <w14:ligatures w14:val="none"/>
        </w:rPr>
      </w:pPr>
      <w:r w:rsidRPr="0009413A">
        <w:rPr>
          <w:rFonts w:eastAsia="Calibri" w:cs="Times New Roman"/>
          <w:b/>
          <w:bCs/>
          <w:kern w:val="0"/>
          <w14:ligatures w14:val="none"/>
        </w:rPr>
        <w:t>Antwoord vraag 16</w:t>
      </w:r>
      <w:r>
        <w:rPr>
          <w:rFonts w:eastAsia="Calibri" w:cs="Times New Roman"/>
          <w:b/>
          <w:bCs/>
          <w:kern w:val="0"/>
          <w14:ligatures w14:val="none"/>
        </w:rPr>
        <w:t>.</w:t>
      </w:r>
    </w:p>
    <w:p w:rsidRPr="00036553" w:rsidR="00CD7BCE" w:rsidP="00CD7BCE" w:rsidRDefault="00CD7BCE" w14:paraId="66464CB9" w14:textId="77777777">
      <w:r w:rsidRPr="00036553">
        <w:t xml:space="preserve">Bijheffing van de wereldwijde minimumbelasting is aan de orde indien het effectieve belastingtarief in een jurisdictie lager is dan het minimumbelastingtarief van 15%. De berekening van het effectieve belastingtarief vindt – kort gezegd – plaats door de zogenoemde gecorrigeerde betrokken belastingen (teller van de breuk) te delen door het netto kwalificerende inkomen (noemer van de breuk). </w:t>
      </w:r>
    </w:p>
    <w:p w:rsidRPr="00036553" w:rsidR="00CD7BCE" w:rsidP="00CD7BCE" w:rsidRDefault="00CD7BCE" w14:paraId="31FA4CF2" w14:textId="77777777">
      <w:r w:rsidRPr="00036553">
        <w:t>V</w:t>
      </w:r>
      <w:r w:rsidRPr="00036553">
        <w:rPr>
          <w:szCs w:val="18"/>
        </w:rPr>
        <w:t xml:space="preserve">oor de </w:t>
      </w:r>
      <w:r w:rsidRPr="00036553">
        <w:t xml:space="preserve">berekening van het effectieve belastingtarief </w:t>
      </w:r>
      <w:r w:rsidRPr="00036553">
        <w:rPr>
          <w:szCs w:val="18"/>
        </w:rPr>
        <w:t xml:space="preserve">wordt een onderscheid gemaakt tussen kwalificerende restitueerbare belastingtegoeden, kwalificerende verhandelbare belastingtegoeden, niet-kwalificerende belastingtegoeden en overige belastingtegoeden. Een belastingtegoed is slechts kwalificerend indien dit restitueerbaar of verhandelbaar is als bedoeld in de </w:t>
      </w:r>
      <w:r w:rsidRPr="00036553">
        <w:rPr>
          <w:rFonts w:cs="Arial"/>
          <w:szCs w:val="18"/>
        </w:rPr>
        <w:t>wereldwijde minimumbelasting</w:t>
      </w:r>
      <w:r w:rsidRPr="00036553">
        <w:rPr>
          <w:szCs w:val="18"/>
        </w:rPr>
        <w:t xml:space="preserve">. Hiervoor gelden verschillende cumulatieve voorwaarden. Achtergrond van de regels voor belastingtegoeden in de wereldwijde minimumbelasting is dat </w:t>
      </w:r>
      <w:r w:rsidRPr="00036553">
        <w:rPr>
          <w:color w:val="211D1F"/>
        </w:rPr>
        <w:t xml:space="preserve">de regels rondom de financiële verslaggeving – het uitgangspunt voor de </w:t>
      </w:r>
      <w:r w:rsidRPr="00036553">
        <w:rPr>
          <w:szCs w:val="18"/>
        </w:rPr>
        <w:t xml:space="preserve">wereldwijde </w:t>
      </w:r>
      <w:r w:rsidRPr="00036553">
        <w:rPr>
          <w:color w:val="211D1F"/>
        </w:rPr>
        <w:t>minimumbelasting – geen eenduidige en verplichte behandeling</w:t>
      </w:r>
      <w:r w:rsidRPr="00036553">
        <w:t xml:space="preserve"> kennen. Het IF heeft daarom een kader voor de </w:t>
      </w:r>
      <w:r w:rsidRPr="00036553">
        <w:rPr>
          <w:color w:val="211D1F"/>
        </w:rPr>
        <w:t>behandeling voor belastingtegoeden onder de wereldwijde minimumbelasting opgesteld. Dit om te voorkomen dat de verschillende financiële verslaggevingstandaarden bepaalde voor- of nadelen voor groepen tot gevolg zouden kunnen hebben.</w:t>
      </w:r>
      <w:r>
        <w:rPr>
          <w:color w:val="211D1F"/>
        </w:rPr>
        <w:t xml:space="preserve"> Het verlenen van een kwalificerend belastingtegoed past derhalve binnen het internationale raamwerk van de wereldwijde minimumbelasting. Binnen dit kader hebben verschillende staten hun fiscale stimuleringsregelingen aangepast dan wel nieuwe fiscale stimuleringsmaatregelen geïntroduceerd. Dergelijke stimuleringsregelingen zijn slechts kwalificerende belastingtegoeden als aan de strikte voorwaarden van de regels rondom de wereldwijde minimumbelasting wordt voldaan.  </w:t>
      </w:r>
    </w:p>
    <w:p w:rsidRPr="00B67177" w:rsidR="00CD7BCE" w:rsidP="00CD7BCE" w:rsidRDefault="00CD7BCE" w14:paraId="6A669D6E" w14:textId="77777777">
      <w:r w:rsidRPr="00036553">
        <w:rPr>
          <w:szCs w:val="18"/>
        </w:rPr>
        <w:t xml:space="preserve">Voor de toepassing van de </w:t>
      </w:r>
      <w:r w:rsidRPr="00036553">
        <w:rPr>
          <w:rFonts w:cs="Arial"/>
          <w:szCs w:val="18"/>
        </w:rPr>
        <w:t>wereldwijde minimumbelasting worden k</w:t>
      </w:r>
      <w:r w:rsidRPr="00036553">
        <w:rPr>
          <w:szCs w:val="18"/>
        </w:rPr>
        <w:t xml:space="preserve">walificerende restitueerbare belastingtegoeden en kwalificerende verhandelbare belastingtegoeden aangemerkt als kwalificerend inkomen (verhoging van de noemer van de breuk). Deze kwalificerende belastingtegoeden hebben </w:t>
      </w:r>
      <w:r w:rsidRPr="00036553">
        <w:rPr>
          <w:szCs w:val="18"/>
        </w:rPr>
        <w:lastRenderedPageBreak/>
        <w:t>echter geen invloed op het bedrag aan betrokken belastingen (teller van de breuk), in tegenstelling tot niet-kwalificerende belastingtegoeden die het bedrag aan betrokken belastingen verlagen. Dit betekent dat kwalificerende belastingtegoeden een geringer neerwaarts effect hebben op het effectieve belastingtarief en derhalve minder snel of in geringere mate leiden tot een bijheffing dan niet-kwalificerende belastingtegoeden.</w:t>
      </w:r>
      <w:r w:rsidRPr="00036553">
        <w:rPr>
          <w:szCs w:val="18"/>
          <w:vertAlign w:val="superscript"/>
        </w:rPr>
        <w:footnoteReference w:id="18"/>
      </w:r>
      <w:r w:rsidRPr="00036553">
        <w:rPr>
          <w:szCs w:val="18"/>
        </w:rPr>
        <w:t xml:space="preserve"> </w:t>
      </w:r>
      <w:r w:rsidRPr="00036553">
        <w:t xml:space="preserve">Kwalificerende belastingtegoeden worden hiermee onder de </w:t>
      </w:r>
      <w:r w:rsidRPr="00036553">
        <w:rPr>
          <w:szCs w:val="18"/>
        </w:rPr>
        <w:t xml:space="preserve">wereldwijde minimumbelasting </w:t>
      </w:r>
      <w:r w:rsidRPr="00036553">
        <w:t>in grote lijnen gelijkwaardig gezien als overheidssubsidies.</w:t>
      </w:r>
      <w:r>
        <w:t xml:space="preserve"> </w:t>
      </w:r>
      <w:r w:rsidRPr="004461A5">
        <w:t>In voorkomende gevallen kan daarmee het effectieve tarief onder de 15% komen</w:t>
      </w:r>
      <w:r>
        <w:t>.</w:t>
      </w:r>
      <w:r w:rsidRPr="004461A5">
        <w:t xml:space="preserve"> </w:t>
      </w:r>
      <w:r w:rsidRPr="00B67177">
        <w:t xml:space="preserve">Het verschil tussen een kwalificerend en niet-kwalificerend belastingtegoed kan worden geïllustreerd aan de hand van </w:t>
      </w:r>
      <w:r>
        <w:t>het</w:t>
      </w:r>
      <w:r w:rsidRPr="00B67177">
        <w:t xml:space="preserve"> volgende voorbeeld:</w:t>
      </w:r>
    </w:p>
    <w:p w:rsidRPr="00B67177" w:rsidR="00CD7BCE" w:rsidP="00CD7BCE" w:rsidRDefault="00CD7BCE" w14:paraId="7DB263AB" w14:textId="77777777">
      <w:pPr>
        <w:spacing w:line="276" w:lineRule="auto"/>
        <w:ind w:left="720"/>
        <w:rPr>
          <w:rFonts w:eastAsia="Calibri" w:cs="Times New Roman"/>
          <w:sz w:val="16"/>
          <w:szCs w:val="16"/>
        </w:rPr>
      </w:pPr>
      <w:r w:rsidRPr="00B67177">
        <w:rPr>
          <w:rFonts w:eastAsia="Calibri" w:cs="Times New Roman"/>
          <w:b/>
          <w:bCs/>
          <w:sz w:val="16"/>
          <w:szCs w:val="16"/>
        </w:rPr>
        <w:t xml:space="preserve">Voorbeeld </w:t>
      </w:r>
      <w:r w:rsidRPr="00B67177">
        <w:rPr>
          <w:rFonts w:eastAsia="Calibri" w:cs="Times New Roman"/>
          <w:sz w:val="16"/>
          <w:szCs w:val="16"/>
        </w:rPr>
        <w:br/>
        <w:t>Een multinationale groep valt onder de reikwijdte van de</w:t>
      </w:r>
      <w:r>
        <w:rPr>
          <w:rFonts w:eastAsia="Calibri" w:cs="Times New Roman"/>
          <w:sz w:val="16"/>
          <w:szCs w:val="16"/>
        </w:rPr>
        <w:t xml:space="preserve"> </w:t>
      </w:r>
      <w:r w:rsidRPr="00B67177">
        <w:rPr>
          <w:rFonts w:eastAsia="Calibri" w:cs="Times New Roman"/>
          <w:sz w:val="16"/>
          <w:szCs w:val="16"/>
        </w:rPr>
        <w:t>wereldwijde minimumbelasting. De uiteindelijkemoederentiteit (UME) heeft het volledige belang in groepsentiteit X Co. X Co is de enige groepsentiteit van de multinationale groep die is gevestigd in staat X. Het belastingtarief in staat X is 20%. Het kwalificerende inkomen van X Co is € 200 miljoen en de betrokken belastingen bedragen € 40 miljoen.</w:t>
      </w:r>
    </w:p>
    <w:p w:rsidRPr="00B67177" w:rsidR="00CD7BCE" w:rsidP="00CD7BCE" w:rsidRDefault="00CD7BCE" w14:paraId="3FA687BD" w14:textId="77777777">
      <w:pPr>
        <w:spacing w:line="276" w:lineRule="auto"/>
        <w:ind w:left="720"/>
        <w:contextualSpacing/>
        <w:rPr>
          <w:rFonts w:eastAsia="Calibri" w:cs="Times New Roman"/>
          <w:sz w:val="16"/>
          <w:szCs w:val="16"/>
        </w:rPr>
      </w:pPr>
      <w:r w:rsidRPr="00B67177">
        <w:rPr>
          <w:rFonts w:eastAsia="Calibri" w:cs="Times New Roman"/>
          <w:sz w:val="16"/>
          <w:szCs w:val="16"/>
        </w:rPr>
        <w:t xml:space="preserve">Omdat X Co diverse </w:t>
      </w:r>
      <w:r>
        <w:rPr>
          <w:rFonts w:eastAsia="Calibri" w:cs="Times New Roman"/>
          <w:sz w:val="16"/>
          <w:szCs w:val="16"/>
        </w:rPr>
        <w:t>onderzoeks</w:t>
      </w:r>
      <w:r w:rsidRPr="00B67177">
        <w:rPr>
          <w:rFonts w:eastAsia="Calibri" w:cs="Times New Roman"/>
          <w:sz w:val="16"/>
          <w:szCs w:val="16"/>
        </w:rPr>
        <w:t xml:space="preserve">kosten maakt voor een bedrag van € 100 miljoen, heeft X Co in staat X recht op een superaftrek van 150%. Dit belastingtegoed van € 30 miljoen (20% x € 100 miljoen x 150%) moet worden uitbetaald binnen acht jaar en is niet verhandelbaar. Hierdoor wordt dit belastingtegoed niet beschouwd als een kwalificerend restitueerbaar belastingtegoed of een kwalificerend verhandelbaar belastingtegoed. Onder de </w:t>
      </w:r>
      <w:r>
        <w:rPr>
          <w:rFonts w:eastAsia="Calibri" w:cs="Times New Roman"/>
          <w:sz w:val="16"/>
          <w:szCs w:val="16"/>
        </w:rPr>
        <w:t>wereldwijde minimumbelasting</w:t>
      </w:r>
      <w:r w:rsidRPr="00B67177">
        <w:rPr>
          <w:rFonts w:eastAsia="Calibri" w:cs="Times New Roman"/>
          <w:sz w:val="16"/>
          <w:szCs w:val="16"/>
        </w:rPr>
        <w:t>-regels betekent dit dat het belastingtegoed als een negatief bestanddeel van de betrokken belastingen moet worden gezien (teller van de breuk).</w:t>
      </w:r>
      <w:r w:rsidRPr="00B67177">
        <w:rPr>
          <w:rFonts w:cs="Calibri"/>
        </w:rPr>
        <w:t xml:space="preserve"> </w:t>
      </w:r>
      <w:r w:rsidRPr="00B67177">
        <w:rPr>
          <w:rFonts w:eastAsia="Calibri" w:cs="Times New Roman"/>
          <w:sz w:val="16"/>
          <w:szCs w:val="16"/>
        </w:rPr>
        <w:t xml:space="preserve">Het effectieve tarief bedraagt dan 5% ((€ 40 miljoen - € 30 miljoen) / € 200 miljoen). Daarmee is een bijheffing van € 20 </w:t>
      </w:r>
      <w:bookmarkStart w:name="_Hlk179447450" w:id="2"/>
      <w:r w:rsidRPr="00B67177">
        <w:rPr>
          <w:rFonts w:eastAsia="Calibri" w:cs="Times New Roman"/>
          <w:sz w:val="16"/>
          <w:szCs w:val="16"/>
        </w:rPr>
        <w:t>miljoen</w:t>
      </w:r>
      <w:bookmarkEnd w:id="2"/>
      <w:r w:rsidRPr="00B67177">
        <w:rPr>
          <w:rFonts w:eastAsia="Calibri" w:cs="Times New Roman"/>
          <w:sz w:val="16"/>
          <w:szCs w:val="16"/>
        </w:rPr>
        <w:t xml:space="preserve"> (10% x € 200 miljoen) verschuldigd</w:t>
      </w:r>
      <w:r>
        <w:rPr>
          <w:rFonts w:eastAsia="Calibri" w:cs="Times New Roman"/>
          <w:sz w:val="16"/>
          <w:szCs w:val="16"/>
        </w:rPr>
        <w:t>.</w:t>
      </w:r>
      <w:r w:rsidRPr="00B67177">
        <w:rPr>
          <w:rFonts w:eastAsia="Calibri" w:cs="Times New Roman"/>
          <w:sz w:val="16"/>
          <w:szCs w:val="16"/>
        </w:rPr>
        <w:t xml:space="preserve"> </w:t>
      </w:r>
    </w:p>
    <w:p w:rsidRPr="000E0CD0" w:rsidR="00CD7BCE" w:rsidP="00CD7BCE" w:rsidRDefault="00CD7BCE" w14:paraId="72B237CC" w14:textId="77777777">
      <w:pPr>
        <w:spacing w:line="276" w:lineRule="auto"/>
        <w:ind w:left="720"/>
        <w:contextualSpacing/>
        <w:rPr>
          <w:rFonts w:eastAsia="Calibri" w:cs="Times New Roman"/>
          <w:sz w:val="16"/>
          <w:szCs w:val="16"/>
        </w:rPr>
      </w:pPr>
      <w:r>
        <w:rPr>
          <w:rFonts w:eastAsia="Calibri" w:cs="Times New Roman"/>
          <w:sz w:val="16"/>
          <w:szCs w:val="16"/>
        </w:rPr>
        <w:br/>
      </w:r>
      <w:r w:rsidRPr="000E0CD0">
        <w:rPr>
          <w:rFonts w:eastAsia="Calibri" w:cs="Times New Roman"/>
          <w:sz w:val="16"/>
          <w:szCs w:val="16"/>
        </w:rPr>
        <w:t>Wanneer het belastingtegoed wel wordt beschouwd als een kwalificerend restitueerbaar belastingtegoed of een kwalificerend verhandelbaar belastingtegoed, betekent dit dat het belastingtegoed als een positief bestanddeel van het kwalificerende inkomen moet worden aangemerkt. Het effectieve tarief bedraagt dan 17,4% (€ 40 miljoen / (€ 200 miljoen + € 30 miljoen)), waardoor er geen bijheffing is verschuldigd onder de</w:t>
      </w:r>
      <w:r>
        <w:rPr>
          <w:rFonts w:eastAsia="Calibri" w:cs="Times New Roman"/>
          <w:sz w:val="16"/>
          <w:szCs w:val="16"/>
        </w:rPr>
        <w:t xml:space="preserve"> </w:t>
      </w:r>
      <w:r w:rsidRPr="000E0CD0">
        <w:rPr>
          <w:rFonts w:eastAsia="Calibri" w:cs="Times New Roman"/>
          <w:sz w:val="16"/>
          <w:szCs w:val="16"/>
        </w:rPr>
        <w:t xml:space="preserve">wereldwijde minimumbelasting. </w:t>
      </w:r>
    </w:p>
    <w:p w:rsidR="00CD7BCE" w:rsidP="00CD7BCE" w:rsidRDefault="00CD7BCE" w14:paraId="3A137AA8" w14:textId="77777777">
      <w:pPr>
        <w:spacing w:after="0" w:line="276" w:lineRule="auto"/>
        <w:rPr>
          <w:szCs w:val="18"/>
        </w:rPr>
      </w:pPr>
    </w:p>
    <w:p w:rsidR="00CD7BCE" w:rsidP="00CD7BCE" w:rsidRDefault="00CD7BCE" w14:paraId="18554817" w14:textId="77777777">
      <w:pPr>
        <w:spacing w:after="0"/>
      </w:pPr>
      <w:r w:rsidRPr="004461A5">
        <w:t>Afgelopen januari is een akkoord bereikt over het zogenoemde Side-by-Side pakket. Dit pakket introduceert verschillende veiligehavenregels waaronder de kwalificerende fiscale stimuleringsregeling-veiligehavenregel. Deze veiligehavenregel houdt in dat het bedrag aan betrokken belastingen (teller van de breuk) wordt verhoogd met het belastingbedrag dat is toe te rekenen aan nader gedefinieerde kwalificerende fiscale regelingen. Het kwalificerende inkomen (noemer van de breuk) blijft ongewijzigd, in tegenstelling tot de behandeling van kwalificerende belastingtegoeden (zoals hiervoor beschreven).</w:t>
      </w:r>
      <w:r w:rsidRPr="004461A5">
        <w:rPr>
          <w:vertAlign w:val="superscript"/>
        </w:rPr>
        <w:footnoteReference w:id="19"/>
      </w:r>
      <w:r w:rsidRPr="004461A5">
        <w:rPr>
          <w:vertAlign w:val="superscript"/>
        </w:rPr>
        <w:t xml:space="preserve"> </w:t>
      </w:r>
      <w:r w:rsidRPr="004461A5">
        <w:t>Deze veiligehavenregel bevat waarborgen om te garanderen dat deze alleen kan worden toegepast indien sprake is van daadwerkelijke reële economische activiteit. De kwalificerende fiscale stimuleringsregeling-veiligehavenregel is opgenomen in het Wetvoorstel veiligehavenregels Wet minimumbelasting 2024 dat ter internetconsultatie is gepubliceerd.</w:t>
      </w:r>
      <w:r w:rsidRPr="004461A5">
        <w:rPr>
          <w:vertAlign w:val="superscript"/>
        </w:rPr>
        <w:footnoteReference w:id="20"/>
      </w:r>
    </w:p>
    <w:p w:rsidR="00CD7BCE" w:rsidP="00CD7BCE" w:rsidRDefault="00CD7BCE" w14:paraId="1ABB51A8" w14:textId="77777777">
      <w:pPr>
        <w:spacing w:after="0" w:line="240" w:lineRule="auto"/>
        <w:rPr>
          <w:rFonts w:eastAsia="Calibri" w:cs="Times New Roman"/>
          <w:b/>
          <w:bCs/>
          <w:kern w:val="0"/>
          <w:szCs w:val="18"/>
          <w14:ligatures w14:val="none"/>
        </w:rPr>
      </w:pPr>
    </w:p>
    <w:p w:rsidR="00CD7BCE" w:rsidP="00CD7BCE" w:rsidRDefault="00CD7BCE" w14:paraId="1F384F75" w14:textId="77777777">
      <w:pPr>
        <w:spacing w:after="0" w:line="240" w:lineRule="auto"/>
        <w:rPr>
          <w:rFonts w:eastAsia="Calibri" w:cs="Times New Roman"/>
          <w:i/>
          <w:iCs/>
          <w:kern w:val="0"/>
          <w:szCs w:val="18"/>
          <w14:ligatures w14:val="none"/>
        </w:rPr>
      </w:pPr>
      <w:r w:rsidRPr="0009413A">
        <w:rPr>
          <w:rFonts w:eastAsia="Calibri" w:cs="Times New Roman"/>
          <w:b/>
          <w:bCs/>
          <w:kern w:val="0"/>
          <w:szCs w:val="18"/>
          <w14:ligatures w14:val="none"/>
        </w:rPr>
        <w:t>Vraag 17.</w:t>
      </w:r>
      <w:r w:rsidRPr="00704521">
        <w:rPr>
          <w:rFonts w:eastAsia="Calibri" w:cs="Times New Roman"/>
          <w:i/>
          <w:iCs/>
          <w:kern w:val="0"/>
          <w:szCs w:val="18"/>
          <w14:ligatures w14:val="none"/>
        </w:rPr>
        <w:t xml:space="preserve"> </w:t>
      </w:r>
    </w:p>
    <w:p w:rsidR="00CD7BCE" w:rsidP="00CD7BCE" w:rsidRDefault="00CD7BCE" w14:paraId="4E4D0289" w14:textId="77777777">
      <w:pPr>
        <w:spacing w:after="0" w:line="240" w:lineRule="auto"/>
        <w:rPr>
          <w:rFonts w:eastAsia="Calibri" w:cs="Times New Roman"/>
          <w:kern w:val="0"/>
          <w:szCs w:val="18"/>
          <w14:ligatures w14:val="none"/>
        </w:rPr>
      </w:pPr>
      <w:r w:rsidRPr="0009413A">
        <w:rPr>
          <w:rFonts w:eastAsia="Calibri" w:cs="Times New Roman"/>
          <w:kern w:val="0"/>
          <w:szCs w:val="18"/>
          <w14:ligatures w14:val="none"/>
        </w:rPr>
        <w:t>Is het in Zwitserland mogelijk om immateriële activa ten tijde van de verkrijging door of inbreng in een Zwitserse vennootschap te waarderen op de waarde in het economisch verkeer en daarop af te schrijven? Is de rente op een lening die dient ter financiering van de verkrijging van immateriële activa daar aftrekbaar? In hoeverre spelen dergelijke afschrijvingen en renteaftrek een rol bij het bepalen van het effectieve tarief over de daar behaalde winst?</w:t>
      </w:r>
    </w:p>
    <w:p w:rsidRPr="0009413A" w:rsidR="00CD7BCE" w:rsidP="00CD7BCE" w:rsidRDefault="00CD7BCE" w14:paraId="7B672319" w14:textId="77777777">
      <w:pPr>
        <w:spacing w:after="0" w:line="240" w:lineRule="auto"/>
        <w:rPr>
          <w:rFonts w:eastAsia="Calibri" w:cs="Times New Roman"/>
          <w:kern w:val="0"/>
          <w:szCs w:val="18"/>
          <w14:ligatures w14:val="none"/>
        </w:rPr>
      </w:pPr>
    </w:p>
    <w:p w:rsidRPr="0009413A" w:rsidR="00CD7BCE" w:rsidP="00CD7BCE" w:rsidRDefault="00CD7BCE" w14:paraId="3EBA7469" w14:textId="77777777">
      <w:pPr>
        <w:spacing w:after="0" w:line="240" w:lineRule="auto"/>
        <w:rPr>
          <w:rFonts w:eastAsia="Calibri" w:cs="Times New Roman"/>
          <w:b/>
          <w:bCs/>
          <w:kern w:val="0"/>
          <w14:ligatures w14:val="none"/>
        </w:rPr>
      </w:pPr>
      <w:r w:rsidRPr="0009413A">
        <w:rPr>
          <w:rFonts w:eastAsia="Calibri" w:cs="Times New Roman"/>
          <w:b/>
          <w:bCs/>
          <w:kern w:val="0"/>
          <w14:ligatures w14:val="none"/>
        </w:rPr>
        <w:t>Antwoord vraag 17</w:t>
      </w:r>
      <w:r>
        <w:rPr>
          <w:rFonts w:eastAsia="Calibri" w:cs="Times New Roman"/>
          <w:b/>
          <w:bCs/>
          <w:kern w:val="0"/>
          <w14:ligatures w14:val="none"/>
        </w:rPr>
        <w:t>.</w:t>
      </w:r>
    </w:p>
    <w:p w:rsidR="00CD7BCE" w:rsidP="00CD7BCE" w:rsidRDefault="00CD7BCE" w14:paraId="1210C394" w14:textId="77777777">
      <w:pPr>
        <w:spacing w:after="0" w:line="240" w:lineRule="auto"/>
        <w:rPr>
          <w:rFonts w:eastAsia="Calibri" w:cs="Times New Roman"/>
          <w:kern w:val="0"/>
          <w14:ligatures w14:val="none"/>
        </w:rPr>
      </w:pPr>
      <w:r w:rsidRPr="00153BF8">
        <w:rPr>
          <w:rFonts w:eastAsia="Calibri" w:cs="Times New Roman"/>
          <w:kern w:val="0"/>
          <w14:ligatures w14:val="none"/>
        </w:rPr>
        <w:t xml:space="preserve">Aangezien het hier gaat om buitenlands recht, is het niet mogelijk concrete antwoorden te formuleren op deze vragen. In algemene zin kan ik het volgende opmerken. Uit openbare bronnen </w:t>
      </w:r>
      <w:r w:rsidRPr="00153BF8">
        <w:rPr>
          <w:rFonts w:eastAsia="Calibri" w:cs="Times New Roman"/>
          <w:kern w:val="0"/>
          <w14:ligatures w14:val="none"/>
        </w:rPr>
        <w:lastRenderedPageBreak/>
        <w:t>blijkt dat het in Zwitserland onder voorwaarden mogelijk is de inbreng te waarderen op de waarde in het economische verkeer. De aftrekbaarheid van rente is in veel landen afhankelijk van een verscheidenheid aan factoren, waardoor daar niet in algemene zin een antwoord op is te geven. Afschrijvingen en renteaftrek zijn factoren die kunnen leiden tot een fiscale winst die verschilt van de winst ten behoeve van de financiële verslaggeving. Daarmee kunnen zij een rol spelen bij het bepalen van het effectieve tarief voor de minimumbelasting. Voor zover de afschrijvingen en renteaftrek niet in de winst ten behoeve van de financiële verslaggeving worden meegenomen maar wel in de fiscale winst, zullen zij het effectieve tarief verlagen.</w:t>
      </w:r>
    </w:p>
    <w:p w:rsidRPr="00153BF8" w:rsidR="00CD7BCE" w:rsidP="00CD7BCE" w:rsidRDefault="00CD7BCE" w14:paraId="282BB9AB" w14:textId="77777777">
      <w:pPr>
        <w:spacing w:after="0" w:line="240" w:lineRule="auto"/>
        <w:rPr>
          <w:rFonts w:eastAsia="Calibri" w:cs="Times New Roman"/>
          <w:kern w:val="0"/>
          <w14:ligatures w14:val="none"/>
        </w:rPr>
      </w:pPr>
    </w:p>
    <w:p w:rsidRPr="0009413A" w:rsidR="00CD7BCE" w:rsidP="00CD7BCE" w:rsidRDefault="00CD7BCE" w14:paraId="307E91BD" w14:textId="77777777">
      <w:pPr>
        <w:pStyle w:val="Geenafstand"/>
        <w:rPr>
          <w:b/>
          <w:bCs/>
          <w:lang w:val="nl-NL"/>
        </w:rPr>
      </w:pPr>
      <w:r w:rsidRPr="0009413A">
        <w:rPr>
          <w:b/>
          <w:bCs/>
          <w:lang w:val="nl-NL"/>
        </w:rPr>
        <w:t>Vraag 18.</w:t>
      </w:r>
    </w:p>
    <w:p w:rsidRPr="00704521" w:rsidR="00CD7BCE" w:rsidP="00CD7BCE" w:rsidRDefault="00CD7BCE" w14:paraId="02A9D77B" w14:textId="77777777">
      <w:pPr>
        <w:pStyle w:val="Geenafstand"/>
        <w:rPr>
          <w:lang w:val="nl-NL"/>
        </w:rPr>
      </w:pPr>
      <w:r w:rsidRPr="00704521">
        <w:rPr>
          <w:lang w:val="nl-NL"/>
        </w:rPr>
        <w:t>Kunt u bevestigen dat er Nederlandse belastingplichtigen zijn die immateriële activa hebben ondergebracht in een Zwitserse (klein)dochtervennootschap en/of een dergelijke vennootschap gebruiken als concernfinancieringsvennootschap? Zo ja, om hoeveel belastingplichtigen gaat het bij benadering? Zijn hierover afspraken gemaakt met de Nederlandse fiscus door deze belastingplichtigen? Zijn er samenvattingen van deze afspraken gepubliceerd? Zo ja, kunt u specificeren waar deze afspraken in de ruling-database zijn terug te vinden? Zo nee, waarom niet?</w:t>
      </w:r>
    </w:p>
    <w:p w:rsidR="00CD7BCE" w:rsidP="00CD7BCE" w:rsidRDefault="00CD7BCE" w14:paraId="48BC38AA" w14:textId="77777777">
      <w:pPr>
        <w:spacing w:after="0" w:line="240" w:lineRule="auto"/>
        <w:rPr>
          <w:rFonts w:eastAsia="Calibri" w:cs="Times New Roman"/>
          <w:b/>
          <w:bCs/>
          <w:kern w:val="0"/>
          <w:u w:val="single"/>
          <w14:ligatures w14:val="none"/>
        </w:rPr>
      </w:pPr>
    </w:p>
    <w:p w:rsidRPr="0009413A" w:rsidR="00CD7BCE" w:rsidP="00CD7BCE" w:rsidRDefault="00CD7BCE" w14:paraId="77D6A753" w14:textId="77777777">
      <w:pPr>
        <w:spacing w:after="0" w:line="240" w:lineRule="auto"/>
        <w:rPr>
          <w:rFonts w:eastAsia="Calibri" w:cs="Times New Roman"/>
          <w:b/>
          <w:bCs/>
          <w:kern w:val="0"/>
          <w14:ligatures w14:val="none"/>
        </w:rPr>
      </w:pPr>
      <w:r w:rsidRPr="0009413A">
        <w:rPr>
          <w:rFonts w:eastAsia="Calibri" w:cs="Times New Roman"/>
          <w:b/>
          <w:bCs/>
          <w:kern w:val="0"/>
          <w14:ligatures w14:val="none"/>
        </w:rPr>
        <w:t>Antwoord vraag 18</w:t>
      </w:r>
      <w:r>
        <w:rPr>
          <w:rFonts w:eastAsia="Calibri" w:cs="Times New Roman"/>
          <w:b/>
          <w:bCs/>
          <w:kern w:val="0"/>
          <w14:ligatures w14:val="none"/>
        </w:rPr>
        <w:t>.</w:t>
      </w:r>
    </w:p>
    <w:p w:rsidRPr="00B9235C" w:rsidR="00CD7BCE" w:rsidP="00CD7BCE" w:rsidRDefault="00CD7BCE" w14:paraId="00DE1CA2" w14:textId="77777777">
      <w:pPr>
        <w:spacing w:after="0" w:line="240" w:lineRule="auto"/>
        <w:rPr>
          <w:rFonts w:eastAsia="Calibri" w:cs="Times New Roman"/>
          <w:kern w:val="0"/>
          <w14:ligatures w14:val="none"/>
        </w:rPr>
      </w:pPr>
      <w:r w:rsidRPr="00B9235C">
        <w:rPr>
          <w:rFonts w:eastAsia="Calibri" w:cs="Times New Roman"/>
          <w:kern w:val="0"/>
          <w14:ligatures w14:val="none"/>
        </w:rPr>
        <w:t xml:space="preserve">Hoe een structuur wordt opgezet, is niet aan de Nederlandse Belastingdienst. In zijn algemeenheid kan gezegd worden, dat in voorkomende gevallen Nederlandse belastingplichtigen immateriële activa kunnen worden verplaatst naar een Zwitserse vennootschap. </w:t>
      </w:r>
    </w:p>
    <w:p w:rsidRPr="00B9235C" w:rsidR="00CD7BCE" w:rsidP="00CD7BCE" w:rsidRDefault="00CD7BCE" w14:paraId="63FD2188" w14:textId="77777777">
      <w:pPr>
        <w:spacing w:after="0" w:line="240" w:lineRule="auto"/>
        <w:rPr>
          <w:rFonts w:eastAsia="Calibri" w:cs="Times New Roman"/>
          <w:kern w:val="0"/>
          <w14:ligatures w14:val="none"/>
        </w:rPr>
      </w:pPr>
      <w:r w:rsidRPr="00B9235C">
        <w:rPr>
          <w:rFonts w:eastAsia="Calibri" w:cs="Times New Roman"/>
          <w:kern w:val="0"/>
          <w14:ligatures w14:val="none"/>
        </w:rPr>
        <w:t>Eventuele Nederlandse fiscale gevolgen met betrekking tot het onderbrengen van immateriële activa in een Zwitserse (klein)dochtervennootschap, worden betrokken in het toezicht van de Belastingdienst. De Belastingdienst heeft geen overzicht van alle structuren, noch zijn (schattingen) aantallen van bekend bij de Belastingdienst.</w:t>
      </w:r>
    </w:p>
    <w:p w:rsidRPr="00B9235C" w:rsidR="00CD7BCE" w:rsidP="00CD7BCE" w:rsidRDefault="00CD7BCE" w14:paraId="00FC3E78" w14:textId="77777777">
      <w:pPr>
        <w:spacing w:after="0" w:line="240" w:lineRule="auto"/>
        <w:rPr>
          <w:rFonts w:eastAsia="Calibri" w:cs="Times New Roman"/>
          <w:kern w:val="0"/>
          <w14:ligatures w14:val="none"/>
        </w:rPr>
      </w:pPr>
      <w:r w:rsidRPr="00B9235C">
        <w:rPr>
          <w:rFonts w:eastAsia="Calibri" w:cs="Times New Roman"/>
          <w:kern w:val="0"/>
          <w14:ligatures w14:val="none"/>
        </w:rPr>
        <w:t>Over de Nederlandse fiscale gevolgen samenhangend met een overdracht van immateriële activa kan in principe zekerheid vooraf worden gevraagd. Het hangt echter af van de concrete feiten en omstandigheden of in een specifieke casus zekerheid vooraf mogelijk is. In het BFB zijn de algemene kaders gegeven waarbinnen de Belastingdienst vooroverleg kan weigeren. Ook moet bij verzoeken over dit onderwerp worden voldaan aan de kaders van het Besluit vooroverleg met een internationaal karakter. In bijlage 2 van het jaarverslag</w:t>
      </w:r>
      <w:r w:rsidRPr="00B9235C">
        <w:rPr>
          <w:rFonts w:eastAsia="Calibri" w:cs="Times New Roman"/>
          <w:kern w:val="0"/>
          <w:vertAlign w:val="superscript"/>
          <w14:ligatures w14:val="none"/>
        </w:rPr>
        <w:footnoteReference w:id="21"/>
      </w:r>
      <w:r w:rsidRPr="00B9235C">
        <w:rPr>
          <w:rFonts w:eastAsia="Calibri" w:cs="Times New Roman"/>
          <w:kern w:val="0"/>
          <w14:ligatures w14:val="none"/>
        </w:rPr>
        <w:t xml:space="preserve"> van de rulings met een internationaal karakter wordt een uitsplitsing gegeven van de cijfers van toegekende rulings naar verschijningsvorm. </w:t>
      </w:r>
    </w:p>
    <w:p w:rsidR="00CD7BCE" w:rsidP="00CD7BCE" w:rsidRDefault="00CD7BCE" w14:paraId="67F53B49" w14:textId="77777777">
      <w:pPr>
        <w:spacing w:after="0" w:line="240" w:lineRule="auto"/>
        <w:rPr>
          <w:rFonts w:eastAsia="Calibri" w:cs="Times New Roman"/>
          <w:i/>
          <w:iCs/>
          <w:kern w:val="0"/>
          <w:szCs w:val="18"/>
          <w14:ligatures w14:val="none"/>
        </w:rPr>
      </w:pPr>
    </w:p>
    <w:p w:rsidRPr="0009413A" w:rsidR="00CD7BCE" w:rsidP="00CD7BCE" w:rsidRDefault="00CD7BCE" w14:paraId="45F05A7A" w14:textId="77777777">
      <w:pPr>
        <w:spacing w:after="0" w:line="240" w:lineRule="auto"/>
        <w:rPr>
          <w:rFonts w:eastAsia="Calibri" w:cs="Times New Roman"/>
          <w:b/>
          <w:bCs/>
          <w:kern w:val="0"/>
          <w:szCs w:val="18"/>
          <w14:ligatures w14:val="none"/>
        </w:rPr>
      </w:pPr>
      <w:r w:rsidRPr="0009413A">
        <w:rPr>
          <w:rFonts w:eastAsia="Calibri" w:cs="Times New Roman"/>
          <w:b/>
          <w:bCs/>
          <w:kern w:val="0"/>
          <w:szCs w:val="18"/>
          <w14:ligatures w14:val="none"/>
        </w:rPr>
        <w:t xml:space="preserve">Vraag 19. </w:t>
      </w:r>
    </w:p>
    <w:p w:rsidRPr="0009413A" w:rsidR="00CD7BCE" w:rsidP="00CD7BCE" w:rsidRDefault="00CD7BCE" w14:paraId="30CBE266" w14:textId="77777777">
      <w:pPr>
        <w:spacing w:after="0" w:line="240" w:lineRule="auto"/>
        <w:rPr>
          <w:rFonts w:eastAsia="Calibri" w:cs="Times New Roman"/>
          <w:kern w:val="0"/>
          <w:szCs w:val="18"/>
          <w14:ligatures w14:val="none"/>
        </w:rPr>
      </w:pPr>
      <w:r w:rsidRPr="0009413A">
        <w:rPr>
          <w:rFonts w:eastAsia="Calibri" w:cs="Times New Roman"/>
          <w:kern w:val="0"/>
          <w:szCs w:val="18"/>
          <w14:ligatures w14:val="none"/>
        </w:rPr>
        <w:t>Bent u het ermee eens dat om belastingontwijking door multinationals aan te pakken meer fundamentele maatregelen nodig zijn dan die tot nu toe zijn getroffen? Zo nee, waarom niet?</w:t>
      </w:r>
    </w:p>
    <w:p w:rsidRPr="0047265C" w:rsidR="00CD7BCE" w:rsidP="00CD7BCE" w:rsidRDefault="00CD7BCE" w14:paraId="18B921FF" w14:textId="77777777">
      <w:pPr>
        <w:spacing w:after="0" w:line="240" w:lineRule="auto"/>
        <w:rPr>
          <w:rFonts w:eastAsia="Calibri" w:cs="Times New Roman"/>
          <w:b/>
          <w:bCs/>
          <w:kern w:val="0"/>
          <w14:ligatures w14:val="none"/>
        </w:rPr>
      </w:pPr>
    </w:p>
    <w:p w:rsidRPr="0009413A" w:rsidR="00CD7BCE" w:rsidP="00CD7BCE" w:rsidRDefault="00CD7BCE" w14:paraId="1159FD4B" w14:textId="77777777">
      <w:pPr>
        <w:spacing w:after="0" w:line="240" w:lineRule="auto"/>
        <w:rPr>
          <w:rFonts w:eastAsia="Calibri" w:cs="Times New Roman"/>
          <w:b/>
          <w:bCs/>
          <w:kern w:val="0"/>
          <w14:ligatures w14:val="none"/>
        </w:rPr>
      </w:pPr>
      <w:r w:rsidRPr="0009413A">
        <w:rPr>
          <w:rFonts w:eastAsia="Calibri" w:cs="Times New Roman"/>
          <w:b/>
          <w:bCs/>
          <w:kern w:val="0"/>
          <w14:ligatures w14:val="none"/>
        </w:rPr>
        <w:t>Antwoord vraag 19</w:t>
      </w:r>
      <w:r>
        <w:rPr>
          <w:rFonts w:eastAsia="Calibri" w:cs="Times New Roman"/>
          <w:b/>
          <w:bCs/>
          <w:kern w:val="0"/>
          <w14:ligatures w14:val="none"/>
        </w:rPr>
        <w:t>.</w:t>
      </w:r>
    </w:p>
    <w:p w:rsidRPr="00621537" w:rsidR="00CD7BCE" w:rsidP="00CD7BCE" w:rsidRDefault="00CD7BCE" w14:paraId="4456EEED" w14:textId="77777777">
      <w:pPr>
        <w:spacing w:after="0" w:line="240" w:lineRule="auto"/>
        <w:rPr>
          <w:rFonts w:eastAsia="Calibri" w:cs="Times New Roman"/>
          <w:kern w:val="0"/>
          <w14:ligatures w14:val="none"/>
        </w:rPr>
      </w:pPr>
      <w:bookmarkStart w:name="_Hlk159942879" w:id="3"/>
      <w:r w:rsidRPr="00621537">
        <w:rPr>
          <w:rFonts w:eastAsia="Calibri" w:cs="Times New Roman"/>
          <w:kern w:val="0"/>
          <w14:ligatures w14:val="none"/>
        </w:rPr>
        <w:t>Nederland heeft de afgelopen jaren veel maatregelen tegen belastingontwijking genomen, zowel internationaal als nationaal</w:t>
      </w:r>
      <w:bookmarkEnd w:id="3"/>
      <w:r w:rsidRPr="00621537">
        <w:rPr>
          <w:rFonts w:eastAsia="Calibri" w:cs="Times New Roman"/>
          <w:kern w:val="0"/>
          <w14:ligatures w14:val="none"/>
        </w:rPr>
        <w:t xml:space="preserve">. Op basis van de cijfers volgt dat deze maatregelen effectief zijn. Sinds 1 januari 2021 heft Nederland een conditionele bronbelasting op rente- en royaltybetalingen aan een gelieerd lichaam dat gevestigd is in een laagbelastende jurisdictie en in misbruiksituaties. Nederland stelt jaarlijks deze laagbelastende jurisdicties vast in de Regeling laagbelastende staten en niet-coöperatieve rechtsgebieden voor belastingdoeleinden. Hierin zijn landen opgenomen die (i) zijn opgenomen op de EU-lijst van niet-coöperatieve rechtsgebieden voor belastingdoeleinden of (ii) geen winstbelasting dan wel een winstbelasting met een statutair tarief van minder dan 9% hebben. De bronbelasting is per 1 januari 2024 uitgebreid in die zin dat dividenden eveneens onder de reikwijdte van de conditionele bronbelasting zijn gebracht. Er blijkt bijvoorbeeld al een aanzienlijke daling van rente-, royalty-, en dividendstromen naar laagbelastende jurisdicties van € 37 miljard in </w:t>
      </w:r>
      <w:r w:rsidRPr="00621537">
        <w:rPr>
          <w:rFonts w:eastAsia="Calibri" w:cs="Times New Roman"/>
          <w:kern w:val="0"/>
          <w14:ligatures w14:val="none"/>
        </w:rPr>
        <w:lastRenderedPageBreak/>
        <w:t>2019 naar € 7 miljard in 2024.</w:t>
      </w:r>
      <w:r w:rsidRPr="00621537">
        <w:rPr>
          <w:rFonts w:eastAsia="Calibri" w:cs="Times New Roman"/>
          <w:kern w:val="0"/>
          <w:vertAlign w:val="superscript"/>
          <w14:ligatures w14:val="none"/>
        </w:rPr>
        <w:footnoteReference w:id="22"/>
      </w:r>
      <w:r w:rsidRPr="00621537">
        <w:rPr>
          <w:rFonts w:eastAsia="Calibri" w:cs="Times New Roman"/>
          <w:kern w:val="0"/>
          <w14:ligatures w14:val="none"/>
        </w:rPr>
        <w:t xml:space="preserve"> Verder zijn de eerste en tweede Europese anti-belastingontwijkingsrichtlijnen (ATAD1 en ATAD2) geïmplementeerd, die onder meer hebben geleid tot beperkingen op het gebied van de renteaftrek en het tegengaan van structuren die gebruik maken van verschillen tussen belastingwetgeving van landen (</w:t>
      </w:r>
      <w:r>
        <w:rPr>
          <w:rFonts w:eastAsia="Calibri" w:cs="Times New Roman"/>
          <w:kern w:val="0"/>
          <w14:ligatures w14:val="none"/>
        </w:rPr>
        <w:t xml:space="preserve">hybride </w:t>
      </w:r>
      <w:r w:rsidRPr="00621537">
        <w:rPr>
          <w:rFonts w:eastAsia="Calibri" w:cs="Times New Roman"/>
          <w:kern w:val="0"/>
          <w14:ligatures w14:val="none"/>
        </w:rPr>
        <w:t>mismatches). Een belangrijke stap in de aanpak van het verschuiven van winsten naar laagbelastende staten is bovendien de wereldwijde minimumbelasting die in Nederland in de Wet minimumbelasting 2024 is geïmplementeerd. Deze wet en de internationale afspraken die aan die wet ten grondslag liggen, beogen te waarborgen dat multinationale en binnenlandse groepen met een geconsolideerde jaaromzet van ten minste € 750 miljoen effectief ten minste 15% belasting over hun winst betalen. Om dubbele niet-heffing als gevolg van een verschillende interpretatie van het arm’s-lengthbeginsel te voorkomen, is in Nederland de Wet tegengaan mismatches bij toepassing zakelijkheidsbeginsel in werking getreden. Deze wet is erop gericht om mismatches te voorkomen die ontstaan door toepassing van het arm’s-lengthbeginsel en die leiden tot dubbele niet-heffing (zogenoemde ‘informeel-kapitaalstructuren’). Het kabinet is ervan overtuigd dat het belastingstelsel door al deze maatregelen robuuster is gemaakt tegen internationale belastingontwijking.</w:t>
      </w:r>
      <w:bookmarkStart w:name="_Hlk147308100" w:id="4"/>
      <w:r w:rsidRPr="00621537">
        <w:rPr>
          <w:rFonts w:eastAsia="Calibri" w:cs="Times New Roman"/>
          <w:kern w:val="0"/>
          <w14:ligatures w14:val="none"/>
        </w:rPr>
        <w:t xml:space="preserve"> Internationaal krijgen we daar ook erkenning voor. De Europese Commissie </w:t>
      </w:r>
      <w:bookmarkStart w:name="_Hlk147308050" w:id="5"/>
      <w:bookmarkEnd w:id="4"/>
      <w:r w:rsidRPr="00621537">
        <w:rPr>
          <w:rFonts w:eastAsia="Calibri" w:cs="Times New Roman"/>
          <w:kern w:val="0"/>
          <w14:ligatures w14:val="none"/>
        </w:rPr>
        <w:t>doet sinds 2022 aan Nederland geen landspecifieke aanbevelingen meer op dit terrein.</w:t>
      </w:r>
      <w:bookmarkEnd w:id="5"/>
      <w:r w:rsidRPr="00621537">
        <w:rPr>
          <w:rFonts w:eastAsia="Calibri" w:cs="Times New Roman"/>
          <w:kern w:val="0"/>
          <w14:ligatures w14:val="none"/>
        </w:rPr>
        <w:t xml:space="preserve"> Ook het IMF geeft aan dat Nederland de goede maatregelen heeft genomen. </w:t>
      </w:r>
      <w:r>
        <w:rPr>
          <w:rFonts w:eastAsia="Calibri" w:cs="Times New Roman"/>
          <w:kern w:val="0"/>
          <w14:ligatures w14:val="none"/>
        </w:rPr>
        <w:t>Bovendien blijkt uit</w:t>
      </w:r>
      <w:r w:rsidRPr="00621537">
        <w:rPr>
          <w:rFonts w:eastAsia="Calibri" w:cs="Times New Roman"/>
          <w:kern w:val="0"/>
          <w14:ligatures w14:val="none"/>
        </w:rPr>
        <w:t xml:space="preserve"> een recente publicatie van DNB blijkt dat het aantal financiële holdings van multinationals in ongeveer tien jaar tijd bijna gehalveerd is.</w:t>
      </w:r>
      <w:r w:rsidRPr="00621537">
        <w:rPr>
          <w:rFonts w:eastAsia="Calibri" w:cs="Times New Roman"/>
          <w:kern w:val="0"/>
          <w:vertAlign w:val="superscript"/>
          <w14:ligatures w14:val="none"/>
        </w:rPr>
        <w:footnoteReference w:id="23"/>
      </w:r>
      <w:r w:rsidRPr="00621537">
        <w:rPr>
          <w:rFonts w:eastAsia="Calibri" w:cs="Times New Roman"/>
          <w:kern w:val="0"/>
          <w14:ligatures w14:val="none"/>
        </w:rPr>
        <w:t xml:space="preserve"> In dat verband refereert DNB ook aan de hiervoor genoemde conditionele bronbelasting op rente- en royaltybetalingen en dividenduitkeringen en de wereldwijde minimumbelasting.</w:t>
      </w:r>
    </w:p>
    <w:p w:rsidR="00CD7BCE" w:rsidP="00CD7BCE" w:rsidRDefault="00CD7BCE" w14:paraId="5618DB47" w14:textId="77777777">
      <w:pPr>
        <w:spacing w:after="0" w:line="240" w:lineRule="auto"/>
        <w:rPr>
          <w:rFonts w:eastAsia="Calibri" w:cs="Times New Roman"/>
          <w:i/>
          <w:iCs/>
          <w:kern w:val="0"/>
          <w14:ligatures w14:val="none"/>
        </w:rPr>
      </w:pPr>
    </w:p>
    <w:p w:rsidR="00CD7BCE" w:rsidP="00CD7BCE" w:rsidRDefault="00CD7BCE" w14:paraId="12A12330" w14:textId="77777777">
      <w:pPr>
        <w:spacing w:after="0" w:line="240" w:lineRule="auto"/>
        <w:rPr>
          <w:rFonts w:eastAsia="Calibri" w:cs="Times New Roman"/>
          <w:b/>
          <w:bCs/>
          <w:kern w:val="0"/>
          <w14:ligatures w14:val="none"/>
        </w:rPr>
      </w:pPr>
    </w:p>
    <w:p w:rsidRPr="0009413A" w:rsidR="00CD7BCE" w:rsidP="00CD7BCE" w:rsidRDefault="00CD7BCE" w14:paraId="4ACFAD99" w14:textId="77777777">
      <w:pPr>
        <w:spacing w:after="0" w:line="240" w:lineRule="auto"/>
        <w:rPr>
          <w:rFonts w:eastAsia="Calibri" w:cs="Times New Roman"/>
          <w:b/>
          <w:bCs/>
          <w:kern w:val="0"/>
          <w14:ligatures w14:val="none"/>
        </w:rPr>
      </w:pPr>
      <w:r w:rsidRPr="0009413A">
        <w:rPr>
          <w:rFonts w:eastAsia="Calibri" w:cs="Times New Roman"/>
          <w:b/>
          <w:bCs/>
          <w:kern w:val="0"/>
          <w14:ligatures w14:val="none"/>
        </w:rPr>
        <w:t xml:space="preserve">Vraag 20. </w:t>
      </w:r>
    </w:p>
    <w:p w:rsidRPr="0009413A" w:rsidR="00CD7BCE" w:rsidP="00CD7BCE" w:rsidRDefault="00CD7BCE" w14:paraId="1C439329" w14:textId="77777777">
      <w:pPr>
        <w:spacing w:after="0" w:line="240" w:lineRule="auto"/>
        <w:rPr>
          <w:rFonts w:eastAsia="Calibri" w:cs="Times New Roman"/>
          <w:kern w:val="0"/>
          <w14:ligatures w14:val="none"/>
        </w:rPr>
      </w:pPr>
      <w:r w:rsidRPr="0009413A">
        <w:rPr>
          <w:rFonts w:eastAsia="Calibri" w:cs="Times New Roman"/>
          <w:kern w:val="0"/>
          <w14:ligatures w14:val="none"/>
        </w:rPr>
        <w:t>Klopt het dat in belastingontwijkende structuren van multinationals de winst vaak wordt verlaagd door middel van de aftrek van rente en royalty’s die zijn verschuldigd door aan de Nederlandse vennootschapsbelasting onderworpen belastingplichtigen aan groepsmaatschappijen die zijn gevestigd in landen met een effectief tarief dat lager is dan 15 procent?</w:t>
      </w:r>
    </w:p>
    <w:p w:rsidRPr="0047265C" w:rsidR="00CD7BCE" w:rsidP="00CD7BCE" w:rsidRDefault="00CD7BCE" w14:paraId="677157CB" w14:textId="77777777">
      <w:pPr>
        <w:spacing w:after="0" w:line="240" w:lineRule="auto"/>
        <w:rPr>
          <w:rFonts w:eastAsia="Calibri" w:cs="Times New Roman"/>
          <w:b/>
          <w:bCs/>
          <w:kern w:val="0"/>
          <w14:ligatures w14:val="none"/>
        </w:rPr>
      </w:pPr>
    </w:p>
    <w:p w:rsidRPr="0009413A" w:rsidR="00CD7BCE" w:rsidP="00CD7BCE" w:rsidRDefault="00CD7BCE" w14:paraId="02420707" w14:textId="77777777">
      <w:pPr>
        <w:spacing w:after="0" w:line="240" w:lineRule="auto"/>
        <w:rPr>
          <w:rFonts w:eastAsia="Calibri" w:cs="Times New Roman"/>
          <w:b/>
          <w:bCs/>
          <w:kern w:val="0"/>
          <w14:ligatures w14:val="none"/>
        </w:rPr>
      </w:pPr>
      <w:r w:rsidRPr="0009413A">
        <w:rPr>
          <w:rFonts w:eastAsia="Calibri" w:cs="Times New Roman"/>
          <w:b/>
          <w:bCs/>
          <w:kern w:val="0"/>
          <w14:ligatures w14:val="none"/>
        </w:rPr>
        <w:t>Antwoord vraag 20</w:t>
      </w:r>
      <w:r>
        <w:rPr>
          <w:rFonts w:eastAsia="Calibri" w:cs="Times New Roman"/>
          <w:b/>
          <w:bCs/>
          <w:kern w:val="0"/>
          <w14:ligatures w14:val="none"/>
        </w:rPr>
        <w:t>.</w:t>
      </w:r>
    </w:p>
    <w:p w:rsidRPr="0047265C" w:rsidR="00CD7BCE" w:rsidP="00CD7BCE" w:rsidRDefault="00CD7BCE" w14:paraId="3A1449D2" w14:textId="77777777">
      <w:pPr>
        <w:spacing w:after="0" w:line="240" w:lineRule="auto"/>
        <w:rPr>
          <w:rFonts w:eastAsia="Calibri" w:cs="Times New Roman"/>
          <w:kern w:val="0"/>
          <w14:ligatures w14:val="none"/>
        </w:rPr>
      </w:pPr>
      <w:r w:rsidRPr="0047265C">
        <w:rPr>
          <w:rFonts w:eastAsia="Calibri" w:cs="Times New Roman"/>
          <w:kern w:val="0"/>
          <w14:ligatures w14:val="none"/>
        </w:rPr>
        <w:t xml:space="preserve">De Belastingdienst houdt toezicht op de aftrek van rente en royalty’s door Nederlandse vennootschappen. Hierbij wordt onder andere getoetst aan artikel 8b van de Wet </w:t>
      </w:r>
      <w:r>
        <w:rPr>
          <w:rFonts w:eastAsia="Calibri" w:cs="Times New Roman"/>
          <w:kern w:val="0"/>
          <w14:ligatures w14:val="none"/>
        </w:rPr>
        <w:t>Vpb</w:t>
      </w:r>
      <w:r w:rsidRPr="0047265C">
        <w:rPr>
          <w:rFonts w:eastAsia="Calibri" w:cs="Times New Roman"/>
          <w:kern w:val="0"/>
          <w14:ligatures w14:val="none"/>
        </w:rPr>
        <w:t xml:space="preserve"> 1969 (zakelijkheidsbeginsel) en renteaftrekbeperkende maatregelen zoals artikel 10a van de Wet </w:t>
      </w:r>
      <w:r>
        <w:rPr>
          <w:rFonts w:eastAsia="Calibri" w:cs="Times New Roman"/>
          <w:kern w:val="0"/>
          <w14:ligatures w14:val="none"/>
        </w:rPr>
        <w:t>Vpb</w:t>
      </w:r>
      <w:r w:rsidRPr="0047265C">
        <w:rPr>
          <w:rFonts w:eastAsia="Calibri" w:cs="Times New Roman"/>
          <w:kern w:val="0"/>
          <w14:ligatures w14:val="none"/>
        </w:rPr>
        <w:t xml:space="preserve"> 1969. Daarnaast is in 2021 de Wet op de Bronbelasting ingevoerd waardoor, kort gezegd, betalingen aan laagbelastende staten en niet-coöperatieve jurisdicties zijn onderworpen aan de bronbelasting. </w:t>
      </w:r>
      <w:r w:rsidRPr="00406FFC">
        <w:rPr>
          <w:rFonts w:eastAsia="Calibri" w:cs="Times New Roman"/>
          <w:kern w:val="0"/>
          <w14:ligatures w14:val="none"/>
        </w:rPr>
        <w:t>Uit de monitoring van de inkomensstromen naar laagbelastende jurisdicties blijkt dat de betalingen van rente en royalty’s aan laagbelastende jurisdicties sinds de invoering van de bronbelasting fors zijn afgenomen. Voor een overzicht verwijs ik u naar de laatste brief over de monitoring van de effecten van de aanpak van belastingontwijking van 15 december 2025.</w:t>
      </w:r>
      <w:r w:rsidRPr="00406FFC">
        <w:rPr>
          <w:rFonts w:eastAsia="Calibri" w:cs="Times New Roman"/>
          <w:kern w:val="0"/>
          <w:vertAlign w:val="superscript"/>
          <w14:ligatures w14:val="none"/>
        </w:rPr>
        <w:footnoteReference w:id="24"/>
      </w:r>
    </w:p>
    <w:p w:rsidRPr="00A76BF6" w:rsidR="00CD7BCE" w:rsidP="00CD7BCE" w:rsidRDefault="00CD7BCE" w14:paraId="3760D290" w14:textId="77777777">
      <w:pPr>
        <w:pStyle w:val="Geenafstand"/>
        <w:rPr>
          <w:i/>
          <w:iCs/>
          <w:lang w:val="nl-NL"/>
        </w:rPr>
      </w:pPr>
    </w:p>
    <w:p w:rsidRPr="0009413A" w:rsidR="00CD7BCE" w:rsidP="00CD7BCE" w:rsidRDefault="00CD7BCE" w14:paraId="187A9D8E" w14:textId="77777777">
      <w:pPr>
        <w:pStyle w:val="Geenafstand"/>
        <w:rPr>
          <w:b/>
          <w:bCs/>
          <w:lang w:val="nl-NL"/>
        </w:rPr>
      </w:pPr>
      <w:r w:rsidRPr="0009413A">
        <w:rPr>
          <w:b/>
          <w:bCs/>
          <w:lang w:val="nl-NL"/>
        </w:rPr>
        <w:t>Vraag 21.</w:t>
      </w:r>
    </w:p>
    <w:p w:rsidRPr="0047265C" w:rsidR="00CD7BCE" w:rsidP="00CD7BCE" w:rsidRDefault="00CD7BCE" w14:paraId="32FB0FC0" w14:textId="77777777">
      <w:pPr>
        <w:pStyle w:val="Geenafstand"/>
        <w:rPr>
          <w:lang w:val="nl-NL"/>
        </w:rPr>
      </w:pPr>
      <w:r w:rsidRPr="0047265C">
        <w:rPr>
          <w:lang w:val="nl-NL"/>
        </w:rPr>
        <w:t>Kunt u een overzicht geven van de bedragen die zijn gemoeid met aftrekbare rente en royalty’s die zijn verschuldigd door aan de Nederlandse vennootschapsbelasting onderworpen belastingplichtigen aan groepsmaatschappijen die zijn gevestigd in landen zoals Zwitserland waar het mogelijk is een effectief tarief te bereiken dat lager is dan 15 procent? Is het mogelijk om in dit overzicht per land (van de ontvanger van de rente en/of royalty's) een specificatie te geven? Zo nee, bent u bereid om dit door het ministerie van Financiën in samenwerking met de Belastingdienst te laten onderzoeken?</w:t>
      </w:r>
    </w:p>
    <w:p w:rsidR="00CD7BCE" w:rsidP="00CD7BCE" w:rsidRDefault="00CD7BCE" w14:paraId="6498174F" w14:textId="77777777">
      <w:pPr>
        <w:pStyle w:val="Geenafstand"/>
        <w:rPr>
          <w:b/>
          <w:bCs/>
          <w:lang w:val="nl-NL"/>
        </w:rPr>
      </w:pPr>
    </w:p>
    <w:p w:rsidRPr="0047265C" w:rsidR="00CD7BCE" w:rsidP="00CD7BCE" w:rsidRDefault="00CD7BCE" w14:paraId="39C31461" w14:textId="77777777">
      <w:pPr>
        <w:pStyle w:val="Geenafstand"/>
        <w:rPr>
          <w:b/>
          <w:bCs/>
          <w:lang w:val="nl-NL"/>
        </w:rPr>
      </w:pPr>
      <w:r w:rsidRPr="0047265C">
        <w:rPr>
          <w:b/>
          <w:bCs/>
          <w:lang w:val="nl-NL"/>
        </w:rPr>
        <w:t xml:space="preserve">Antwoord </w:t>
      </w:r>
      <w:r>
        <w:rPr>
          <w:b/>
          <w:bCs/>
          <w:lang w:val="nl-NL"/>
        </w:rPr>
        <w:t xml:space="preserve">vraag </w:t>
      </w:r>
      <w:r w:rsidRPr="0047265C">
        <w:rPr>
          <w:b/>
          <w:bCs/>
          <w:lang w:val="nl-NL"/>
        </w:rPr>
        <w:t>21</w:t>
      </w:r>
      <w:r>
        <w:rPr>
          <w:b/>
          <w:bCs/>
          <w:lang w:val="nl-NL"/>
        </w:rPr>
        <w:t>.</w:t>
      </w:r>
    </w:p>
    <w:p w:rsidR="00CD7BCE" w:rsidP="00CD7BCE" w:rsidRDefault="00CD7BCE" w14:paraId="0BF1AF8C" w14:textId="77777777">
      <w:pPr>
        <w:pStyle w:val="Geenafstand"/>
        <w:rPr>
          <w:lang w:val="nl-NL"/>
        </w:rPr>
      </w:pPr>
      <w:r w:rsidRPr="008D126E">
        <w:rPr>
          <w:lang w:val="nl-NL"/>
        </w:rPr>
        <w:t xml:space="preserve">In de reguliere aangifte vennootschapsbelasting bestaat geen algemene verplichting om een specificatie van alle aan groepsmaatschappijen betaalde rente en royalty’s per land op te nemen. De Vpb-aangifte bevat wel vragen over onder meer renteaftrekbeperkingen, transacties met gelieerde partijen en verrekenprijzen, maar niet een standaard landenoverzicht van betaalde rente en royalty’s. Het is dan ook niet mogelijk om op basis van beschikbare data een dergelijk overzicht te verstrekken. Een apart onderzoek in samenwerking met de Belastingdienst zou betekenen dat extra gegevens moeten worden opgevraagd bij een groot aantal belastingplichtigen. Een belastinginspecteur mag in beginsel altijd vragen stellen om de belastingheffing te controleren, zolang deze vragen gaan over feiten die relevant zijn voor de belastingaangifte. </w:t>
      </w:r>
      <w:r>
        <w:rPr>
          <w:lang w:val="nl-NL"/>
        </w:rPr>
        <w:t xml:space="preserve">Het is dan ook niet mogelijk om via een dergelijk onderzoek deze cijfers te </w:t>
      </w:r>
      <w:r w:rsidRPr="00135E15">
        <w:rPr>
          <w:lang w:val="nl-NL"/>
        </w:rPr>
        <w:t>verkrijgen</w:t>
      </w:r>
      <w:r w:rsidRPr="008D126E">
        <w:rPr>
          <w:lang w:val="nl-NL"/>
        </w:rPr>
        <w:t>.</w:t>
      </w:r>
    </w:p>
    <w:p w:rsidR="00CD7BCE" w:rsidP="00CD7BCE" w:rsidRDefault="00CD7BCE" w14:paraId="51E84D53" w14:textId="77777777">
      <w:pPr>
        <w:spacing w:after="0" w:line="240" w:lineRule="auto"/>
      </w:pPr>
    </w:p>
    <w:p w:rsidRPr="0009413A" w:rsidR="00CD7BCE" w:rsidP="00CD7BCE" w:rsidRDefault="00CD7BCE" w14:paraId="57EB3D39" w14:textId="77777777">
      <w:pPr>
        <w:spacing w:after="0" w:line="240" w:lineRule="auto"/>
        <w:rPr>
          <w:rFonts w:eastAsia="Calibri" w:cs="Times New Roman"/>
          <w:b/>
          <w:bCs/>
          <w:kern w:val="0"/>
          <w:szCs w:val="18"/>
          <w14:ligatures w14:val="none"/>
        </w:rPr>
      </w:pPr>
      <w:r w:rsidRPr="0009413A">
        <w:rPr>
          <w:rFonts w:eastAsia="Calibri" w:cs="Times New Roman"/>
          <w:b/>
          <w:bCs/>
          <w:kern w:val="0"/>
          <w:szCs w:val="18"/>
          <w14:ligatures w14:val="none"/>
        </w:rPr>
        <w:t xml:space="preserve">Vraag 22. </w:t>
      </w:r>
    </w:p>
    <w:p w:rsidRPr="0009413A" w:rsidR="00CD7BCE" w:rsidP="00CD7BCE" w:rsidRDefault="00CD7BCE" w14:paraId="769885E6" w14:textId="77777777">
      <w:pPr>
        <w:spacing w:after="0" w:line="240" w:lineRule="auto"/>
        <w:rPr>
          <w:rFonts w:eastAsia="Calibri" w:cs="Times New Roman"/>
          <w:kern w:val="0"/>
          <w:szCs w:val="18"/>
          <w14:ligatures w14:val="none"/>
        </w:rPr>
      </w:pPr>
      <w:r w:rsidRPr="0009413A">
        <w:rPr>
          <w:rFonts w:eastAsia="Calibri" w:cs="Times New Roman"/>
          <w:kern w:val="0"/>
          <w:szCs w:val="18"/>
          <w14:ligatures w14:val="none"/>
        </w:rPr>
        <w:t>Zou het volgens u mogelijk zijn om in de Wet op de vennootschapsbelasting 1969 een aftrekbeperking op te nemen voor rente en royalty’s die zijn verschuldigd aan groepsmaatschappijen die zijn gevestigd in niet-EU landen met een effectief tarief dat lager is dan 15 procent?</w:t>
      </w:r>
    </w:p>
    <w:p w:rsidR="00CD7BCE" w:rsidP="00CD7BCE" w:rsidRDefault="00CD7BCE" w14:paraId="5455D2B9" w14:textId="77777777">
      <w:pPr>
        <w:spacing w:after="0" w:line="240" w:lineRule="auto"/>
        <w:rPr>
          <w:rFonts w:eastAsia="Calibri" w:cs="Times New Roman"/>
          <w:i/>
          <w:iCs/>
          <w:kern w:val="0"/>
          <w:szCs w:val="18"/>
          <w14:ligatures w14:val="none"/>
        </w:rPr>
      </w:pPr>
    </w:p>
    <w:p w:rsidRPr="0009413A" w:rsidR="00CD7BCE" w:rsidP="00CD7BCE" w:rsidRDefault="00CD7BCE" w14:paraId="7B81DAF2" w14:textId="77777777">
      <w:pPr>
        <w:pStyle w:val="Geenafstand"/>
        <w:rPr>
          <w:b/>
          <w:bCs/>
          <w:lang w:val="nl-NL"/>
        </w:rPr>
      </w:pPr>
      <w:r w:rsidRPr="0009413A">
        <w:rPr>
          <w:b/>
          <w:bCs/>
          <w:lang w:val="nl-NL"/>
        </w:rPr>
        <w:t>Antwoord vraag 22.</w:t>
      </w:r>
    </w:p>
    <w:p w:rsidRPr="00E20B7C" w:rsidR="00CD7BCE" w:rsidP="00CD7BCE" w:rsidRDefault="00CD7BCE" w14:paraId="3FB96AA7" w14:textId="77777777">
      <w:pPr>
        <w:pStyle w:val="Geenafstand"/>
        <w:rPr>
          <w:lang w:val="nl-NL"/>
        </w:rPr>
      </w:pPr>
      <w:r w:rsidRPr="00820DFC">
        <w:rPr>
          <w:lang w:val="nl-NL"/>
        </w:rPr>
        <w:t xml:space="preserve">Ook het kabinet </w:t>
      </w:r>
      <w:r>
        <w:rPr>
          <w:lang w:val="nl-NL"/>
        </w:rPr>
        <w:t>heeft gesignaleerd</w:t>
      </w:r>
      <w:r w:rsidRPr="00820DFC">
        <w:rPr>
          <w:lang w:val="nl-NL"/>
        </w:rPr>
        <w:t xml:space="preserve"> dat er na implementatie van de maatregelen die volgen uit het BEPS-nog steeds risico’s op grondslaguitholling en winstverschuiving naar laagbelastende landen zijn. Het kabinet heeft daarom – naast een reeks van eerder genomen maatregelen – zelf ook unilaterale maatregelen </w:t>
      </w:r>
      <w:r>
        <w:rPr>
          <w:lang w:val="nl-NL"/>
        </w:rPr>
        <w:t xml:space="preserve">genomen </w:t>
      </w:r>
      <w:r w:rsidRPr="00820DFC">
        <w:rPr>
          <w:lang w:val="nl-NL"/>
        </w:rPr>
        <w:t xml:space="preserve">tegen belastingontwijking. Hiervoor verwijs ik kortheidshalve naar de beantwoording op vraag 19. Deze unilaterale maatregelen dwingen echter andere landen er niet toe soortgelijke maatregelen te nemen, met als gevolg dat belastingontwijking door internationaal opererende bedrijven nog steeds mogelijk blijft en slechts verschuift naar andere jurisdicties. Wereldwijde belastingontwijking moet daarom vooral internationaal gecoördineerd worden aangepakt om tot een effectieve oplossing te komen. Immers, de uitdagingen die samenhangen met belastingontwijking en de belastingheffing van multinationals, zijn veelal internationaal van aard en kunnen het beste worden aangepakt door middel van internationale afspraken, zowel bij de OESO als in de EU. Met de ingevoerde wereldwijde minimumbelasting wordt bewerkstelligd dat multinationale groepen met een omzet van € 750 miljoen euro of meer altijd ten minste effectief 15% aan belasting over hun winst betalen. Aangezien het om een effectief tarief gaat dat wordt berekend per staat, is de verwachting dat een minimumbelastingtarief van 15% voldoende effectief is om belastingconcurrentie en belastingontwijking in te dammen. Het doel van </w:t>
      </w:r>
      <w:r>
        <w:rPr>
          <w:lang w:val="nl-NL"/>
        </w:rPr>
        <w:t>de wereldwijde minimumbelasting</w:t>
      </w:r>
      <w:r w:rsidRPr="00820DFC">
        <w:rPr>
          <w:lang w:val="nl-NL"/>
        </w:rPr>
        <w:t xml:space="preserve"> is tweeledig. Ten eerste beoogt</w:t>
      </w:r>
      <w:r>
        <w:rPr>
          <w:lang w:val="nl-NL"/>
        </w:rPr>
        <w:t xml:space="preserve"> de wereldwijde minimumbelasting</w:t>
      </w:r>
      <w:r w:rsidRPr="00820DFC">
        <w:rPr>
          <w:lang w:val="nl-NL"/>
        </w:rPr>
        <w:t xml:space="preserve"> de prikkel voor bedrijven om winst te verschuiven naar laagbelastende staten te verminderen. Ten tweede beoogt</w:t>
      </w:r>
      <w:r>
        <w:rPr>
          <w:lang w:val="nl-NL"/>
        </w:rPr>
        <w:t xml:space="preserve"> de wereldwijde minimumbelasting</w:t>
      </w:r>
      <w:r w:rsidRPr="00820DFC">
        <w:rPr>
          <w:lang w:val="nl-NL"/>
        </w:rPr>
        <w:t xml:space="preserve"> een ondergrens te stellen aan belastingconcurrentie tussen staten. Hiermee moet de race naar de bodem in de winstbelasting worden voorkomen en een gelijker speelveld worden gecreëerd voor internationaal opererende bedrijven. De systematiek van de wereldwijde minimumbelasting leidt ertoe dat in het geval een staat onvoldoende belasting heft, naar de maatstaven van de wereldwijde minimumbelasting, over bepaalde winsten er over die winst kan worden bijgeheven door een andere staat die de wereldwijde minimumbelasting heeft geïmplementeerd. Als gevolg hiervan zullen staten naar verwachting de wereldwijde minimumbelasting invoeren of hun winstbelasting zodanig aanpassen dat het effectieve belastingtarief in de praktijk uitkomt op ten minste 15%. </w:t>
      </w:r>
      <w:r>
        <w:rPr>
          <w:lang w:val="nl-NL"/>
        </w:rPr>
        <w:t>Het voorgaande laat onverlet dat</w:t>
      </w:r>
      <w:r w:rsidRPr="00E20B7C">
        <w:rPr>
          <w:lang w:val="nl-NL"/>
        </w:rPr>
        <w:t xml:space="preserve"> het kabinet </w:t>
      </w:r>
      <w:r>
        <w:rPr>
          <w:lang w:val="nl-NL"/>
        </w:rPr>
        <w:t>zal onderzoeken</w:t>
      </w:r>
      <w:r w:rsidRPr="00E20B7C">
        <w:rPr>
          <w:lang w:val="nl-NL"/>
        </w:rPr>
        <w:t xml:space="preserve"> of territoriale belastingstelsels in samenhang met de bestaande maatregelen kunnen leiden tot uitkomsten die onvoldoende door het huidige instrumentarium worden bestreken.</w:t>
      </w:r>
    </w:p>
    <w:p w:rsidRPr="00AD7C87" w:rsidR="00CD7BCE" w:rsidP="00CD7BCE" w:rsidRDefault="00CD7BCE" w14:paraId="473D6282" w14:textId="77777777">
      <w:pPr>
        <w:spacing w:after="0" w:line="240" w:lineRule="auto"/>
        <w:rPr>
          <w:rFonts w:eastAsia="Calibri" w:cs="Times New Roman"/>
          <w:i/>
          <w:iCs/>
          <w:kern w:val="0"/>
          <w:szCs w:val="18"/>
          <w14:ligatures w14:val="none"/>
        </w:rPr>
      </w:pPr>
    </w:p>
    <w:p w:rsidRPr="0009413A" w:rsidR="00CD7BCE" w:rsidP="00CD7BCE" w:rsidRDefault="00CD7BCE" w14:paraId="18F8E6E7" w14:textId="77777777">
      <w:pPr>
        <w:spacing w:after="0" w:line="240" w:lineRule="auto"/>
        <w:rPr>
          <w:rFonts w:eastAsia="Calibri" w:cs="Times New Roman"/>
          <w:b/>
          <w:bCs/>
          <w:kern w:val="0"/>
          <w:szCs w:val="18"/>
          <w14:ligatures w14:val="none"/>
        </w:rPr>
      </w:pPr>
      <w:r w:rsidRPr="0009413A">
        <w:rPr>
          <w:rFonts w:eastAsia="Calibri" w:cs="Times New Roman"/>
          <w:b/>
          <w:bCs/>
          <w:kern w:val="0"/>
          <w:szCs w:val="18"/>
          <w14:ligatures w14:val="none"/>
        </w:rPr>
        <w:t xml:space="preserve">Vraag 23. </w:t>
      </w:r>
    </w:p>
    <w:p w:rsidRPr="0009413A" w:rsidR="00CD7BCE" w:rsidP="00CD7BCE" w:rsidRDefault="00CD7BCE" w14:paraId="1FBEDEF2" w14:textId="77777777">
      <w:pPr>
        <w:spacing w:after="0" w:line="240" w:lineRule="auto"/>
        <w:rPr>
          <w:rFonts w:eastAsia="Calibri" w:cs="Times New Roman"/>
          <w:kern w:val="0"/>
          <w:szCs w:val="18"/>
          <w14:ligatures w14:val="none"/>
        </w:rPr>
      </w:pPr>
      <w:r w:rsidRPr="0009413A">
        <w:rPr>
          <w:rFonts w:eastAsia="Calibri" w:cs="Times New Roman"/>
          <w:kern w:val="0"/>
          <w:szCs w:val="18"/>
          <w14:ligatures w14:val="none"/>
        </w:rPr>
        <w:t xml:space="preserve">Kunt u deze vragen beantwoorden voorafgaand aan de technische briefing over belastingontwijkingsconstructies? </w:t>
      </w:r>
    </w:p>
    <w:p w:rsidRPr="00AD7C87" w:rsidR="00CD7BCE" w:rsidP="00CD7BCE" w:rsidRDefault="00CD7BCE" w14:paraId="787BB823" w14:textId="77777777">
      <w:pPr>
        <w:spacing w:after="0" w:line="240" w:lineRule="auto"/>
        <w:rPr>
          <w:rFonts w:eastAsia="Calibri" w:cs="Times New Roman"/>
          <w:kern w:val="0"/>
          <w:szCs w:val="18"/>
          <w14:ligatures w14:val="none"/>
        </w:rPr>
      </w:pPr>
    </w:p>
    <w:p w:rsidRPr="0009413A" w:rsidR="00CD7BCE" w:rsidP="00CD7BCE" w:rsidRDefault="00CD7BCE" w14:paraId="3D5408D5" w14:textId="77777777">
      <w:pPr>
        <w:pStyle w:val="Geenafstand"/>
        <w:rPr>
          <w:b/>
          <w:bCs/>
          <w:lang w:val="nl-NL"/>
        </w:rPr>
      </w:pPr>
      <w:r w:rsidRPr="0009413A">
        <w:rPr>
          <w:b/>
          <w:bCs/>
          <w:lang w:val="nl-NL"/>
        </w:rPr>
        <w:t>Antwoord vraag 23</w:t>
      </w:r>
      <w:r>
        <w:rPr>
          <w:b/>
          <w:bCs/>
          <w:lang w:val="nl-NL"/>
        </w:rPr>
        <w:t>.</w:t>
      </w:r>
    </w:p>
    <w:p w:rsidRPr="00AD7C87" w:rsidR="00CD7BCE" w:rsidP="00CD7BCE" w:rsidRDefault="00CD7BCE" w14:paraId="5BE39F6E" w14:textId="77777777">
      <w:pPr>
        <w:pStyle w:val="Geenafstand"/>
        <w:rPr>
          <w:lang w:val="nl-NL"/>
        </w:rPr>
      </w:pPr>
      <w:r w:rsidRPr="00AD7C87">
        <w:rPr>
          <w:lang w:val="nl-NL"/>
        </w:rPr>
        <w:t>Ja.</w:t>
      </w:r>
    </w:p>
    <w:p w:rsidR="004F262E" w:rsidRDefault="004F262E" w14:paraId="466826D0" w14:textId="77777777"/>
    <w:sectPr w:rsidR="004F262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163AB" w14:textId="77777777" w:rsidR="00680F32" w:rsidRDefault="00680F32" w:rsidP="00CD7BCE">
      <w:pPr>
        <w:spacing w:after="0" w:line="240" w:lineRule="auto"/>
      </w:pPr>
      <w:r>
        <w:separator/>
      </w:r>
    </w:p>
  </w:endnote>
  <w:endnote w:type="continuationSeparator" w:id="0">
    <w:p w14:paraId="3ED352A0" w14:textId="77777777" w:rsidR="00680F32" w:rsidRDefault="00680F32" w:rsidP="00CD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5A51" w14:textId="77777777" w:rsidR="00CD7BCE" w:rsidRPr="00CD7BCE" w:rsidRDefault="00CD7BCE" w:rsidP="00CD7B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2A95" w14:textId="77777777" w:rsidR="00CD7BCE" w:rsidRPr="00CD7BCE" w:rsidRDefault="00CD7BCE" w:rsidP="00CD7B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B432" w14:textId="77777777" w:rsidR="00CD7BCE" w:rsidRPr="00CD7BCE" w:rsidRDefault="00CD7BCE" w:rsidP="00CD7B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9CD88" w14:textId="77777777" w:rsidR="00680F32" w:rsidRDefault="00680F32" w:rsidP="00CD7BCE">
      <w:pPr>
        <w:spacing w:after="0" w:line="240" w:lineRule="auto"/>
      </w:pPr>
      <w:r>
        <w:separator/>
      </w:r>
    </w:p>
  </w:footnote>
  <w:footnote w:type="continuationSeparator" w:id="0">
    <w:p w14:paraId="0CDE5CE1" w14:textId="77777777" w:rsidR="00680F32" w:rsidRDefault="00680F32" w:rsidP="00CD7BCE">
      <w:pPr>
        <w:spacing w:after="0" w:line="240" w:lineRule="auto"/>
      </w:pPr>
      <w:r>
        <w:continuationSeparator/>
      </w:r>
    </w:p>
  </w:footnote>
  <w:footnote w:id="1">
    <w:p w14:paraId="64686A40" w14:textId="77777777" w:rsidR="00CD7BCE" w:rsidRPr="005F0B48" w:rsidRDefault="00CD7BCE" w:rsidP="00CD7BCE">
      <w:pPr>
        <w:pStyle w:val="Voetnoottekst"/>
        <w:rPr>
          <w:sz w:val="16"/>
          <w:szCs w:val="16"/>
        </w:rPr>
      </w:pPr>
      <w:r w:rsidRPr="005F0B48">
        <w:rPr>
          <w:rStyle w:val="Voetnootmarkering"/>
          <w:sz w:val="16"/>
          <w:szCs w:val="16"/>
        </w:rPr>
        <w:footnoteRef/>
      </w:r>
      <w:r w:rsidRPr="005F0B48">
        <w:rPr>
          <w:sz w:val="16"/>
          <w:szCs w:val="16"/>
        </w:rPr>
        <w:t xml:space="preserve"> </w:t>
      </w:r>
      <w:r w:rsidRPr="004D1CF9">
        <w:rPr>
          <w:sz w:val="16"/>
          <w:szCs w:val="16"/>
        </w:rPr>
        <w:t>Zie kamerbrief over de monitoring van de effecten van de aanpak van belastingontwijking, Kamerstukken II, 2025/26, 25 087, nr. 357.</w:t>
      </w:r>
    </w:p>
  </w:footnote>
  <w:footnote w:id="2">
    <w:p w14:paraId="14C10B12" w14:textId="77777777" w:rsidR="00CD7BCE" w:rsidRPr="00406FFC" w:rsidRDefault="00CD7BCE" w:rsidP="00CD7BCE">
      <w:pPr>
        <w:pStyle w:val="Geenafstand"/>
        <w:rPr>
          <w:sz w:val="13"/>
          <w:szCs w:val="13"/>
          <w:lang w:val="nl-NL"/>
        </w:rPr>
      </w:pPr>
      <w:r w:rsidRPr="00621537">
        <w:rPr>
          <w:rStyle w:val="Voetnootmarkering"/>
          <w:sz w:val="13"/>
          <w:szCs w:val="13"/>
        </w:rPr>
        <w:footnoteRef/>
      </w:r>
      <w:r w:rsidRPr="00406FFC">
        <w:rPr>
          <w:sz w:val="13"/>
          <w:szCs w:val="13"/>
          <w:lang w:val="nl-NL"/>
        </w:rPr>
        <w:t xml:space="preserve"> Richtlijn (EU) 2017/952 van de Raad van 29 mei 2017 tot wijziging van Richtlijn (EU) 2016/1164 (ATAD1) wat betreft hybridemismatches met derde landen (PbEU 2017, L 144/1).</w:t>
      </w:r>
    </w:p>
  </w:footnote>
  <w:footnote w:id="3">
    <w:p w14:paraId="4CD261A4" w14:textId="77777777" w:rsidR="00CD7BCE" w:rsidRPr="00621537" w:rsidRDefault="00CD7BCE" w:rsidP="00CD7BCE">
      <w:pPr>
        <w:pStyle w:val="Geenafstand"/>
        <w:rPr>
          <w:sz w:val="13"/>
          <w:szCs w:val="13"/>
          <w:lang w:val="nl-NL"/>
        </w:rPr>
      </w:pPr>
      <w:r w:rsidRPr="00621537">
        <w:rPr>
          <w:rStyle w:val="Voetnootmarkering"/>
          <w:sz w:val="13"/>
          <w:szCs w:val="13"/>
        </w:rPr>
        <w:footnoteRef/>
      </w:r>
      <w:r w:rsidRPr="00621537">
        <w:rPr>
          <w:sz w:val="13"/>
          <w:szCs w:val="13"/>
          <w:lang w:val="nl-NL"/>
        </w:rPr>
        <w:t xml:space="preserve"> Stb. 2019, 508.</w:t>
      </w:r>
    </w:p>
  </w:footnote>
  <w:footnote w:id="4">
    <w:p w14:paraId="3DF8C1F2" w14:textId="77777777" w:rsidR="00CD7BCE" w:rsidRPr="00317349" w:rsidRDefault="00CD7BCE" w:rsidP="00CD7BCE">
      <w:pPr>
        <w:pStyle w:val="Geenafstand"/>
        <w:rPr>
          <w:lang w:val="nl-NL"/>
        </w:rPr>
      </w:pPr>
      <w:r w:rsidRPr="00621537">
        <w:rPr>
          <w:rStyle w:val="Voetnootmarkering"/>
          <w:sz w:val="13"/>
          <w:szCs w:val="13"/>
        </w:rPr>
        <w:footnoteRef/>
      </w:r>
      <w:r w:rsidRPr="00406FFC">
        <w:rPr>
          <w:sz w:val="13"/>
          <w:szCs w:val="13"/>
          <w:lang w:val="nl-NL"/>
        </w:rPr>
        <w:t xml:space="preserve"> </w:t>
      </w:r>
      <w:r w:rsidRPr="00621537">
        <w:rPr>
          <w:sz w:val="13"/>
          <w:szCs w:val="13"/>
          <w:lang w:val="nl-NL"/>
        </w:rPr>
        <w:t>Kamerstukken I</w:t>
      </w:r>
      <w:r w:rsidRPr="00406FFC">
        <w:rPr>
          <w:sz w:val="13"/>
          <w:szCs w:val="13"/>
          <w:lang w:val="nl-NL"/>
        </w:rPr>
        <w:t>I 2024-25, 25 087, nr. 343.</w:t>
      </w:r>
    </w:p>
  </w:footnote>
  <w:footnote w:id="5">
    <w:p w14:paraId="0B3533F0" w14:textId="77777777" w:rsidR="00CD7BCE" w:rsidRPr="00135E15" w:rsidRDefault="00CD7BCE" w:rsidP="00CD7BCE">
      <w:pPr>
        <w:pStyle w:val="Voetnoottekst"/>
        <w:rPr>
          <w:sz w:val="13"/>
          <w:szCs w:val="13"/>
        </w:rPr>
      </w:pPr>
      <w:r w:rsidRPr="00135E15">
        <w:rPr>
          <w:rStyle w:val="Voetnootmarkering"/>
          <w:sz w:val="13"/>
          <w:szCs w:val="13"/>
        </w:rPr>
        <w:footnoteRef/>
      </w:r>
      <w:r w:rsidRPr="00135E15">
        <w:rPr>
          <w:sz w:val="13"/>
          <w:szCs w:val="13"/>
        </w:rPr>
        <w:t xml:space="preserve"> Kamerstukken II </w:t>
      </w:r>
      <w:r>
        <w:rPr>
          <w:sz w:val="13"/>
          <w:szCs w:val="13"/>
        </w:rPr>
        <w:t xml:space="preserve">2023-24, </w:t>
      </w:r>
      <w:r w:rsidRPr="00135E15">
        <w:rPr>
          <w:sz w:val="13"/>
          <w:szCs w:val="13"/>
        </w:rPr>
        <w:t>36 425, nr</w:t>
      </w:r>
      <w:r>
        <w:rPr>
          <w:sz w:val="13"/>
          <w:szCs w:val="13"/>
        </w:rPr>
        <w:t>.</w:t>
      </w:r>
      <w:r w:rsidRPr="00135E15">
        <w:rPr>
          <w:sz w:val="13"/>
          <w:szCs w:val="13"/>
        </w:rPr>
        <w:t xml:space="preserve"> 3. </w:t>
      </w:r>
    </w:p>
  </w:footnote>
  <w:footnote w:id="6">
    <w:p w14:paraId="13163B8F" w14:textId="77777777" w:rsidR="00CD7BCE" w:rsidRPr="00406FFC" w:rsidRDefault="00CD7BCE" w:rsidP="00CD7BCE">
      <w:pPr>
        <w:pStyle w:val="Voetnoottekst"/>
        <w:rPr>
          <w:sz w:val="13"/>
          <w:szCs w:val="13"/>
        </w:rPr>
      </w:pPr>
      <w:r w:rsidRPr="00755AEB">
        <w:rPr>
          <w:rStyle w:val="Voetnootmarkering"/>
          <w:sz w:val="13"/>
          <w:szCs w:val="13"/>
        </w:rPr>
        <w:footnoteRef/>
      </w:r>
      <w:r w:rsidRPr="00406FFC">
        <w:rPr>
          <w:sz w:val="13"/>
          <w:szCs w:val="13"/>
        </w:rPr>
        <w:t xml:space="preserve"> Stb. 2019, 508.</w:t>
      </w:r>
    </w:p>
  </w:footnote>
  <w:footnote w:id="7">
    <w:p w14:paraId="56F7875C" w14:textId="77777777" w:rsidR="00CD7BCE" w:rsidRPr="00406FFC" w:rsidRDefault="00CD7BCE" w:rsidP="00CD7BCE">
      <w:pPr>
        <w:pStyle w:val="Voetnoottekst"/>
      </w:pPr>
      <w:r w:rsidRPr="00621537">
        <w:rPr>
          <w:rStyle w:val="Voetnootmarkering"/>
          <w:sz w:val="13"/>
          <w:szCs w:val="13"/>
        </w:rPr>
        <w:footnoteRef/>
      </w:r>
      <w:r w:rsidRPr="00406FFC">
        <w:rPr>
          <w:sz w:val="13"/>
          <w:szCs w:val="13"/>
        </w:rPr>
        <w:t>https://www.belastingdienst.nl/wps/wcm/connect/bldcontentnl/themaoverstijgend/brochures_en_publicaties/besluit-vooroverleg-rulings-met-een-internationaal-karakter-vragen-en-antwoorden-3-juni-2024</w:t>
      </w:r>
    </w:p>
  </w:footnote>
  <w:footnote w:id="8">
    <w:p w14:paraId="7110A6EA" w14:textId="77777777" w:rsidR="00CD7BCE" w:rsidRPr="00406FFC" w:rsidRDefault="00CD7BCE" w:rsidP="00CD7BCE">
      <w:pPr>
        <w:pStyle w:val="Voetnoottekst"/>
        <w:rPr>
          <w:sz w:val="13"/>
          <w:szCs w:val="13"/>
        </w:rPr>
      </w:pPr>
      <w:r w:rsidRPr="00C13D08">
        <w:rPr>
          <w:rStyle w:val="Voetnootmarkering"/>
          <w:sz w:val="13"/>
          <w:szCs w:val="13"/>
        </w:rPr>
        <w:footnoteRef/>
      </w:r>
      <w:r w:rsidRPr="00406FFC">
        <w:rPr>
          <w:sz w:val="13"/>
          <w:szCs w:val="13"/>
        </w:rPr>
        <w:t>https://www.belastingdienst.nl/wps/wcm/connect/bldcontentnl/standaard_functies/prive/contact/rechten_en_plichten_bij_de_belastingdienst/ruling/atr</w:t>
      </w:r>
    </w:p>
  </w:footnote>
  <w:footnote w:id="9">
    <w:p w14:paraId="26E05EB0" w14:textId="77777777" w:rsidR="00CD7BCE" w:rsidRPr="00406FFC" w:rsidRDefault="00CD7BCE" w:rsidP="00CD7BCE">
      <w:pPr>
        <w:pStyle w:val="Voetnoottekst"/>
        <w:rPr>
          <w:sz w:val="13"/>
          <w:szCs w:val="13"/>
        </w:rPr>
      </w:pPr>
      <w:r w:rsidRPr="00C13D08">
        <w:rPr>
          <w:rStyle w:val="Voetnootmarkering"/>
          <w:sz w:val="13"/>
          <w:szCs w:val="13"/>
        </w:rPr>
        <w:footnoteRef/>
      </w:r>
      <w:r w:rsidRPr="00406FFC">
        <w:rPr>
          <w:sz w:val="13"/>
          <w:szCs w:val="13"/>
        </w:rPr>
        <w:t>https://www.belastingdienst.nl/wps/wcm/connect/bldcontentnl/standaard_functies/prive/contact/rechten_en_plichten_bij_de_belastingdienst/ruling/atr</w:t>
      </w:r>
    </w:p>
  </w:footnote>
  <w:footnote w:id="10">
    <w:p w14:paraId="089D4D33" w14:textId="77777777" w:rsidR="00CD7BCE" w:rsidRPr="00406FFC" w:rsidRDefault="00CD7BCE" w:rsidP="00CD7BCE">
      <w:pPr>
        <w:pStyle w:val="Voetnoottekst"/>
        <w:rPr>
          <w:sz w:val="13"/>
          <w:szCs w:val="13"/>
        </w:rPr>
      </w:pPr>
      <w:r w:rsidRPr="00C13D08">
        <w:rPr>
          <w:rStyle w:val="Voetnootmarkering"/>
          <w:sz w:val="13"/>
          <w:szCs w:val="13"/>
        </w:rPr>
        <w:footnoteRef/>
      </w:r>
      <w:r w:rsidRPr="00406FFC">
        <w:rPr>
          <w:sz w:val="13"/>
          <w:szCs w:val="13"/>
        </w:rPr>
        <w:t xml:space="preserve"> https://www.belastingdienst.nl/wps/wcm/connect/bldcontentnl/themaoverstijgend/brochures_en_publicaties/besluit-vooroverleg-rulings-met-een-internationaal-karakter-vragen-en-antwoorden-3-juni-2024</w:t>
      </w:r>
    </w:p>
  </w:footnote>
  <w:footnote w:id="11">
    <w:p w14:paraId="15A7470A" w14:textId="77777777" w:rsidR="00CD7BCE" w:rsidRPr="005C7F41" w:rsidRDefault="00CD7BCE" w:rsidP="00CD7BCE">
      <w:pPr>
        <w:pStyle w:val="Voetnoottekst"/>
        <w:rPr>
          <w:sz w:val="16"/>
          <w:szCs w:val="16"/>
        </w:rPr>
      </w:pPr>
      <w:r w:rsidRPr="00C13D08">
        <w:rPr>
          <w:rStyle w:val="Voetnootmarkering"/>
          <w:sz w:val="13"/>
          <w:szCs w:val="13"/>
        </w:rPr>
        <w:footnoteRef/>
      </w:r>
      <w:r w:rsidRPr="00C13D08">
        <w:rPr>
          <w:sz w:val="13"/>
          <w:szCs w:val="13"/>
        </w:rPr>
        <w:t xml:space="preserve"> Rulings met een internationaal karakter, jaarverslag 2025: https://open.overheid.nl/details/fa948546-035e-4442-938c-410c0682ef9b</w:t>
      </w:r>
      <w:r w:rsidRPr="005C7F41">
        <w:rPr>
          <w:sz w:val="16"/>
          <w:szCs w:val="16"/>
        </w:rPr>
        <w:t xml:space="preserve">  </w:t>
      </w:r>
    </w:p>
  </w:footnote>
  <w:footnote w:id="12">
    <w:p w14:paraId="4D5D163C" w14:textId="77777777" w:rsidR="00CD7BCE" w:rsidRPr="00C13D08" w:rsidRDefault="00CD7BCE" w:rsidP="00CD7BCE">
      <w:pPr>
        <w:pStyle w:val="Voetnoottekst"/>
        <w:rPr>
          <w:sz w:val="13"/>
          <w:szCs w:val="13"/>
        </w:rPr>
      </w:pPr>
      <w:r w:rsidRPr="00C13D08">
        <w:rPr>
          <w:rStyle w:val="Voetnootmarkering"/>
          <w:sz w:val="13"/>
          <w:szCs w:val="13"/>
        </w:rPr>
        <w:footnoteRef/>
      </w:r>
      <w:r w:rsidRPr="00C13D08">
        <w:rPr>
          <w:sz w:val="13"/>
          <w:szCs w:val="13"/>
        </w:rPr>
        <w:t xml:space="preserve"> </w:t>
      </w:r>
      <w:hyperlink r:id="rId1" w:history="1">
        <w:r w:rsidRPr="00C13D08">
          <w:rPr>
            <w:rStyle w:val="Hyperlink1"/>
            <w:sz w:val="13"/>
            <w:szCs w:val="13"/>
          </w:rPr>
          <w:t>https://download.belastingdienst.nl/belastingdienst/docs/rul-20260609-atr-000015.pdf</w:t>
        </w:r>
      </w:hyperlink>
      <w:r w:rsidRPr="00C13D08">
        <w:rPr>
          <w:sz w:val="13"/>
          <w:szCs w:val="13"/>
          <w:u w:val="single"/>
        </w:rPr>
        <w:t xml:space="preserve"> </w:t>
      </w:r>
    </w:p>
  </w:footnote>
  <w:footnote w:id="13">
    <w:p w14:paraId="072AE034" w14:textId="77777777" w:rsidR="00CD7BCE" w:rsidRPr="004B03A0" w:rsidRDefault="00CD7BCE" w:rsidP="00CD7BCE">
      <w:pPr>
        <w:pStyle w:val="Voetnoottekst"/>
        <w:rPr>
          <w:sz w:val="13"/>
          <w:szCs w:val="13"/>
          <w:lang w:val="en-US"/>
        </w:rPr>
      </w:pPr>
      <w:r w:rsidRPr="004B03A0">
        <w:rPr>
          <w:rStyle w:val="Voetnootmarkering"/>
          <w:sz w:val="13"/>
          <w:szCs w:val="13"/>
        </w:rPr>
        <w:footnoteRef/>
      </w:r>
      <w:r w:rsidRPr="004B03A0">
        <w:rPr>
          <w:sz w:val="13"/>
          <w:szCs w:val="13"/>
          <w:lang w:val="en-US"/>
        </w:rPr>
        <w:t xml:space="preserve"> Kamerstukken II 2024-25, 25 087, nr. 343.</w:t>
      </w:r>
    </w:p>
  </w:footnote>
  <w:footnote w:id="14">
    <w:p w14:paraId="12E7EDA8" w14:textId="77777777" w:rsidR="00CD7BCE" w:rsidRPr="004B03A0" w:rsidRDefault="00CD7BCE" w:rsidP="00CD7BCE">
      <w:pPr>
        <w:pStyle w:val="Voetnoottekst"/>
        <w:rPr>
          <w:rFonts w:cstheme="majorHAnsi"/>
          <w:sz w:val="13"/>
          <w:szCs w:val="13"/>
        </w:rPr>
      </w:pPr>
      <w:r w:rsidRPr="004B03A0">
        <w:rPr>
          <w:rStyle w:val="Voetnootmarkering"/>
          <w:rFonts w:cstheme="majorHAnsi"/>
          <w:sz w:val="13"/>
          <w:szCs w:val="13"/>
        </w:rPr>
        <w:footnoteRef/>
      </w:r>
      <w:r w:rsidRPr="004B03A0">
        <w:rPr>
          <w:rFonts w:cstheme="majorHAnsi"/>
          <w:sz w:val="13"/>
          <w:szCs w:val="13"/>
          <w:lang w:val="en-US"/>
        </w:rPr>
        <w:t xml:space="preserve"> OECD, </w:t>
      </w:r>
      <w:r w:rsidRPr="004B03A0">
        <w:rPr>
          <w:rFonts w:cstheme="majorHAnsi"/>
          <w:i/>
          <w:iCs/>
          <w:sz w:val="13"/>
          <w:szCs w:val="13"/>
          <w:lang w:val="en-US"/>
        </w:rPr>
        <w:t>Central Record for purposes of the Global Minimum Tax</w:t>
      </w:r>
      <w:r w:rsidRPr="004B03A0">
        <w:rPr>
          <w:rFonts w:cstheme="majorHAnsi"/>
          <w:sz w:val="13"/>
          <w:szCs w:val="13"/>
          <w:lang w:val="en-US"/>
        </w:rPr>
        <w:t xml:space="preserve">. </w:t>
      </w:r>
      <w:hyperlink r:id="rId2" w:anchor="qdmtt-rules-safe-harbours" w:history="1">
        <w:r w:rsidRPr="004B03A0">
          <w:rPr>
            <w:rStyle w:val="Hyperlink"/>
            <w:rFonts w:cstheme="majorHAnsi"/>
            <w:sz w:val="13"/>
            <w:szCs w:val="13"/>
          </w:rPr>
          <w:t>https://www.oecd.org/en/topics/sub-issues/global-minimum-tax/central-record-of-legislation-with-transitional-qualified-status.html#qdmtt-rules-safe-harbours</w:t>
        </w:r>
      </w:hyperlink>
      <w:r w:rsidRPr="004B03A0">
        <w:rPr>
          <w:rFonts w:cstheme="majorHAnsi"/>
          <w:sz w:val="13"/>
          <w:szCs w:val="13"/>
        </w:rPr>
        <w:t xml:space="preserve"> </w:t>
      </w:r>
    </w:p>
  </w:footnote>
  <w:footnote w:id="15">
    <w:p w14:paraId="6694F370" w14:textId="77777777" w:rsidR="00CD7BCE" w:rsidRPr="007E5DD1" w:rsidRDefault="00CD7BCE" w:rsidP="00CD7BCE">
      <w:pPr>
        <w:pStyle w:val="Voetnoottekst"/>
        <w:rPr>
          <w:rFonts w:asciiTheme="majorHAnsi" w:hAnsiTheme="majorHAnsi" w:cstheme="majorHAnsi"/>
          <w:sz w:val="13"/>
          <w:szCs w:val="13"/>
          <w:lang w:val="en-US"/>
        </w:rPr>
      </w:pPr>
      <w:r w:rsidRPr="004B03A0">
        <w:rPr>
          <w:rStyle w:val="Voetnootmarkering"/>
          <w:rFonts w:cstheme="majorHAnsi"/>
          <w:sz w:val="13"/>
          <w:szCs w:val="13"/>
        </w:rPr>
        <w:footnoteRef/>
      </w:r>
      <w:r w:rsidRPr="004B03A0">
        <w:rPr>
          <w:rFonts w:cstheme="majorHAnsi"/>
          <w:sz w:val="13"/>
          <w:szCs w:val="13"/>
          <w:lang w:val="en-US"/>
        </w:rPr>
        <w:t xml:space="preserve"> OECD, Qualified Status under the Global Minimum Tax – Questions and Answers, Last updated: January 2025.</w:t>
      </w:r>
      <w:r w:rsidRPr="007E5DD1">
        <w:rPr>
          <w:rFonts w:asciiTheme="majorHAnsi" w:hAnsiTheme="majorHAnsi" w:cstheme="majorHAnsi"/>
          <w:sz w:val="13"/>
          <w:szCs w:val="13"/>
          <w:lang w:val="en-US"/>
        </w:rPr>
        <w:t xml:space="preserve"> </w:t>
      </w:r>
    </w:p>
  </w:footnote>
  <w:footnote w:id="16">
    <w:p w14:paraId="7B4BEC5F" w14:textId="77777777" w:rsidR="00CD7BCE" w:rsidRPr="00AD7C87" w:rsidRDefault="00CD7BCE" w:rsidP="00CD7BCE">
      <w:pPr>
        <w:pStyle w:val="Geenafstand"/>
        <w:rPr>
          <w:sz w:val="13"/>
          <w:szCs w:val="13"/>
        </w:rPr>
      </w:pPr>
      <w:r w:rsidRPr="00AD7C87">
        <w:rPr>
          <w:rStyle w:val="Voetnootmarkering"/>
          <w:rFonts w:cstheme="majorHAnsi"/>
          <w:sz w:val="13"/>
          <w:szCs w:val="13"/>
        </w:rPr>
        <w:footnoteRef/>
      </w:r>
      <w:r w:rsidRPr="00AD7C87">
        <w:rPr>
          <w:sz w:val="13"/>
          <w:szCs w:val="13"/>
        </w:rPr>
        <w:t xml:space="preserve"> Zie met name OECD (2023), Tax Challenges Arising from the Digitalisation of the Economy – Administrative Guidance on the Global Anti-Base Erosion Model Rules (Pillar Two), July 2023, OECD/G20 Inclusive Framework on BEPS, OECD, Paris.  </w:t>
      </w:r>
    </w:p>
  </w:footnote>
  <w:footnote w:id="17">
    <w:p w14:paraId="2AB7ECCD" w14:textId="77777777" w:rsidR="00CD7BCE" w:rsidRPr="00AD7C87" w:rsidRDefault="00CD7BCE" w:rsidP="00CD7BCE">
      <w:pPr>
        <w:pStyle w:val="Geenafstand"/>
        <w:rPr>
          <w:rFonts w:cs="Arial"/>
          <w:sz w:val="13"/>
          <w:szCs w:val="13"/>
        </w:rPr>
      </w:pPr>
      <w:r w:rsidRPr="00AD7C87">
        <w:rPr>
          <w:rStyle w:val="Voetnootmarkering"/>
          <w:rFonts w:cstheme="majorHAnsi"/>
          <w:sz w:val="13"/>
          <w:szCs w:val="13"/>
        </w:rPr>
        <w:footnoteRef/>
      </w:r>
      <w:r w:rsidRPr="00AD7C87">
        <w:rPr>
          <w:sz w:val="13"/>
          <w:szCs w:val="13"/>
        </w:rPr>
        <w:t xml:space="preserve"> OECD (2026), OECD Secretary-General Tax Report to G20 Leaders (G20 United States, April 2026), OECD Publishing.</w:t>
      </w:r>
    </w:p>
  </w:footnote>
  <w:footnote w:id="18">
    <w:p w14:paraId="6D044AB6" w14:textId="77777777" w:rsidR="00CD7BCE" w:rsidRPr="00135E15" w:rsidRDefault="00CD7BCE" w:rsidP="00CD7BCE">
      <w:pPr>
        <w:pStyle w:val="Geenafstand"/>
        <w:rPr>
          <w:sz w:val="16"/>
          <w:szCs w:val="16"/>
          <w:lang w:val="nl-NL"/>
        </w:rPr>
      </w:pPr>
      <w:r w:rsidRPr="00AD7C87">
        <w:rPr>
          <w:rStyle w:val="Voetnootmarkering"/>
          <w:rFonts w:cstheme="majorHAnsi"/>
          <w:sz w:val="13"/>
          <w:szCs w:val="13"/>
        </w:rPr>
        <w:footnoteRef/>
      </w:r>
      <w:r w:rsidRPr="00135E15">
        <w:rPr>
          <w:sz w:val="13"/>
          <w:szCs w:val="13"/>
          <w:lang w:val="nl-NL"/>
        </w:rPr>
        <w:t xml:space="preserve"> In de brieven van mijn ambtsvoorgangers van 25 oktober 2024 en van 30 juni 2025 is hier uitgebreid op ingegaan (Kamerstukken II 2024/25, 32 140, nr. 214 en Kamerstukken II 2024/25, 32 140, nr. 262). </w:t>
      </w:r>
    </w:p>
  </w:footnote>
  <w:footnote w:id="19">
    <w:p w14:paraId="58B32AF1" w14:textId="77777777" w:rsidR="00CD7BCE" w:rsidRPr="00135E15" w:rsidRDefault="00CD7BCE" w:rsidP="00CD7BCE">
      <w:pPr>
        <w:pStyle w:val="Voetnoottekst"/>
        <w:rPr>
          <w:sz w:val="13"/>
          <w:szCs w:val="13"/>
        </w:rPr>
      </w:pPr>
      <w:r w:rsidRPr="00135E15">
        <w:rPr>
          <w:rStyle w:val="Voetnootmarkering"/>
          <w:sz w:val="13"/>
          <w:szCs w:val="13"/>
        </w:rPr>
        <w:footnoteRef/>
      </w:r>
      <w:r w:rsidRPr="00135E15">
        <w:rPr>
          <w:sz w:val="13"/>
          <w:szCs w:val="13"/>
        </w:rPr>
        <w:t xml:space="preserve"> </w:t>
      </w:r>
      <w:r w:rsidRPr="00135E15">
        <w:rPr>
          <w:rFonts w:eastAsia="Verdana" w:cs="Verdana"/>
          <w:color w:val="000000" w:themeColor="text1"/>
          <w:sz w:val="13"/>
          <w:szCs w:val="13"/>
        </w:rPr>
        <w:t xml:space="preserve">Wel kunnen kwalificerende belastingtegoeden onder voorwaarden ook voor de behandeling als kwalificerende fiscale regelingen in aanmerking worden genomen. </w:t>
      </w:r>
    </w:p>
  </w:footnote>
  <w:footnote w:id="20">
    <w:p w14:paraId="6C833F15" w14:textId="77777777" w:rsidR="00CD7BCE" w:rsidRPr="00135E15" w:rsidRDefault="00CD7BCE" w:rsidP="00CD7BCE">
      <w:pPr>
        <w:pStyle w:val="Voetnoottekst"/>
        <w:rPr>
          <w:sz w:val="13"/>
          <w:szCs w:val="13"/>
        </w:rPr>
      </w:pPr>
      <w:r w:rsidRPr="00135E15">
        <w:rPr>
          <w:rStyle w:val="Voetnootmarkering"/>
          <w:sz w:val="13"/>
          <w:szCs w:val="13"/>
        </w:rPr>
        <w:footnoteRef/>
      </w:r>
      <w:r w:rsidRPr="00135E15">
        <w:rPr>
          <w:rFonts w:eastAsia="Verdana" w:cs="Verdana"/>
          <w:color w:val="000000" w:themeColor="text1"/>
          <w:sz w:val="13"/>
          <w:szCs w:val="13"/>
        </w:rPr>
        <w:t xml:space="preserve"> </w:t>
      </w:r>
      <w:hyperlink r:id="rId3" w:history="1">
        <w:r w:rsidRPr="00135E15">
          <w:rPr>
            <w:rFonts w:eastAsia="Verdana" w:cs="Verdana"/>
            <w:color w:val="000000" w:themeColor="text1"/>
            <w:sz w:val="13"/>
            <w:szCs w:val="13"/>
          </w:rPr>
          <w:t>Overheid.nl | Consultatie Internetconsultatie Concept Wetsvoorstel veiligehavenregels Wet minimumbelasting 2024</w:t>
        </w:r>
      </w:hyperlink>
    </w:p>
  </w:footnote>
  <w:footnote w:id="21">
    <w:p w14:paraId="0217F92D" w14:textId="77777777" w:rsidR="00CD7BCE" w:rsidRDefault="00CD7BCE" w:rsidP="00CD7BCE">
      <w:pPr>
        <w:pStyle w:val="Voetnoottekst"/>
      </w:pPr>
      <w:r>
        <w:rPr>
          <w:rStyle w:val="Voetnootmarkering"/>
        </w:rPr>
        <w:footnoteRef/>
      </w:r>
      <w:r>
        <w:t xml:space="preserve"> </w:t>
      </w:r>
      <w:r w:rsidRPr="005C7F41">
        <w:rPr>
          <w:sz w:val="16"/>
          <w:szCs w:val="16"/>
        </w:rPr>
        <w:t xml:space="preserve">Rulings met een internationaal karakter, jaarverslag 2025: https://open.overheid.nl/details/fa948546-035e-4442-938c-410c0682ef9b  </w:t>
      </w:r>
    </w:p>
  </w:footnote>
  <w:footnote w:id="22">
    <w:p w14:paraId="6CBEE03A" w14:textId="77777777" w:rsidR="00CD7BCE" w:rsidRPr="005F0B48" w:rsidRDefault="00CD7BCE" w:rsidP="00CD7BCE">
      <w:pPr>
        <w:pStyle w:val="Voetnoottekst"/>
        <w:rPr>
          <w:sz w:val="16"/>
          <w:szCs w:val="16"/>
        </w:rPr>
      </w:pPr>
      <w:r w:rsidRPr="005F0B48">
        <w:rPr>
          <w:rStyle w:val="Voetnootmarkering"/>
          <w:sz w:val="16"/>
          <w:szCs w:val="16"/>
        </w:rPr>
        <w:footnoteRef/>
      </w:r>
      <w:r w:rsidRPr="005F0B48">
        <w:rPr>
          <w:sz w:val="16"/>
          <w:szCs w:val="16"/>
        </w:rPr>
        <w:t xml:space="preserve"> </w:t>
      </w:r>
      <w:r w:rsidRPr="004D1CF9">
        <w:rPr>
          <w:sz w:val="16"/>
          <w:szCs w:val="16"/>
        </w:rPr>
        <w:t>Zie kamerbrief over de monitoring van de effecten van de aanpak van belastingontwijking, Kamerstukken II, 2025/26, 25 087, nr. 357.</w:t>
      </w:r>
    </w:p>
  </w:footnote>
  <w:footnote w:id="23">
    <w:p w14:paraId="71AD09B4" w14:textId="77777777" w:rsidR="00CD7BCE" w:rsidRPr="005F0B48" w:rsidRDefault="00CD7BCE" w:rsidP="00CD7BCE">
      <w:pPr>
        <w:pStyle w:val="Voetnoottekst"/>
        <w:rPr>
          <w:sz w:val="16"/>
          <w:szCs w:val="16"/>
        </w:rPr>
      </w:pPr>
      <w:r w:rsidRPr="005F0B48">
        <w:rPr>
          <w:rStyle w:val="Voetnootmarkering"/>
          <w:sz w:val="16"/>
          <w:szCs w:val="16"/>
        </w:rPr>
        <w:footnoteRef/>
      </w:r>
      <w:r w:rsidRPr="005F0B48">
        <w:rPr>
          <w:sz w:val="16"/>
          <w:szCs w:val="16"/>
        </w:rPr>
        <w:t xml:space="preserve"> DNB, 2026, </w:t>
      </w:r>
      <w:r w:rsidRPr="005F0B48">
        <w:rPr>
          <w:i/>
          <w:iCs/>
          <w:sz w:val="16"/>
          <w:szCs w:val="16"/>
        </w:rPr>
        <w:t>Aantal financiële holdings van multinationals bijna gehalveerd</w:t>
      </w:r>
      <w:r w:rsidRPr="005F0B48">
        <w:rPr>
          <w:sz w:val="16"/>
          <w:szCs w:val="16"/>
        </w:rPr>
        <w:t xml:space="preserve">, vindbaar op https://www.dnb.nl/algemeen-nieuws/statistiek/2026/aantal-financiele-holdings-van-multinationals-bijna-gehalveerd. </w:t>
      </w:r>
    </w:p>
  </w:footnote>
  <w:footnote w:id="24">
    <w:p w14:paraId="165A403F" w14:textId="77777777" w:rsidR="00CD7BCE" w:rsidRPr="000C2A16" w:rsidRDefault="00CD7BCE" w:rsidP="00CD7BCE">
      <w:pPr>
        <w:pStyle w:val="Voetnoottekst"/>
        <w:rPr>
          <w:sz w:val="16"/>
          <w:szCs w:val="16"/>
        </w:rPr>
      </w:pPr>
      <w:r w:rsidRPr="000C2A16">
        <w:rPr>
          <w:rStyle w:val="Voetnootmarkering"/>
          <w:sz w:val="16"/>
          <w:szCs w:val="16"/>
        </w:rPr>
        <w:footnoteRef/>
      </w:r>
      <w:r w:rsidRPr="000C2A16">
        <w:rPr>
          <w:sz w:val="16"/>
          <w:szCs w:val="16"/>
        </w:rPr>
        <w:t xml:space="preserve"> Kamerstukken II, 2025/26, 25087, nr. 357.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4C9C" w14:textId="77777777" w:rsidR="00CD7BCE" w:rsidRPr="00CD7BCE" w:rsidRDefault="00CD7BCE" w:rsidP="00CD7B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4D40" w14:textId="77777777" w:rsidR="00CD7BCE" w:rsidRPr="00CD7BCE" w:rsidRDefault="00CD7BCE" w:rsidP="00CD7B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66C0" w14:textId="77777777" w:rsidR="00CD7BCE" w:rsidRPr="00CD7BCE" w:rsidRDefault="00CD7BCE" w:rsidP="00CD7B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B5709"/>
    <w:multiLevelType w:val="hybridMultilevel"/>
    <w:tmpl w:val="8EBA1A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F9D7F51"/>
    <w:multiLevelType w:val="hybridMultilevel"/>
    <w:tmpl w:val="8EBA1A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4862264">
    <w:abstractNumId w:val="0"/>
  </w:num>
  <w:num w:numId="2" w16cid:durableId="576401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CE"/>
    <w:rsid w:val="004F262E"/>
    <w:rsid w:val="00680F32"/>
    <w:rsid w:val="009E75E6"/>
    <w:rsid w:val="00CD7B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1F09"/>
  <w15:chartTrackingRefBased/>
  <w15:docId w15:val="{DEB7D41C-0028-470C-BB56-2166BA98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7B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D7B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D7BC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D7BC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D7BC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D7B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7B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7B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7B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7BC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D7BC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D7BC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D7BC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D7BC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D7B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7B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7B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7BCE"/>
    <w:rPr>
      <w:rFonts w:eastAsiaTheme="majorEastAsia" w:cstheme="majorBidi"/>
      <w:color w:val="272727" w:themeColor="text1" w:themeTint="D8"/>
    </w:rPr>
  </w:style>
  <w:style w:type="paragraph" w:styleId="Titel">
    <w:name w:val="Title"/>
    <w:basedOn w:val="Standaard"/>
    <w:next w:val="Standaard"/>
    <w:link w:val="TitelChar"/>
    <w:uiPriority w:val="10"/>
    <w:qFormat/>
    <w:rsid w:val="00CD7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7B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7B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7B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7B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7BCE"/>
    <w:rPr>
      <w:i/>
      <w:iCs/>
      <w:color w:val="404040" w:themeColor="text1" w:themeTint="BF"/>
    </w:rPr>
  </w:style>
  <w:style w:type="paragraph" w:styleId="Lijstalinea">
    <w:name w:val="List Paragraph"/>
    <w:basedOn w:val="Standaard"/>
    <w:uiPriority w:val="34"/>
    <w:qFormat/>
    <w:rsid w:val="00CD7BCE"/>
    <w:pPr>
      <w:ind w:left="720"/>
      <w:contextualSpacing/>
    </w:pPr>
  </w:style>
  <w:style w:type="character" w:styleId="Intensievebenadrukking">
    <w:name w:val="Intense Emphasis"/>
    <w:basedOn w:val="Standaardalinea-lettertype"/>
    <w:uiPriority w:val="21"/>
    <w:qFormat/>
    <w:rsid w:val="00CD7BCE"/>
    <w:rPr>
      <w:i/>
      <w:iCs/>
      <w:color w:val="2F5496" w:themeColor="accent1" w:themeShade="BF"/>
    </w:rPr>
  </w:style>
  <w:style w:type="paragraph" w:styleId="Duidelijkcitaat">
    <w:name w:val="Intense Quote"/>
    <w:basedOn w:val="Standaard"/>
    <w:next w:val="Standaard"/>
    <w:link w:val="DuidelijkcitaatChar"/>
    <w:uiPriority w:val="30"/>
    <w:qFormat/>
    <w:rsid w:val="00CD7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D7BCE"/>
    <w:rPr>
      <w:i/>
      <w:iCs/>
      <w:color w:val="2F5496" w:themeColor="accent1" w:themeShade="BF"/>
    </w:rPr>
  </w:style>
  <w:style w:type="character" w:styleId="Intensieveverwijzing">
    <w:name w:val="Intense Reference"/>
    <w:basedOn w:val="Standaardalinea-lettertype"/>
    <w:uiPriority w:val="32"/>
    <w:qFormat/>
    <w:rsid w:val="00CD7BCE"/>
    <w:rPr>
      <w:b/>
      <w:bCs/>
      <w:smallCaps/>
      <w:color w:val="2F5496" w:themeColor="accent1" w:themeShade="BF"/>
      <w:spacing w:val="5"/>
    </w:rPr>
  </w:style>
  <w:style w:type="paragraph" w:styleId="Geenafstand">
    <w:name w:val="No Spacing"/>
    <w:uiPriority w:val="1"/>
    <w:qFormat/>
    <w:rsid w:val="00CD7BCE"/>
    <w:pPr>
      <w:spacing w:after="0" w:line="240" w:lineRule="auto"/>
    </w:pPr>
    <w:rPr>
      <w:rFonts w:ascii="Verdana" w:hAnsi="Verdana"/>
      <w:sz w:val="18"/>
      <w:lang w:val="en-US"/>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Footnote text,Char"/>
    <w:basedOn w:val="Standaard"/>
    <w:link w:val="VoetnoottekstChar"/>
    <w:uiPriority w:val="99"/>
    <w:semiHidden/>
    <w:unhideWhenUsed/>
    <w:qFormat/>
    <w:rsid w:val="00CD7BCE"/>
    <w:pPr>
      <w:spacing w:after="0" w:line="240" w:lineRule="auto"/>
    </w:pPr>
    <w:rPr>
      <w:rFonts w:ascii="Verdana" w:hAnsi="Verdana"/>
      <w:kern w:val="0"/>
      <w:sz w:val="20"/>
      <w:szCs w:val="20"/>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CD7BCE"/>
    <w:rPr>
      <w:rFonts w:ascii="Verdana" w:hAnsi="Verdana"/>
      <w:kern w:val="0"/>
      <w:sz w:val="20"/>
      <w:szCs w:val="20"/>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CD7BCE"/>
    <w:rPr>
      <w:vertAlign w:val="superscript"/>
    </w:rPr>
  </w:style>
  <w:style w:type="character" w:customStyle="1" w:styleId="Hyperlink1">
    <w:name w:val="Hyperlink1"/>
    <w:basedOn w:val="Standaardalinea-lettertype"/>
    <w:uiPriority w:val="99"/>
    <w:unhideWhenUsed/>
    <w:rsid w:val="00CD7BCE"/>
    <w:rPr>
      <w:color w:val="0000FF"/>
      <w:u w:val="single"/>
    </w:rPr>
  </w:style>
  <w:style w:type="character" w:styleId="Hyperlink">
    <w:name w:val="Hyperlink"/>
    <w:basedOn w:val="Standaardalinea-lettertype"/>
    <w:uiPriority w:val="99"/>
    <w:unhideWhenUsed/>
    <w:rsid w:val="00CD7BCE"/>
    <w:rPr>
      <w:color w:val="0563C1" w:themeColor="hyperlink"/>
      <w:u w:val="single"/>
    </w:rPr>
  </w:style>
  <w:style w:type="paragraph" w:customStyle="1" w:styleId="Char1CharCharCarCarCarCarCarCarCarCarCarCar">
    <w:name w:val="Char1 Char Char Car Car Car Car Car Car Car Car Car Car"/>
    <w:basedOn w:val="Standaard"/>
    <w:next w:val="Standaard"/>
    <w:link w:val="Voetnootmarkering"/>
    <w:uiPriority w:val="99"/>
    <w:rsid w:val="00CD7BCE"/>
    <w:pPr>
      <w:spacing w:line="240" w:lineRule="exact"/>
    </w:pPr>
    <w:rPr>
      <w:vertAlign w:val="superscript"/>
    </w:rPr>
  </w:style>
  <w:style w:type="paragraph" w:styleId="Koptekst">
    <w:name w:val="header"/>
    <w:basedOn w:val="Standaard"/>
    <w:link w:val="KoptekstChar"/>
    <w:uiPriority w:val="99"/>
    <w:unhideWhenUsed/>
    <w:rsid w:val="00CD7B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7BCE"/>
  </w:style>
  <w:style w:type="paragraph" w:styleId="Voettekst">
    <w:name w:val="footer"/>
    <w:basedOn w:val="Standaard"/>
    <w:link w:val="VoettekstChar"/>
    <w:uiPriority w:val="99"/>
    <w:unhideWhenUsed/>
    <w:rsid w:val="00CD7B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7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veiligehavenregelswmb2024/b1" TargetMode="External"/><Relationship Id="rId2" Type="http://schemas.openxmlformats.org/officeDocument/2006/relationships/hyperlink" Target="https://www.oecd.org/en/topics/sub-issues/global-minimum-tax/central-record-of-legislation-with-transitional-qualified-status.html" TargetMode="External"/><Relationship Id="rId1" Type="http://schemas.openxmlformats.org/officeDocument/2006/relationships/hyperlink" Target="https://download.belastingdienst.nl/belastingdienst/docs/rul-20260609-atr-00001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6842</ap:Words>
  <ap:Characters>37632</ap:Characters>
  <ap:DocSecurity>0</ap:DocSecurity>
  <ap:Lines>313</ap:Lines>
  <ap:Paragraphs>88</ap:Paragraphs>
  <ap:ScaleCrop>false</ap:ScaleCrop>
  <ap:LinksUpToDate>false</ap:LinksUpToDate>
  <ap:CharactersWithSpaces>44386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2026-07-03T15:39:00.0000000Z</dcterms:created>
  <dcterms:modified xsi:type="dcterms:W3CDTF">2026-07-03T15:40:00.0000000Z</dcterms:modified>
  <version/>
  <category/>
</coreProperties>
</file>