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79B5" w:rsidR="00996DAE" w:rsidP="00996DAE" w:rsidRDefault="00996DAE" w14:paraId="22EC0ECB" w14:textId="7136E06E">
      <w:pPr>
        <w:pStyle w:val="Kop1"/>
      </w:pPr>
      <w:r w:rsidRPr="006879B5">
        <w:t>Online en cyber</w:t>
      </w:r>
    </w:p>
    <w:p w:rsidRPr="006879B5" w:rsidR="00996DAE" w:rsidP="00996DAE" w:rsidRDefault="00996DAE" w14:paraId="5500451B" w14:textId="425AE47E">
      <w:pPr>
        <w:pStyle w:val="Kop2"/>
      </w:pPr>
      <w:bookmarkStart w:name="_Hlk231482140" w:id="0"/>
      <w:r w:rsidRPr="006879B5">
        <w:t>Motie Mutluer (</w:t>
      </w:r>
      <w:r w:rsidRPr="006879B5" w:rsidR="00510A31">
        <w:t>PRO</w:t>
      </w:r>
      <w:r w:rsidRPr="006879B5">
        <w:t>) over in overleg met de politie, het OM, de rechtspraak en het gevangeniswezen draaiboeken opstellen over omgaan met en communiceren over online aanvallen</w:t>
      </w:r>
      <w:bookmarkEnd w:id="0"/>
      <w:r w:rsidRPr="006879B5">
        <w:rPr>
          <w:rStyle w:val="Voetnootmarkering"/>
        </w:rPr>
        <w:footnoteReference w:id="1"/>
      </w:r>
    </w:p>
    <w:p w:rsidRPr="006879B5" w:rsidR="00996DAE" w:rsidP="00996DAE" w:rsidRDefault="00996DAE" w14:paraId="066801F7" w14:textId="77777777"/>
    <w:p w:rsidRPr="006879B5" w:rsidR="00996DAE" w:rsidP="00996DAE" w:rsidRDefault="00996DAE" w14:paraId="5F201C72" w14:textId="12F9A2A7">
      <w:r w:rsidRPr="006879B5">
        <w:t xml:space="preserve">Eind 2024 heb ik met uw Kamer </w:t>
      </w:r>
      <w:r w:rsidRPr="006879B5" w:rsidR="00E005A3">
        <w:t>gesproken</w:t>
      </w:r>
      <w:r w:rsidRPr="006879B5">
        <w:t xml:space="preserve"> over het datalek bij de politie in september 2024.</w:t>
      </w:r>
      <w:r w:rsidRPr="006879B5">
        <w:rPr>
          <w:rStyle w:val="Voetnootmarkering"/>
        </w:rPr>
        <w:footnoteReference w:id="2"/>
      </w:r>
      <w:r w:rsidRPr="006879B5">
        <w:t xml:space="preserve"> De geopolitieke ontwikkelingen en toenemende digitalisering van de maatschappij maken het noodzakelijk dat organisaties, zoals de politie, zich voorbereiden op online dreigingen en aanvallen. De politie heeft lessen getrokken uit de online aanval van 2024 en heeft mede op basis hiervan haar interne opschalingsstructuur herzien. De nieuwe structuur kent een aantal faseringen, die bepalend zijn voor de mate waarin opgeschaald wordt. Hierin speelt communicatie een belangrijke rol. Met partners, onder andere in de strafrechtketen, wordt breder bekeken hoe samen te werken in de omgang met online dreigingen en aanvallen. De intentie is daarbij vooral in te zetten op het delen van kennis. Hiermee doe ik de motie van het lid Mutluer (</w:t>
      </w:r>
      <w:r w:rsidRPr="006879B5" w:rsidR="007D0064">
        <w:t>PRO</w:t>
      </w:r>
      <w:r w:rsidRPr="006879B5">
        <w:t>) af.</w:t>
      </w:r>
      <w:r w:rsidRPr="006879B5">
        <w:rPr>
          <w:rStyle w:val="Voetnootmarkering"/>
        </w:rPr>
        <w:t xml:space="preserve"> </w:t>
      </w:r>
      <w:r w:rsidRPr="006879B5">
        <w:rPr>
          <w:rStyle w:val="Voetnootmarkering"/>
        </w:rPr>
        <w:footnoteReference w:id="3"/>
      </w:r>
    </w:p>
    <w:p w:rsidRPr="006879B5" w:rsidR="00996DAE" w:rsidP="00996DAE" w:rsidRDefault="00996DAE" w14:paraId="23E58B6E" w14:textId="77777777">
      <w:pPr>
        <w:pStyle w:val="Kop2"/>
      </w:pPr>
      <w:bookmarkStart w:name="_Hlk231482266" w:id="2"/>
      <w:r w:rsidRPr="006879B5">
        <w:t>Toezegging datagedreven werken</w:t>
      </w:r>
      <w:r w:rsidRPr="006879B5">
        <w:rPr>
          <w:rStyle w:val="Voetnootmarkering"/>
        </w:rPr>
        <w:footnoteReference w:id="4"/>
      </w:r>
    </w:p>
    <w:bookmarkEnd w:id="2"/>
    <w:p w:rsidRPr="006879B5" w:rsidR="00996DAE" w:rsidP="00996DAE" w:rsidRDefault="00996DAE" w14:paraId="3822BFAC" w14:textId="77777777"/>
    <w:p w:rsidRPr="006879B5" w:rsidR="00996DAE" w:rsidP="00996DAE" w:rsidRDefault="00996DAE" w14:paraId="281FF29E" w14:textId="77777777">
      <w:r w:rsidRPr="006879B5">
        <w:t>Tijdens het commissiedebat Politie van 25 maart jl. heb ik aan het lid Struijs (50PLUS) toegezegd in te gaan op datagedreven werken binnen de politie. Middels onderstaande tekst geef ik invulling aan die toezegging.</w:t>
      </w:r>
    </w:p>
    <w:p w:rsidRPr="006879B5" w:rsidR="00996DAE" w:rsidP="00996DAE" w:rsidRDefault="00996DAE" w14:paraId="6CAB55A9" w14:textId="77777777"/>
    <w:p w:rsidRPr="006879B5" w:rsidR="00996DAE" w:rsidP="00996DAE" w:rsidRDefault="00996DAE" w14:paraId="0402326E" w14:textId="77777777">
      <w:r w:rsidRPr="006879B5">
        <w:t xml:space="preserve">Het programma Datagedreven Samenwerken bij de politie bestaat uit vier samenhangende deelopgaven: bouwplaatsen, datahuishouding, datavakmanschap en datavoorzieningen. Door data beter te benutten kan schaarse capaciteit gerichter worden ingezet, kunnen online en offline misdrijven sneller worden opgespoord en kan de veiligheid in de samenleving structureel worden vergroot. Slim gebruik van data ondersteunt bovendien de planning van het werk, waardoor de beschikbare middelen -met name personeel- effectiever kunnen worden ingezet. </w:t>
      </w:r>
    </w:p>
    <w:p w:rsidRPr="006879B5" w:rsidR="00996DAE" w:rsidP="00996DAE" w:rsidRDefault="00996DAE" w14:paraId="63554727" w14:textId="77777777"/>
    <w:p w:rsidRPr="006879B5" w:rsidR="00996DAE" w:rsidP="00996DAE" w:rsidRDefault="00996DAE" w14:paraId="59978EEA" w14:textId="77777777">
      <w:r w:rsidRPr="006879B5">
        <w:lastRenderedPageBreak/>
        <w:t xml:space="preserve">Een belangrijk onderdeel is het realiseren van heldere, eenduidige datavoorzieningen. Dit voorkomt dubbele opslag van data, beperkt het aantal datakoppelingen dat ontwikkeld en beheerd moet worden, en helpt dubbele licentiekosten en overbodige analysetools te vermijden. Dat vraagt een samenhangende meerjarenaanpak. </w:t>
      </w:r>
    </w:p>
    <w:p w:rsidRPr="006879B5" w:rsidR="00996DAE" w:rsidP="00996DAE" w:rsidRDefault="00996DAE" w14:paraId="2652887E" w14:textId="77777777"/>
    <w:p w:rsidRPr="006879B5" w:rsidR="00996DAE" w:rsidP="00996DAE" w:rsidRDefault="00996DAE" w14:paraId="474B0950" w14:textId="77777777">
      <w:r w:rsidRPr="006879B5">
        <w:t>Het programma fungeert als een katalysator en zal komend jaar de overdracht doen van een aantal geïnitieerde projecten en activiteiten. Zo is de architectuur op papier vastgesteld en maakt de politie de komende jaren de beweging van losse initiatieven naar landelijk bruikbare oplossingen. In proeftuinen wordt datagedreven werken toegepast op een wijze die juridisch houdbaar is, betaalbaar blijft en landelijk schaalbaar is. Daarbij wordt intensief samengewerkt met het Openbaar Ministerie.</w:t>
      </w:r>
    </w:p>
    <w:p w:rsidRPr="006879B5" w:rsidR="00996DAE" w:rsidP="00996DAE" w:rsidRDefault="00996DAE" w14:paraId="24B11D1A" w14:textId="77777777"/>
    <w:p w:rsidRPr="006879B5" w:rsidR="00996DAE" w:rsidP="00996DAE" w:rsidRDefault="00996DAE" w14:paraId="39B63C85" w14:textId="77777777">
      <w:r w:rsidRPr="006879B5">
        <w:t>De bewustwording en het vakmanschap van politiemedewerkers worden versterkt via congressen, e-learnings, opleidingen en gerichte communicatie. Daarbij ligt de nadruk op het vergroten van juridische en ethische kennis en op algemene bewustwording rond digitalisering en datagedreven werken. Ook wordt gewerkt aan het beter beheren van data en zijn er initiatieven om een data care organisatie in het leven te roepen om de politie te helpen volwassener met het data beheer om te gaan.</w:t>
      </w:r>
    </w:p>
    <w:p w:rsidRPr="006879B5" w:rsidR="00996DAE" w:rsidP="00996DAE" w:rsidRDefault="00996DAE" w14:paraId="1F3C9E7F" w14:textId="77777777"/>
    <w:p w:rsidRPr="006879B5" w:rsidR="00996DAE" w:rsidP="00996DAE" w:rsidRDefault="00996DAE" w14:paraId="7399425A" w14:textId="35DDB24B">
      <w:r w:rsidRPr="006879B5">
        <w:t xml:space="preserve">Het ontwerp van de data-architectuur is samen met de gebruikers gemaakt en wordt stapsgewijs ter hand genomen. Beproevingen draaien en waarborgen worden ontwikkeld. Daarbij wordt de staande organisatie actief meegenomen. In de komende jaren ligt de nadruk op het landelijk maken van geselecteerde </w:t>
      </w:r>
      <w:r w:rsidRPr="006879B5">
        <w:rPr>
          <w:i/>
          <w:iCs/>
        </w:rPr>
        <w:t>use cases</w:t>
      </w:r>
      <w:r w:rsidRPr="006879B5">
        <w:t xml:space="preserve"> en het meetbaar maken van de resultaten. Het betreft geen kortetermijnproject, maar een stapsgewijze verandering naar een politie die in staat is te handelen in een digitale samenleving, met behoud van legitimiteit, rechtsstatelijkheid en maatschappelijk vertrouwen. Middels deze tekst beschouw ik de toezegging als afgedaan. </w:t>
      </w:r>
    </w:p>
    <w:p w:rsidRPr="006879B5" w:rsidR="00996DAE" w:rsidP="00996DAE" w:rsidRDefault="00996DAE" w14:paraId="59937D31" w14:textId="77777777">
      <w:pPr>
        <w:pStyle w:val="Kop2"/>
      </w:pPr>
      <w:bookmarkStart w:name="_Hlk231482453" w:id="3"/>
      <w:r w:rsidRPr="006879B5">
        <w:t>Toezegging om de Kamer in het eerstvolgende halfjaarbericht te informeren over de stand van zaken rondom digitalisering en cybersecurity bij de politie</w:t>
      </w:r>
      <w:r w:rsidRPr="006879B5">
        <w:rPr>
          <w:rStyle w:val="Voetnootmarkering"/>
        </w:rPr>
        <w:footnoteReference w:id="5"/>
      </w:r>
    </w:p>
    <w:bookmarkEnd w:id="3"/>
    <w:p w:rsidRPr="006879B5" w:rsidR="00996DAE" w:rsidP="00996DAE" w:rsidRDefault="00996DAE" w14:paraId="0A369C71" w14:textId="77777777"/>
    <w:p w:rsidRPr="006879B5" w:rsidR="00996DAE" w:rsidP="00996DAE" w:rsidRDefault="00996DAE" w14:paraId="6C1C5425" w14:textId="5F534C4B">
      <w:r w:rsidRPr="006879B5">
        <w:t>Tijdens het commissiedebat politie van 25 maart jl. heb ik uw Kamer toegezegd om terug te komen op digitalisering en cybersecurity bij politie, met daarbij aandacht voor de samenwerking met Defensie. De bestrijding van cybercrime en het vergroten van cyberweerbaarheid kan alleen effectief als politie en OM, publieke én private partners, ieder vanuit hun eigen rol en verantwoordelijkheid, intensief samenwerken, en inzetten op een brede bestrijding. De politie werkt in haar aanpak van online criminaliteit dan ook samen met diverse publieke en private partners in structurele samenwerkingsverbanden. Defensie</w:t>
      </w:r>
      <w:r w:rsidRPr="006879B5" w:rsidR="0020778D">
        <w:t xml:space="preserve"> -</w:t>
      </w:r>
      <w:r w:rsidRPr="006879B5">
        <w:t xml:space="preserve"> en specifiek de MIVD</w:t>
      </w:r>
      <w:r w:rsidRPr="006879B5" w:rsidR="0020778D">
        <w:t xml:space="preserve"> -</w:t>
      </w:r>
      <w:r w:rsidRPr="006879B5">
        <w:t xml:space="preserve"> is een van die partners waarmee wordt samengewerkt, zoals in de Cyber Intel/Info Cel (CIIC). Daarnaast wordt vanuit de NCTV ingezet op het versterken van publiek-private samenwerkingen, onder andere binnen Cyclotron, waarin diverse partijen, ieder binnen het eigen wettelijke kader, samenwerken om de digitale weerbaarheid van Nederland te versterken. Hieraan nemen ook politie en Defensie deel. </w:t>
      </w:r>
    </w:p>
    <w:p w:rsidRPr="006879B5" w:rsidR="00996DAE" w:rsidP="00996DAE" w:rsidRDefault="00996DAE" w14:paraId="15D4F905" w14:textId="77777777"/>
    <w:p w:rsidRPr="006879B5" w:rsidR="00996DAE" w:rsidP="00996DAE" w:rsidRDefault="00996DAE" w14:paraId="14B79B51" w14:textId="2E541134">
      <w:r w:rsidRPr="006879B5">
        <w:lastRenderedPageBreak/>
        <w:t>Naast dergelijke samenwerkingen zet de politie binnen de organisatie in op het vergroten van relevante kennis over het digitale domein bij alle medewerkers. Tegelijkertijd zien we dat online criminaliteit toeneemt en dat er meer nodig is om de aanpak verder te versterken. De afgelopen jaren heeft de overheid daarom al geïnvesteerd in de versterking van de aanpak van online criminaliteit, ook bij politie. Ook dit kabinet zal investeren in de aanpak van online criminaliteit zoals aangegeven in de beleidsbrief. Middels deze tekst beschouw ik de toezegging als afgedaan.</w:t>
      </w:r>
    </w:p>
    <w:p w:rsidRPr="006879B5" w:rsidR="00996DAE" w:rsidP="00996DAE" w:rsidRDefault="00996DAE" w14:paraId="62CE3E7A" w14:textId="1D93D713">
      <w:pPr>
        <w:pStyle w:val="Kop2"/>
      </w:pPr>
      <w:r w:rsidRPr="006879B5">
        <w:t>Verkenning online stalking</w:t>
      </w:r>
      <w:r w:rsidRPr="006879B5" w:rsidR="00707891">
        <w:rPr>
          <w:rStyle w:val="Voetnootmarkering"/>
        </w:rPr>
        <w:footnoteReference w:id="6"/>
      </w:r>
    </w:p>
    <w:p w:rsidRPr="006879B5" w:rsidR="00996DAE" w:rsidP="00996DAE" w:rsidRDefault="00996DAE" w14:paraId="1D3FB62C" w14:textId="77777777"/>
    <w:p w:rsidRPr="006879B5" w:rsidR="00996DAE" w:rsidP="00996DAE" w:rsidRDefault="00996DAE" w14:paraId="303C8662" w14:textId="23015B5D">
      <w:pPr>
        <w:spacing w:line="276" w:lineRule="auto"/>
      </w:pPr>
      <w:r w:rsidRPr="006879B5">
        <w:t>Naar aanleiding van Kamervragen van het lid Mutluer (</w:t>
      </w:r>
      <w:r w:rsidRPr="006879B5" w:rsidR="002966E3">
        <w:t>PRO</w:t>
      </w:r>
      <w:r w:rsidRPr="006879B5">
        <w:t xml:space="preserve">) over de effectiviteit en handhaafbaarheid van contact- en locatieverboden, heeft de politie het volgende aangegeven: in sommige gevallen, met name in digitale context waarbij mogelijk sprake is van een online overtreding van een contact- en locatieverbod, heeft de politie geen bevoegdheden om dit te kunnen bewijzen. Hierdoor kunnen zij het contact- en locatieverbod niet handhaven.  </w:t>
      </w:r>
    </w:p>
    <w:p w:rsidRPr="006879B5" w:rsidR="00996DAE" w:rsidP="00996DAE" w:rsidRDefault="00996DAE" w14:paraId="1CFC339F" w14:textId="77777777">
      <w:pPr>
        <w:spacing w:line="276" w:lineRule="auto"/>
      </w:pPr>
      <w:r w:rsidRPr="006879B5">
        <w:t>Naar aanleiding hiervan is in de beantwoording</w:t>
      </w:r>
      <w:r w:rsidRPr="006879B5">
        <w:rPr>
          <w:rStyle w:val="Voetnootmarkering"/>
        </w:rPr>
        <w:footnoteReference w:id="7"/>
      </w:r>
      <w:r w:rsidRPr="006879B5">
        <w:t xml:space="preserve"> aangegeven dat ik de komende periode in afstemming met de betrokken organisaties ga verkennen of de bestaande bevoegdheden volstaan of dat aanvullende beleidsmatige of wetgevende maatregelen nodig zijn.</w:t>
      </w:r>
    </w:p>
    <w:p w:rsidRPr="006879B5" w:rsidR="00996DAE" w:rsidP="00996DAE" w:rsidRDefault="00996DAE" w14:paraId="12552252" w14:textId="77777777">
      <w:pPr>
        <w:spacing w:line="276" w:lineRule="auto"/>
      </w:pPr>
    </w:p>
    <w:p w:rsidRPr="006879B5" w:rsidR="00996DAE" w:rsidP="00996DAE" w:rsidRDefault="00996DAE" w14:paraId="6712692C" w14:textId="77777777">
      <w:r w:rsidRPr="006879B5">
        <w:t>Tijdens de JenV begrotingsbehandeling in februari 2026 heb ik herhaald dat ik als minister hier een verkenning naar ga doen. Deze verkenning wordt nu uitgevoerd. Uw Kamer wordt over de uitkomsten geïnformeerd.</w:t>
      </w:r>
    </w:p>
    <w:p w:rsidRPr="006879B5" w:rsidR="00107106" w:rsidP="00107106" w:rsidRDefault="00B6509E" w14:paraId="0939A077" w14:textId="7BE589F9">
      <w:pPr>
        <w:pStyle w:val="Kop1"/>
      </w:pPr>
      <w:r w:rsidRPr="006879B5">
        <w:t xml:space="preserve">Verbinding </w:t>
      </w:r>
      <w:r w:rsidRPr="006879B5" w:rsidR="00707891">
        <w:t>m</w:t>
      </w:r>
      <w:r w:rsidRPr="006879B5" w:rsidR="00224DB8">
        <w:t>anagem</w:t>
      </w:r>
      <w:r w:rsidRPr="006879B5" w:rsidR="00FA5D42">
        <w:t>e</w:t>
      </w:r>
      <w:r w:rsidRPr="006879B5" w:rsidR="00224DB8">
        <w:t xml:space="preserve">nt </w:t>
      </w:r>
      <w:r w:rsidRPr="006879B5">
        <w:t>en werkvloer politie</w:t>
      </w:r>
    </w:p>
    <w:p w:rsidRPr="006879B5" w:rsidR="00683F05" w:rsidP="00683F05" w:rsidRDefault="00683F05" w14:paraId="22AA5779" w14:textId="77777777"/>
    <w:p w:rsidRPr="006879B5" w:rsidR="00683F05" w:rsidP="00683F05" w:rsidRDefault="00683F05" w14:paraId="7123A7BA" w14:textId="42E917BF">
      <w:r w:rsidRPr="006879B5">
        <w:t xml:space="preserve">In aanvulling op hetgeen in de hoofdbrief staat over verbinding van het management met de werkvloer volgt hieronder een toelichting over de wijze </w:t>
      </w:r>
      <w:r w:rsidRPr="006879B5" w:rsidR="00C936F1">
        <w:t xml:space="preserve">waarop </w:t>
      </w:r>
      <w:r w:rsidRPr="006879B5">
        <w:t xml:space="preserve">in relatie tot dit onderwerp moties en toezeggingen worden afgedaan. </w:t>
      </w:r>
    </w:p>
    <w:p w:rsidRPr="006879B5" w:rsidR="00107106" w:rsidP="00107106" w:rsidRDefault="00107106" w14:paraId="17680856" w14:textId="77777777">
      <w:pPr>
        <w:pStyle w:val="Kop2"/>
      </w:pPr>
      <w:r w:rsidRPr="006879B5">
        <w:t>Motie Coenradie (JA21) over een gesprek met de politietop om de afstand tussen de politieleiding en de werkvloer te verkleinen</w:t>
      </w:r>
      <w:r w:rsidRPr="006879B5">
        <w:rPr>
          <w:rStyle w:val="Voetnootmarkering"/>
        </w:rPr>
        <w:footnoteReference w:id="8"/>
      </w:r>
    </w:p>
    <w:p w:rsidRPr="006879B5" w:rsidR="00107106" w:rsidP="00107106" w:rsidRDefault="00107106" w14:paraId="0D1496B3" w14:textId="77777777"/>
    <w:p w:rsidRPr="006879B5" w:rsidR="00107106" w:rsidP="00107106" w:rsidRDefault="00107106" w14:paraId="69E60121" w14:textId="1964A3A5">
      <w:r w:rsidRPr="006879B5">
        <w:t>Het lid Coenradie (JA21) heeft mij verzocht om met de politietop in gesprek te gaan om de afstand tussen de politieleiding en de werkvloer te verkleinen. Hierbij breng ik u op de hoogte van de uitkomsten van dit gesprek</w:t>
      </w:r>
      <w:r w:rsidRPr="006879B5" w:rsidR="00F70BEF">
        <w:t>, in aanvulling op de toelichting in de hoofdbrief.</w:t>
      </w:r>
    </w:p>
    <w:p w:rsidRPr="006879B5" w:rsidR="00107106" w:rsidP="00107106" w:rsidRDefault="00107106" w14:paraId="37C6405B" w14:textId="77777777"/>
    <w:p w:rsidRPr="006879B5" w:rsidR="00107106" w:rsidP="00107106" w:rsidRDefault="00107106" w14:paraId="4B9FB614" w14:textId="1E924095">
      <w:r w:rsidRPr="006879B5">
        <w:t>Op sommige plekken in de politieorganisatie wordt een te grote afstand ervaren tussen de politietop en de werkvloer. Deze te grote afstand wordt ook door de korpschef erkend. Eén van de oorzaken van de grote afstand tussen de politietop en werkvloer is gelegen in de vorming van de Nationale Politie</w:t>
      </w:r>
      <w:r w:rsidRPr="006879B5" w:rsidR="00D52102">
        <w:t xml:space="preserve">, </w:t>
      </w:r>
      <w:r w:rsidRPr="006879B5">
        <w:t xml:space="preserve">waarbij onvoldoende rekening is gehouden met organiseren van personeelszorg dicht op de werkvloer. Een teamchef heeft vaak tussen de 100 en 200 fte onder zich. Dit is een te groot aantal fte’s om goede personeelszorg te kunnen geven. Daarom hebben de korpschef en ik, vanuit onze rol als werkgever, samen met de politievakbonden een traject voor doorontwikkeling van leiding binnen het </w:t>
      </w:r>
      <w:r w:rsidRPr="006879B5">
        <w:lastRenderedPageBreak/>
        <w:t>Landelijk Functiegebouw Nederlandse Politie (LFNP) geïnitieerd. In deze doorontwikkeling is een nieuwe functie, de operationeel chef, voorzien. Deze leidinggevende zal onderdeel uitmaken van de uitvoering, en directe personeelszorg leveren aan een groep van 15 à 20 medewerkers. Hierdoor wordt het mogelijk om goede personeelszorg te leveren, en zal deze zorg dichter op de werkvloer worden georganiseerd. Voor het ontwikkelen van deze leidinggevende functie zal de operationeel leidinggevende ook ondersteuning krijgen vanuit het MD-traject. Als de gevolgen van de implementatie in kaart zijn gebracht, breng ik uw Kamer op de hoogte van de planning.</w:t>
      </w:r>
    </w:p>
    <w:p w:rsidRPr="006879B5" w:rsidR="00107106" w:rsidP="00107106" w:rsidRDefault="00107106" w14:paraId="491900FF" w14:textId="77777777"/>
    <w:p w:rsidRPr="006879B5" w:rsidR="00107106" w:rsidP="00107106" w:rsidRDefault="00107106" w14:paraId="5F480768" w14:textId="63AB5A9A">
      <w:r w:rsidRPr="006879B5">
        <w:t>Op dit moment werkt de politie aan een kader leiderschapsontwikkeling en het leiderschapsprofiel politie ten behoeve van leiderschapsontwikkeling.</w:t>
      </w:r>
      <w:r w:rsidRPr="006879B5" w:rsidR="00D52102">
        <w:t xml:space="preserve"> </w:t>
      </w:r>
      <w:r w:rsidRPr="006879B5">
        <w:t xml:space="preserve">Het kader waarborgt meer uniformiteit in de aanpak op leiderschapsontwikkeling. Het leiderschapsprofiel beschrijft de benodigde kennis, ervaring, vaardigheden, persoonlijke kenmerken en drijfveren voor de leidinggevende en moet gelden als een landelijke basis als het gaat om leidinggevenden bij de politie. Het profiel is gestoeld op drie pijlers: stevig strategisch en moreel leiderschap; bestuurlijk politiek en sensitief leiderschap; paradoxaal en integratief leiderschap. Onder deze pijlers zijn voorbeelden van gewenst gedrag geformuleerd. De hoop en verwachting is dat leiderschapsontwikkeling op basis van het leiderschapsprofiel bijdraagt aan het verkleinen van de afstand tussen de top en de werkvloer. De vierde pijler komt voort uit de context en specifieke opgave van eenheid en landelijke programma’s. In het profiel wordt ruimte gelaten aan eenheden en organisatieonderdelen om die eigen context daar nog bij in te vullen. De doelgroep van het kader en het leiderschapsprofiel bestaat uit het domein Leiding van het LFNP en professionals die een verantwoordelijkheid hebben in p-zorg. Het loopt vooruit op besluitvorming over de doorontwikkeling van het LFNP. Hiermee beschouw ik de motie Coenradie (JA21) als afgedaan. </w:t>
      </w:r>
    </w:p>
    <w:p w:rsidRPr="006879B5" w:rsidR="003D6DC0" w:rsidP="003D6DC0" w:rsidRDefault="003D6DC0" w14:paraId="49A2D533" w14:textId="77777777"/>
    <w:p w:rsidRPr="006879B5" w:rsidR="003D6DC0" w:rsidP="003D6DC0" w:rsidRDefault="003D6DC0" w14:paraId="1CB6D718" w14:textId="04E7BF4E">
      <w:pPr>
        <w:rPr>
          <w:i/>
        </w:rPr>
      </w:pPr>
      <w:r w:rsidRPr="006879B5">
        <w:rPr>
          <w:i/>
        </w:rPr>
        <w:t>Toezegging over rol van de leidinggevende bij een integriteitsonderzoek</w:t>
      </w:r>
      <w:r w:rsidRPr="006879B5">
        <w:rPr>
          <w:i/>
          <w:vertAlign w:val="superscript"/>
        </w:rPr>
        <w:footnoteReference w:id="9"/>
      </w:r>
    </w:p>
    <w:p w:rsidRPr="006879B5" w:rsidR="003D6DC0" w:rsidP="003D6DC0" w:rsidRDefault="003D6DC0" w14:paraId="6D69A131" w14:textId="77777777">
      <w:pPr>
        <w:rPr>
          <w:i/>
        </w:rPr>
      </w:pPr>
    </w:p>
    <w:p w:rsidRPr="006879B5" w:rsidR="00147D79" w:rsidP="00147D79" w:rsidRDefault="00147D79" w14:paraId="3DCDECC2" w14:textId="24440539">
      <w:pPr>
        <w:shd w:val="clear" w:color="auto" w:fill="FFFFFF"/>
        <w:autoSpaceDN/>
        <w:spacing w:line="240" w:lineRule="auto"/>
        <w:textAlignment w:val="auto"/>
        <w:rPr>
          <w:rFonts w:eastAsia="Calibri" w:cs="Calibri"/>
          <w:b/>
          <w:bCs/>
          <w:color w:val="auto"/>
          <w:kern w:val="2"/>
          <w:lang w:eastAsia="en-US"/>
          <w14:ligatures w14:val="standardContextual"/>
        </w:rPr>
      </w:pPr>
      <w:r w:rsidRPr="006879B5">
        <w:rPr>
          <w:rFonts w:eastAsia="Calibri" w:cs="Calibri"/>
          <w:color w:val="auto"/>
          <w:kern w:val="2"/>
          <w:lang w:eastAsia="en-US"/>
          <w14:ligatures w14:val="standardContextual"/>
        </w:rPr>
        <w:t xml:space="preserve">Tijdens het commissiedebat Politie van 25 maart 2026 heb ik het lid Struijs (50PLUS) toegezegd om de rol van leidinggevenden bij integriteitsonderzoeken nader toe te lichten. Met onderstaande beschrijving doe ik deze toezegging af. </w:t>
      </w:r>
    </w:p>
    <w:p w:rsidRPr="006879B5" w:rsidR="00147D79" w:rsidP="00147D79" w:rsidRDefault="00147D79" w14:paraId="2000B3C8" w14:textId="77777777">
      <w:pPr>
        <w:shd w:val="clear" w:color="auto" w:fill="FFFFFF"/>
        <w:autoSpaceDN/>
        <w:spacing w:line="240" w:lineRule="auto"/>
        <w:textAlignment w:val="auto"/>
        <w:rPr>
          <w:rFonts w:eastAsia="Calibri" w:cs="Calibri"/>
          <w:b/>
          <w:bCs/>
          <w:color w:val="auto"/>
          <w:kern w:val="2"/>
          <w:lang w:eastAsia="en-US"/>
          <w14:ligatures w14:val="standardContextual"/>
        </w:rPr>
      </w:pPr>
    </w:p>
    <w:p w:rsidRPr="006879B5" w:rsidR="00147D79" w:rsidP="00147D79" w:rsidRDefault="00147D79" w14:paraId="55FDC94F" w14:textId="77777777">
      <w:pPr>
        <w:autoSpaceDN/>
        <w:spacing w:line="240" w:lineRule="auto"/>
        <w:textAlignment w:val="auto"/>
        <w:rPr>
          <w:rFonts w:eastAsia="Calibri" w:cs="Calibri"/>
          <w:color w:val="auto"/>
          <w:kern w:val="2"/>
          <w:lang w:eastAsia="en-US"/>
          <w14:ligatures w14:val="standardContextual"/>
        </w:rPr>
      </w:pPr>
      <w:r w:rsidRPr="006879B5">
        <w:rPr>
          <w:rFonts w:eastAsia="Calibri" w:cs="Calibri"/>
          <w:color w:val="auto"/>
          <w:kern w:val="2"/>
          <w:lang w:eastAsia="en-US"/>
          <w14:ligatures w14:val="standardContextual"/>
        </w:rPr>
        <w:t xml:space="preserve">Leidinggevenden bij de politie hebben een belangrijke taak bij het signaleren en voorkomen van ongewenst gedrag. Hun houding en gedrag straalt af op andere politiemedewerkers. Van hen wordt verwacht dat zij actief bijdragen aan een sociaal veilig werkklimaat, waarbij integriteitskwesties op een laagdrempelige manier bespreekbaar worden gemaakt in teams, zodat hiervan kan worden geleerd. </w:t>
      </w:r>
    </w:p>
    <w:p w:rsidRPr="006879B5" w:rsidR="00147D79" w:rsidP="00147D79" w:rsidRDefault="00147D79" w14:paraId="0420CABF" w14:textId="77777777">
      <w:pPr>
        <w:autoSpaceDN/>
        <w:spacing w:line="240" w:lineRule="auto"/>
        <w:textAlignment w:val="auto"/>
        <w:rPr>
          <w:rFonts w:eastAsia="Calibri" w:cs="Calibri"/>
          <w:color w:val="auto"/>
          <w:kern w:val="2"/>
          <w:lang w:eastAsia="en-US"/>
          <w14:ligatures w14:val="standardContextual"/>
        </w:rPr>
      </w:pPr>
    </w:p>
    <w:p w:rsidRPr="006879B5" w:rsidR="00147D79" w:rsidP="00147D79" w:rsidRDefault="00D93D7A" w14:paraId="790EBC34" w14:textId="7C205C4D">
      <w:pPr>
        <w:shd w:val="clear" w:color="auto" w:fill="FFFFFF"/>
        <w:autoSpaceDN/>
        <w:spacing w:line="240" w:lineRule="auto"/>
        <w:textAlignment w:val="auto"/>
        <w:rPr>
          <w:rFonts w:eastAsia="Calibri" w:cs="Calibri"/>
          <w:color w:val="auto"/>
          <w:kern w:val="2"/>
          <w:lang w:eastAsia="en-US"/>
          <w14:ligatures w14:val="standardContextual"/>
        </w:rPr>
      </w:pPr>
      <w:r w:rsidRPr="006879B5">
        <w:rPr>
          <w:rFonts w:eastAsia="Calibri" w:cs="Calibri"/>
          <w:color w:val="auto"/>
          <w:kern w:val="2"/>
          <w:lang w:eastAsia="en-US"/>
          <w14:ligatures w14:val="standardContextual"/>
        </w:rPr>
        <w:t xml:space="preserve">Bij een melding over het gedrag en handelen van (een) politiemedewerker(s), waarbij mogelijk sprake is van een vermoeden van plichtsverzuim, vindt triage plaats. In de triage kan o.a. worden besloten dat er een onderzoek moet plaatsvinden. </w:t>
      </w:r>
      <w:r w:rsidRPr="006879B5" w:rsidR="00147D79">
        <w:rPr>
          <w:rFonts w:eastAsia="Calibri" w:cs="Calibri"/>
          <w:color w:val="auto"/>
          <w:kern w:val="2"/>
          <w:lang w:eastAsia="en-US"/>
          <w14:ligatures w14:val="standardContextual"/>
        </w:rPr>
        <w:t>Er zijn verschillende soorten (interne) onderzoeken: een (1) oriënterend onderzoek nodig om signalen of meldingen van mogelijk verwijtbaar handelen, plichtsverzuim of strafbare feiten te duiden en helder te krijgen wat er precies speelt en wie erbij betrokken is.</w:t>
      </w:r>
      <w:r w:rsidRPr="006879B5">
        <w:rPr>
          <w:rFonts w:eastAsia="Calibri" w:cs="Calibri"/>
          <w:color w:val="auto"/>
          <w:kern w:val="2"/>
          <w:lang w:eastAsia="en-US"/>
          <w14:ligatures w14:val="standardContextual"/>
        </w:rPr>
        <w:t xml:space="preserve"> Dit onderzoek wordt uitgevoerd na een schriftelijke opdracht van het bevoegd gezag.</w:t>
      </w:r>
      <w:r w:rsidRPr="006879B5" w:rsidR="00147D79">
        <w:rPr>
          <w:rFonts w:eastAsia="Calibri" w:cs="Calibri"/>
          <w:color w:val="auto"/>
          <w:kern w:val="2"/>
          <w:lang w:eastAsia="en-US"/>
          <w14:ligatures w14:val="standardContextual"/>
        </w:rPr>
        <w:t xml:space="preserve"> (2) Disciplinair onderzoek kan worden ingesteld wanneer er sprake is van een redelijk vermoeden van gepleegd plichtsverzuim. Bij eenvoudige, lichte vermoedens van plichtsverzuim kan het bevoegd gezag opdracht geven tot een (3) lijnonderzoek, dit wordt uitgevoerd </w:t>
      </w:r>
      <w:r w:rsidRPr="006879B5" w:rsidR="00147D79">
        <w:rPr>
          <w:rFonts w:eastAsia="Calibri" w:cs="Calibri"/>
          <w:color w:val="auto"/>
          <w:kern w:val="2"/>
          <w:lang w:eastAsia="en-US"/>
          <w14:ligatures w14:val="standardContextual"/>
        </w:rPr>
        <w:lastRenderedPageBreak/>
        <w:t xml:space="preserve">door de eigen leidinggevende. (4) Feitenonderzoek </w:t>
      </w:r>
      <w:r w:rsidRPr="006879B5">
        <w:rPr>
          <w:rFonts w:eastAsia="Calibri" w:cs="Calibri"/>
          <w:color w:val="auto"/>
          <w:kern w:val="2"/>
          <w:lang w:eastAsia="en-US"/>
          <w14:ligatures w14:val="standardContextual"/>
        </w:rPr>
        <w:t xml:space="preserve">naar een geweldsaanwending </w:t>
      </w:r>
      <w:r w:rsidRPr="006879B5" w:rsidR="00147D79">
        <w:rPr>
          <w:rFonts w:eastAsia="Calibri" w:cs="Calibri"/>
          <w:color w:val="auto"/>
          <w:kern w:val="2"/>
          <w:lang w:eastAsia="en-US"/>
          <w14:ligatures w14:val="standardContextual"/>
        </w:rPr>
        <w:t>wordt uitgevoerd onder verantwoordelijkheid van het Openbaar Ministerie (OM), gericht op de beoordeling of het geweld dat door de politiemedewerker is gebruikt overeenkomstig de geweldsinstructie is. (5) Strafrechtelijk onderzoek wordt</w:t>
      </w:r>
      <w:r w:rsidRPr="006879B5">
        <w:rPr>
          <w:rFonts w:eastAsia="Calibri" w:cs="Calibri"/>
          <w:color w:val="auto"/>
          <w:kern w:val="2"/>
          <w:lang w:eastAsia="en-US"/>
          <w14:ligatures w14:val="standardContextual"/>
        </w:rPr>
        <w:t>, onder verantwoordelijkheid van het OM,</w:t>
      </w:r>
      <w:r w:rsidRPr="006879B5" w:rsidR="00147D79">
        <w:rPr>
          <w:rFonts w:eastAsia="Calibri" w:cs="Calibri"/>
          <w:color w:val="auto"/>
          <w:kern w:val="2"/>
          <w:lang w:eastAsia="en-US"/>
          <w14:ligatures w14:val="standardContextual"/>
        </w:rPr>
        <w:t xml:space="preserve"> uitgevoerd wanneer er sprake is van een redelijk vermoeden van gepleegde strafbare feiten door een politiemedewerker.</w:t>
      </w:r>
    </w:p>
    <w:p w:rsidRPr="006879B5" w:rsidR="00147D79" w:rsidP="00147D79" w:rsidRDefault="00147D79" w14:paraId="45570748" w14:textId="77777777">
      <w:pPr>
        <w:shd w:val="clear" w:color="auto" w:fill="FFFFFF"/>
        <w:autoSpaceDN/>
        <w:spacing w:line="240" w:lineRule="auto"/>
        <w:textAlignment w:val="auto"/>
        <w:rPr>
          <w:rFonts w:eastAsia="Calibri" w:cs="Calibri"/>
          <w:color w:val="auto"/>
          <w:kern w:val="2"/>
          <w:lang w:eastAsia="en-US"/>
          <w14:ligatures w14:val="standardContextual"/>
        </w:rPr>
      </w:pPr>
    </w:p>
    <w:p w:rsidRPr="006879B5" w:rsidR="00147D79" w:rsidP="00147D79" w:rsidRDefault="00147D79" w14:paraId="36BF40AE" w14:textId="5513C02A">
      <w:pPr>
        <w:shd w:val="clear" w:color="auto" w:fill="FFFFFF"/>
        <w:autoSpaceDN/>
        <w:spacing w:line="240" w:lineRule="auto"/>
        <w:textAlignment w:val="auto"/>
        <w:rPr>
          <w:rFonts w:eastAsia="Calibri" w:cs="Calibri"/>
          <w:color w:val="auto"/>
          <w:kern w:val="2"/>
          <w:lang w:eastAsia="en-US"/>
          <w14:ligatures w14:val="standardContextual"/>
        </w:rPr>
      </w:pPr>
      <w:r w:rsidRPr="006879B5">
        <w:rPr>
          <w:rFonts w:eastAsia="Calibri" w:cs="Calibri"/>
          <w:color w:val="auto"/>
          <w:kern w:val="2"/>
          <w:lang w:eastAsia="en-US"/>
          <w14:ligatures w14:val="standardContextual"/>
        </w:rPr>
        <w:t>Het formele besluit om een onderzoek te starten, ligt bij het bevoegd gezag of bij de daartoe gemandateerde politiechef of sectorhoofd. In beginsel worden de onderzoeken uitgevoerd door de afdeling Veiligheid, Integriteit en Klachten (VIK). Als het onderzoek naar integriteitsschendingen complex</w:t>
      </w:r>
      <w:r w:rsidRPr="006879B5" w:rsidR="00D93D7A">
        <w:rPr>
          <w:rFonts w:eastAsia="Calibri" w:cs="Calibri"/>
          <w:color w:val="auto"/>
          <w:kern w:val="2"/>
          <w:lang w:eastAsia="en-US"/>
          <w14:ligatures w14:val="standardContextual"/>
        </w:rPr>
        <w:t>, eenheidsoverstijgend of anderszins voldoet aan de inzetcriteria</w:t>
      </w:r>
      <w:r w:rsidRPr="006879B5">
        <w:rPr>
          <w:rFonts w:eastAsia="Calibri" w:cs="Calibri"/>
          <w:color w:val="auto"/>
          <w:kern w:val="2"/>
          <w:lang w:eastAsia="en-US"/>
          <w14:ligatures w14:val="standardContextual"/>
        </w:rPr>
        <w:t>, wordt dit</w:t>
      </w:r>
      <w:r w:rsidRPr="006879B5" w:rsidR="00D93D7A">
        <w:rPr>
          <w:rFonts w:eastAsia="Calibri" w:cs="Calibri"/>
          <w:color w:val="auto"/>
          <w:kern w:val="2"/>
          <w:lang w:eastAsia="en-US"/>
          <w14:ligatures w14:val="standardContextual"/>
        </w:rPr>
        <w:t xml:space="preserve"> in opdracht van het bevoegd gezag, </w:t>
      </w:r>
      <w:r w:rsidRPr="006879B5">
        <w:rPr>
          <w:rFonts w:eastAsia="Calibri" w:cs="Calibri"/>
          <w:color w:val="auto"/>
          <w:kern w:val="2"/>
          <w:lang w:eastAsia="en-US"/>
          <w14:ligatures w14:val="standardContextual"/>
        </w:rPr>
        <w:t xml:space="preserve">gedaan door het Landelijk Team Interne Onderzoeken (LTIO). </w:t>
      </w:r>
      <w:r w:rsidRPr="006879B5" w:rsidR="00D93D7A">
        <w:rPr>
          <w:rFonts w:eastAsia="Calibri" w:cs="Calibri"/>
          <w:color w:val="auto"/>
          <w:kern w:val="2"/>
          <w:lang w:eastAsia="en-US"/>
          <w14:ligatures w14:val="standardContextual"/>
        </w:rPr>
        <w:t>In geval van een feiten- en/of strafrechtelijk onderzoek</w:t>
      </w:r>
      <w:r w:rsidRPr="006879B5">
        <w:rPr>
          <w:rFonts w:eastAsia="Calibri" w:cs="Calibri"/>
          <w:color w:val="auto"/>
          <w:kern w:val="2"/>
          <w:lang w:eastAsia="en-US"/>
          <w14:ligatures w14:val="standardContextual"/>
        </w:rPr>
        <w:t xml:space="preserve"> kan dit ook worden uitgevoerd door de Rijksrecherche (RR) in opdracht van het OM. </w:t>
      </w:r>
    </w:p>
    <w:p w:rsidRPr="006879B5" w:rsidR="00147D79" w:rsidP="00147D79" w:rsidRDefault="00147D79" w14:paraId="62211FC9" w14:textId="77777777">
      <w:pPr>
        <w:shd w:val="clear" w:color="auto" w:fill="FFFFFF"/>
        <w:autoSpaceDN/>
        <w:spacing w:line="240" w:lineRule="auto"/>
        <w:textAlignment w:val="auto"/>
        <w:rPr>
          <w:rFonts w:eastAsia="Calibri" w:cs="Calibri"/>
          <w:color w:val="auto"/>
          <w:kern w:val="2"/>
          <w:lang w:eastAsia="en-US"/>
          <w14:ligatures w14:val="standardContextual"/>
        </w:rPr>
      </w:pPr>
    </w:p>
    <w:p w:rsidRPr="006879B5" w:rsidR="00147D79" w:rsidP="00147D79" w:rsidRDefault="00147D79" w14:paraId="2BCD5449" w14:textId="06A0ABD3">
      <w:pPr>
        <w:shd w:val="clear" w:color="auto" w:fill="FFFFFF"/>
        <w:autoSpaceDN/>
        <w:spacing w:line="240" w:lineRule="auto"/>
        <w:textAlignment w:val="auto"/>
        <w:rPr>
          <w:rFonts w:eastAsia="Calibri" w:cs="Calibri"/>
          <w:color w:val="auto"/>
          <w:kern w:val="2"/>
          <w:lang w:eastAsia="en-US"/>
          <w14:ligatures w14:val="standardContextual"/>
        </w:rPr>
      </w:pPr>
      <w:r w:rsidRPr="006879B5">
        <w:rPr>
          <w:rFonts w:eastAsia="Calibri" w:cs="Calibri"/>
          <w:color w:val="auto"/>
          <w:kern w:val="2"/>
          <w:lang w:eastAsia="en-US"/>
          <w14:ligatures w14:val="standardContextual"/>
        </w:rPr>
        <w:t>Voorafgaand en tijdens een disciplinair</w:t>
      </w:r>
      <w:r w:rsidRPr="006879B5" w:rsidR="00CC383A">
        <w:rPr>
          <w:rFonts w:eastAsia="Calibri" w:cs="Calibri"/>
          <w:color w:val="auto"/>
          <w:kern w:val="2"/>
          <w:lang w:eastAsia="en-US"/>
          <w14:ligatures w14:val="standardContextual"/>
        </w:rPr>
        <w:t>- of lijn</w:t>
      </w:r>
      <w:r w:rsidRPr="006879B5">
        <w:rPr>
          <w:rFonts w:eastAsia="Calibri" w:cs="Calibri"/>
          <w:color w:val="auto"/>
          <w:kern w:val="2"/>
          <w:lang w:eastAsia="en-US"/>
          <w14:ligatures w14:val="standardContextual"/>
        </w:rPr>
        <w:t xml:space="preserve">onderzoek </w:t>
      </w:r>
      <w:r w:rsidRPr="006879B5" w:rsidR="00CC383A">
        <w:rPr>
          <w:rFonts w:eastAsia="Calibri" w:cs="Calibri"/>
          <w:color w:val="auto"/>
          <w:kern w:val="2"/>
          <w:lang w:eastAsia="en-US"/>
          <w14:ligatures w14:val="standardContextual"/>
        </w:rPr>
        <w:t xml:space="preserve">is </w:t>
      </w:r>
      <w:r w:rsidRPr="006879B5">
        <w:rPr>
          <w:rFonts w:eastAsia="Calibri" w:cs="Calibri"/>
          <w:color w:val="auto"/>
          <w:kern w:val="2"/>
          <w:lang w:eastAsia="en-US"/>
          <w14:ligatures w14:val="standardContextual"/>
        </w:rPr>
        <w:t xml:space="preserve">de direct leidinggevende </w:t>
      </w:r>
      <w:r w:rsidRPr="006879B5" w:rsidR="00CC383A">
        <w:rPr>
          <w:rFonts w:eastAsia="Calibri" w:cs="Calibri"/>
          <w:color w:val="auto"/>
          <w:kern w:val="2"/>
          <w:lang w:eastAsia="en-US"/>
          <w14:ligatures w14:val="standardContextual"/>
        </w:rPr>
        <w:t xml:space="preserve">formeel verantwoordelijk voor de </w:t>
      </w:r>
      <w:r w:rsidRPr="006879B5">
        <w:rPr>
          <w:rFonts w:eastAsia="Calibri" w:cs="Calibri"/>
          <w:color w:val="auto"/>
          <w:kern w:val="2"/>
          <w:lang w:eastAsia="en-US"/>
          <w14:ligatures w14:val="standardContextual"/>
        </w:rPr>
        <w:t>personeelszorg</w:t>
      </w:r>
      <w:r w:rsidRPr="006879B5" w:rsidR="00CC383A">
        <w:rPr>
          <w:rFonts w:eastAsia="Calibri" w:cs="Calibri"/>
          <w:color w:val="auto"/>
          <w:kern w:val="2"/>
          <w:lang w:eastAsia="en-US"/>
          <w14:ligatures w14:val="standardContextual"/>
        </w:rPr>
        <w:t xml:space="preserve"> van de betrokkene</w:t>
      </w:r>
      <w:r w:rsidRPr="006879B5">
        <w:rPr>
          <w:rFonts w:eastAsia="Calibri" w:cs="Calibri"/>
          <w:color w:val="auto"/>
          <w:kern w:val="2"/>
          <w:lang w:eastAsia="en-US"/>
          <w14:ligatures w14:val="standardContextual"/>
        </w:rPr>
        <w:t xml:space="preserve">. </w:t>
      </w:r>
      <w:r w:rsidRPr="006879B5" w:rsidR="00CC383A">
        <w:rPr>
          <w:rFonts w:eastAsia="Calibri" w:cs="Calibri"/>
          <w:color w:val="auto"/>
          <w:kern w:val="2"/>
          <w:lang w:eastAsia="en-US"/>
          <w14:ligatures w14:val="standardContextual"/>
        </w:rPr>
        <w:t xml:space="preserve">Om de genoemde zorg en formele rol te scheiden kan, eventueel in overleg met de betrokkene, de personeelszorg bij een andere leidinggevende worden belegd. </w:t>
      </w:r>
      <w:r w:rsidRPr="006879B5">
        <w:rPr>
          <w:rFonts w:eastAsia="Calibri" w:cs="Calibri"/>
          <w:color w:val="auto"/>
          <w:kern w:val="2"/>
          <w:lang w:eastAsia="en-US"/>
          <w14:ligatures w14:val="standardContextual"/>
        </w:rPr>
        <w:t xml:space="preserve">Een dergelijk onderzoek kan voor een politiemedewerker zeer belastend zijn en van de leidinggevende mag worden verwacht om contact te houden met de politiemedewerker, zonder inhoudelijk op de zaak vooruit te lopen. Ook wordt de politiemedewerker door de leidinggevende geïnformeerd over de procedure, het verloop van het onderzoek en de geldende rechten en plichten. In de praktijk gebeurt dit in een persoonlijk gesprek, gevolgd door een schriftelijke bevestiging. </w:t>
      </w:r>
      <w:r w:rsidRPr="006879B5" w:rsidR="00CC383A">
        <w:rPr>
          <w:rFonts w:eastAsia="Calibri" w:cs="Calibri"/>
          <w:color w:val="auto"/>
          <w:kern w:val="2"/>
          <w:lang w:eastAsia="en-US"/>
          <w14:ligatures w14:val="standardContextual"/>
        </w:rPr>
        <w:t>De leidinggevende zorgt ook voor een eventuele verwijzing naar een bedrijfsmaatschappelijk medewerker, de geestelijk verzorger of één van de andere zorgloketten.</w:t>
      </w:r>
    </w:p>
    <w:p w:rsidRPr="006879B5" w:rsidR="00147D79" w:rsidP="00147D79" w:rsidRDefault="00147D79" w14:paraId="7F274E6E" w14:textId="77777777">
      <w:pPr>
        <w:shd w:val="clear" w:color="auto" w:fill="FFFFFF"/>
        <w:autoSpaceDN/>
        <w:spacing w:line="240" w:lineRule="auto"/>
        <w:textAlignment w:val="auto"/>
        <w:rPr>
          <w:rFonts w:eastAsia="Calibri" w:cs="Calibri"/>
          <w:color w:val="auto"/>
          <w:kern w:val="2"/>
          <w:lang w:eastAsia="en-US"/>
          <w14:ligatures w14:val="standardContextual"/>
        </w:rPr>
      </w:pPr>
    </w:p>
    <w:p w:rsidRPr="006879B5" w:rsidR="00A44848" w:rsidP="00A44848" w:rsidRDefault="00147D79" w14:paraId="4CD54F08" w14:textId="1D31951D">
      <w:pPr>
        <w:shd w:val="clear" w:color="auto" w:fill="FFFFFF"/>
        <w:autoSpaceDN/>
        <w:spacing w:line="240" w:lineRule="auto"/>
        <w:textAlignment w:val="auto"/>
        <w:rPr>
          <w:rFonts w:eastAsia="Calibri" w:cs="Calibri"/>
          <w:color w:val="auto"/>
          <w:kern w:val="2"/>
          <w:lang w:eastAsia="en-US"/>
          <w14:ligatures w14:val="standardContextual"/>
        </w:rPr>
      </w:pPr>
      <w:r w:rsidRPr="006879B5">
        <w:rPr>
          <w:rFonts w:eastAsia="Calibri" w:cs="Calibri"/>
          <w:color w:val="auto"/>
          <w:kern w:val="2"/>
          <w:lang w:eastAsia="en-US"/>
          <w14:ligatures w14:val="standardContextual"/>
        </w:rPr>
        <w:t xml:space="preserve">Na afronding van het onderzoek moet door het bevoegd gezag worden beoordeeld of de feiten voldoende zijn vastgesteld, of er sprake is van plichtsverzuim en moet er een </w:t>
      </w:r>
      <w:r w:rsidRPr="006879B5" w:rsidR="00CC383A">
        <w:rPr>
          <w:rFonts w:eastAsia="Calibri" w:cs="Calibri"/>
          <w:color w:val="auto"/>
          <w:kern w:val="2"/>
          <w:lang w:eastAsia="en-US"/>
          <w14:ligatures w14:val="standardContextual"/>
        </w:rPr>
        <w:t xml:space="preserve">besluit </w:t>
      </w:r>
      <w:r w:rsidRPr="006879B5">
        <w:rPr>
          <w:rFonts w:eastAsia="Calibri" w:cs="Calibri"/>
          <w:color w:val="auto"/>
          <w:kern w:val="2"/>
          <w:lang w:eastAsia="en-US"/>
          <w14:ligatures w14:val="standardContextual"/>
        </w:rPr>
        <w:t xml:space="preserve">worden genomen of en zo ja, welke disciplinaire maatregel wordt opgelegd. </w:t>
      </w:r>
      <w:r w:rsidRPr="006879B5" w:rsidR="00CC383A">
        <w:rPr>
          <w:rFonts w:eastAsia="Calibri" w:cs="Calibri"/>
          <w:color w:val="auto"/>
          <w:kern w:val="2"/>
          <w:lang w:eastAsia="en-US"/>
          <w14:ligatures w14:val="standardContextual"/>
        </w:rPr>
        <w:t>Voorafgaand aan het definitieve besluit, wordt, in geval van een lijn- en of disciplinair onderzoek, het voorgenomen besluit met de medewerker gedeeld. De betrokken medewerker kan dienst zienswijze op dit besluit geven. Hierna volgt het definitieve besluit, waartegen</w:t>
      </w:r>
      <w:r w:rsidRPr="006879B5">
        <w:rPr>
          <w:rFonts w:eastAsia="Calibri" w:cs="Calibri"/>
          <w:color w:val="auto"/>
          <w:kern w:val="2"/>
          <w:lang w:eastAsia="en-US"/>
          <w14:ligatures w14:val="standardContextual"/>
        </w:rPr>
        <w:t xml:space="preserve"> de gebruikelijke bezwaar- en beroepsprocedures open</w:t>
      </w:r>
      <w:r w:rsidRPr="006879B5" w:rsidR="00CC383A">
        <w:rPr>
          <w:rFonts w:eastAsia="Calibri" w:cs="Calibri"/>
          <w:color w:val="auto"/>
          <w:kern w:val="2"/>
          <w:lang w:eastAsia="en-US"/>
          <w14:ligatures w14:val="standardContextual"/>
        </w:rPr>
        <w:t>staan</w:t>
      </w:r>
      <w:r w:rsidRPr="006879B5">
        <w:rPr>
          <w:rFonts w:eastAsia="Calibri" w:cs="Calibri"/>
          <w:color w:val="auto"/>
          <w:kern w:val="2"/>
          <w:lang w:eastAsia="en-US"/>
          <w14:ligatures w14:val="standardContextual"/>
        </w:rPr>
        <w:t>. De direct leidinggevende informeert de politiemedewerker hierover en begeleidt dit proces.</w:t>
      </w:r>
    </w:p>
    <w:p w:rsidRPr="006879B5" w:rsidR="00FF6853" w:rsidP="00FF6853" w:rsidRDefault="00C7307B" w14:paraId="1A90AC57" w14:textId="7DD10C66">
      <w:pPr>
        <w:pStyle w:val="Kop2"/>
      </w:pPr>
      <w:r w:rsidRPr="006879B5">
        <w:t>Toezegging s</w:t>
      </w:r>
      <w:r w:rsidRPr="006879B5" w:rsidR="006879B5">
        <w:t>t</w:t>
      </w:r>
      <w:r w:rsidRPr="006879B5" w:rsidR="00FF6853">
        <w:t>eun aan politiemedewerkers bij incidenten</w:t>
      </w:r>
      <w:r w:rsidRPr="006879B5" w:rsidR="00FF6853">
        <w:rPr>
          <w:rStyle w:val="Voetnootmarkering"/>
        </w:rPr>
        <w:footnoteReference w:id="10"/>
      </w:r>
      <w:r w:rsidRPr="006879B5">
        <w:t xml:space="preserve"> </w:t>
      </w:r>
      <w:r w:rsidRPr="006879B5" w:rsidR="006D3488">
        <w:t>en toezegging over in gesprek met de burgemeesters over de steun voor politiemensen</w:t>
      </w:r>
      <w:r w:rsidRPr="006879B5">
        <w:rPr>
          <w:rStyle w:val="Voetnootmarkering"/>
        </w:rPr>
        <w:footnoteReference w:id="11"/>
      </w:r>
    </w:p>
    <w:p w:rsidRPr="006879B5" w:rsidR="00FF6853" w:rsidP="00FF6853" w:rsidRDefault="00FF6853" w14:paraId="3B303E07" w14:textId="77777777"/>
    <w:p w:rsidRPr="006879B5" w:rsidR="00FF6853" w:rsidP="00FF6853" w:rsidRDefault="00FF6853" w14:paraId="44C863C4" w14:textId="77777777">
      <w:r w:rsidRPr="006879B5">
        <w:t>Tijdens het mondelinge vragenuur van 10 februari jl., over het bericht ‘Agent met gezin ondergedoken na ophef over arrestatie onder Bollendak in Utrecht’</w:t>
      </w:r>
      <w:r w:rsidRPr="006879B5">
        <w:rPr>
          <w:rStyle w:val="Voetnootmarkering"/>
        </w:rPr>
        <w:footnoteReference w:id="12"/>
      </w:r>
      <w:r w:rsidRPr="006879B5">
        <w:t xml:space="preserve">, is toegezegd om het volgende kabinet te stimuleren snel met de politie Midden-Nederland om tafel te gaan over de steun van de werkgever richting politiemedewerkers naar aanleiding van incidenten in de eenheid Utrecht. </w:t>
      </w:r>
    </w:p>
    <w:p w:rsidRPr="006879B5" w:rsidR="00FF6853" w:rsidP="00FF6853" w:rsidRDefault="00FF6853" w14:paraId="56A82C25" w14:textId="77777777"/>
    <w:p w:rsidRPr="006879B5" w:rsidR="00107106" w:rsidP="00107106" w:rsidRDefault="00FF6853" w14:paraId="252A4C4F" w14:textId="37E6C564">
      <w:r w:rsidRPr="006879B5">
        <w:t xml:space="preserve">Naar aanleiding van deze toezegging ben ik in gesprek gegaan met de korpschef.  De korpschef en ik erkennen dat politiemensen vaak onder moeilijke omstandigheden hun werk moeten doen, terwijl iedereen – letterlijk en figuurlijk – meekijkt. De korpschef gaf aan dat leidinggevenden daar oog en aandacht voor </w:t>
      </w:r>
      <w:r w:rsidRPr="006879B5">
        <w:lastRenderedPageBreak/>
        <w:t>hebben en zij achter hun mensen staan en hen steunen. Dat betekent niet dat de politie niet met een kritische blik naar het eigen optreden kan kijken. Juist door ruimte te geven aan zowel zorgvuldige toetsing als onderlinge steun, blijft de politie werken aan professioneel politiewerk. De korpschef is, onder andere over dit thema en het belang van steun aan politiemedewerkers, in gesprek gegaan met het betreffende team in de eenheid Utrecht en de leidinggevenden. Hiermee wordt de toezegging afgedaan.</w:t>
      </w:r>
    </w:p>
    <w:p w:rsidRPr="006879B5" w:rsidR="00A06A43" w:rsidP="00107106" w:rsidRDefault="00A06A43" w14:paraId="6449C0B3" w14:textId="77777777"/>
    <w:p w:rsidRPr="006879B5" w:rsidR="00330818" w:rsidP="00107106" w:rsidRDefault="00A06A43" w14:paraId="32DCEC9F" w14:textId="1048D600">
      <w:r w:rsidRPr="006879B5">
        <w:t xml:space="preserve">Tijdens het Commissiedebat van 25 maart jl. is </w:t>
      </w:r>
      <w:r w:rsidRPr="006879B5" w:rsidR="00330818">
        <w:t>bovendien</w:t>
      </w:r>
      <w:r w:rsidRPr="006879B5">
        <w:t xml:space="preserve"> toegezegd om </w:t>
      </w:r>
      <w:r w:rsidRPr="006879B5" w:rsidR="00330818">
        <w:t>in gesprek te gaan met de burgemeesters over het belang van steun aan politieagenten.</w:t>
      </w:r>
      <w:r w:rsidRPr="006879B5" w:rsidR="00330818">
        <w:rPr>
          <w:rStyle w:val="Voetnootmarkering"/>
        </w:rPr>
        <w:footnoteReference w:id="13"/>
      </w:r>
      <w:r w:rsidRPr="006879B5" w:rsidR="00330818">
        <w:t xml:space="preserve"> In het LOVP van 1 juni jl. heb ik mij uitgesproken</w:t>
      </w:r>
    </w:p>
    <w:p w:rsidRPr="006879B5" w:rsidR="00A44848" w:rsidP="00107106" w:rsidRDefault="00A06A43" w14:paraId="44BFF539" w14:textId="7FAEA1CE">
      <w:r w:rsidRPr="006879B5">
        <w:t>over de steun die politieagenten verdienen die zich elke dag inzetten voor de veiligheid van onze samenleving, vaak onder veeleisende en moeilijke omstandigheden. Zij verdienen hiervoor onze volle waardering.</w:t>
      </w:r>
      <w:r w:rsidRPr="006879B5" w:rsidR="00330818">
        <w:t xml:space="preserve"> Hiermee doe ik deze toezegging af.</w:t>
      </w:r>
    </w:p>
    <w:p w:rsidRPr="006879B5" w:rsidR="00224DB8" w:rsidP="00224DB8" w:rsidRDefault="00224DB8" w14:paraId="397591F4" w14:textId="42FB3875">
      <w:pPr>
        <w:pStyle w:val="Kop2"/>
      </w:pPr>
      <w:r w:rsidRPr="006879B5">
        <w:t>Motie van Dijk (SGP) o</w:t>
      </w:r>
      <w:r w:rsidRPr="006879B5" w:rsidR="003D6DC0">
        <w:t>v</w:t>
      </w:r>
      <w:r w:rsidRPr="006879B5">
        <w:t>er overbodige managementlagen en projecten kritisch beoordelen en de vrijkomende middelen heralloceren naar blauw op straat</w:t>
      </w:r>
      <w:r w:rsidRPr="006879B5" w:rsidR="005A3D08">
        <w:rPr>
          <w:rStyle w:val="Voetnootmarkering"/>
        </w:rPr>
        <w:t xml:space="preserve"> </w:t>
      </w:r>
      <w:r w:rsidRPr="006879B5" w:rsidR="005A3D08">
        <w:rPr>
          <w:rStyle w:val="Voetnootmarkering"/>
        </w:rPr>
        <w:footnoteReference w:id="14"/>
      </w:r>
    </w:p>
    <w:p w:rsidRPr="006879B5" w:rsidR="00D06114" w:rsidP="00D06114" w:rsidRDefault="00D06114" w14:paraId="5D460D7D" w14:textId="77777777"/>
    <w:p w:rsidRPr="006879B5" w:rsidR="002C2B51" w:rsidP="00D06114" w:rsidRDefault="00D06114" w14:paraId="3F5418D5" w14:textId="528A1FA0">
      <w:r w:rsidRPr="006879B5">
        <w:t xml:space="preserve">De motie Van Dijk (SGP) roept op om overbodige managementlagen en projecten kritisch te beoordelen om middelen vrij te maken voor meer blauw op straat. Binnen de politieorganisatie zijn in vergelijking met andere organisaties relatief weinig formeel leidinggevenden werkzaam. Van het gehele personeelsbestand (ca. 65.000 fte excl. leiding) is slechts 1.300 fte leidinggevende. Dat is gemiddeld één leidinggevende op ca 50 medewerkers. </w:t>
      </w:r>
      <w:r w:rsidRPr="006879B5" w:rsidR="002C2B51">
        <w:t xml:space="preserve">Het is daarom nodig </w:t>
      </w:r>
      <w:r w:rsidRPr="006879B5" w:rsidR="00C0635F">
        <w:t xml:space="preserve">om </w:t>
      </w:r>
      <w:r w:rsidRPr="006879B5" w:rsidR="002C2B51">
        <w:t>de operatione</w:t>
      </w:r>
      <w:r w:rsidRPr="006879B5" w:rsidR="00410ECE">
        <w:t>el</w:t>
      </w:r>
      <w:r w:rsidRPr="006879B5" w:rsidR="002C2B51">
        <w:t xml:space="preserve"> leidinggevende functie te verstevigen.</w:t>
      </w:r>
    </w:p>
    <w:p w:rsidRPr="006879B5" w:rsidR="002C2B51" w:rsidP="00D06114" w:rsidRDefault="002C2B51" w14:paraId="6D79028C" w14:textId="77777777"/>
    <w:p w:rsidRPr="006879B5" w:rsidR="00D06114" w:rsidP="00D06114" w:rsidRDefault="00D06114" w14:paraId="10E1631E" w14:textId="503D4F66">
      <w:r w:rsidRPr="006879B5">
        <w:t>Hierop worden allerlei acties ondernomen, waaronder het verstevigen van de operationeel leidinggevende functie. Hierbij voorzien we een verschuiving naar meer operationeel leidinggevenden dicht op de werkvloer, en mogelijk minder formeel leidinggevenden in het hogere segment. Het ontwikkelen van de functie operationeel chef zal met 15 à 20 fte’s onder zich de ruimte bieden voor betere personeelszorg</w:t>
      </w:r>
      <w:r w:rsidRPr="006879B5" w:rsidR="00C97073">
        <w:t xml:space="preserve">. </w:t>
      </w:r>
      <w:r w:rsidRPr="006879B5">
        <w:t xml:space="preserve">Als de gevolgen van de implementatie in kaart zijn gebracht, breng ik uw Kamer op de hoogte van de planning.  </w:t>
      </w:r>
    </w:p>
    <w:p w:rsidRPr="006879B5" w:rsidR="00D06114" w:rsidP="00D06114" w:rsidRDefault="00D06114" w14:paraId="0AF363D9" w14:textId="77777777"/>
    <w:p w:rsidRPr="006879B5" w:rsidR="00D06114" w:rsidP="00D06114" w:rsidRDefault="00D06114" w14:paraId="55FD4745" w14:textId="1B1E720A">
      <w:r w:rsidRPr="006879B5">
        <w:t xml:space="preserve">Het is belangrijk om kritisch te kijken naar de projecten binnen de politieorganisatie en de middelen die hiervoor worden vrijgemaakt. Naar aanleiding van het advies van de taskforce Ombuigingen heeft de korpschef verschillende projecten stopgezet. Om de politieorganisatie op lange termijn betaalbaar te houden is het belangrijk dat bij ieder project kritisch wordt bezien of het noodzakelijk is. De korpschef beoordeelt dit aan de hand van de strategische agenda </w:t>
      </w:r>
      <w:r w:rsidRPr="006879B5">
        <w:rPr>
          <w:i/>
          <w:iCs/>
        </w:rPr>
        <w:t>Stevig Staan</w:t>
      </w:r>
      <w:r w:rsidRPr="006879B5" w:rsidR="00D60CA8">
        <w:rPr>
          <w:rStyle w:val="Voetnootmarkering"/>
          <w:i/>
          <w:iCs/>
        </w:rPr>
        <w:footnoteReference w:id="15"/>
      </w:r>
      <w:r w:rsidRPr="006879B5">
        <w:rPr>
          <w:i/>
          <w:iCs/>
        </w:rPr>
        <w:t>.</w:t>
      </w:r>
      <w:r w:rsidRPr="006879B5">
        <w:t xml:space="preserve"> In dat kader wordt de organisatie doorontwikkeld, waarin de komende jaren keuzes worden gemaakt om de organisatie meerjarig betaalbaar te houden. Hierbij zal ook kritisch beoordeeld worden of projecten binnen deze prioritering passen. </w:t>
      </w:r>
      <w:r w:rsidRPr="006879B5" w:rsidR="00410ECE">
        <w:t xml:space="preserve">De overbezetting op de niet-operationele sterkte wordt afgebouwd en de IV wordt begrensd. </w:t>
      </w:r>
    </w:p>
    <w:p w:rsidRPr="006879B5" w:rsidR="003D32DE" w:rsidP="00D06114" w:rsidRDefault="003D32DE" w14:paraId="45DB1F5A" w14:textId="77777777"/>
    <w:p w:rsidRPr="006879B5" w:rsidR="00224DB8" w:rsidP="00224DB8" w:rsidRDefault="003D32DE" w14:paraId="6E6D183A" w14:textId="42456D93">
      <w:r w:rsidRPr="006879B5">
        <w:t xml:space="preserve">Hiermee </w:t>
      </w:r>
      <w:r w:rsidRPr="006879B5" w:rsidR="00D06114">
        <w:t>beschouw ik de motie van Dijk (SGP) als afgedaan.</w:t>
      </w:r>
    </w:p>
    <w:p w:rsidRPr="006879B5" w:rsidR="002A287D" w:rsidP="00EE62B4" w:rsidRDefault="00224DB8" w14:paraId="00D859C9" w14:textId="7E07CAE9">
      <w:pPr>
        <w:pStyle w:val="Kop1"/>
      </w:pPr>
      <w:r w:rsidRPr="006879B5">
        <w:lastRenderedPageBreak/>
        <w:t>D</w:t>
      </w:r>
      <w:r w:rsidRPr="006879B5" w:rsidR="002A287D">
        <w:t>iscriminatie en racisme</w:t>
      </w:r>
      <w:r w:rsidRPr="006879B5">
        <w:t xml:space="preserve"> </w:t>
      </w:r>
    </w:p>
    <w:p w:rsidRPr="006879B5" w:rsidR="002C353A" w:rsidP="002A287D" w:rsidRDefault="00EE62B4" w14:paraId="0EFC9216" w14:textId="4709811D">
      <w:pPr>
        <w:pStyle w:val="Kop2"/>
      </w:pPr>
      <w:bookmarkStart w:name="_Hlk231480963" w:id="5"/>
      <w:r w:rsidRPr="006879B5">
        <w:t>Motie Wijen-Nass (BBB) over aandacht in al het veiligheids- en integratiebeleid voor het bevorderen van lhbtiq+-acceptatie</w:t>
      </w:r>
      <w:r w:rsidRPr="006879B5" w:rsidR="005A3D08">
        <w:rPr>
          <w:rStyle w:val="Voetnootmarkering"/>
        </w:rPr>
        <w:footnoteReference w:id="16"/>
      </w:r>
      <w:r w:rsidRPr="006879B5" w:rsidR="00224DB8">
        <w:t xml:space="preserve"> </w:t>
      </w:r>
      <w:r w:rsidRPr="006879B5" w:rsidR="00224DB8">
        <w:rPr>
          <w:i w:val="0"/>
          <w:iCs/>
        </w:rPr>
        <w:t>en</w:t>
      </w:r>
      <w:r w:rsidRPr="006879B5" w:rsidR="00224DB8">
        <w:t xml:space="preserve"> Motie Bromet (</w:t>
      </w:r>
      <w:r w:rsidRPr="006879B5" w:rsidR="00510A31">
        <w:t>PRO</w:t>
      </w:r>
      <w:r w:rsidRPr="006879B5" w:rsidR="00224DB8">
        <w:t>) over streven naar minstens één discriminatierechercheur per politie-eenheid</w:t>
      </w:r>
      <w:bookmarkEnd w:id="5"/>
      <w:r w:rsidRPr="006879B5" w:rsidR="005A3D08">
        <w:rPr>
          <w:rStyle w:val="Voetnootmarkering"/>
        </w:rPr>
        <w:footnoteReference w:id="17"/>
      </w:r>
    </w:p>
    <w:p w:rsidRPr="006879B5" w:rsidR="00224DB8" w:rsidP="00224DB8" w:rsidRDefault="00224DB8" w14:paraId="6727635F" w14:textId="77777777"/>
    <w:p w:rsidRPr="006879B5" w:rsidR="00224DB8" w:rsidP="00224DB8" w:rsidRDefault="00224DB8" w14:paraId="4A71EF80" w14:textId="1F01FF24">
      <w:r w:rsidRPr="006879B5">
        <w:t>Als onderdeel van het programma Politie voor Iedereen</w:t>
      </w:r>
      <w:r w:rsidRPr="006879B5" w:rsidR="00D60CA8">
        <w:rPr>
          <w:rStyle w:val="Voetnootmarkering"/>
        </w:rPr>
        <w:footnoteReference w:id="18"/>
      </w:r>
      <w:r w:rsidRPr="006879B5">
        <w:t xml:space="preserve"> voerde de politie in opvolging van de motie-Paternotte</w:t>
      </w:r>
      <w:r w:rsidRPr="006879B5" w:rsidR="005A3D08">
        <w:rPr>
          <w:rStyle w:val="Voetnootmarkering"/>
        </w:rPr>
        <w:footnoteReference w:id="19"/>
      </w:r>
      <w:r w:rsidRPr="006879B5">
        <w:t xml:space="preserve"> een pilot uit waarin het Expertise Centrum Aanpak Discriminatie – Politie (hierna ECAD) werd ontwikkeld ter versterking van de rol van de politie in de (strafrechtelijke) aanpak van discriminatie in de samenleving. Het ECAD werd vormgegeven met tijdelijke middelen (€1,5 miljoen incidenteel per jaar van 2021 tot 2024 en 1 miljoen in 2025) binnen de operationele sterkte. Naar aanleiding van de evaluatie van de pilot van het ECAD en de investeringen vanuit het Kabinet Schoof is het ECAD vanaf 2025 financieel structureel bestendigd en uitgebreid. </w:t>
      </w:r>
    </w:p>
    <w:p w:rsidRPr="006879B5" w:rsidR="00224DB8" w:rsidP="00224DB8" w:rsidRDefault="00224DB8" w14:paraId="71270558" w14:textId="77777777"/>
    <w:p w:rsidRPr="006879B5" w:rsidR="00224DB8" w:rsidP="00224DB8" w:rsidRDefault="00224DB8" w14:paraId="0FFDEFF3" w14:textId="77777777">
      <w:r w:rsidRPr="006879B5">
        <w:t>Onderdeel van het ECAD zijn de zogenoemde discriminatierechercheurs. Voor de volledigheid wil ik graag uw Kamer meenemen in de werkzaamheden van deze rechercheurs. Wanneer iemand melding of aangifte doet van discriminatie in een politie-eenheid dan pakt de medewerker uit die eenheid deze zaak op en rondt deze zelf af. Bij complexere zaken kan een beroep worden gedaan op de discriminatierechercheur die aan de eenheid is gekoppeld. Maar ook geeft het ECAD gevraagd en ongevraagd ondersteuning of advies of neemt in overleg een zaak over. Door op deze wijze te werken wordt gecoördineerd en landelijk expertise geleverd en komt kennis over voornamelijk strafrechtelijke discriminatie breed in de organisatie terecht.</w:t>
      </w:r>
    </w:p>
    <w:p w:rsidRPr="006879B5" w:rsidR="00224DB8" w:rsidP="00224DB8" w:rsidRDefault="00224DB8" w14:paraId="371671CD" w14:textId="77777777"/>
    <w:p w:rsidRPr="006879B5" w:rsidR="00224DB8" w:rsidP="00224DB8" w:rsidRDefault="00224DB8" w14:paraId="1BEAE6B7" w14:textId="17628BE0">
      <w:r w:rsidRPr="006879B5">
        <w:t>Daarnaast scannen de discriminatierechercheurs</w:t>
      </w:r>
      <w:r w:rsidRPr="006879B5" w:rsidR="002E0908">
        <w:t>,</w:t>
      </w:r>
      <w:r w:rsidRPr="006879B5">
        <w:t xml:space="preserve"> samen met de discriminatieanalisten van het ECAD</w:t>
      </w:r>
      <w:r w:rsidRPr="006879B5" w:rsidR="002E0908">
        <w:t>,</w:t>
      </w:r>
      <w:r w:rsidRPr="006879B5">
        <w:t xml:space="preserve"> incidenten in het registratiesysteem van de politie op mogelijke discriminatieaspecten. Zij doen dat met behulp van relevante steekwoorden. Een nieuwe werkwijze maakt het vanaf dit jaar mogelijk om misdrijven met een discriminatieaspect die niet als zodanig zijn herkend (de strafverzwarende 44bis-zaken) digitaal te koppelen aan de betreffende politiemedewerker, die ook meteen handvatten voor het vervolg krijgt.</w:t>
      </w:r>
    </w:p>
    <w:p w:rsidRPr="006879B5" w:rsidR="00224DB8" w:rsidP="00224DB8" w:rsidRDefault="00224DB8" w14:paraId="0FAADF79" w14:textId="77777777"/>
    <w:p w:rsidRPr="006879B5" w:rsidR="00D0547A" w:rsidP="00EE62B4" w:rsidRDefault="00224DB8" w14:paraId="298F5931" w14:textId="3C678953">
      <w:r w:rsidRPr="006879B5">
        <w:t>Vanuit het ECAD is er veelvuldig persoonlijk contact met de politie-eenheden over lopende zaken, maar ook over welke andere ondersteuning nodig is, bijvoorbeeld trainingssessies. Door de uitbreiding van het ECAD is er momenteel voor elke eenheid een aanspreekpunt (discriminatierechercheur). En er zijn inmiddels ook vijf thematische discriminatierechercheurs bij het ECAD werkzaam. Zij acteren op de discriminatiegronden in het Wetboek van Strafrecht die qua omvang al langere tijd de jaarcijfers domineren: ras/afkomst, LHBTIQ+, antisemitisme, moslimdiscriminatie en op het thema online discriminatie.</w:t>
      </w:r>
      <w:r w:rsidRPr="006879B5">
        <w:rPr>
          <w:color w:val="FF0000"/>
        </w:rPr>
        <w:t xml:space="preserve"> </w:t>
      </w:r>
      <w:r w:rsidRPr="006879B5">
        <w:t xml:space="preserve">De discriminatierechercheurs hebben daarnaast een aanjaagfunctie om de aanpak van discriminatie in brede zin - en dus ook binnen de Politieacademie - verder te professionaliseren. </w:t>
      </w:r>
      <w:bookmarkStart w:name="_Hlk231480733" w:id="6"/>
      <w:r w:rsidRPr="006879B5">
        <w:t xml:space="preserve">Zij helpen bovendien bij de uitwerking van kabinetsplannen </w:t>
      </w:r>
      <w:r w:rsidRPr="006879B5">
        <w:lastRenderedPageBreak/>
        <w:t>zoals de antisemitismestrategie</w:t>
      </w:r>
      <w:r w:rsidRPr="006879B5" w:rsidR="00D60CA8">
        <w:rPr>
          <w:rStyle w:val="Voetnootmarkering"/>
        </w:rPr>
        <w:footnoteReference w:id="20"/>
      </w:r>
      <w:r w:rsidRPr="006879B5">
        <w:t>, het Nationaal Programma tegen Discriminatie en Racisme</w:t>
      </w:r>
      <w:r w:rsidRPr="006879B5" w:rsidR="00D60CA8">
        <w:rPr>
          <w:rStyle w:val="Voetnootmarkering"/>
        </w:rPr>
        <w:footnoteReference w:id="21"/>
      </w:r>
      <w:r w:rsidRPr="006879B5">
        <w:t xml:space="preserve"> of de versterkte aanpak lhbtiq veiligheid</w:t>
      </w:r>
      <w:r w:rsidRPr="006879B5" w:rsidR="00C452AB">
        <w:rPr>
          <w:rStyle w:val="Voetnootmarkering"/>
        </w:rPr>
        <w:footnoteReference w:id="22"/>
      </w:r>
      <w:r w:rsidRPr="006879B5">
        <w:t xml:space="preserve">. </w:t>
      </w:r>
      <w:bookmarkStart w:name="_Hlk231480912" w:id="7"/>
      <w:bookmarkEnd w:id="6"/>
      <w:r w:rsidRPr="006879B5" w:rsidR="00D0547A">
        <w:t>Hiermee beschouw ik</w:t>
      </w:r>
    </w:p>
    <w:p w:rsidRPr="006879B5" w:rsidR="002A287D" w:rsidP="002A287D" w:rsidRDefault="00224DB8" w14:paraId="1899598B" w14:textId="56ECEA43">
      <w:pPr>
        <w:rPr>
          <w:color w:val="FF0000"/>
        </w:rPr>
      </w:pPr>
      <w:r w:rsidRPr="006879B5">
        <w:t>de moties van de leden Bromet (PRO) en Wij</w:t>
      </w:r>
      <w:r w:rsidRPr="006879B5" w:rsidR="00B01810">
        <w:t>e</w:t>
      </w:r>
      <w:r w:rsidRPr="006879B5">
        <w:t xml:space="preserve">en-Nas (BBB) </w:t>
      </w:r>
      <w:r w:rsidRPr="006879B5" w:rsidR="00D0547A">
        <w:t>als afgedaan</w:t>
      </w:r>
      <w:r w:rsidRPr="006879B5">
        <w:rPr>
          <w:rStyle w:val="Voetnootmarkering"/>
        </w:rPr>
        <w:footnoteReference w:id="23"/>
      </w:r>
      <w:r w:rsidRPr="006879B5">
        <w:t>.</w:t>
      </w:r>
      <w:bookmarkEnd w:id="7"/>
      <w:r w:rsidRPr="006879B5">
        <w:t xml:space="preserve">  </w:t>
      </w:r>
    </w:p>
    <w:p w:rsidRPr="006879B5" w:rsidR="002A287D" w:rsidP="002A287D" w:rsidRDefault="002A287D" w14:paraId="62F85AEA" w14:textId="4BCAC72E">
      <w:pPr>
        <w:pStyle w:val="Kop2"/>
      </w:pPr>
      <w:r w:rsidRPr="006879B5">
        <w:t>Motie Coenradie (JA21) over afdwingen dat er wordt gestopt met de inzet van de controlepaal</w:t>
      </w:r>
      <w:r w:rsidRPr="006879B5" w:rsidR="005A3D08">
        <w:rPr>
          <w:rStyle w:val="Voetnootmarkering"/>
        </w:rPr>
        <w:footnoteReference w:id="24"/>
      </w:r>
    </w:p>
    <w:p w:rsidRPr="006879B5" w:rsidR="006E43CE" w:rsidP="006E43CE" w:rsidRDefault="006E43CE" w14:paraId="47AB8A69" w14:textId="77777777"/>
    <w:p w:rsidRPr="006879B5" w:rsidR="006E43CE" w:rsidP="006E43CE" w:rsidRDefault="006E43CE" w14:paraId="76FCC9ED" w14:textId="7AF5E1C5">
      <w:pPr>
        <w:rPr>
          <w:color w:val="auto"/>
        </w:rPr>
      </w:pPr>
      <w:r w:rsidRPr="006879B5">
        <w:rPr>
          <w:color w:val="auto"/>
        </w:rPr>
        <w:t>Er zijn over het gebruik van de selectiepaal de afgelopen tijd twee moties door uw Kamer aangenomen. Het betreft de motie van het lid Coenradie (JA21) en ook de eerdere motie van het lid motie-Michon-Derkzen (VVD)</w:t>
      </w:r>
      <w:r w:rsidRPr="006879B5" w:rsidR="005A3D08">
        <w:rPr>
          <w:rStyle w:val="Voetnootmarkering"/>
          <w:color w:val="auto"/>
        </w:rPr>
        <w:footnoteReference w:id="25"/>
      </w:r>
      <w:r w:rsidRPr="006879B5">
        <w:rPr>
          <w:color w:val="auto"/>
        </w:rPr>
        <w:t xml:space="preserve">. Zoals aangegeven op de appreciatie op de moties is het conform het politiebestel aan de lokale driehoek om in het geval van controle- en preventief fouilleeracties de </w:t>
      </w:r>
      <w:r w:rsidRPr="006879B5" w:rsidR="00644A89">
        <w:rPr>
          <w:color w:val="auto"/>
        </w:rPr>
        <w:t>eventuele inzet en de voorwaarden</w:t>
      </w:r>
      <w:r w:rsidRPr="006879B5" w:rsidR="00154636">
        <w:rPr>
          <w:color w:val="auto"/>
        </w:rPr>
        <w:t xml:space="preserve"> </w:t>
      </w:r>
      <w:r w:rsidRPr="006879B5">
        <w:rPr>
          <w:color w:val="auto"/>
        </w:rPr>
        <w:t xml:space="preserve">inzet </w:t>
      </w:r>
      <w:r w:rsidRPr="006879B5" w:rsidR="00154636">
        <w:rPr>
          <w:color w:val="auto"/>
        </w:rPr>
        <w:t xml:space="preserve">voor het gebruik </w:t>
      </w:r>
      <w:r w:rsidRPr="006879B5">
        <w:rPr>
          <w:color w:val="auto"/>
        </w:rPr>
        <w:t xml:space="preserve">van een middel als de selectiepaal te bepalen. Daarbij heeft mijn ambtsvoorganger ook aangegeven het niet proportioneel te vinden om een wetstraject te starten voor iets wat </w:t>
      </w:r>
      <w:r w:rsidRPr="006879B5" w:rsidR="00D0547A">
        <w:rPr>
          <w:color w:val="auto"/>
        </w:rPr>
        <w:t>conform</w:t>
      </w:r>
      <w:r w:rsidRPr="006879B5">
        <w:rPr>
          <w:color w:val="auto"/>
        </w:rPr>
        <w:t xml:space="preserve"> het politiebestel aan het lokale gezag is. </w:t>
      </w:r>
    </w:p>
    <w:p w:rsidRPr="006879B5" w:rsidR="006E43CE" w:rsidP="006E43CE" w:rsidRDefault="006E43CE" w14:paraId="5ADB8B79" w14:textId="77777777">
      <w:pPr>
        <w:rPr>
          <w:color w:val="auto"/>
        </w:rPr>
      </w:pPr>
    </w:p>
    <w:p w:rsidRPr="006879B5" w:rsidR="006E43CE" w:rsidP="006E43CE" w:rsidRDefault="006E43CE" w14:paraId="33827CE5" w14:textId="2FC88DE0">
      <w:pPr>
        <w:rPr>
          <w:color w:val="auto"/>
        </w:rPr>
      </w:pPr>
      <w:r w:rsidRPr="006879B5">
        <w:rPr>
          <w:color w:val="auto"/>
        </w:rPr>
        <w:t>Naar aanleiding van de motie van het lid Coenradie ben ik opnieuw in gesprek gegaan met de politie en de gezagen over de inzet van de selectiepaal. Daarin kwam aan de orde dat de politie continu bezig is om haar werkzaamheden, waaronder het uitvoeren van controles, te professionaliseren en te verbeteren. De selectiepaal werd in dat kader in 2025 ontwikkeld en gepresenteerd door de politie eenheid Amsterdam. De paal was bedoeld als hulpmiddel bij professioneel controleren en het tegengaan van etnisch profileren. Zo kon deze worden ingezet bij aselectieve controle- en fouilleeracties, waaronder (kluis)controles op scholen en preventief fouilleeracties in een veiligheidsrisicogebied. De presentatie van de selectiepaal leidde tot regionale en landelijke kritiek, waarbij met name zorgen werden geuit over de professionele ruimte van agenten en de geloofwaardigheid van de politie. Naar aanleiding van de gesprekken tussen mij, de politie en de gezagen, in het LOVP, is besloten de selectiepaal in het geheel niet meer in te zetten.</w:t>
      </w:r>
      <w:r w:rsidRPr="006879B5" w:rsidR="007A3D11">
        <w:rPr>
          <w:color w:val="auto"/>
        </w:rPr>
        <w:t xml:space="preserve"> Middels deze tekst beschouw ik de motie </w:t>
      </w:r>
      <w:r w:rsidRPr="006879B5" w:rsidR="00F8135B">
        <w:rPr>
          <w:color w:val="auto"/>
        </w:rPr>
        <w:t>al</w:t>
      </w:r>
      <w:r w:rsidRPr="006879B5" w:rsidR="007A3D11">
        <w:rPr>
          <w:color w:val="auto"/>
        </w:rPr>
        <w:t>s afgedaan.</w:t>
      </w:r>
    </w:p>
    <w:p w:rsidRPr="006879B5" w:rsidR="00E83CD6" w:rsidP="009A51AB" w:rsidRDefault="00E83CD6" w14:paraId="46A75128" w14:textId="77777777">
      <w:bookmarkStart w:name="_Hlk233731267" w:id="9"/>
    </w:p>
    <w:p w:rsidRPr="006879B5" w:rsidR="00224DB8" w:rsidP="00224DB8" w:rsidRDefault="00F47EFA" w14:paraId="49088B04" w14:textId="6E3750E9">
      <w:pPr>
        <w:pStyle w:val="Kop1"/>
      </w:pPr>
      <w:r w:rsidRPr="006879B5">
        <w:t>Aanpak cold cases en b</w:t>
      </w:r>
      <w:r w:rsidRPr="006879B5" w:rsidR="00224DB8">
        <w:t>ewaren politiegegevens</w:t>
      </w:r>
    </w:p>
    <w:p w:rsidRPr="006879B5" w:rsidR="00FF62A1" w:rsidP="00F47EFA" w:rsidRDefault="00224DB8" w14:paraId="5F5D6C4B" w14:textId="28C90C49">
      <w:pPr>
        <w:pStyle w:val="Kop2"/>
        <w:rPr>
          <w:iCs/>
        </w:rPr>
      </w:pPr>
      <w:r w:rsidRPr="006879B5">
        <w:t xml:space="preserve">Motie Mutluer </w:t>
      </w:r>
      <w:r w:rsidRPr="006879B5" w:rsidR="00510A31">
        <w:t>(PRO</w:t>
      </w:r>
      <w:r w:rsidRPr="006879B5">
        <w:t>) voor betere aanpak van cold cases</w:t>
      </w:r>
      <w:r w:rsidRPr="006879B5" w:rsidR="005A3D08">
        <w:rPr>
          <w:rStyle w:val="Voetnootmarkering"/>
        </w:rPr>
        <w:footnoteReference w:id="26"/>
      </w:r>
      <w:r w:rsidRPr="006879B5" w:rsidR="00FA5D42">
        <w:t xml:space="preserve">; </w:t>
      </w:r>
      <w:r w:rsidRPr="006879B5">
        <w:t>Motie Mutluer (</w:t>
      </w:r>
      <w:r w:rsidRPr="006879B5" w:rsidR="00510A31">
        <w:t>PRO</w:t>
      </w:r>
      <w:r w:rsidRPr="006879B5">
        <w:t>) over de wettelijke mogelijkheid creëren om politiegegevens te bewaren voor het oplossen van cold cases</w:t>
      </w:r>
      <w:bookmarkStart w:name="_Hlk231481147" w:id="10"/>
      <w:r w:rsidRPr="006879B5" w:rsidR="005A3D08">
        <w:rPr>
          <w:rStyle w:val="Voetnootmarkering"/>
        </w:rPr>
        <w:footnoteReference w:id="27"/>
      </w:r>
      <w:r w:rsidRPr="006879B5" w:rsidR="00FA5D42">
        <w:t xml:space="preserve">; </w:t>
      </w:r>
      <w:r w:rsidRPr="006879B5">
        <w:rPr>
          <w:iCs/>
        </w:rPr>
        <w:t>Toezegging om een ultieme poging te doen om de opties voor verlenging van de bewaartermijn politiegegevens te verkennen</w:t>
      </w:r>
      <w:bookmarkEnd w:id="10"/>
      <w:r w:rsidRPr="006879B5" w:rsidR="005A3D08">
        <w:rPr>
          <w:rStyle w:val="Voetnootmarkering"/>
          <w:iCs/>
        </w:rPr>
        <w:footnoteReference w:id="28"/>
      </w:r>
    </w:p>
    <w:p w:rsidRPr="006879B5" w:rsidR="00F47EFA" w:rsidP="00F47EFA" w:rsidRDefault="00F47EFA" w14:paraId="1841A86D" w14:textId="77777777"/>
    <w:p w:rsidRPr="006879B5" w:rsidR="00600986" w:rsidP="00600986" w:rsidRDefault="00600986" w14:paraId="6A3BE344" w14:textId="77777777">
      <w:pPr>
        <w:autoSpaceDN/>
        <w:spacing w:after="160" w:line="278" w:lineRule="auto"/>
        <w:textAlignment w:val="auto"/>
        <w:rPr>
          <w:rFonts w:eastAsia="Aptos" w:cs="Times New Roman"/>
          <w:i/>
          <w:iCs/>
          <w:color w:val="auto"/>
          <w:kern w:val="2"/>
          <w:lang w:eastAsia="en-US"/>
          <w14:ligatures w14:val="standardContextual"/>
        </w:rPr>
      </w:pPr>
      <w:r w:rsidRPr="006879B5">
        <w:rPr>
          <w:rFonts w:eastAsia="Aptos" w:cs="Times New Roman"/>
          <w:i/>
          <w:iCs/>
          <w:color w:val="auto"/>
          <w:kern w:val="2"/>
          <w:lang w:eastAsia="en-US"/>
          <w14:ligatures w14:val="standardContextual"/>
        </w:rPr>
        <w:t>Versterken aanpak cold cases</w:t>
      </w:r>
    </w:p>
    <w:p w:rsidRPr="006879B5" w:rsidR="00600986" w:rsidP="00600986" w:rsidRDefault="00600986" w14:paraId="168AA416" w14:textId="77777777">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 xml:space="preserve">Cold cases zijn ernstige zaken die enorme impact hebben op slachtoffers, nabestaanden en de rechtsorde. De korpschef en ik vinden het belangrijk om de waarheidsvinding bij cold cases te vergroten. </w:t>
      </w:r>
      <w:r w:rsidRPr="006879B5">
        <w:t xml:space="preserve">Mede naar aanleiding van de motie </w:t>
      </w:r>
      <w:r w:rsidRPr="006879B5">
        <w:lastRenderedPageBreak/>
        <w:t>Mutluer voor een betere aanpak van cold cases</w:t>
      </w:r>
      <w:r w:rsidRPr="006879B5">
        <w:rPr>
          <w:vertAlign w:val="superscript"/>
        </w:rPr>
        <w:footnoteReference w:id="29"/>
      </w:r>
      <w:r w:rsidRPr="006879B5">
        <w:t xml:space="preserve"> heeft de politie in </w:t>
      </w:r>
      <w:r w:rsidRPr="006879B5">
        <w:rPr>
          <w:rFonts w:eastAsia="Aptos" w:cs="Times New Roman"/>
          <w:color w:val="auto"/>
          <w:kern w:val="2"/>
          <w:lang w:eastAsia="en-US"/>
          <w14:ligatures w14:val="standardContextual"/>
        </w:rPr>
        <w:t xml:space="preserve">afstemming met het Openbaar Ministerie een plan van aanpak opgesteld voor het versterken van de aanpak van cold cases 2026-2027. Hiermee zetten de politie en het Openbaar Ministerie in op de versteviging van de aanpak van cold cases door politie en het creëren van meer landelijke coördinatie en uniformiteit. </w:t>
      </w:r>
    </w:p>
    <w:p w:rsidRPr="006879B5" w:rsidR="00600986" w:rsidP="00600986" w:rsidRDefault="00600986" w14:paraId="5FC5A78C" w14:textId="77777777">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 xml:space="preserve">Het plan bevat vier hoofdlijnen: 1. Herdefiniëring van cold cases; 2. Uniformiteit in het werk; 3. Samenwerking cold case-teams; en 4. Communicatie. Bij uitzondering stuur ik u dit interne plan toe als bijlage van het halfjaarbericht. Hieronder licht ik een en ander nader toe. </w:t>
      </w:r>
    </w:p>
    <w:p w:rsidRPr="006879B5" w:rsidR="00600986" w:rsidP="00600986" w:rsidRDefault="00600986" w14:paraId="3CB9919B" w14:textId="77777777">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1. Herdefiniëring van cold cases</w:t>
      </w:r>
    </w:p>
    <w:p w:rsidRPr="006879B5" w:rsidR="00600986" w:rsidP="00600986" w:rsidRDefault="00600986" w14:paraId="3613C8CB" w14:textId="258D665E">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 xml:space="preserve">Binnen de politie en het Openbaar Ministerie is </w:t>
      </w:r>
      <w:r w:rsidRPr="006879B5">
        <w:rPr>
          <w:color w:val="auto"/>
          <w:kern w:val="2"/>
          <w14:ligatures w14:val="standardContextual"/>
        </w:rPr>
        <w:t>in de praktijk</w:t>
      </w:r>
      <w:r w:rsidRPr="006879B5">
        <w:rPr>
          <w:rFonts w:eastAsia="Aptos" w:cs="Times New Roman"/>
          <w:color w:val="auto"/>
          <w:kern w:val="2"/>
          <w:lang w:eastAsia="en-US"/>
          <w14:ligatures w14:val="standardContextual"/>
        </w:rPr>
        <w:t xml:space="preserve"> een nieuwe definitie voor cold cases vastgesteld. Onopgeloste en afgesloten onderzoeken naar opzettelijke levensdelicten, zeer ernstige zedendelicten of een ander zeer ernstig delict waarop naar de wettelijke omschrijving een gevangenisstraf van 12 jaar of meer is gesteld, worden in lijn met de motie</w:t>
      </w:r>
      <w:r w:rsidRPr="006879B5" w:rsidR="007D0064">
        <w:rPr>
          <w:rFonts w:eastAsia="Aptos" w:cs="Times New Roman"/>
          <w:color w:val="auto"/>
          <w:kern w:val="2"/>
          <w:lang w:eastAsia="en-US"/>
          <w14:ligatures w14:val="standardContextual"/>
        </w:rPr>
        <w:t xml:space="preserve"> Mutluer</w:t>
      </w:r>
      <w:r w:rsidRPr="006879B5">
        <w:rPr>
          <w:rFonts w:eastAsia="Aptos" w:cs="Times New Roman"/>
          <w:color w:val="auto"/>
          <w:kern w:val="2"/>
          <w:lang w:eastAsia="en-US"/>
          <w14:ligatures w14:val="standardContextual"/>
        </w:rPr>
        <w:t xml:space="preserve"> als cold case aangemerkt. </w:t>
      </w:r>
      <w:r w:rsidRPr="006879B5">
        <w:rPr>
          <w:color w:val="auto"/>
          <w:kern w:val="2"/>
          <w14:ligatures w14:val="standardContextual"/>
        </w:rPr>
        <w:t>Voor het einde van dit jaar willen de politie en het Openbaar Ministerie nadere afspraken maken over het gebruik van de definitie en de eisen die worden gesteld aan de registratie van de zaken die zijn aangemerkt als cold case.</w:t>
      </w:r>
      <w:r w:rsidRPr="006879B5">
        <w:rPr>
          <w:rFonts w:eastAsia="Aptos" w:cs="Times New Roman"/>
          <w:color w:val="auto"/>
          <w:kern w:val="2"/>
          <w:lang w:eastAsia="en-US"/>
          <w14:ligatures w14:val="standardContextual"/>
        </w:rPr>
        <w:t xml:space="preserve"> Vervolgens </w:t>
      </w:r>
      <w:r w:rsidRPr="006879B5" w:rsidR="0020778D">
        <w:rPr>
          <w:rFonts w:eastAsia="Aptos" w:cs="Times New Roman"/>
          <w:color w:val="auto"/>
          <w:kern w:val="2"/>
          <w:lang w:eastAsia="en-US"/>
          <w14:ligatures w14:val="standardContextual"/>
        </w:rPr>
        <w:t xml:space="preserve">onderzoeken </w:t>
      </w:r>
      <w:r w:rsidRPr="006879B5">
        <w:rPr>
          <w:rFonts w:eastAsia="Aptos" w:cs="Times New Roman"/>
          <w:color w:val="auto"/>
          <w:kern w:val="2"/>
          <w:lang w:eastAsia="en-US"/>
          <w14:ligatures w14:val="standardContextual"/>
        </w:rPr>
        <w:t>de politie en het Openbaar Ministerie of zij de lijst van alle bekende cold cases geautomatiseerd kunnen bijwerken.</w:t>
      </w:r>
    </w:p>
    <w:p w:rsidRPr="006879B5" w:rsidR="00600986" w:rsidP="00600986" w:rsidRDefault="00600986" w14:paraId="300AD349" w14:textId="77777777">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2 en 3. Uniformiteit in het werk en samenwerking cold case teams</w:t>
      </w:r>
    </w:p>
    <w:p w:rsidRPr="006879B5" w:rsidR="00600986" w:rsidP="00600986" w:rsidRDefault="00600986" w14:paraId="2A58728F" w14:textId="77777777">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 xml:space="preserve">De politie gaat daarnaast, in afstemming met het Openbaar Ministerie, onderzoeken op welke wijze zij een beter en eenduidig beheer kan voeren op cold cases en hoe landelijk meer overzicht kan worden gecreëerd door in te zetten op meer uniformiteit in het werk en mogelijkheden om de bovenregionale samenwerking (nog) meer te versterken. Het onderzoek naar het gebruik van een landelijk prioriteringsmodel om de forensische en tactische kansrijkheid van cold cases uniform te kunnen duiden, maakt onderdeel uit van de inzet op uniformering. </w:t>
      </w:r>
    </w:p>
    <w:p w:rsidRPr="006879B5" w:rsidR="00600986" w:rsidP="00600986" w:rsidRDefault="00600986" w14:paraId="1E2FA607" w14:textId="77777777">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 xml:space="preserve">Tussen de regionale cold case-teams zijn de afgelopen jaren diverse vormen van samenwerking ontstaan waar het gaat om het bundelen van expertise, opsporingscommunicatie en -strategieën, en innovatieve projecten. De politie gaat bezien of er op deze en andere thema’s bovenregionale samenwerking van toegevoegde waarde kan zijn, bijvoorbeeld op het terrein van digitalisering. Hiertoe brengt de politie onder meer de relevante regionale initiatieven in kaart. </w:t>
      </w:r>
    </w:p>
    <w:p w:rsidRPr="006879B5" w:rsidR="00600986" w:rsidP="00600986" w:rsidRDefault="00600986" w14:paraId="2501185C" w14:textId="77777777">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Deze initiatieven moeten bijdragen aan het verder professionaliseren van de aanpak en de eventuele doorontwikkeling van een of meer cold case-voorzieningen.</w:t>
      </w:r>
    </w:p>
    <w:p w:rsidRPr="006879B5" w:rsidR="00600986" w:rsidP="00600986" w:rsidRDefault="00600986" w14:paraId="361055A4" w14:textId="77777777">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4. Communicatie</w:t>
      </w:r>
    </w:p>
    <w:p w:rsidRPr="006879B5" w:rsidR="00600986" w:rsidP="00600986" w:rsidRDefault="00600986" w14:paraId="2BB254B6" w14:textId="77777777">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 xml:space="preserve">Daarnaast gaat de politie bezien of en hoe ze meer kan communiceren over de aanpak van cold cases, ook gelet op genoemde initiatieven tot versterking van de </w:t>
      </w:r>
      <w:r w:rsidRPr="006879B5">
        <w:rPr>
          <w:rFonts w:eastAsia="Aptos" w:cs="Times New Roman"/>
          <w:color w:val="auto"/>
          <w:kern w:val="2"/>
          <w:lang w:eastAsia="en-US"/>
          <w14:ligatures w14:val="standardContextual"/>
        </w:rPr>
        <w:lastRenderedPageBreak/>
        <w:t xml:space="preserve">aanpak. Dit is nadrukkelijk iets anders dan communicatie in of over individuele strafzaken. </w:t>
      </w:r>
    </w:p>
    <w:p w:rsidRPr="006879B5" w:rsidR="00600986" w:rsidP="00600986" w:rsidRDefault="00600986" w14:paraId="7368A5AD" w14:textId="77777777">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Tot slot</w:t>
      </w:r>
    </w:p>
    <w:p w:rsidRPr="006879B5" w:rsidR="00600986" w:rsidP="00600986" w:rsidRDefault="00600986" w14:paraId="10A8DCB4" w14:textId="111F513A">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 xml:space="preserve">In het vorige halfjaarbericht heeft mijn voorganger aangegeven dat vooralsnog van een landelijk team of verbijzonderde cold case-teams wordt afgezien vanwege de noodzaak de opsporing flexibel te houden in die zin dat er gekozen kan worden de capaciteit in te zetten voor nieuwe ernstige misdrijven of het onderzoek van cold cases. Ik sluit me daarbij aan. Het opsporingsonderzoek aan cold case-zaken wordt gerealiseerd met politiecapaciteit die flexibel wordt toegekend aan cold case en andere thema’s die daar, gelet op hun actualiteit, om vragen. Zoals mijn voorganger in het vorige halfjaarbericht heeft uiteengezet, geldt dit uitgangspunt ook voor eenheden die een min of meer permanent cold case-team hebben ingericht. De huidige manier van werken volstaat volgens de politie en het Openbaar Ministerie en sluit aan bij de wijze waarop de opsporing en vervolging in den brede is ingericht en waarbij het van belang is flexibel met capaciteit om te kunnen gaan. Verder is van belang dat de beslissing om tot opsporing en vervolging over te gaan in een cold case een opportuniteitsbeslissing betreft. Bij de opsporing en vervolging van cold cases wordt kennis van lokale feiten en omstandigheden en bekendheid met lokale netwerken van belang geacht. Het Openbaar Ministerie en de politie hebben aangegeven </w:t>
      </w:r>
      <w:r w:rsidRPr="006879B5">
        <w:rPr>
          <w:rFonts w:eastAsia="Aptos" w:cs="Times New Roman"/>
          <w:i/>
          <w:iCs/>
          <w:color w:val="auto"/>
          <w:kern w:val="2"/>
          <w:lang w:eastAsia="en-US"/>
          <w14:ligatures w14:val="standardContextual"/>
        </w:rPr>
        <w:t>vooralsnog</w:t>
      </w:r>
      <w:r w:rsidRPr="006879B5">
        <w:rPr>
          <w:rFonts w:eastAsia="Aptos" w:cs="Times New Roman"/>
          <w:color w:val="auto"/>
          <w:kern w:val="2"/>
          <w:lang w:eastAsia="en-US"/>
          <w14:ligatures w14:val="standardContextual"/>
        </w:rPr>
        <w:t xml:space="preserve"> geen noodzaak te zien om cold cases landelijk in plaats van regionaal te prioriteren. </w:t>
      </w:r>
    </w:p>
    <w:p w:rsidRPr="006879B5" w:rsidR="00F47EFA" w:rsidP="00F47EFA" w:rsidRDefault="00600986" w14:paraId="5664A6B3" w14:textId="6B1D9914">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Met het opstellen van dit actieplan beschouw ik de motie Mutluer</w:t>
      </w:r>
      <w:r w:rsidRPr="006879B5">
        <w:rPr>
          <w:rFonts w:eastAsia="Aptos" w:cs="Times New Roman"/>
          <w:color w:val="auto"/>
          <w:kern w:val="2"/>
          <w:vertAlign w:val="superscript"/>
          <w:lang w:eastAsia="en-US"/>
          <w14:ligatures w14:val="standardContextual"/>
        </w:rPr>
        <w:footnoteReference w:id="30"/>
      </w:r>
      <w:r w:rsidRPr="006879B5">
        <w:rPr>
          <w:rFonts w:eastAsia="Aptos" w:cs="Times New Roman"/>
          <w:color w:val="auto"/>
          <w:kern w:val="2"/>
          <w:lang w:eastAsia="en-US"/>
          <w14:ligatures w14:val="standardContextual"/>
        </w:rPr>
        <w:t xml:space="preserve"> als afgedaan. Uiteraard zal ik de versterking van de aanpak van cold cases, onder meer op basis van het plan van politie, de komende periode nauw blijven volgen. Daarbij zal ik ook oog hebben voor elementen van het plan die nog nadere uitwerking vergen, waaronder de intensivering van samenwerking met universiteiten, hogescholen en oud-rechercheurs.</w:t>
      </w:r>
    </w:p>
    <w:p w:rsidRPr="006879B5" w:rsidR="00FF62A1" w:rsidP="00FF62A1" w:rsidRDefault="00F47EFA" w14:paraId="05CE3211" w14:textId="12B45048">
      <w:pPr>
        <w:rPr>
          <w:i/>
          <w:iCs/>
        </w:rPr>
      </w:pPr>
      <w:r w:rsidRPr="006879B5">
        <w:rPr>
          <w:i/>
          <w:iCs/>
        </w:rPr>
        <w:t>Bewaren politiegegevens</w:t>
      </w:r>
    </w:p>
    <w:p w:rsidRPr="006879B5" w:rsidR="00F47EFA" w:rsidP="00FF62A1" w:rsidRDefault="00F47EFA" w14:paraId="73C294AA" w14:textId="77777777"/>
    <w:p w:rsidRPr="006879B5" w:rsidR="00AF0266" w:rsidP="00AF0266" w:rsidRDefault="00DA3260" w14:paraId="360052DC" w14:textId="006A64CE">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 xml:space="preserve">Tijdens het commissiedebat politie op 16 april 2025 heb ik toegezegd </w:t>
      </w:r>
      <w:r w:rsidRPr="006879B5" w:rsidR="00AF0266">
        <w:rPr>
          <w:rFonts w:eastAsia="Aptos" w:cs="Times New Roman"/>
          <w:color w:val="auto"/>
          <w:kern w:val="2"/>
          <w:lang w:eastAsia="en-US"/>
          <w14:ligatures w14:val="standardContextual"/>
        </w:rPr>
        <w:t>om nogmaals te bezien wat er mogelijk is op het gebied van het verlengen van de bewaartermijn van politiegegevens die verwerkt worden voor de dagelijkse politietaak. Uw Kamer heeft de motie van lid Mutluer aangenomen waarin zij de regering verzoekt te onderzoeken of de bewaartermijnen van deze gegevens in de Wet politiegegevens kunnen worden verlengd voor de aanpak van cold cases en te onderzoeken of eventueel het gebruik van een beveiligde gegevenskluis die beperkt toegankelijk is dan wel waarbij toestemming van de rechter-commissaris nodig is tot de mogelijkheden behoort.</w:t>
      </w:r>
      <w:r w:rsidRPr="006879B5" w:rsidR="00AF0266">
        <w:rPr>
          <w:rFonts w:eastAsia="Aptos" w:cs="Times New Roman"/>
          <w:color w:val="auto"/>
          <w:kern w:val="2"/>
          <w:vertAlign w:val="superscript"/>
          <w:lang w:eastAsia="en-US"/>
          <w14:ligatures w14:val="standardContextual"/>
        </w:rPr>
        <w:footnoteReference w:id="31"/>
      </w:r>
      <w:r w:rsidRPr="006879B5" w:rsidR="00AF0266">
        <w:rPr>
          <w:rFonts w:eastAsia="Aptos" w:cs="Times New Roman"/>
          <w:color w:val="auto"/>
          <w:kern w:val="2"/>
          <w:lang w:eastAsia="en-US"/>
          <w14:ligatures w14:val="standardContextual"/>
        </w:rPr>
        <w:t xml:space="preserve"> Daarnaast heeft het lid Mutluer een plan ingediend voor een effectieve aanpak van cold cases en heeft uw Kamer de motie van het lid Mutluer aangenomen waarin zij verzoekt om de aanpak van cold cases te versterken.</w:t>
      </w:r>
      <w:r w:rsidRPr="006879B5" w:rsidR="00AF0266">
        <w:rPr>
          <w:rFonts w:eastAsia="Aptos" w:cs="Times New Roman"/>
          <w:color w:val="auto"/>
          <w:kern w:val="2"/>
          <w:vertAlign w:val="superscript"/>
          <w:lang w:eastAsia="en-US"/>
          <w14:ligatures w14:val="standardContextual"/>
        </w:rPr>
        <w:footnoteReference w:id="32"/>
      </w:r>
    </w:p>
    <w:p w:rsidRPr="006879B5" w:rsidR="00AF0266" w:rsidP="00AF0266" w:rsidRDefault="00AF0266" w14:paraId="4577850F" w14:textId="77777777">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 xml:space="preserve">Ik heb groot begrip voor de wens om alle mogelijkheden aan te grijpen om de waarheid te achterhalen en gerechtigheid te realiseren. Elke onopgeloste cold case is er één te veel. Tegelijkertijd vereist een democratische rechtstaat dat er een </w:t>
      </w:r>
      <w:r w:rsidRPr="006879B5">
        <w:rPr>
          <w:rFonts w:eastAsia="Aptos" w:cs="Times New Roman"/>
          <w:color w:val="auto"/>
          <w:kern w:val="2"/>
          <w:lang w:eastAsia="en-US"/>
          <w14:ligatures w14:val="standardContextual"/>
        </w:rPr>
        <w:lastRenderedPageBreak/>
        <w:t>zorgvuldig evenwicht wordt gezocht tussen het belang van waarheidsvinding en het recht op de bescherming van de persoonlijke levenssfeer van anderen. Ik heb daarom nogmaals onderzocht of er mogelijkheden bestaan om de bewaartermijn van politiegegevens te verlengen voor het oplossen van cold cases.</w:t>
      </w:r>
    </w:p>
    <w:p w:rsidRPr="006879B5" w:rsidR="00AF0266" w:rsidP="00AF0266" w:rsidRDefault="00DA3260" w14:paraId="153860B3" w14:textId="0DE8921A">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Ik hecht</w:t>
      </w:r>
      <w:r w:rsidRPr="006879B5" w:rsidR="00AF0266">
        <w:rPr>
          <w:rFonts w:eastAsia="Aptos" w:cs="Times New Roman"/>
          <w:color w:val="auto"/>
          <w:kern w:val="2"/>
          <w:lang w:eastAsia="en-US"/>
          <w14:ligatures w14:val="standardContextual"/>
        </w:rPr>
        <w:t xml:space="preserve"> eraan (nogmaals) stil te staan bij de gegevens waarop ik mij heb gericht in mijn ultieme poging en waarover de Raad van State een voorlichting heeft gegeven. Het gaat hier niet om gegevens die al zijn opgenomen in cold case dossiers, zoals DNA-sporen. Deze gegevens mogen worden bewaard zolang het onopgeloste misdrijf nog kan worden vervolgd en hierop nog een reële kans bestaat. Waar het wel over gaat, zijn de gegevens die de politie vergaart voor de uitvoering van de dagelijkse politietaak (art 8 Wpg); denk daarbij bijvoorbeeld aan aantekeningen naar aanleiding van politietoezicht op straat, aangiftes van uiteenlopende aard, mutaties over hulpverlening aan een verward persoon, binnengekomen meldingen over geluidsoverlast of een burenruzie, gegevens over uitgevoerde (identiteits)controles en mutaties over afgehandelde verkeerproblematiek. Deze gegevens mogen op grond van de Wet politiegegevens voor maximaal vijf jaar worden verwerkt voor de dagelijkse politietaak en vervolgens nog vijf jaar worden bewaard voor klachtenafhandeling en verantwoording van verrichtingen. Gedurende deze laatste vijf jaren kunnen de gegevens beschikbaar worden gesteld voor een hernieuwde verwerking, waaronder een cold case. Daar zit dan een zogenaamde poortwachter op, die de gegevens kan terughalen voor de hernieuwde verwerking. Het betreft grote hoeveelheden gegevens die in al de jaren dat zij beschikbaar waren voor de politie niet in verband zijn gebracht met een cold cases.</w:t>
      </w:r>
    </w:p>
    <w:p w:rsidRPr="006879B5" w:rsidR="00AF0266" w:rsidP="00AF0266" w:rsidRDefault="00DA3260" w14:paraId="2EE27B1C" w14:textId="74F5181E">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Ik heb hierover gesproken</w:t>
      </w:r>
      <w:r w:rsidRPr="006879B5" w:rsidR="00AF0266">
        <w:rPr>
          <w:rFonts w:eastAsia="Aptos" w:cs="Times New Roman"/>
          <w:color w:val="auto"/>
          <w:kern w:val="2"/>
          <w:lang w:eastAsia="en-US"/>
          <w14:ligatures w14:val="standardContextual"/>
        </w:rPr>
        <w:t xml:space="preserve"> met de Raad van State (de vice-president en drie staatsraden). In dit overleg heeft de Raad van State haar conclusies in de voorlichting herhaald, waarin op basis van de Grondwet, het EVRM en het EU-Handvest is geconcludeerd dat het bewaren van alle politiegegevens die verwerkt worden voor de dagelijkse politietaak voor enkele tientallen jaren ten behoeve van cold cases niet evenredig is.</w:t>
      </w:r>
      <w:r w:rsidRPr="006879B5" w:rsidR="00AF0266">
        <w:rPr>
          <w:rFonts w:eastAsia="Aptos" w:cs="Times New Roman"/>
          <w:color w:val="auto"/>
          <w:kern w:val="2"/>
          <w:vertAlign w:val="superscript"/>
          <w:lang w:eastAsia="en-US"/>
          <w14:ligatures w14:val="standardContextual"/>
        </w:rPr>
        <w:footnoteReference w:id="33"/>
      </w:r>
      <w:r w:rsidRPr="006879B5" w:rsidR="00AF0266">
        <w:rPr>
          <w:rFonts w:eastAsia="Aptos" w:cs="Times New Roman"/>
          <w:color w:val="auto"/>
          <w:kern w:val="2"/>
          <w:lang w:eastAsia="en-US"/>
          <w14:ligatures w14:val="standardContextual"/>
        </w:rPr>
        <w:t xml:space="preserve"> De Raad van State heeft hierbij aangegeven een verruiming van de huidige wettelijke regeling zonder een verdergaande deugdelijke feitelijke onderbouwing van de noodzaak en een verregaande inperking van omvang en diversiteit van de gegevensverzameling kritisch te zullen bezien. Deze conclusie wordt tevens onderschreven door de Autoriteit Persoonsgegevens.</w:t>
      </w:r>
      <w:r w:rsidRPr="006879B5" w:rsidR="00AF0266">
        <w:rPr>
          <w:rFonts w:eastAsia="Aptos" w:cs="Times New Roman"/>
          <w:color w:val="auto"/>
          <w:kern w:val="2"/>
          <w:vertAlign w:val="superscript"/>
          <w:lang w:eastAsia="en-US"/>
          <w14:ligatures w14:val="standardContextual"/>
        </w:rPr>
        <w:footnoteReference w:id="34"/>
      </w:r>
      <w:r w:rsidRPr="006879B5" w:rsidR="00AF0266">
        <w:rPr>
          <w:rFonts w:eastAsia="Aptos" w:cs="Times New Roman"/>
          <w:color w:val="auto"/>
          <w:kern w:val="2"/>
          <w:lang w:eastAsia="en-US"/>
          <w14:ligatures w14:val="standardContextual"/>
        </w:rPr>
        <w:t xml:space="preserve"> </w:t>
      </w:r>
    </w:p>
    <w:p w:rsidRPr="006879B5" w:rsidR="00AF0266" w:rsidP="00AF0266" w:rsidRDefault="00AF0266" w14:paraId="4199B0F9" w14:textId="77777777">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 xml:space="preserve">Verder heb ik bij de politie cijfers opgevraagd over het gebruik van oude gegevens in cold cases. Op basis van de door de politie aangeleverde cijfers heb ik niet kunnen achterhalen </w:t>
      </w:r>
      <w:r w:rsidRPr="006879B5">
        <w:rPr>
          <w:rFonts w:eastAsia="Aptos" w:cs="Times New Roman"/>
          <w:kern w:val="2"/>
          <w14:ligatures w14:val="standardContextual"/>
        </w:rPr>
        <w:t xml:space="preserve">in hoeverre oude politiegegevens een cruciale rol spelen bij het oplossen van cold cases, mede vanwege de diversiteit van cold cases. De politie heeft daarnaast een voorstel gedaan tot een beperking van de betreffende gegevens. Echter, dit voorstel leidde niet </w:t>
      </w:r>
      <w:r w:rsidRPr="006879B5">
        <w:rPr>
          <w:rFonts w:eastAsia="Aptos" w:cs="Times New Roman"/>
          <w:color w:val="auto"/>
          <w:kern w:val="2"/>
          <w:lang w:eastAsia="en-US"/>
          <w14:ligatures w14:val="standardContextual"/>
        </w:rPr>
        <w:t xml:space="preserve">tot een aanzienlijke inperking van de dataset die de langere bewaring rechtvaardigt. </w:t>
      </w:r>
    </w:p>
    <w:p w:rsidRPr="006879B5" w:rsidR="00AF0266" w:rsidP="00AF0266" w:rsidRDefault="00DA3260" w14:paraId="40270517" w14:textId="15EFBC02">
      <w:pPr>
        <w:autoSpaceDN/>
        <w:spacing w:after="160" w:line="278"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Het is</w:t>
      </w:r>
      <w:r w:rsidRPr="006879B5" w:rsidR="00AF0266">
        <w:rPr>
          <w:rFonts w:eastAsia="Aptos" w:cs="Times New Roman"/>
          <w:color w:val="auto"/>
          <w:kern w:val="2"/>
          <w:lang w:eastAsia="en-US"/>
          <w14:ligatures w14:val="standardContextual"/>
        </w:rPr>
        <w:t xml:space="preserve"> niet mogelijk gebleken te komen tot een verdergaande onderbouwing van de noodzaak om politiegegevens die worden verwerkt voor de dagelijkse politietaak, langer te bewaren dan de in de Wet politiegegevens vermelde termijn. </w:t>
      </w:r>
      <w:r w:rsidRPr="006879B5" w:rsidR="00AF0266">
        <w:rPr>
          <w:rFonts w:eastAsia="Aptos" w:cs="Times New Roman"/>
          <w:color w:val="auto"/>
          <w:kern w:val="2"/>
          <w:lang w:eastAsia="en-US"/>
          <w14:ligatures w14:val="standardContextual"/>
        </w:rPr>
        <w:lastRenderedPageBreak/>
        <w:t xml:space="preserve">De hoeveelheid en diversiteit aan (persoons)gegevens in deze dataset zijn enorm. Het is </w:t>
      </w:r>
      <w:r w:rsidRPr="006879B5" w:rsidR="00130617">
        <w:rPr>
          <w:rFonts w:eastAsia="Aptos" w:cs="Times New Roman"/>
          <w:color w:val="auto"/>
          <w:kern w:val="2"/>
          <w:lang w:eastAsia="en-US"/>
          <w14:ligatures w14:val="standardContextual"/>
        </w:rPr>
        <w:t xml:space="preserve">volgens diverse instanties </w:t>
      </w:r>
      <w:r w:rsidRPr="006879B5" w:rsidR="00AF0266">
        <w:rPr>
          <w:rFonts w:eastAsia="Aptos" w:cs="Times New Roman"/>
          <w:color w:val="auto"/>
          <w:kern w:val="2"/>
          <w:lang w:eastAsia="en-US"/>
          <w14:ligatures w14:val="standardContextual"/>
        </w:rPr>
        <w:t xml:space="preserve">disproportioneel om al deze gegevens voor langer te bewaren dan de termijn die de wet voorschrijft, voor het mogelijke geval dat een enkel gegeven van betekenis zou kunnen worden aangetroffen dat relevant is voor het oplossen van een cold case. Dit maakt dan ook dat het bewaren van die gegevens in een eventueel in te richten gegevenskluis evenmin tot de opties </w:t>
      </w:r>
      <w:r w:rsidRPr="006879B5" w:rsidR="00130617">
        <w:rPr>
          <w:rFonts w:eastAsia="Aptos" w:cs="Times New Roman"/>
          <w:color w:val="auto"/>
          <w:kern w:val="2"/>
          <w:lang w:eastAsia="en-US"/>
          <w14:ligatures w14:val="standardContextual"/>
        </w:rPr>
        <w:t xml:space="preserve">zou </w:t>
      </w:r>
      <w:r w:rsidRPr="006879B5" w:rsidR="00AF0266">
        <w:rPr>
          <w:rFonts w:eastAsia="Aptos" w:cs="Times New Roman"/>
          <w:color w:val="auto"/>
          <w:kern w:val="2"/>
          <w:lang w:eastAsia="en-US"/>
          <w14:ligatures w14:val="standardContextual"/>
        </w:rPr>
        <w:t>behoren.</w:t>
      </w:r>
    </w:p>
    <w:p w:rsidRPr="006879B5" w:rsidR="00A5315B" w:rsidP="001B5E06" w:rsidRDefault="001B4CC3" w14:paraId="5485C8AD" w14:textId="77777777">
      <w:pPr>
        <w:rPr>
          <w:rFonts w:eastAsia="Aptos" w:cs="Times New Roman"/>
          <w:color w:val="auto"/>
          <w:kern w:val="2"/>
          <w:lang w:eastAsia="en-US"/>
          <w14:ligatures w14:val="standardContextual"/>
        </w:rPr>
      </w:pPr>
      <w:r w:rsidRPr="006879B5">
        <w:rPr>
          <w:rFonts w:eastAsia="Aptos" w:cs="Times New Roman"/>
          <w:i/>
          <w:iCs/>
          <w:color w:val="auto"/>
          <w:kern w:val="2"/>
          <w:lang w:eastAsia="en-US"/>
          <w14:ligatures w14:val="standardContextual"/>
        </w:rPr>
        <w:t xml:space="preserve">Omgang met politiegegevens in </w:t>
      </w:r>
      <w:r w:rsidRPr="006879B5" w:rsidR="00130617">
        <w:rPr>
          <w:rFonts w:eastAsia="Aptos" w:cs="Times New Roman"/>
          <w:i/>
          <w:iCs/>
          <w:color w:val="auto"/>
          <w:kern w:val="2"/>
          <w:lang w:eastAsia="en-US"/>
          <w14:ligatures w14:val="standardContextual"/>
        </w:rPr>
        <w:t xml:space="preserve">lijn brengen </w:t>
      </w:r>
      <w:r w:rsidRPr="006879B5">
        <w:rPr>
          <w:rFonts w:eastAsia="Aptos" w:cs="Times New Roman"/>
          <w:i/>
          <w:iCs/>
          <w:color w:val="auto"/>
          <w:kern w:val="2"/>
          <w:lang w:eastAsia="en-US"/>
          <w14:ligatures w14:val="standardContextual"/>
        </w:rPr>
        <w:t xml:space="preserve">met de </w:t>
      </w:r>
      <w:r w:rsidRPr="006879B5" w:rsidR="00130617">
        <w:rPr>
          <w:rFonts w:eastAsia="Aptos" w:cs="Times New Roman"/>
          <w:i/>
          <w:iCs/>
          <w:color w:val="auto"/>
          <w:kern w:val="2"/>
          <w:lang w:eastAsia="en-US"/>
          <w14:ligatures w14:val="standardContextual"/>
        </w:rPr>
        <w:t xml:space="preserve">Wet politiegegevens </w:t>
      </w:r>
    </w:p>
    <w:p w:rsidRPr="006879B5" w:rsidR="00A5315B" w:rsidP="001B5E06" w:rsidRDefault="00A5315B" w14:paraId="55D5F1BC" w14:textId="77777777"/>
    <w:p w:rsidRPr="006879B5" w:rsidR="001B5E06" w:rsidP="001B5E06" w:rsidRDefault="00130617" w14:paraId="5D137F38" w14:textId="641AD64B">
      <w:pPr>
        <w:rPr>
          <w:rFonts w:eastAsia="Aptos" w:cs="Times New Roman"/>
          <w:color w:val="auto"/>
          <w:kern w:val="2"/>
          <w:lang w:eastAsia="en-US"/>
          <w14:ligatures w14:val="standardContextual"/>
        </w:rPr>
      </w:pPr>
      <w:r w:rsidRPr="006879B5">
        <w:t xml:space="preserve">De korpschef zal alvast gefaseerd een plan opstellen </w:t>
      </w:r>
      <w:r w:rsidRPr="006879B5" w:rsidR="001B5E06">
        <w:t xml:space="preserve">om de omgang met politiegegevens na het verstrijken van de bewaartermijn in lijn te brengen met de Wpg. </w:t>
      </w:r>
      <w:r w:rsidRPr="006879B5" w:rsidR="00A5315B">
        <w:t>Dit</w:t>
      </w:r>
      <w:r w:rsidRPr="006879B5" w:rsidR="001B5E06">
        <w:t xml:space="preserve"> betreft gegevens vergaard voor de dagelijkse politietaak en ook gegevens die voor andere doelen zijn verwerkt, waaronder gegevens over opgeloste (zware) misdrijven op grond van de artikelen 9 en 10 Wpg.</w:t>
      </w:r>
      <w:r w:rsidRPr="006879B5" w:rsidR="001B5E06">
        <w:rPr>
          <w:rFonts w:eastAsia="Aptos" w:cs="Times New Roman"/>
          <w:color w:val="auto"/>
          <w:kern w:val="2"/>
          <w:lang w:eastAsia="en-US"/>
          <w14:ligatures w14:val="standardContextual"/>
        </w:rPr>
        <w:t xml:space="preserve"> </w:t>
      </w:r>
      <w:r w:rsidRPr="006879B5" w:rsidR="001B5E06">
        <w:t xml:space="preserve">Het plan heeft geen betrekking op gegevens die deel uitmaken van een cold casedossier of die in verband zijn gebracht met een nog vervolgbaar strafbaar feit. Zoals hierboven toegelicht, kunnen die binnen de daarvoor geldende wettelijke kaders worden bewaard. </w:t>
      </w:r>
    </w:p>
    <w:p w:rsidRPr="006879B5" w:rsidR="001B5E06" w:rsidP="001B5E06" w:rsidRDefault="001B5E06" w14:paraId="779DFF78" w14:textId="77777777">
      <w:pPr>
        <w:rPr>
          <w:rFonts w:eastAsia="Aptos" w:cs="Times New Roman"/>
          <w:color w:val="auto"/>
          <w:kern w:val="2"/>
          <w:lang w:eastAsia="en-US"/>
          <w14:ligatures w14:val="standardContextual"/>
        </w:rPr>
      </w:pPr>
    </w:p>
    <w:p w:rsidRPr="006879B5" w:rsidR="00AF0266" w:rsidP="001B5E06" w:rsidRDefault="001B5E06" w14:paraId="63068890" w14:textId="225A2ED2">
      <w:r w:rsidRPr="006879B5">
        <w:rPr>
          <w:rFonts w:eastAsia="Aptos" w:cs="Times New Roman"/>
          <w:color w:val="auto"/>
          <w:kern w:val="2"/>
          <w:lang w:eastAsia="en-US"/>
          <w14:ligatures w14:val="standardContextual"/>
        </w:rPr>
        <w:t xml:space="preserve">Ik ben mij zeer bewust van het belang dat uw Kamer hecht aan het effectief oplossen van cold cases. Daarnaast staat natuurlijk ook bij mij het belang van slachtoffers en nabestaanden voorop. Daarom zetten de korpschef en ik in op een versterkte aanpak van cold cases, zoals hierboven toegelicht. </w:t>
      </w:r>
      <w:r w:rsidRPr="006879B5" w:rsidR="00A5315B">
        <w:rPr>
          <w:rFonts w:eastAsia="Aptos" w:cs="Times New Roman"/>
          <w:color w:val="auto"/>
          <w:kern w:val="2"/>
          <w:lang w:eastAsia="en-US"/>
          <w14:ligatures w14:val="standardContextual"/>
        </w:rPr>
        <w:t xml:space="preserve">Over de hierboven </w:t>
      </w:r>
      <w:r w:rsidRPr="006879B5" w:rsidR="008605DF">
        <w:rPr>
          <w:rFonts w:eastAsia="Aptos" w:cs="Times New Roman"/>
          <w:color w:val="auto"/>
          <w:kern w:val="2"/>
          <w:lang w:eastAsia="en-US"/>
          <w14:ligatures w14:val="standardContextual"/>
        </w:rPr>
        <w:t xml:space="preserve">geschetste </w:t>
      </w:r>
      <w:r w:rsidRPr="006879B5" w:rsidR="0053752A">
        <w:rPr>
          <w:rFonts w:eastAsia="Aptos" w:cs="Times New Roman"/>
          <w:color w:val="auto"/>
          <w:kern w:val="2"/>
          <w:lang w:eastAsia="en-US"/>
          <w14:ligatures w14:val="standardContextual"/>
        </w:rPr>
        <w:t>(nagelopen) opties</w:t>
      </w:r>
      <w:r w:rsidRPr="006879B5" w:rsidR="00A5315B">
        <w:rPr>
          <w:rFonts w:eastAsia="Aptos" w:cs="Times New Roman"/>
          <w:color w:val="auto"/>
          <w:kern w:val="2"/>
          <w:lang w:eastAsia="en-US"/>
          <w14:ligatures w14:val="standardContextual"/>
        </w:rPr>
        <w:t xml:space="preserve"> </w:t>
      </w:r>
      <w:r w:rsidRPr="006879B5" w:rsidR="0053752A">
        <w:rPr>
          <w:rFonts w:eastAsia="Aptos" w:cs="Times New Roman"/>
          <w:color w:val="auto"/>
          <w:kern w:val="2"/>
          <w:lang w:eastAsia="en-US"/>
          <w14:ligatures w14:val="standardContextual"/>
        </w:rPr>
        <w:t>voor</w:t>
      </w:r>
      <w:r w:rsidRPr="006879B5" w:rsidR="00A5315B">
        <w:rPr>
          <w:rFonts w:eastAsia="Aptos" w:cs="Times New Roman"/>
          <w:color w:val="auto"/>
          <w:kern w:val="2"/>
          <w:lang w:eastAsia="en-US"/>
          <w14:ligatures w14:val="standardContextual"/>
        </w:rPr>
        <w:t xml:space="preserve"> de gegevensbewaring van de politie en het gefaseerde plan van de korpschef wil ik graag met uw Kamer in gesprek.</w:t>
      </w:r>
    </w:p>
    <w:p w:rsidRPr="006879B5" w:rsidR="00AF0266" w:rsidP="00FF62A1" w:rsidRDefault="00AF0266" w14:paraId="21AD1716" w14:textId="77777777"/>
    <w:bookmarkEnd w:id="9"/>
    <w:p w:rsidRPr="006879B5" w:rsidR="00EE62B4" w:rsidP="009A51AB" w:rsidRDefault="002A287D" w14:paraId="07B4249A" w14:textId="1EAA7B85">
      <w:pPr>
        <w:pStyle w:val="Kop1"/>
      </w:pPr>
      <w:r w:rsidRPr="006879B5">
        <w:t>Heimelijk politiewerk</w:t>
      </w:r>
    </w:p>
    <w:p w:rsidRPr="006879B5" w:rsidR="009A51AB" w:rsidP="009A51AB" w:rsidRDefault="002A287D" w14:paraId="75F4C225" w14:textId="439603E4">
      <w:pPr>
        <w:pStyle w:val="Kop2"/>
      </w:pPr>
      <w:r w:rsidRPr="006879B5">
        <w:t>Motie van der Werf (D66) over het nieuwe undercoverteam structureel monitoren</w:t>
      </w:r>
      <w:r w:rsidRPr="006879B5" w:rsidR="005A3D08">
        <w:rPr>
          <w:rStyle w:val="Voetnootmarkering"/>
        </w:rPr>
        <w:footnoteReference w:id="35"/>
      </w:r>
      <w:bookmarkStart w:name="_Hlk231481486" w:id="11"/>
      <w:r w:rsidRPr="006879B5" w:rsidR="005A3D08">
        <w:t>; t</w:t>
      </w:r>
      <w:r w:rsidRPr="006879B5">
        <w:t>oezegging om de Kamer in het eerstvolgende halfjaarbericht te informeren over de stand van zaken rondom heimelijk werk en de visitatiecommissie</w:t>
      </w:r>
      <w:r w:rsidRPr="006879B5" w:rsidR="005A3D08">
        <w:rPr>
          <w:rStyle w:val="Voetnootmarkering"/>
        </w:rPr>
        <w:t xml:space="preserve"> </w:t>
      </w:r>
      <w:r w:rsidRPr="006879B5" w:rsidR="005A3D08">
        <w:rPr>
          <w:rStyle w:val="Voetnootmarkering"/>
        </w:rPr>
        <w:footnoteReference w:id="36"/>
      </w:r>
      <w:r w:rsidRPr="006879B5" w:rsidR="005A3D08">
        <w:t>;</w:t>
      </w:r>
      <w:bookmarkStart w:name="_Hlk231481624" w:id="12"/>
      <w:bookmarkEnd w:id="11"/>
      <w:r w:rsidRPr="006879B5" w:rsidR="005A3D08">
        <w:t xml:space="preserve"> t</w:t>
      </w:r>
      <w:r w:rsidRPr="006879B5" w:rsidR="009A51AB">
        <w:t>oezegging om de Kamer in het volgende halfjaarbericht te informeren over heimelijk politiewerk</w:t>
      </w:r>
      <w:r w:rsidRPr="006879B5" w:rsidR="005A3D08">
        <w:rPr>
          <w:rStyle w:val="Voetnootmarkering"/>
        </w:rPr>
        <w:footnoteReference w:id="37"/>
      </w:r>
    </w:p>
    <w:p w:rsidRPr="006879B5" w:rsidR="008F4AE9" w:rsidP="008F4AE9" w:rsidRDefault="008F4AE9" w14:paraId="74B1BDCE" w14:textId="77777777"/>
    <w:p w:rsidRPr="006879B5" w:rsidR="00B5625A" w:rsidP="00B5625A" w:rsidRDefault="00B5625A" w14:paraId="0704F827" w14:textId="3E3C6EF4">
      <w:pPr>
        <w:autoSpaceDN/>
        <w:spacing w:after="160" w:line="259" w:lineRule="auto"/>
        <w:textAlignment w:val="auto"/>
        <w:rPr>
          <w:rFonts w:eastAsia="Times New Roman" w:cs="Arial"/>
          <w:color w:val="auto"/>
        </w:rPr>
      </w:pPr>
      <w:r w:rsidRPr="006879B5">
        <w:rPr>
          <w:rFonts w:eastAsia="Times New Roman" w:cs="Arial"/>
          <w:color w:val="auto"/>
        </w:rPr>
        <w:t xml:space="preserve">De motie </w:t>
      </w:r>
      <w:r w:rsidRPr="006879B5" w:rsidR="0020778D">
        <w:rPr>
          <w:rFonts w:eastAsia="Times New Roman" w:cs="Arial"/>
          <w:color w:val="auto"/>
        </w:rPr>
        <w:t>V</w:t>
      </w:r>
      <w:r w:rsidRPr="006879B5">
        <w:rPr>
          <w:rFonts w:eastAsia="Times New Roman" w:cs="Arial"/>
          <w:color w:val="auto"/>
        </w:rPr>
        <w:t>an der Werf verzoekt de regering om het functioneren, de organisatiecultuur en het personeelswelzijn binnen het nieuwe undercoverteam structureel te monitoren en hierover periodiek geïnformeerd te worden.</w:t>
      </w:r>
      <w:r w:rsidRPr="006879B5">
        <w:rPr>
          <w:rFonts w:eastAsia="Times New Roman" w:cs="Arial"/>
          <w:color w:val="auto"/>
          <w:vertAlign w:val="superscript"/>
        </w:rPr>
        <w:footnoteReference w:id="38"/>
      </w:r>
      <w:r w:rsidRPr="006879B5">
        <w:rPr>
          <w:rFonts w:eastAsia="Times New Roman" w:cs="Arial"/>
          <w:color w:val="auto"/>
        </w:rPr>
        <w:t xml:space="preserve"> In januari jl. is in opdracht van het openbaar ministerie en politie een visitatiecommissie ingesteld die bestaat uit externe experts op bestuurlijk niveau met kennis van het domein heimelijk werken.</w:t>
      </w:r>
      <w:r w:rsidRPr="006879B5">
        <w:rPr>
          <w:rFonts w:eastAsia="Times New Roman" w:cs="Arial"/>
          <w:color w:val="auto"/>
          <w:vertAlign w:val="superscript"/>
        </w:rPr>
        <w:footnoteReference w:id="39"/>
      </w:r>
      <w:r w:rsidRPr="006879B5">
        <w:rPr>
          <w:rFonts w:eastAsia="Times New Roman" w:cs="Arial"/>
          <w:color w:val="auto"/>
        </w:rPr>
        <w:t xml:space="preserve"> Op dit moment voeren de commissieleden verkennende gesprekken. Na de screening van de </w:t>
      </w:r>
      <w:r w:rsidRPr="006879B5">
        <w:rPr>
          <w:rFonts w:eastAsia="Times New Roman" w:cs="Arial"/>
          <w:color w:val="auto"/>
        </w:rPr>
        <w:lastRenderedPageBreak/>
        <w:t xml:space="preserve">commissieleden, start de visitatiecommissie met haar meer inhoudelijke werkzaamheden die ook betrekking hebben op de operatie en betrokkenen. </w:t>
      </w:r>
    </w:p>
    <w:p w:rsidRPr="006879B5" w:rsidR="00B5625A" w:rsidP="00B5625A" w:rsidRDefault="00B5625A" w14:paraId="64B0B074" w14:textId="77777777">
      <w:pPr>
        <w:autoSpaceDN/>
        <w:spacing w:after="160" w:line="259" w:lineRule="auto"/>
        <w:textAlignment w:val="auto"/>
        <w:rPr>
          <w:rFonts w:eastAsia="Times New Roman" w:cs="Arial"/>
          <w:color w:val="auto"/>
        </w:rPr>
      </w:pPr>
      <w:r w:rsidRPr="006879B5">
        <w:rPr>
          <w:rFonts w:eastAsia="Times New Roman" w:cs="Arial"/>
          <w:color w:val="auto"/>
        </w:rPr>
        <w:t xml:space="preserve">De visitatiecommissie denkt vanuit de aanwezige expertise mee en geeft onafhankelijk advies over de uitvoering van de (verdere) professionalisering van het domein heimelijk werken. Met de instelling van de visitatiecommissie is een nieuwe fase ingetreden ten aanzien van de professionalisering van het domein heimelijk werken. De visitatiecommissie adviseert over het daadwerkelijk in werking brengen van het stelsel heimelijk werk waarvan de vorming in gang is gezet tijdens de commissie Waarborgen Heimelijk Werk (Commissie Sorgdrager II). </w:t>
      </w:r>
    </w:p>
    <w:p w:rsidRPr="006879B5" w:rsidR="00A76B4F" w:rsidP="00014D7B" w:rsidRDefault="00B5625A" w14:paraId="491DDED3" w14:textId="2D4A6E5A">
      <w:pPr>
        <w:autoSpaceDN/>
        <w:spacing w:after="160" w:line="259" w:lineRule="auto"/>
        <w:textAlignment w:val="auto"/>
        <w:rPr>
          <w:rFonts w:eastAsia="Times New Roman" w:cs="Arial"/>
          <w:color w:val="auto"/>
        </w:rPr>
      </w:pPr>
      <w:r w:rsidRPr="006879B5">
        <w:rPr>
          <w:rFonts w:eastAsia="Times New Roman" w:cs="Arial"/>
          <w:color w:val="auto"/>
        </w:rPr>
        <w:t xml:space="preserve">De visitatiecommissie rapporteert aan de opdrachtgevers politie en Openbaar Ministerie. Zoals ook toegezegd aan uw Kamer blijf ik doorlopend in gesprek met de Korpsleiding en het College van procureurs-generaal over de professionalisering van het heimelijk domein. Ik zal uw Kamer informeren over relevante ontwikkelingen. </w:t>
      </w:r>
      <w:bookmarkEnd w:id="12"/>
    </w:p>
    <w:p w:rsidRPr="006879B5" w:rsidR="00996DAE" w:rsidP="00996DAE" w:rsidRDefault="00996DAE" w14:paraId="482A49CC" w14:textId="77777777">
      <w:pPr>
        <w:pStyle w:val="Kop1"/>
      </w:pPr>
      <w:r w:rsidRPr="006879B5">
        <w:t>Financiën politie</w:t>
      </w:r>
    </w:p>
    <w:p w:rsidRPr="006879B5" w:rsidR="00996DAE" w:rsidP="00996DAE" w:rsidRDefault="00996DAE" w14:paraId="195DE497" w14:textId="77777777">
      <w:pPr>
        <w:pStyle w:val="Kop2"/>
      </w:pPr>
      <w:r w:rsidRPr="006879B5">
        <w:t>Motie Michon-Derkzen (VVD) over de motie op stuk nr. 80 (36 600-VI) alsnog uitvoeren door de politiebegroting inclusief de Politieacademie door te lichten</w:t>
      </w:r>
      <w:r w:rsidRPr="006879B5">
        <w:rPr>
          <w:rStyle w:val="Voetnootmarkering"/>
        </w:rPr>
        <w:footnoteReference w:id="40"/>
      </w:r>
    </w:p>
    <w:p w:rsidRPr="006879B5" w:rsidR="00996DAE" w:rsidP="00996DAE" w:rsidRDefault="00996DAE" w14:paraId="4217214A" w14:textId="77777777"/>
    <w:p w:rsidRPr="006879B5" w:rsidR="00996DAE" w:rsidP="00996DAE" w:rsidRDefault="00996DAE" w14:paraId="0C64E2B6" w14:textId="77777777">
      <w:r w:rsidRPr="006879B5">
        <w:t>De motie Michon-Derkzen vraagt om een doorlichting van de politiebegroting aan de hand van de handreiking controle begroting en verantwoording</w:t>
      </w:r>
      <w:r w:rsidRPr="006879B5">
        <w:rPr>
          <w:rStyle w:val="Voetnootmarkering"/>
        </w:rPr>
        <w:footnoteReference w:id="41"/>
      </w:r>
      <w:r w:rsidRPr="006879B5">
        <w:t xml:space="preserve">, met als doel om (nog) scherper zicht te krijgen op de financiën van de politie. In opvolging van deze motie zal ik een extern onderzoek hiervoor uitzetten. Ik verwacht u na de zomer van 2027 over de uitkomsten hiervan te kunnen informeren. </w:t>
      </w:r>
    </w:p>
    <w:p w:rsidRPr="006879B5" w:rsidR="00996DAE" w:rsidP="00996DAE" w:rsidRDefault="00996DAE" w14:paraId="155A16E5" w14:textId="77777777">
      <w:pPr>
        <w:pStyle w:val="Kop2"/>
      </w:pPr>
      <w:r w:rsidRPr="006879B5">
        <w:t>Toezegging om voor het uitvoeringsjaar 2025 te kijken of we in het geval van onderuitputting in de politiebegroting in samenwerking met partners het geld toch nuttig kunnen besteden.</w:t>
      </w:r>
      <w:r w:rsidRPr="006879B5">
        <w:rPr>
          <w:rStyle w:val="Voetnootmarkering"/>
        </w:rPr>
        <w:t xml:space="preserve"> </w:t>
      </w:r>
      <w:r w:rsidRPr="006879B5">
        <w:rPr>
          <w:rStyle w:val="Voetnootmarkering"/>
        </w:rPr>
        <w:footnoteReference w:id="42"/>
      </w:r>
    </w:p>
    <w:p w:rsidRPr="006879B5" w:rsidR="00996DAE" w:rsidP="00996DAE" w:rsidRDefault="00996DAE" w14:paraId="3C2CFA33" w14:textId="77777777"/>
    <w:p w:rsidRPr="006879B5" w:rsidR="00996DAE" w:rsidP="00996DAE" w:rsidRDefault="00996DAE" w14:paraId="24875A69" w14:textId="75CA27C5">
      <w:r w:rsidRPr="006879B5">
        <w:t xml:space="preserve">Tijdens de behandeling van de JenV-ontwerpbegroting 2025 is toegezegd dat voor het uitvoeringsjaar 2025 wordt bekeken of we in het geval van onderuitputting in de politiebegroting in samenwerking met partners het geld toch nuttig kunnen besteden. Ik heb me er voor ingezet om onderuitputting op het politiebudget nuttig te besteden. Met de september suppletoire op de JenV-begroting 2025 is gemeld dat er 31,9 miljoen euro aan bijzondere bijdragen is teruggevorderd van politie. In het totaalbeeld van mee- en tegenvallers op de JenV begroting is deze ontvangstenmeevaller meegelopen. Hiermee was het mogelijk om uitgaven te dekken voor de justitiële jeugdinrichting (JJI) Harreveld (€ 25 miljoen euro). Daarnaast is in het totaalbeeld van mee- en tegenvallers ook compensatie geboden voor een tegenvaller bij politie van € 16 miljoen euro bij de Vangnetregeling Gezond en Veilig Werken (inclusief PTSS). Bij de slotwet was er op de bijdrage aan politie in de JenV begroting 2025 € 8,6 miljoen euro onderuitputting. Deze onderuitputting is met de 1e suppletoire begroting via de eindejaarsmarge grotendeels weer toegevoegd aan het budget 2026 voor de bijdrage aan politie. Middels deze tekst beschouw ik de </w:t>
      </w:r>
      <w:r w:rsidRPr="006879B5" w:rsidR="008361B3">
        <w:t xml:space="preserve">toezegging </w:t>
      </w:r>
      <w:r w:rsidRPr="006879B5">
        <w:t xml:space="preserve">als afgedaan. </w:t>
      </w:r>
    </w:p>
    <w:p w:rsidRPr="006879B5" w:rsidR="00996DAE" w:rsidP="00996DAE" w:rsidRDefault="00996DAE" w14:paraId="77A4267D" w14:textId="77777777"/>
    <w:p w:rsidRPr="006879B5" w:rsidR="00996DAE" w:rsidP="00996DAE" w:rsidRDefault="00996DAE" w14:paraId="6F657A06" w14:textId="77777777">
      <w:pPr>
        <w:pStyle w:val="Kop2"/>
      </w:pPr>
      <w:r w:rsidRPr="006879B5">
        <w:lastRenderedPageBreak/>
        <w:t>Toezegging om de Kamer in het eerstvolgende halfjaarbericht te informeren over de stand van zaken rondom het huisvestingsbeleid van de politie</w:t>
      </w:r>
      <w:r w:rsidRPr="006879B5">
        <w:rPr>
          <w:rStyle w:val="Voetnootmarkering"/>
        </w:rPr>
        <w:footnoteReference w:id="43"/>
      </w:r>
    </w:p>
    <w:p w:rsidRPr="006879B5" w:rsidR="00996DAE" w:rsidP="00996DAE" w:rsidRDefault="00996DAE" w14:paraId="230738AF" w14:textId="77777777"/>
    <w:p w:rsidRPr="006879B5" w:rsidR="00996DAE" w:rsidP="00996DAE" w:rsidRDefault="00996DAE" w14:paraId="671658D4" w14:textId="77777777">
      <w:r w:rsidRPr="006879B5">
        <w:t>Tijdens het Wetgevingsoverleg Politie van 26 januari jl. heeft mijn ambtsvoorganger aan het lid Coenradie (JA21) toegezegd in te gaan op de stand van zaken rondom het huisvestingsbeleid van de politie. Middels onderstaande tekst geef ik invulling aan die toezegging.</w:t>
      </w:r>
    </w:p>
    <w:p w:rsidRPr="006879B5" w:rsidR="00996DAE" w:rsidP="00996DAE" w:rsidRDefault="00996DAE" w14:paraId="5F5AB340" w14:textId="77777777"/>
    <w:p w:rsidRPr="006879B5" w:rsidR="00996DAE" w:rsidP="00996DAE" w:rsidRDefault="00996DAE" w14:paraId="359B9038" w14:textId="62BD949E">
      <w:r w:rsidRPr="006879B5">
        <w:t>Huisvesting is één van de elementen die een rol spelen bij de zichtbaarheid en bereikbaarheid van de politie. Dit krijgt voor een belangrijk deel vorm op lokaal niveau. Afstemming met (regio)burgemeesters is een belangrijk onderdeel van het proces van vormgeven en uitvoeren van huisvestingsbeleid. De uitgangspunten van het landelijk huisvestingsbeleid van de korpschef zijn na bespreking met de regioburgemeesters in het Landelijk Overleg Veiligheid en Politie (LOVP) vastgesteld binnen het gestelde financiële kader. Centraal uitgangspunt daarin is om één teambureau te hebben voor ieder basisteam, waar nodig ondersteund met politieposten. Om invulling te geven aan het coalitieakkoord wordt er ingezet op meer politieposten vanuit de door het kabinet Schoof 22,5 mln</w:t>
      </w:r>
      <w:r w:rsidRPr="006879B5" w:rsidR="007D0064">
        <w:t>.</w:t>
      </w:r>
      <w:r w:rsidRPr="006879B5">
        <w:t xml:space="preserve"> structureel gereserveerd middelen voor innovatieve politieloketten.</w:t>
      </w:r>
      <w:r w:rsidRPr="006879B5" w:rsidR="003A6260">
        <w:t xml:space="preserve"> </w:t>
      </w:r>
      <w:r w:rsidRPr="006879B5">
        <w:t>Dit kunnen grote of kleine posten zijn met verschillende faciliteiten en functionaliteiten, zoals opkomstlocatie en publieksfunctie (bijvoorbeeld om aangifte te komen doen). Daarbij gelden nog steeds de contouren voor een zichtbare en bereikbare politie, zoals geschetst in mijn brief van 21 februari 2025. Dat betekent, kort gezegd, dat er steeds gezocht wordt naar de juiste combinatie van fysiek contact op straat, contact vanuit permanente fysieke locaties (teambureaus en politieposten), mobiele vormen van fysiek contact, innovatieve loketten, digitale kanalen en andere manieren om in contact te komen met de politie.</w:t>
      </w:r>
    </w:p>
    <w:p w:rsidRPr="006879B5" w:rsidR="00996DAE" w:rsidP="00996DAE" w:rsidRDefault="00996DAE" w14:paraId="2BF87263" w14:textId="77777777"/>
    <w:p w:rsidRPr="006879B5" w:rsidR="00996DAE" w:rsidP="00996DAE" w:rsidRDefault="00996DAE" w14:paraId="754902B9" w14:textId="7DF7FE31">
      <w:r w:rsidRPr="006879B5">
        <w:t>Zoals ik uw Kamer eerder heb bericht, is in 2025 gewerkt aan een verdere uitwerking en concretisering van de afspraken over het politiebureau/opkomstlocatie in Wolvega. De politie blijft op de huidige locatie.</w:t>
      </w:r>
    </w:p>
    <w:p w:rsidRPr="006879B5" w:rsidR="00224DB8" w:rsidP="00224DB8" w:rsidRDefault="00224DB8" w14:paraId="1A133B77" w14:textId="77777777">
      <w:pPr>
        <w:pStyle w:val="Kop1"/>
      </w:pPr>
      <w:r w:rsidRPr="006879B5">
        <w:t>Persoonsvermissingen</w:t>
      </w:r>
    </w:p>
    <w:p w:rsidRPr="006879B5" w:rsidR="00224DB8" w:rsidP="00224DB8" w:rsidRDefault="00224DB8" w14:paraId="6EDD0018" w14:textId="2B3258E4">
      <w:pPr>
        <w:pStyle w:val="Kop2"/>
      </w:pPr>
      <w:r w:rsidRPr="006879B5">
        <w:t>Motie Palland (CDA) over bevoegdheden zo organiseren dat zo min mogelijk tijd verloren gaat bij een urgente vermissing</w:t>
      </w:r>
      <w:r w:rsidRPr="006879B5" w:rsidR="005A3D08">
        <w:rPr>
          <w:rStyle w:val="Voetnootmarkering"/>
        </w:rPr>
        <w:footnoteReference w:id="44"/>
      </w:r>
    </w:p>
    <w:p w:rsidRPr="006879B5" w:rsidR="005755AD" w:rsidP="005755AD" w:rsidRDefault="005755AD" w14:paraId="033B2C18" w14:textId="77777777"/>
    <w:p w:rsidRPr="006879B5" w:rsidR="005755AD" w:rsidP="005755AD" w:rsidRDefault="005755AD" w14:paraId="736FDB12" w14:textId="2C5EF000">
      <w:r w:rsidRPr="006879B5">
        <w:t xml:space="preserve">Hierbij informeer ik u dat het wetsvoorstel Regels over bevoegdheden voor hulpverlening in het kader van urgente persoonsvermissingen (Wet urgente persoonsvermissingen) op 12 mei jl. in internetconsultatie is gegaan. Dit wetsvoorstel is onder meer voorbereid als vervolg op de motie Palland, waarin is verzocht om de bevoegdheden van de politie zo te organiseren in een situatie van urgente vermissing met acuut levensgevaar dat er geen, of in ieder geval zo min mogelijk tijd verloren gaat in het verkrijgen van toestemming om een slachtoffer op te kunnen sporen en of noodhulp te verlenen. </w:t>
      </w:r>
    </w:p>
    <w:p w:rsidRPr="006879B5" w:rsidR="005755AD" w:rsidP="005755AD" w:rsidRDefault="005755AD" w14:paraId="0C5CB2D2" w14:textId="77777777"/>
    <w:p w:rsidRPr="006879B5" w:rsidR="006F6341" w:rsidP="005755AD" w:rsidRDefault="006F6341" w14:paraId="25A99510" w14:textId="5ABFAC53">
      <w:r w:rsidRPr="006879B5">
        <w:t xml:space="preserve">Het doel van het wetsvoorstel is om, bij vermissingen waarbij aanwijzingen zijn dat de gezondheid of de veiligheid van de vermiste persoon ernstig in gevaar is en waarbij het vaak van levensbelang is dat de urgent vermiste persoon zo snel mogelijk wordt teruggevonden, bevoegdheden voor de politie te regelen waarmee </w:t>
      </w:r>
      <w:r w:rsidRPr="006879B5">
        <w:lastRenderedPageBreak/>
        <w:t>de aanbieders van communicatiediensten kunnen worden bevolen om telecomgegevens te verstrekken. Met deze telecomgegevens kan in het bijzonder de locatie van de telefoon worden vastgesteld. Middels deze tekst beschouw ik de motie als afgedaan.</w:t>
      </w:r>
    </w:p>
    <w:p w:rsidRPr="006879B5" w:rsidR="006F6341" w:rsidP="005755AD" w:rsidRDefault="006F6341" w14:paraId="3A6960C7" w14:textId="77777777"/>
    <w:p w:rsidRPr="006879B5" w:rsidR="00224DB8" w:rsidP="00224DB8" w:rsidRDefault="00224DB8" w14:paraId="2F599DF1" w14:textId="697C4B26">
      <w:pPr>
        <w:pStyle w:val="Kop2"/>
      </w:pPr>
      <w:r w:rsidRPr="006879B5">
        <w:t>Motie</w:t>
      </w:r>
      <w:r w:rsidRPr="006879B5" w:rsidR="00001B52">
        <w:t xml:space="preserve"> </w:t>
      </w:r>
      <w:r w:rsidRPr="006879B5">
        <w:t>Wijen-Nass (BBB) over een single point of contact bij het Landelijk Expertisecentrum Persoonsvermissingen</w:t>
      </w:r>
      <w:r w:rsidRPr="006879B5" w:rsidR="005A3D08">
        <w:rPr>
          <w:rStyle w:val="Voetnootmarkering"/>
        </w:rPr>
        <w:footnoteReference w:id="45"/>
      </w:r>
    </w:p>
    <w:p w:rsidRPr="006879B5" w:rsidR="00A551EC" w:rsidP="00A551EC" w:rsidRDefault="00A551EC" w14:paraId="2C0E41E4" w14:textId="77777777"/>
    <w:p w:rsidRPr="006879B5" w:rsidR="00311624" w:rsidP="00224DB8" w:rsidRDefault="00A551EC" w14:paraId="48214D38" w14:textId="3783C7F5">
      <w:r w:rsidRPr="006879B5">
        <w:t>Hierbij informeer ik u over de voortgang van de uitvoering van de motie van het lid Wijen-Nass om te voorzien in een single point of contact (SPOC) bij het Landelijk Expertisecentrum Persoonsvermissingen (LOEP), zoals toegezegd in het vorige Halfjaarbericht politie.</w:t>
      </w:r>
      <w:r w:rsidRPr="006879B5">
        <w:rPr>
          <w:rStyle w:val="Voetnootmarkering"/>
        </w:rPr>
        <w:footnoteReference w:id="46"/>
      </w:r>
      <w:r w:rsidRPr="006879B5">
        <w:t xml:space="preserve"> De politie is gestart met de verkenning. Een werkgroep brengt in kaart of er taken zijn die overgedragen zouden kunnen worden van de eenheden naar het LOEP. Het gaat om taken met betrekking tot persoonsvermissingen en onbekende doden waarbij geen verdenking is dat de vermissing of het overlijden het gevolg is van een strafbaar feit. Vervolgens bepaalt de politie wat dit zou kunnen betekenen voor de inrichting en omvang van het LOEP en beziet zij onder welke voorwaarden dit realiseerbaar is. Het streven van politie is om eind van dit jaar mij te informeren hoe de uitbreiding van een single point of contactfunctie voor genoemde persoonsvermissingen en onbekende doden nader vorm kan worden gegeven. </w:t>
      </w:r>
      <w:r w:rsidRPr="006879B5" w:rsidR="00001B52">
        <w:t xml:space="preserve">Hiermee beschouw ik de motie als afgedaan. </w:t>
      </w:r>
    </w:p>
    <w:p w:rsidRPr="006879B5" w:rsidR="009A51AB" w:rsidP="009A51AB" w:rsidRDefault="009A51AB" w14:paraId="79F5995C" w14:textId="62446D80">
      <w:pPr>
        <w:pStyle w:val="Kop1"/>
      </w:pPr>
      <w:r w:rsidRPr="006879B5">
        <w:t>Voetbal</w:t>
      </w:r>
    </w:p>
    <w:p w:rsidRPr="006879B5" w:rsidR="009A51AB" w:rsidP="009A51AB" w:rsidRDefault="009A51AB" w14:paraId="63C8F2AE" w14:textId="1F0A386F">
      <w:pPr>
        <w:pStyle w:val="Kop2"/>
      </w:pPr>
      <w:r w:rsidRPr="006879B5">
        <w:t xml:space="preserve">Beke onderzoek boetesysteem </w:t>
      </w:r>
      <w:r w:rsidRPr="006879B5" w:rsidR="00001B52">
        <w:t>politie-inzet</w:t>
      </w:r>
      <w:r w:rsidRPr="006879B5">
        <w:t xml:space="preserve"> voetbal</w:t>
      </w:r>
      <w:r w:rsidRPr="006879B5" w:rsidR="00CE4077">
        <w:t xml:space="preserve">; </w:t>
      </w:r>
      <w:r w:rsidRPr="006879B5">
        <w:t>Toezegging over concrete invulling maatregelen rondom voetbal en omgang met civielrechtelijke stadionverboden</w:t>
      </w:r>
      <w:r w:rsidRPr="006879B5" w:rsidR="005A3D08">
        <w:rPr>
          <w:rStyle w:val="Voetnootmarkering"/>
        </w:rPr>
        <w:footnoteReference w:id="47"/>
      </w:r>
    </w:p>
    <w:p w:rsidRPr="006879B5" w:rsidR="00311624" w:rsidP="00311624" w:rsidRDefault="00311624" w14:paraId="36E67CF6" w14:textId="77777777"/>
    <w:p w:rsidRPr="006879B5" w:rsidR="00311624" w:rsidP="00311624" w:rsidRDefault="00311624" w14:paraId="0DC45764" w14:textId="77777777">
      <w:bookmarkStart w:name="_Hlk229572298" w:id="14"/>
      <w:r w:rsidRPr="006879B5">
        <w:t>In het commissiedebat politie op 25 maart jl. heeft een aantal leden vragen gesteld over de politie in relatie tot voetbalwedstrijden. Ik heb toegezegd om hier in dit halfjaarbericht op terug te komen.</w:t>
      </w:r>
    </w:p>
    <w:p w:rsidRPr="006879B5" w:rsidR="00311624" w:rsidP="00311624" w:rsidRDefault="00311624" w14:paraId="4B06D86E" w14:textId="77777777"/>
    <w:p w:rsidRPr="006879B5" w:rsidR="00311624" w:rsidP="00311624" w:rsidRDefault="00311624" w14:paraId="40594BC7" w14:textId="77777777">
      <w:r w:rsidRPr="006879B5">
        <w:t>Het handhaven van de openbare orde is een reguliere politietaak die wordt uitgevoerd onder het gezag van de burgemeester. Dat is onder andere het geval wanneer een groot evenement zoals een voetbalwedstrijd plaatsvindt in een gemeente. De lokale driehoek is het best gepositioneerd om afwegingen te maken over de benodigde politie-inzet. De politie rapporteert jaarlijks over de inzet bij voetbalwedstrijden.</w:t>
      </w:r>
      <w:r w:rsidRPr="006879B5">
        <w:rPr>
          <w:vertAlign w:val="superscript"/>
        </w:rPr>
        <w:footnoteReference w:id="48"/>
      </w:r>
    </w:p>
    <w:p w:rsidRPr="006879B5" w:rsidR="00311624" w:rsidP="00311624" w:rsidRDefault="00311624" w14:paraId="15418236" w14:textId="77777777"/>
    <w:p w:rsidRPr="006879B5" w:rsidR="00311624" w:rsidP="00311624" w:rsidRDefault="00311624" w14:paraId="3CBCF0D4" w14:textId="77777777">
      <w:r w:rsidRPr="006879B5">
        <w:t xml:space="preserve">Voetbalclubs zijn zelf verantwoordelijk voor de veiligheid en het handhaven van de huisregels in het stadion. Zij hebben hier stewards voor in dienst. Onder de huidige wetgeving is het niet mogelijk dat verschillende voetbalclubs (werkgevers) stewards onderling uitwisselen. De wijziging van de Wet particuliere beveiligingsorganisaties en recherchebureaus gaat dit wel mogelijk maken. Deze wet zal op korte termijn in publieke consultatie gaan en vermoedelijk per 1 januari 2028 in werking treden. Ook is het belangrijk dat voetbalclubs beveiligingspersoneel (event security officers (ESO)) van meerdere </w:t>
      </w:r>
      <w:r w:rsidRPr="006879B5">
        <w:lastRenderedPageBreak/>
        <w:t>beveiligingsorganisaties kunnen inhuren mits de gezagsstructuur en het aanspreekpunt voor de politie centraal en duidelijk belegd is. Om dit beter vorm te geven en het makkelijker te maken dat beveiligingspersoneel door meerdere voetbalclubs kan worden ingehuurd, vinden thans gesprekken plaats tussen de politie, de KNVB en de beveiligingsbranche om ervoor te zorgen dat dit beter vormgegeven wordt.</w:t>
      </w:r>
    </w:p>
    <w:p w:rsidRPr="006879B5" w:rsidR="00311624" w:rsidP="00311624" w:rsidRDefault="00311624" w14:paraId="1764EAA3" w14:textId="77777777"/>
    <w:p w:rsidRPr="006879B5" w:rsidR="00311624" w:rsidP="00311624" w:rsidRDefault="00311624" w14:paraId="376FBF32" w14:textId="77777777">
      <w:r w:rsidRPr="006879B5">
        <w:t>Mijn ministerie zet zich, in nauwe samenwerking met voetbalpartners zoals de KNVB, gemeenten, de politie, het OM en het supporterscollectief Nederland in voor veiliger en gastvrij maken van het betaald voetbal en daarmee ook het verminderen van de inzet van de politie bij voetbalwedstrijden. Zo wordt een actieve wedstrijdvoorbereiding in de lokale driehoeken in samenwerking met voetbalclubs gestimuleerd. Voetbalclubs worden aangemoedigd om de dialoog met de supportersverenigingen te onderhouden. De KNVB gaat onder andere door met de pilot ‘Veilig en Gastvrij Voetbal’ en worden het komende seizoen verder gewerkt aan projecten en pilots die bijdragen aan een veilig, respectvol en gastvrij betaald voetbal. Daarbij wordt onder meer ingezet op het verbeteren van uitvakken, het verbeteren van de ontvangst van supporters en het versterken van de supportersbeleving. Het leren van goede voorbeelden in binnen- en buitenland is een integraal onderdeel van het beleid omtrent het bevorderen van veilig en gastvrij voetbal.</w:t>
      </w:r>
    </w:p>
    <w:p w:rsidRPr="006879B5" w:rsidR="00311624" w:rsidP="00311624" w:rsidRDefault="00311624" w14:paraId="72333182" w14:textId="77777777"/>
    <w:p w:rsidRPr="006879B5" w:rsidR="00311624" w:rsidP="00311624" w:rsidRDefault="00311624" w14:paraId="4CAFD3F3" w14:textId="77777777">
      <w:r w:rsidRPr="006879B5">
        <w:t xml:space="preserve">Het is belangrijk dat mensen die de regels overtreden hier ook de gevolgen van ondervinden. In lijn met het coalitieakkoord wordt er in opdracht van mijn ministerie door Bureau Beke onafhankelijk onderzoek gedaan naar een boetesysteem wanneer de politie het stadion moet betreden. De uitkomsten van dit onderzoek zal ik met uw Kamer delen. Daarnaast is het nu al zo dat bij voetbal gerelateerd wangedrag clubs en de KNVB civielrechtelijke maatregelen kunnen opleggen, ieder vanuit de eigen verantwoordelijkheid. Clubs treden lokaal op met bijvoorbeeld stadionverboden en toegangsbeperkingen. Het type maatregel dat wordt opgelegd kan per club verschillen. Dergelijke sancties zijn gericht op normbevestiging, gedragsverandering en het voorkomen van recidive. In overleg tussen voetbalclubs en de KNVB wordt afgestemd dat het verschil in alternatieve maatregelen niet te veel van elkaar afwijkt. De KNVB kan daarnaast landelijke stadionverboden opleggen conform de ‘richtlijn termijn stadionverbod’. Hiermee wordt de uniformiteit geborgd. Net als in het strafrecht kan er rekening worden gehouden met de persoonlijke en contextuele omstandigheden van een dader. </w:t>
      </w:r>
    </w:p>
    <w:p w:rsidRPr="006879B5" w:rsidR="00311624" w:rsidP="00311624" w:rsidRDefault="00311624" w14:paraId="5506B442" w14:textId="106301D3">
      <w:r w:rsidRPr="006879B5">
        <w:t>Wanneer er ernstige delicten plaatsvinden wordt er uiteraard strafrechtelijk opgetreden.</w:t>
      </w:r>
    </w:p>
    <w:p w:rsidRPr="006879B5" w:rsidR="00311624" w:rsidP="00311624" w:rsidRDefault="00311624" w14:paraId="08D830A1" w14:textId="77777777"/>
    <w:p w:rsidRPr="006879B5" w:rsidR="009A51AB" w:rsidP="009A51AB" w:rsidRDefault="00311624" w14:paraId="51657988" w14:textId="715D4C47">
      <w:r w:rsidRPr="006879B5">
        <w:t>Ik beschouw hiermee de toezegging</w:t>
      </w:r>
      <w:r w:rsidRPr="006879B5" w:rsidR="00F0699E">
        <w:rPr>
          <w:rStyle w:val="Voetnootmarkering"/>
        </w:rPr>
        <w:footnoteReference w:id="49"/>
      </w:r>
      <w:r w:rsidRPr="006879B5">
        <w:t xml:space="preserve"> om terug te komen op de gestelde vragen over voetbal in het commissiedebat politie als afgedaan.</w:t>
      </w:r>
      <w:bookmarkEnd w:id="14"/>
    </w:p>
    <w:p w:rsidRPr="006879B5" w:rsidR="00014D7B" w:rsidP="009A51AB" w:rsidRDefault="00014D7B" w14:paraId="5CC82E43" w14:textId="77777777"/>
    <w:p w:rsidRPr="006879B5" w:rsidR="00EE62B4" w:rsidP="002A287D" w:rsidRDefault="008E3A55" w14:paraId="2F25FED6" w14:textId="6C94097A">
      <w:pPr>
        <w:pStyle w:val="Kop1"/>
      </w:pPr>
      <w:r w:rsidRPr="006879B5">
        <w:t>Overige</w:t>
      </w:r>
      <w:r w:rsidRPr="006879B5" w:rsidR="002A287D">
        <w:t xml:space="preserve"> moties en toezeggingen</w:t>
      </w:r>
    </w:p>
    <w:p w:rsidRPr="006879B5" w:rsidR="002E73DD" w:rsidP="000846E6" w:rsidRDefault="00FA5D42" w14:paraId="3FC015C1" w14:textId="217BA692">
      <w:pPr>
        <w:pStyle w:val="Kop2"/>
      </w:pPr>
      <w:r w:rsidRPr="006879B5">
        <w:t>Toezegging om in het eerstvolgende halfjaarbericht een terugkoppeling te geven van zijn gesprek met de korpsleiding over de gedragscode lifestyle neutraliteit</w:t>
      </w:r>
      <w:r w:rsidRPr="006879B5" w:rsidR="00014D7B">
        <w:t>;</w:t>
      </w:r>
      <w:r w:rsidRPr="006879B5" w:rsidR="003016F9">
        <w:t xml:space="preserve"> </w:t>
      </w:r>
      <w:r w:rsidRPr="006879B5" w:rsidR="00014D7B">
        <w:t xml:space="preserve">toezegging om in het tweede halfjaarbericht politie (dec 2026) in te gaan op de borging neutraliteit van de politie, ook in het licht van de iftars. </w:t>
      </w:r>
      <w:r w:rsidRPr="006879B5" w:rsidR="005A3D08">
        <w:rPr>
          <w:rStyle w:val="Voetnootmarkering"/>
        </w:rPr>
        <w:footnoteReference w:id="50"/>
      </w:r>
    </w:p>
    <w:p w:rsidRPr="006879B5" w:rsidR="002E73DD" w:rsidP="002E73DD" w:rsidRDefault="002E73DD" w14:paraId="1A5AE06A" w14:textId="77777777"/>
    <w:p w:rsidRPr="006879B5" w:rsidR="002E73DD" w:rsidP="002E73DD" w:rsidRDefault="002E73DD" w14:paraId="45CBA0EB" w14:textId="4229BACF">
      <w:pPr>
        <w:autoSpaceDN/>
        <w:spacing w:after="160" w:line="278" w:lineRule="auto"/>
        <w:textAlignment w:val="auto"/>
        <w:rPr>
          <w:rFonts w:eastAsia="Calibri" w:cs="Calibri"/>
          <w:color w:val="auto"/>
          <w:kern w:val="2"/>
          <w:lang w:eastAsia="en-US"/>
          <w14:ligatures w14:val="standardContextual"/>
        </w:rPr>
      </w:pPr>
      <w:r w:rsidRPr="006879B5">
        <w:rPr>
          <w:rFonts w:eastAsia="Calibri" w:cs="Calibri"/>
          <w:color w:val="auto"/>
          <w:kern w:val="2"/>
          <w:lang w:eastAsia="en-US"/>
          <w14:ligatures w14:val="standardContextual"/>
        </w:rPr>
        <w:t xml:space="preserve">Tijdens het Commissiedebat Politie van 25 maart 2026 heb ik uw Kamer aangegeven met de korpschef in gesprek te zullen gaan over de betrokkenheid van de politie bij bijeenkomsten met een religieus karakter. </w:t>
      </w:r>
    </w:p>
    <w:p w:rsidRPr="006879B5" w:rsidR="002E73DD" w:rsidP="002E73DD" w:rsidRDefault="002E73DD" w14:paraId="2FE92FA3" w14:textId="5A89DC84">
      <w:pPr>
        <w:autoSpaceDN/>
        <w:spacing w:after="160" w:line="278" w:lineRule="auto"/>
        <w:textAlignment w:val="auto"/>
        <w:rPr>
          <w:rFonts w:eastAsia="Calibri" w:cs="Times New Roman"/>
          <w:color w:val="auto"/>
          <w:kern w:val="2"/>
          <w:lang w:eastAsia="en-US"/>
          <w14:ligatures w14:val="standardContextual"/>
        </w:rPr>
      </w:pPr>
      <w:r w:rsidRPr="006879B5">
        <w:rPr>
          <w:rFonts w:eastAsia="Calibri" w:cs="Times New Roman"/>
          <w:color w:val="auto"/>
          <w:kern w:val="2"/>
          <w:lang w:eastAsia="en-US"/>
          <w14:ligatures w14:val="standardContextual"/>
        </w:rPr>
        <w:t xml:space="preserve">De politie neemt sinds een aantal jaren deel aan bijeenkomsten in het teken van betekenisvolle dagen, o.a. gelieerd aan verschillende religies (zoals Kerst, Pasen, Chanoeka, het Poerimfeest, Holi Phagwa, ramadan etc.). </w:t>
      </w:r>
    </w:p>
    <w:p w:rsidRPr="006879B5" w:rsidR="002E73DD" w:rsidP="002E73DD" w:rsidRDefault="002E73DD" w14:paraId="1FD55902" w14:textId="77777777">
      <w:pPr>
        <w:autoSpaceDN/>
        <w:spacing w:after="160" w:line="278" w:lineRule="auto"/>
        <w:textAlignment w:val="auto"/>
        <w:rPr>
          <w:rFonts w:eastAsia="Calibri" w:cs="Calibri"/>
          <w:color w:val="auto"/>
          <w:kern w:val="2"/>
          <w:lang w:eastAsia="en-US"/>
          <w14:ligatures w14:val="standardContextual"/>
        </w:rPr>
      </w:pPr>
      <w:r w:rsidRPr="006879B5">
        <w:rPr>
          <w:rFonts w:eastAsia="Calibri" w:cs="Times New Roman"/>
          <w:color w:val="auto"/>
          <w:kern w:val="2"/>
          <w:lang w:eastAsia="en-US"/>
          <w14:ligatures w14:val="standardContextual"/>
        </w:rPr>
        <w:t>De betrokkenheid van de politie bij dergelijke bijeenkomsten heeft zich in de loop der jaren ontwikkeld vanuit lokale initiatieven in verschillende eenheden en is ontstaan vanuit de behoefte om contact te onderhouden met gemeenschappen, maatschappelijke</w:t>
      </w:r>
      <w:r w:rsidRPr="006879B5">
        <w:rPr>
          <w:rFonts w:eastAsia="Calibri" w:cs="Calibri"/>
          <w:color w:val="auto"/>
          <w:kern w:val="2"/>
          <w:lang w:eastAsia="en-US"/>
          <w14:ligatures w14:val="standardContextual"/>
        </w:rPr>
        <w:t xml:space="preserve"> partners en netwerkorganisaties. De politie maakt daarbij geen onderscheid tussen religieuze, levensbeschouwelijke of culturele groepen.</w:t>
      </w:r>
    </w:p>
    <w:p w:rsidRPr="006879B5" w:rsidR="002E73DD" w:rsidP="002E73DD" w:rsidRDefault="002E73DD" w14:paraId="56C45E91" w14:textId="77777777">
      <w:pPr>
        <w:autoSpaceDN/>
        <w:spacing w:after="160" w:line="278" w:lineRule="auto"/>
        <w:textAlignment w:val="auto"/>
        <w:rPr>
          <w:rFonts w:eastAsia="Calibri" w:cs="Times New Roman"/>
          <w:color w:val="auto"/>
          <w:kern w:val="2"/>
          <w:lang w:eastAsia="en-US"/>
          <w14:ligatures w14:val="standardContextual"/>
        </w:rPr>
      </w:pPr>
      <w:r w:rsidRPr="006879B5">
        <w:rPr>
          <w:rFonts w:eastAsia="Calibri" w:cs="Times New Roman"/>
          <w:color w:val="auto"/>
          <w:kern w:val="2"/>
          <w:lang w:eastAsia="en-US"/>
          <w14:ligatures w14:val="standardContextual"/>
        </w:rPr>
        <w:t xml:space="preserve">De politie vertegenwoordigt de wet in een seculiere rechtsstaat, waar religie en staat gescheiden zijn. Een geüniformeerde agent is een bijzondere vertegenwoordiger van de overheid. Dit brengt een grote verantwoordelijkheid met zich mee en vereist een neutrale uitstraling. Elk vermoeden van aantasting van die neutrale uitstraling moet om die reden worden vermeden. </w:t>
      </w:r>
    </w:p>
    <w:p w:rsidRPr="006879B5" w:rsidR="00E86E8D" w:rsidP="0049565B" w:rsidRDefault="00347691" w14:paraId="76BF6FE6" w14:textId="4DEDCFC3">
      <w:pPr>
        <w:autoSpaceDN/>
        <w:spacing w:after="160" w:line="278" w:lineRule="auto"/>
        <w:textAlignment w:val="auto"/>
        <w:rPr>
          <w:rFonts w:eastAsia="Calibri" w:cs="Times New Roman"/>
          <w:color w:val="auto"/>
          <w:kern w:val="2"/>
          <w:lang w:eastAsia="en-US"/>
          <w14:ligatures w14:val="standardContextual"/>
        </w:rPr>
      </w:pPr>
      <w:r w:rsidRPr="006879B5">
        <w:rPr>
          <w:rFonts w:eastAsia="Calibri" w:cs="Times New Roman"/>
          <w:color w:val="auto"/>
          <w:kern w:val="2"/>
          <w:lang w:eastAsia="en-US"/>
          <w14:ligatures w14:val="standardContextual"/>
        </w:rPr>
        <w:t xml:space="preserve">Dit betekent dat politiemedewerkers zich te allen tijde opstellen als een representant van de seculiere overheid. Daarom onderschrijven de korpschef en ik het uitgangspunt dat het geoorloofd is dat politiemedewerkers </w:t>
      </w:r>
      <w:r w:rsidRPr="006879B5" w:rsidR="00E86E8D">
        <w:rPr>
          <w:rFonts w:eastAsia="Calibri" w:cs="Times New Roman"/>
          <w:color w:val="auto"/>
          <w:kern w:val="2"/>
          <w:lang w:eastAsia="en-US"/>
          <w14:ligatures w14:val="standardContextual"/>
        </w:rPr>
        <w:t xml:space="preserve">externe </w:t>
      </w:r>
      <w:r w:rsidRPr="006879B5">
        <w:rPr>
          <w:rFonts w:eastAsia="Calibri" w:cs="Times New Roman"/>
          <w:color w:val="auto"/>
          <w:kern w:val="2"/>
          <w:lang w:eastAsia="en-US"/>
          <w14:ligatures w14:val="standardContextual"/>
        </w:rPr>
        <w:t>bijeenkomsten gelieerd aan religie bezoeken, maar dat zij daarbij geen religieuze uitingen mogen doen tijdens hun dienst</w:t>
      </w:r>
      <w:r w:rsidRPr="006879B5" w:rsidR="00525E22">
        <w:rPr>
          <w:rFonts w:eastAsia="Calibri" w:cs="Times New Roman"/>
          <w:color w:val="auto"/>
          <w:kern w:val="2"/>
          <w:lang w:eastAsia="en-US"/>
          <w14:ligatures w14:val="standardContextual"/>
        </w:rPr>
        <w:t xml:space="preserve"> en</w:t>
      </w:r>
      <w:r w:rsidRPr="006879B5">
        <w:rPr>
          <w:rFonts w:eastAsia="Calibri" w:cs="Times New Roman"/>
          <w:color w:val="auto"/>
          <w:kern w:val="2"/>
          <w:lang w:eastAsia="en-US"/>
          <w14:ligatures w14:val="standardContextual"/>
        </w:rPr>
        <w:t xml:space="preserve"> in uniform, door zelf actief deel te nemen aan rituelen (zoals bidden, zingen, reciteren, andere rituelen) of door religieuze rituelen te begeleiden (zoals oproepen tot gebed, zingen, reciteren, andere rituelen). </w:t>
      </w:r>
    </w:p>
    <w:p w:rsidRPr="006879B5" w:rsidR="007E664E" w:rsidP="0049565B" w:rsidRDefault="00BB5FE0" w14:paraId="53A066C6" w14:textId="19D649D0">
      <w:pPr>
        <w:autoSpaceDN/>
        <w:spacing w:after="160" w:line="278" w:lineRule="auto"/>
        <w:textAlignment w:val="auto"/>
        <w:rPr>
          <w:rFonts w:eastAsia="Calibri" w:cs="Times New Roman"/>
          <w:color w:val="auto"/>
          <w:kern w:val="2"/>
          <w:lang w:eastAsia="en-US"/>
          <w14:ligatures w14:val="standardContextual"/>
        </w:rPr>
      </w:pPr>
      <w:r w:rsidRPr="006879B5">
        <w:rPr>
          <w:rFonts w:eastAsia="Calibri" w:cs="Calibri"/>
          <w:color w:val="auto"/>
          <w:kern w:val="2"/>
          <w:lang w:eastAsia="en-US"/>
          <w14:ligatures w14:val="standardContextual"/>
        </w:rPr>
        <w:t xml:space="preserve">Met de korpschef heb ik afgesproken om te komen tot meer duidelijkheid over de kaders waarbinnen dergelijke activiteiten kunnen plaatsvinden. Hier zal ik </w:t>
      </w:r>
      <w:r w:rsidRPr="006879B5">
        <w:rPr>
          <w:rFonts w:eastAsia="Calibri" w:cs="Times New Roman"/>
          <w:color w:val="auto"/>
          <w:kern w:val="2"/>
          <w:lang w:eastAsia="en-US"/>
          <w14:ligatures w14:val="standardContextual"/>
        </w:rPr>
        <w:t>de door u</w:t>
      </w:r>
      <w:r w:rsidRPr="006879B5" w:rsidR="00AD4FA4">
        <w:rPr>
          <w:rFonts w:eastAsia="Calibri" w:cs="Times New Roman"/>
          <w:color w:val="auto"/>
          <w:kern w:val="2"/>
          <w:lang w:eastAsia="en-US"/>
          <w14:ligatures w14:val="standardContextual"/>
        </w:rPr>
        <w:t xml:space="preserve">w Kamer </w:t>
      </w:r>
      <w:r w:rsidRPr="006879B5">
        <w:rPr>
          <w:rFonts w:eastAsia="Calibri" w:cs="Times New Roman"/>
          <w:color w:val="auto"/>
          <w:kern w:val="2"/>
          <w:lang w:eastAsia="en-US"/>
          <w14:ligatures w14:val="standardContextual"/>
        </w:rPr>
        <w:t>aangenomen</w:t>
      </w:r>
      <w:r w:rsidRPr="006879B5" w:rsidR="00AD4FA4">
        <w:rPr>
          <w:rFonts w:eastAsia="Calibri" w:cs="Times New Roman"/>
          <w:color w:val="auto"/>
          <w:kern w:val="2"/>
          <w:lang w:eastAsia="en-US"/>
          <w14:ligatures w14:val="standardContextual"/>
        </w:rPr>
        <w:t xml:space="preserve"> motie Coenradie c.s. (TK 29 628, nr 1340)</w:t>
      </w:r>
      <w:r w:rsidRPr="006879B5">
        <w:rPr>
          <w:rFonts w:eastAsia="Calibri" w:cs="Times New Roman"/>
          <w:color w:val="auto"/>
          <w:kern w:val="2"/>
          <w:lang w:eastAsia="en-US"/>
          <w14:ligatures w14:val="standardContextual"/>
        </w:rPr>
        <w:t xml:space="preserve"> in</w:t>
      </w:r>
      <w:r w:rsidRPr="006879B5" w:rsidR="00AD4FA4">
        <w:rPr>
          <w:rFonts w:eastAsia="Calibri" w:cs="Times New Roman"/>
          <w:color w:val="auto"/>
          <w:kern w:val="2"/>
          <w:lang w:eastAsia="en-US"/>
          <w14:ligatures w14:val="standardContextual"/>
        </w:rPr>
        <w:t xml:space="preserve"> </w:t>
      </w:r>
      <w:r w:rsidRPr="006879B5">
        <w:rPr>
          <w:rFonts w:eastAsia="Calibri" w:cs="Times New Roman"/>
          <w:color w:val="auto"/>
          <w:kern w:val="2"/>
          <w:lang w:eastAsia="en-US"/>
          <w14:ligatures w14:val="standardContextual"/>
        </w:rPr>
        <w:t>meenemen</w:t>
      </w:r>
      <w:r w:rsidRPr="006879B5" w:rsidR="00AD4FA4">
        <w:rPr>
          <w:rFonts w:eastAsia="Calibri" w:cs="Times New Roman"/>
          <w:color w:val="auto"/>
          <w:kern w:val="2"/>
          <w:lang w:eastAsia="en-US"/>
          <w14:ligatures w14:val="standardContextual"/>
        </w:rPr>
        <w:t>.</w:t>
      </w:r>
      <w:r w:rsidRPr="006879B5">
        <w:rPr>
          <w:rFonts w:eastAsia="Calibri" w:cs="Times New Roman"/>
          <w:color w:val="auto"/>
          <w:kern w:val="2"/>
          <w:lang w:eastAsia="en-US"/>
          <w14:ligatures w14:val="standardContextual"/>
        </w:rPr>
        <w:t xml:space="preserve"> </w:t>
      </w:r>
      <w:r w:rsidRPr="006879B5" w:rsidR="00AD4FA4">
        <w:rPr>
          <w:rFonts w:eastAsia="Calibri" w:cs="Times New Roman"/>
          <w:color w:val="auto"/>
          <w:kern w:val="2"/>
          <w:lang w:eastAsia="en-US"/>
          <w14:ligatures w14:val="standardContextual"/>
        </w:rPr>
        <w:t xml:space="preserve">Ik zal u </w:t>
      </w:r>
      <w:r w:rsidRPr="006879B5">
        <w:rPr>
          <w:rFonts w:eastAsia="Calibri" w:cs="Times New Roman"/>
          <w:color w:val="auto"/>
          <w:kern w:val="2"/>
          <w:lang w:eastAsia="en-US"/>
          <w14:ligatures w14:val="standardContextual"/>
        </w:rPr>
        <w:t xml:space="preserve">hier </w:t>
      </w:r>
      <w:r w:rsidRPr="006879B5" w:rsidR="00AD4FA4">
        <w:rPr>
          <w:rFonts w:eastAsia="Calibri" w:cs="Times New Roman"/>
          <w:color w:val="auto"/>
          <w:kern w:val="2"/>
          <w:lang w:eastAsia="en-US"/>
          <w14:ligatures w14:val="standardContextual"/>
        </w:rPr>
        <w:t xml:space="preserve">bij het tweede Halfjaarbericht politie </w:t>
      </w:r>
      <w:r w:rsidRPr="006879B5">
        <w:rPr>
          <w:rFonts w:eastAsia="Calibri" w:cs="Times New Roman"/>
          <w:color w:val="auto"/>
          <w:kern w:val="2"/>
          <w:lang w:eastAsia="en-US"/>
          <w14:ligatures w14:val="standardContextual"/>
        </w:rPr>
        <w:t xml:space="preserve">nader over </w:t>
      </w:r>
      <w:r w:rsidRPr="006879B5" w:rsidR="00AD4FA4">
        <w:rPr>
          <w:rFonts w:eastAsia="Calibri" w:cs="Times New Roman"/>
          <w:color w:val="auto"/>
          <w:kern w:val="2"/>
          <w:lang w:eastAsia="en-US"/>
          <w14:ligatures w14:val="standardContextual"/>
        </w:rPr>
        <w:t>informeren.</w:t>
      </w:r>
    </w:p>
    <w:p w:rsidRPr="006879B5" w:rsidR="002A287D" w:rsidP="002A287D" w:rsidRDefault="002A287D" w14:paraId="6B2DC54B" w14:textId="51CCCD38">
      <w:pPr>
        <w:pStyle w:val="Kop2"/>
      </w:pPr>
      <w:r w:rsidRPr="006879B5">
        <w:t>Motie Struijs</w:t>
      </w:r>
      <w:r w:rsidRPr="006879B5" w:rsidR="0049565B">
        <w:t xml:space="preserve"> </w:t>
      </w:r>
      <w:r w:rsidRPr="006879B5">
        <w:t>(50Plus) over regelen dat politie-uniformen en herkenbare politie-uitrusting niet langer online te koop zijn voor onbevoegden</w:t>
      </w:r>
      <w:r w:rsidRPr="006879B5" w:rsidR="005A3D08">
        <w:rPr>
          <w:rStyle w:val="Voetnootmarkering"/>
        </w:rPr>
        <w:t xml:space="preserve"> </w:t>
      </w:r>
      <w:r w:rsidRPr="006879B5" w:rsidR="005A3D08">
        <w:rPr>
          <w:rStyle w:val="Voetnootmarkering"/>
        </w:rPr>
        <w:footnoteReference w:id="51"/>
      </w:r>
    </w:p>
    <w:p w:rsidRPr="006879B5" w:rsidR="00D06114" w:rsidP="00D06114" w:rsidRDefault="00D06114" w14:paraId="18B802F5" w14:textId="77777777"/>
    <w:p w:rsidRPr="006879B5" w:rsidR="00D06114" w:rsidP="00D06114" w:rsidRDefault="00D06114" w14:paraId="02029C63" w14:textId="77777777">
      <w:r w:rsidRPr="006879B5">
        <w:t>De motie Struijs (50Plus) verzoekt de regering onder andere te regelen dat politie-uniformen en herkenbare politie-uitrusting niet langer online te koop zijn voor onbevoegden. Het verkopen van een politie-uniform is momenteel al verboden. Via het intellectueel eigendomsrecht kan de verkoop van nep politie-uniformen worden aangepakt.</w:t>
      </w:r>
      <w:r w:rsidRPr="006879B5">
        <w:rPr>
          <w:rStyle w:val="Voetnootmarkering"/>
        </w:rPr>
        <w:footnoteReference w:id="52"/>
      </w:r>
    </w:p>
    <w:p w:rsidRPr="006879B5" w:rsidR="00D06114" w:rsidP="00D06114" w:rsidRDefault="00D06114" w14:paraId="70BC4DD9" w14:textId="77777777"/>
    <w:p w:rsidRPr="006879B5" w:rsidR="00D06114" w:rsidP="00D06114" w:rsidRDefault="00D06114" w14:paraId="39362375" w14:textId="77777777">
      <w:r w:rsidRPr="006879B5">
        <w:t>De politie houdt de online verkoop van nep-uniformen nauwlettend in de gaten. De politie handhaaft reeds op schendingen van het modelrecht op het politie-uniform en van het merkrecht op het politielogo, onder meer door aanbiedingen van namaakuniformen en namaakpolitielogo’s van internet te laten verwijderen. Daarnaast kan misbruik van onechte politie-uniformen door iedereen gemeld worden op politie.nl. Hier wordt actief gebruik van gemaakt.</w:t>
      </w:r>
    </w:p>
    <w:p w:rsidRPr="006879B5" w:rsidR="00D06114" w:rsidP="00D06114" w:rsidRDefault="00D06114" w14:paraId="520DE55C" w14:textId="77777777"/>
    <w:p w:rsidRPr="006879B5" w:rsidR="00D06114" w:rsidP="00D06114" w:rsidRDefault="00D06114" w14:paraId="6CFB20C3" w14:textId="77777777">
      <w:r w:rsidRPr="006879B5">
        <w:t>Daarnaast verzoekt de motie Struijs te zorgen voor landelijke voorlichting over het herkennen van nepagenten, met speciale aandacht voor ouderen. De politie is al actief bezig met de aanpak van nepagenten. Op www.politie.nl staan tips over hoe je kan voorkomen dat je slachtoffer van nepagenten wordt en een handelingsperspectief voor als je slachtoffer bent geworden van ‘nepagenten’. Ook liep in dit kader afgelopen zomer een succesvolle publiekscampagne met Omroep MAX voor meer awareness en is recent een tweede campagne gestart in samenwerking met Omroep Max. De politie is daarnaast aanwezig om voorlichting te geven in buurthuizen en evenementen waar veel ouderen aanwezig zijn. Zo was de politie aanwezig op de huishoudbeurs met het project “Integrale aanpak online criminaliteit”, een programma vanuit de ministeries van Economische Zaken en Klimaat, Financiën en Justitie en Veiligheid en enkele andere partijen. Verder is de voorlichtingscampagne van Omroep Max recent ook in het Nedersaksisch vertaald, om beter aan te sluiten bij de doelgroep.</w:t>
      </w:r>
    </w:p>
    <w:p w:rsidRPr="006879B5" w:rsidR="00D06114" w:rsidP="00D06114" w:rsidRDefault="00D06114" w14:paraId="07EFA8C8" w14:textId="77777777"/>
    <w:p w:rsidRPr="006879B5" w:rsidR="002A287D" w:rsidP="002A287D" w:rsidRDefault="00D06114" w14:paraId="159D30C4" w14:textId="1C60D5A9">
      <w:r w:rsidRPr="006879B5">
        <w:t xml:space="preserve">Hiermee beschouw ik de motie als afgedaan. </w:t>
      </w:r>
    </w:p>
    <w:p w:rsidRPr="006879B5" w:rsidR="00224DB8" w:rsidP="00224DB8" w:rsidRDefault="00224DB8" w14:paraId="5CB482BB" w14:textId="39561243">
      <w:pPr>
        <w:pStyle w:val="Kop2"/>
      </w:pPr>
      <w:r w:rsidRPr="006879B5">
        <w:t xml:space="preserve">Motie </w:t>
      </w:r>
      <w:r w:rsidRPr="006879B5" w:rsidR="00BC4841">
        <w:t xml:space="preserve">Mutluer </w:t>
      </w:r>
      <w:r w:rsidRPr="006879B5">
        <w:t>(</w:t>
      </w:r>
      <w:r w:rsidRPr="006879B5" w:rsidR="00510A31">
        <w:t>PRO</w:t>
      </w:r>
      <w:r w:rsidRPr="006879B5">
        <w:t>) over de opgedane ervaringen uit de Taskforce Onze hulpverleners veilig uitwerken tot een rijksprogramma</w:t>
      </w:r>
      <w:r w:rsidRPr="006879B5" w:rsidR="005A3D08">
        <w:rPr>
          <w:rStyle w:val="Voetnootmarkering"/>
        </w:rPr>
        <w:footnoteReference w:id="53"/>
      </w:r>
    </w:p>
    <w:p w:rsidRPr="006879B5" w:rsidR="00DF3DA0" w:rsidP="00DF3DA0" w:rsidRDefault="00DF3DA0" w14:paraId="678B6B1A" w14:textId="77777777"/>
    <w:p w:rsidRPr="006879B5" w:rsidR="00DF3DA0" w:rsidP="00DF3DA0" w:rsidRDefault="00DF3DA0" w14:paraId="1254D61B" w14:textId="77777777">
      <w:r w:rsidRPr="006879B5">
        <w:t xml:space="preserve">Tijdens het plenaire debat op 21 januari jl., over geweld tegen politie en hulpverleners en de hufterigheid in de samenleving, is de volgende motie door lid Mutluer c.s. ingediend: ‘Verzoekt de regering om de opgedane ervaringen uit de taskforce, onder regie van Justitie en Veiligheid en samen met BZK en betrokken partners, uit te werken tot een Rijksprogramma ter bescherming van hulpverleners, en de Kamer hierover te informeren’. Naar aanleiding van deze motie informeer ik uw Kamer als volgt.  </w:t>
      </w:r>
    </w:p>
    <w:p w:rsidRPr="006879B5" w:rsidR="00DF3DA0" w:rsidP="00DF3DA0" w:rsidRDefault="00DF3DA0" w14:paraId="5BA67737" w14:textId="77777777"/>
    <w:p w:rsidRPr="006879B5" w:rsidR="00DF3DA0" w:rsidP="00DF3DA0" w:rsidRDefault="00DF3DA0" w14:paraId="1C3855AB" w14:textId="77777777">
      <w:r w:rsidRPr="006879B5">
        <w:t>In 2019 is de Taskforce ‘Onze hulpverleners veilig’ voor een periode van vijf jaar ingesteld en gefinancierd, om bij te dragen aan een zinvolle aanvullende aanpak van agressie en geweld tegen hulpverleners (specifiek de brandweer, de politie en de boa’s). Deze Taskforce richtte zich op veilig werkgeverschap, jeugd, aangiftebereidheid en kennis en onderzoek en bracht organisaties met een publieke taak voor dit thema bij elkaar. In het eerste kwartaal van 2026 is de Taskforce beëindigd, met borging in de staande organisatie. De borging van deze Taskforce ziet er als volgt uit.</w:t>
      </w:r>
    </w:p>
    <w:p w:rsidRPr="006879B5" w:rsidR="00DF3DA0" w:rsidP="00DF3DA0" w:rsidRDefault="00DF3DA0" w14:paraId="383B4F0C" w14:textId="77777777"/>
    <w:p w:rsidRPr="006879B5" w:rsidR="00DF3DA0" w:rsidP="00DF3DA0" w:rsidRDefault="00DF3DA0" w14:paraId="5654559A" w14:textId="77777777">
      <w:pPr>
        <w:rPr>
          <w:u w:val="single"/>
        </w:rPr>
      </w:pPr>
      <w:r w:rsidRPr="006879B5">
        <w:rPr>
          <w:u w:val="single"/>
        </w:rPr>
        <w:t>Werkgevers-, beleid- en stelselverantwoordelijkheid</w:t>
      </w:r>
    </w:p>
    <w:p w:rsidRPr="006879B5" w:rsidR="00DF3DA0" w:rsidP="00DF3DA0" w:rsidRDefault="00DF3DA0" w14:paraId="7C64D167" w14:textId="77777777">
      <w:r w:rsidRPr="006879B5">
        <w:t xml:space="preserve">Vanuit de werkgeversverantwoordelijkheid dienen werkgevers beleid vast te stellen, op basis van Risico-inventarisatie &amp; evaluatie, om werknemers te beschermen tegen agressie en geweld op hun werk, zoals vastgelegd in de Arbowet. De Arbeidsinspectie handhaaft hierop. De werkgevers-, beleids- en/of stelselverantwoordelijkheid met betrekking tot politiemedewerkers, brandweer, boa’s, DJI, RvdK, CJIB, reclassering, COA, DT&amp;V en IND zijn belegd binnen mijn ministerie. </w:t>
      </w:r>
    </w:p>
    <w:p w:rsidRPr="006879B5" w:rsidR="00DF3DA0" w:rsidP="00DF3DA0" w:rsidRDefault="00DF3DA0" w14:paraId="42C2622A" w14:textId="77777777"/>
    <w:p w:rsidRPr="006879B5" w:rsidR="00DF3DA0" w:rsidP="00DF3DA0" w:rsidRDefault="00DF3DA0" w14:paraId="363CC7F0" w14:textId="77777777">
      <w:r w:rsidRPr="006879B5">
        <w:t xml:space="preserve">Voor de werkgeversverantwoordelijkheid met betrekking tot de politiemedewerkers betekent dit dat er, samen met de politie, gewerkt wordt aan maatregelen om politiemedewerkers in staat te stellen om geweld waar mogelijk te voorkomen, zich erop voor te bereiden en passend bij de betreffende situatie te </w:t>
      </w:r>
      <w:r w:rsidRPr="006879B5">
        <w:lastRenderedPageBreak/>
        <w:t>kunnen handelen, zowel in de initiële opleiding als daarna in de verschillende vakspecialistische opleidingen. Ook zijn er de afgelopen jaren stappen gezet op het gebied van zorg en nazorg voor politiemedewerkers die te maken krijgen met geweld. Voorbeelden hiervan zijn de inrichting van het nieuwe stelsel beroepsgerelateerde gezondheidsklachten, het programma Specifieke Aandacht en Zorg ter verbetering van de zorgketen, het aanbod van geestelijke nazorg en (juridische) bijstand, het Sociaal Loket voor vragen van politiemedewerkers en/of het thuisfront en de landelijke registratie applicatie voor geweld tegen politiemedewerkers.</w:t>
      </w:r>
    </w:p>
    <w:p w:rsidRPr="006879B5" w:rsidR="00DF3DA0" w:rsidP="00DF3DA0" w:rsidRDefault="00DF3DA0" w14:paraId="54CF247E" w14:textId="77777777"/>
    <w:p w:rsidRPr="006879B5" w:rsidR="00DF3DA0" w:rsidP="00DF3DA0" w:rsidRDefault="00DF3DA0" w14:paraId="29B7DB9A" w14:textId="77777777">
      <w:pPr>
        <w:rPr>
          <w:u w:val="single"/>
        </w:rPr>
      </w:pPr>
      <w:r w:rsidRPr="006879B5">
        <w:rPr>
          <w:u w:val="single"/>
        </w:rPr>
        <w:t>Vervolgingsbeleid en opsporingsbeleid</w:t>
      </w:r>
    </w:p>
    <w:p w:rsidRPr="006879B5" w:rsidR="00DF3DA0" w:rsidP="00DF3DA0" w:rsidRDefault="00DF3DA0" w14:paraId="0D707705" w14:textId="15C649BF">
      <w:r w:rsidRPr="006879B5">
        <w:t xml:space="preserve">Het OM gaat over vervolgingsbeleid van Veilig Publieke Taak (VPT)-delicten. Onderdeel hiervan is de strafeis van het OM en de herziening van de Eenduidige Landelijke Afspraken (ELA) tussen politie en het Openbaar Ministerie. De ELA richt zich op de een eenduidige, effectieve en snelle afhandeling van agressie en geweld tegen functionarissen met een publieke taak door politie en OM. Daarnaast wordt er ondersteuning geboden aan lokale overheden om agressie en intimidatie, naast het strafrecht, op andere wijze af te doen. </w:t>
      </w:r>
    </w:p>
    <w:p w:rsidRPr="006879B5" w:rsidR="00DF3DA0" w:rsidP="00DF3DA0" w:rsidRDefault="00DF3DA0" w14:paraId="2E92A6A7" w14:textId="77777777"/>
    <w:p w:rsidRPr="006879B5" w:rsidR="00DF3DA0" w:rsidP="00DF3DA0" w:rsidRDefault="00DF3DA0" w14:paraId="4B10121C" w14:textId="77777777">
      <w:pPr>
        <w:rPr>
          <w:u w:val="single"/>
        </w:rPr>
      </w:pPr>
      <w:r w:rsidRPr="006879B5">
        <w:rPr>
          <w:u w:val="single"/>
        </w:rPr>
        <w:t>Programma ‘Voorbereid op agressie en geweld’</w:t>
      </w:r>
    </w:p>
    <w:p w:rsidRPr="006879B5" w:rsidR="00DF3DA0" w:rsidP="00DF3DA0" w:rsidRDefault="00DF3DA0" w14:paraId="429393EA" w14:textId="4B97190A">
      <w:r w:rsidRPr="006879B5">
        <w:t>Het programma ‘Voorbereid op agressie en geweld’</w:t>
      </w:r>
      <w:r w:rsidRPr="006879B5" w:rsidR="00726C41">
        <w:rPr>
          <w:rStyle w:val="Voetnootmarkering"/>
        </w:rPr>
        <w:footnoteReference w:id="54"/>
      </w:r>
      <w:r w:rsidRPr="006879B5">
        <w:t xml:space="preserve"> richt zich op het versterken van de werkgeversrol bij agressie en geweld bij de organisaties die onder het ministerie van Justitie en Veiligheid vallen. Binnen dit programma is de ‘Baseline preventie, aanpak en zorg bij agressie en geweld’ ontwikkeld. Deze Baseline bevat een groot aantal basisnormen en maatregelen op het gebied van preventie, incidentmanagement, zorg en nazorg voor de medewerkers en hun thuisfront. Naast de implementatie van deze Baseline houdt het programma zich bezig met de ondersteuning van de organisaties en ontwikkelt hiertoe instrumentarium, zoals handreikingen voor het doen van aangifte en het verhalen van schade op de dader. De kennis en onderzoekfunctie van de Taskforce wordt binnen dit programma geborgd, geactualiseerd en qua doelgroep uitgebreid naar organisaties vallend onder de verantwoordelijkheid van het ministerie van Justitie en Veiligheid.</w:t>
      </w:r>
    </w:p>
    <w:p w:rsidRPr="006879B5" w:rsidR="00DF3DA0" w:rsidP="00DF3DA0" w:rsidRDefault="00DF3DA0" w14:paraId="329E4662" w14:textId="77777777"/>
    <w:p w:rsidRPr="006879B5" w:rsidR="00DF3DA0" w:rsidP="00DF3DA0" w:rsidRDefault="00DF3DA0" w14:paraId="7CFEF74A" w14:textId="77777777">
      <w:pPr>
        <w:rPr>
          <w:u w:val="single"/>
        </w:rPr>
      </w:pPr>
      <w:r w:rsidRPr="006879B5">
        <w:rPr>
          <w:u w:val="single"/>
        </w:rPr>
        <w:t>Leernetwerk-VPT-beroepsgroepen</w:t>
      </w:r>
    </w:p>
    <w:p w:rsidRPr="006879B5" w:rsidR="002A287D" w:rsidP="002A287D" w:rsidRDefault="00DF3DA0" w14:paraId="715EB5BB" w14:textId="35A702E3">
      <w:r w:rsidRPr="006879B5">
        <w:t>Om de samenwerking</w:t>
      </w:r>
      <w:r w:rsidRPr="006879B5" w:rsidR="00D40266">
        <w:t>,</w:t>
      </w:r>
      <w:r w:rsidRPr="006879B5">
        <w:t xml:space="preserve"> tussen de verschillende departementen, uitvoeringsorganisaties en andere VPT-beroepsgroepen</w:t>
      </w:r>
      <w:r w:rsidRPr="006879B5" w:rsidR="00D40266">
        <w:t>,</w:t>
      </w:r>
      <w:r w:rsidRPr="006879B5">
        <w:t xml:space="preserve"> te intensiveren </w:t>
      </w:r>
      <w:r w:rsidRPr="006879B5" w:rsidR="00D40266">
        <w:t xml:space="preserve">verkent </w:t>
      </w:r>
      <w:r w:rsidRPr="006879B5">
        <w:t xml:space="preserve">het ministerie van Binnenlandse </w:t>
      </w:r>
      <w:r w:rsidRPr="006879B5" w:rsidR="00910315">
        <w:t xml:space="preserve">Zaken </w:t>
      </w:r>
      <w:r w:rsidRPr="006879B5" w:rsidR="00D40266">
        <w:t>de mogelijkheden voor de inrichting van</w:t>
      </w:r>
      <w:r w:rsidRPr="006879B5">
        <w:t xml:space="preserve"> een leernetwerk vanuit hun verantwoordelijkheid voor een veilige publieke dienstverlening. Dit leernetwerk heeft als doel om kennis en kunde van de verschillende sectoren en departementen uit te wisselen. Hiermee wordt de verbindende rol van de Taskforce geborgd en daarmee de motie van lid Mutluer c.s. afgedaan. </w:t>
      </w:r>
    </w:p>
    <w:p w:rsidRPr="006879B5" w:rsidR="006846D8" w:rsidP="002A287D" w:rsidRDefault="006846D8" w14:paraId="6BD92895" w14:textId="77777777"/>
    <w:p w:rsidRPr="006879B5" w:rsidR="000C0143" w:rsidP="000C0143" w:rsidRDefault="000C0143" w14:paraId="6F7F6873" w14:textId="77777777">
      <w:pPr>
        <w:pStyle w:val="Kop2"/>
      </w:pPr>
      <w:r w:rsidRPr="006879B5">
        <w:t>Toezegging om met de minister van LVVN in gesprek te gaan over of onderzoek naar de aard en omvang van door agrariërs ervaren agro intimidatie en bedreigingen mogelijk is</w:t>
      </w:r>
      <w:r w:rsidRPr="006879B5">
        <w:rPr>
          <w:rStyle w:val="Voetnootmarkering"/>
        </w:rPr>
        <w:t xml:space="preserve"> </w:t>
      </w:r>
      <w:r w:rsidRPr="006879B5">
        <w:rPr>
          <w:rStyle w:val="Voetnootmarkering"/>
        </w:rPr>
        <w:footnoteReference w:id="55"/>
      </w:r>
      <w:r w:rsidRPr="006879B5">
        <w:t xml:space="preserve"> </w:t>
      </w:r>
    </w:p>
    <w:p w:rsidRPr="006879B5" w:rsidR="000C0143" w:rsidP="000C0143" w:rsidRDefault="000C0143" w14:paraId="05D6FD8A" w14:textId="77777777"/>
    <w:p w:rsidRPr="006879B5" w:rsidR="000C0143" w:rsidP="000C0143" w:rsidRDefault="000C0143" w14:paraId="23C9510E" w14:textId="349E01C5">
      <w:r w:rsidRPr="006879B5">
        <w:lastRenderedPageBreak/>
        <w:t>Tijdens de begrotingsbehandeling van Justitie en Veiligheid heeft mijn ambtsvoorganger toegezegd gezamenlijk met het ministerie van Landbouw, Visserij, Voedselzekerheid en Natuur te bekijken hoe een onderzoek naar de aard, omvang en achtergrond van agressie tegen agrariërs vorm kan krijgen. Inmiddels heeft het WODC een onderzoek hiernaar opgenomen in het onderzoeksprogramma 2026 – 1e tranche. Zodra het onderzoek afgerond is zal ik uw Kamer hierover informeren. De resultaten verwacht ik begin 2028.</w:t>
      </w:r>
      <w:r w:rsidRPr="006879B5" w:rsidR="00525E22">
        <w:t xml:space="preserve"> </w:t>
      </w:r>
      <w:r w:rsidRPr="006879B5">
        <w:t>Daarmee doe ik de toezegging aan uw Kamer gestand en zal ik uw Kamer na afronding van het onderzoek informeren</w:t>
      </w:r>
      <w:r w:rsidRPr="006879B5" w:rsidR="00525E22">
        <w:t>.</w:t>
      </w:r>
    </w:p>
    <w:p w:rsidRPr="006879B5" w:rsidR="0052402F" w:rsidP="0052402F" w:rsidRDefault="00A0266D" w14:paraId="6D4F7156" w14:textId="0245016C">
      <w:pPr>
        <w:pStyle w:val="Kop2"/>
      </w:pPr>
      <w:bookmarkStart w:name="_Hlk231481897" w:id="15"/>
      <w:r w:rsidRPr="006879B5">
        <w:t>Update v</w:t>
      </w:r>
      <w:r w:rsidRPr="006879B5" w:rsidR="0052402F">
        <w:t>ervanging stroomstootwapen politie</w:t>
      </w:r>
    </w:p>
    <w:bookmarkEnd w:id="15"/>
    <w:p w:rsidRPr="006879B5" w:rsidR="0052402F" w:rsidP="0052402F" w:rsidRDefault="0052402F" w14:paraId="1BBBE236" w14:textId="77777777"/>
    <w:p w:rsidRPr="006879B5" w:rsidR="0052402F" w:rsidP="0052402F" w:rsidRDefault="0052402F" w14:paraId="11E1EFBC" w14:textId="77777777">
      <w:r w:rsidRPr="006879B5">
        <w:t>Politieambtenaren van een basisteam of een flexteam beschikken in beginsel over een stroomstootwapen wanneer zij worden ingezet voor de dienst waarin noodhulp wordt uitgevoerd. Daarnaast behoort het stroomstootwapen ook tot de bewapening van de Dienst Speciale Interventies (DSI). Beide groepen zijn bewapend met een stroomstootwapen van het merk Taser, type X2.</w:t>
      </w:r>
    </w:p>
    <w:p w:rsidRPr="006879B5" w:rsidR="0052402F" w:rsidP="0052402F" w:rsidRDefault="0052402F" w14:paraId="23B6C907" w14:textId="77777777"/>
    <w:p w:rsidRPr="006879B5" w:rsidR="0052402F" w:rsidP="0052402F" w:rsidRDefault="0052402F" w14:paraId="364AE131" w14:textId="77777777">
      <w:pPr>
        <w:pStyle w:val="Plattetekst"/>
        <w:kinsoku w:val="0"/>
        <w:overflowPunct w:val="0"/>
        <w:ind w:right="28"/>
        <w:rPr>
          <w:rFonts w:ascii="Verdana" w:hAnsi="Verdana" w:cs="Verdana"/>
          <w:kern w:val="0"/>
          <w:sz w:val="18"/>
          <w:szCs w:val="18"/>
        </w:rPr>
      </w:pPr>
      <w:bookmarkStart w:name="bmVoettekst1" w:id="16"/>
      <w:bookmarkStart w:name="referentiegegevens" w:id="17"/>
      <w:bookmarkStart w:name="referentiegegevens_bk" w:id="18"/>
      <w:bookmarkStart w:name="bijlagegegevens" w:id="19"/>
      <w:bookmarkStart w:name="bijlage_bk" w:id="20"/>
      <w:bookmarkStart w:name="cursor" w:id="21"/>
      <w:bookmarkStart w:name="Gd46c2aec170142f6975de1a137d81db3" w:id="22"/>
      <w:bookmarkStart w:name="_top" w:id="23"/>
      <w:bookmarkEnd w:id="16"/>
      <w:bookmarkEnd w:id="17"/>
      <w:bookmarkEnd w:id="18"/>
      <w:bookmarkEnd w:id="19"/>
      <w:bookmarkEnd w:id="20"/>
      <w:bookmarkEnd w:id="21"/>
      <w:bookmarkEnd w:id="22"/>
      <w:bookmarkEnd w:id="23"/>
      <w:r w:rsidRPr="006879B5">
        <w:rPr>
          <w:rFonts w:ascii="Verdana" w:hAnsi="Verdana" w:cs="Verdana"/>
          <w:kern w:val="0"/>
          <w:sz w:val="18"/>
          <w:szCs w:val="18"/>
        </w:rPr>
        <w:t>Axon, de</w:t>
      </w:r>
      <w:r w:rsidRPr="006879B5">
        <w:rPr>
          <w:rFonts w:ascii="Verdana" w:hAnsi="Verdana" w:cs="Verdana"/>
          <w:spacing w:val="-1"/>
          <w:kern w:val="0"/>
          <w:sz w:val="18"/>
          <w:szCs w:val="18"/>
        </w:rPr>
        <w:t xml:space="preserve"> </w:t>
      </w:r>
      <w:r w:rsidRPr="006879B5">
        <w:rPr>
          <w:rFonts w:ascii="Verdana" w:hAnsi="Verdana" w:cs="Verdana"/>
          <w:kern w:val="0"/>
          <w:sz w:val="18"/>
          <w:szCs w:val="18"/>
        </w:rPr>
        <w:t xml:space="preserve">fabrikant van de Taser X2, </w:t>
      </w:r>
      <w:bookmarkStart w:name="woordmerk" w:id="24"/>
      <w:bookmarkStart w:name="woordmerk_bk" w:id="25"/>
      <w:bookmarkEnd w:id="24"/>
      <w:bookmarkEnd w:id="25"/>
      <w:r w:rsidRPr="006879B5">
        <w:rPr>
          <w:rFonts w:ascii="Verdana" w:hAnsi="Verdana" w:cs="Verdana"/>
          <w:kern w:val="0"/>
          <w:sz w:val="18"/>
          <w:szCs w:val="18"/>
        </w:rPr>
        <w:t>heeft de politie eerder geïnformeerd dat de Taser X2 uit de productie zal worden genomen. Dit heeft tot gevolg dat de politie op termijn (naar verwachting in 2028) binnen het huidige contract zal moeten overschakelen naar een nieuw type stroomstootwapen. In eerste instantie zijn de Taser 7 en de Taser 10 als potentieel geschikte opvolgers van het huidige stroomstootwapen in aanmerking genomen.</w:t>
      </w:r>
    </w:p>
    <w:p w:rsidRPr="006879B5" w:rsidR="0052402F" w:rsidP="0052402F" w:rsidRDefault="0052402F" w14:paraId="71ADF1DC" w14:textId="77777777">
      <w:pPr>
        <w:pStyle w:val="Plattetekst"/>
        <w:tabs>
          <w:tab w:val="left" w:pos="6379"/>
        </w:tabs>
        <w:kinsoku w:val="0"/>
        <w:overflowPunct w:val="0"/>
        <w:ind w:right="28"/>
        <w:rPr>
          <w:rFonts w:ascii="Verdana" w:hAnsi="Verdana" w:cs="Verdana"/>
          <w:kern w:val="0"/>
          <w:sz w:val="18"/>
          <w:szCs w:val="18"/>
        </w:rPr>
      </w:pPr>
      <w:r w:rsidRPr="006879B5">
        <w:rPr>
          <w:rFonts w:ascii="Verdana" w:hAnsi="Verdana" w:cs="Verdana"/>
          <w:kern w:val="0"/>
          <w:sz w:val="18"/>
          <w:szCs w:val="18"/>
        </w:rPr>
        <w:t xml:space="preserve">Vervolgens is gekeken naar de eisen die de politie stelt aan de effectiviteit en de veiligheid in het gebruik van het </w:t>
      </w:r>
      <w:r w:rsidRPr="006879B5">
        <w:rPr>
          <w:rFonts w:ascii="Verdana" w:hAnsi="Verdana"/>
          <w:sz w:val="18"/>
          <w:szCs w:val="18"/>
        </w:rPr>
        <w:t>stroomstootwapen</w:t>
      </w:r>
      <w:r w:rsidRPr="006879B5">
        <w:rPr>
          <w:rFonts w:ascii="Verdana" w:hAnsi="Verdana" w:cs="Verdana"/>
          <w:kern w:val="0"/>
          <w:sz w:val="18"/>
          <w:szCs w:val="18"/>
        </w:rPr>
        <w:t>. Om tot een weloverwogen en zorgvuldige beoordeling te kunnen komen, is TNO in 2023 verzocht de Taser 7 en de Taser 10 te onderzoeken in relatie tot de gestelde eisen. Daarbij werd in het bijzonder gekeken naar de verschillen tussen het huidige stroomstootwapen (X2) en de twee potentiële opvolgers. Tijdens de uitvoering van het onderzoek bleken de Taser 7 en de Taser 10 in diverse opzichten van elkaar te verschillen, waardoor de Taser 10 in groeiende mate als potentiële opvolger in beeld kwam, in vergelijking met de Taser 7.</w:t>
      </w:r>
    </w:p>
    <w:p w:rsidRPr="006879B5" w:rsidR="0052402F" w:rsidP="0052402F" w:rsidRDefault="0052402F" w14:paraId="392475B1" w14:textId="77777777">
      <w:pPr>
        <w:pStyle w:val="Plattetekst"/>
        <w:tabs>
          <w:tab w:val="left" w:pos="6379"/>
        </w:tabs>
        <w:kinsoku w:val="0"/>
        <w:overflowPunct w:val="0"/>
        <w:ind w:right="28"/>
        <w:rPr>
          <w:rFonts w:ascii="Verdana" w:hAnsi="Verdana"/>
          <w:sz w:val="18"/>
          <w:szCs w:val="18"/>
        </w:rPr>
      </w:pPr>
      <w:bookmarkStart w:name="_Hlk231482076" w:id="26"/>
      <w:bookmarkStart w:name="_Hlk232078131" w:id="27"/>
      <w:r w:rsidRPr="006879B5">
        <w:rPr>
          <w:rFonts w:ascii="Verdana" w:hAnsi="Verdana"/>
          <w:sz w:val="18"/>
          <w:szCs w:val="18"/>
        </w:rPr>
        <w:t>De eindconclusie van het TNO-onderzoek</w:t>
      </w:r>
      <w:r w:rsidRPr="006879B5">
        <w:rPr>
          <w:rStyle w:val="Voetnootmarkering"/>
          <w:rFonts w:ascii="Verdana" w:hAnsi="Verdana"/>
          <w:sz w:val="18"/>
          <w:szCs w:val="18"/>
        </w:rPr>
        <w:footnoteReference w:id="56"/>
      </w:r>
      <w:bookmarkEnd w:id="26"/>
      <w:r w:rsidRPr="006879B5">
        <w:rPr>
          <w:rFonts w:ascii="Verdana" w:hAnsi="Verdana"/>
          <w:sz w:val="18"/>
          <w:szCs w:val="18"/>
        </w:rPr>
        <w:t xml:space="preserve"> is dat de risico’s van de inzet van de Taser 10, niet hoger zijn dan de risico’s van de inzet van het huidige in gebruik zijnde model Taser X2. Op sommige punten is het risico van de inzet van de Taser 10 zelfs lager dan van de Taser X2. Deze bevindingen maken de weg vrij voor het starten van een operationele beproeving met de Taser 10.</w:t>
      </w:r>
      <w:bookmarkEnd w:id="27"/>
    </w:p>
    <w:p w:rsidRPr="006879B5" w:rsidR="0052402F" w:rsidP="0052402F" w:rsidRDefault="0052402F" w14:paraId="46C3C903" w14:textId="37FA50D6">
      <w:pPr>
        <w:tabs>
          <w:tab w:val="left" w:pos="6379"/>
        </w:tabs>
        <w:ind w:right="28"/>
      </w:pPr>
      <w:r w:rsidRPr="006879B5">
        <w:t>De praktijkbeproeving zal in 2027 van start gaan en plaatsvinden bij één basisteam én de DSI.</w:t>
      </w:r>
    </w:p>
    <w:p w:rsidRPr="006879B5" w:rsidR="00224DB8" w:rsidP="00224DB8" w:rsidRDefault="00224DB8" w14:paraId="0AFD169E" w14:textId="332A1879">
      <w:pPr>
        <w:pStyle w:val="Kop2"/>
      </w:pPr>
      <w:r w:rsidRPr="006879B5">
        <w:t>Onderzoeken forensische geneeskunde</w:t>
      </w:r>
    </w:p>
    <w:p w:rsidRPr="006879B5" w:rsidR="006846D8" w:rsidP="00224DB8" w:rsidRDefault="006846D8" w14:paraId="0711A1FE" w14:textId="77777777"/>
    <w:p w:rsidRPr="006879B5" w:rsidR="006846D8" w:rsidP="006846D8" w:rsidRDefault="006846D8" w14:paraId="2E84D975" w14:textId="5C8F4B8E">
      <w:pPr>
        <w:autoSpaceDN/>
        <w:spacing w:after="160" w:line="259" w:lineRule="auto"/>
        <w:textAlignment w:val="auto"/>
        <w:rPr>
          <w:rFonts w:eastAsia="Calibri" w:cs="Arial"/>
          <w:color w:val="auto"/>
          <w:kern w:val="2"/>
          <w:szCs w:val="22"/>
          <w:lang w:eastAsia="en-US"/>
          <w14:ligatures w14:val="standardContextual"/>
        </w:rPr>
      </w:pPr>
      <w:r w:rsidRPr="006879B5">
        <w:rPr>
          <w:rFonts w:eastAsia="Calibri" w:cs="Arial"/>
          <w:color w:val="auto"/>
          <w:kern w:val="2"/>
          <w:szCs w:val="22"/>
          <w:lang w:eastAsia="en-US"/>
          <w14:ligatures w14:val="standardContextual"/>
        </w:rPr>
        <w:t xml:space="preserve">Samen met de andere stelselverantwoordelijke ministeries, te weten </w:t>
      </w:r>
      <w:r w:rsidRPr="006879B5" w:rsidR="00910315">
        <w:rPr>
          <w:rFonts w:eastAsia="Calibri" w:cs="Arial"/>
          <w:color w:val="auto"/>
          <w:kern w:val="2"/>
          <w:szCs w:val="22"/>
          <w:lang w:eastAsia="en-US"/>
          <w14:ligatures w14:val="standardContextual"/>
        </w:rPr>
        <w:t xml:space="preserve">het ministerie van </w:t>
      </w:r>
      <w:r w:rsidRPr="006879B5">
        <w:rPr>
          <w:rFonts w:eastAsia="Calibri" w:cs="Arial"/>
          <w:color w:val="auto"/>
          <w:kern w:val="2"/>
          <w:szCs w:val="22"/>
          <w:lang w:eastAsia="en-US"/>
          <w14:ligatures w14:val="standardContextual"/>
        </w:rPr>
        <w:t>Volksgezondheid, Welzijn en Sport en</w:t>
      </w:r>
      <w:r w:rsidRPr="006879B5" w:rsidR="00910315">
        <w:rPr>
          <w:rFonts w:eastAsia="Calibri" w:cs="Arial"/>
          <w:color w:val="auto"/>
          <w:kern w:val="2"/>
          <w:szCs w:val="22"/>
          <w:lang w:eastAsia="en-US"/>
          <w14:ligatures w14:val="standardContextual"/>
        </w:rPr>
        <w:t xml:space="preserve"> het ministerie van</w:t>
      </w:r>
      <w:r w:rsidRPr="006879B5">
        <w:rPr>
          <w:rFonts w:eastAsia="Calibri" w:cs="Arial"/>
          <w:color w:val="auto"/>
          <w:kern w:val="2"/>
          <w:szCs w:val="22"/>
          <w:lang w:eastAsia="en-US"/>
          <w14:ligatures w14:val="standardContextual"/>
        </w:rPr>
        <w:t xml:space="preserve"> Binnenlandse Zaken en Koninkrijksrelaties, heb ik eind 2023 het programma Versterking Forensische Geneeskunde in gang gezet, gericht op de uitvoering van </w:t>
      </w:r>
      <w:r w:rsidRPr="006879B5" w:rsidR="00A436A5">
        <w:rPr>
          <w:rFonts w:eastAsia="Calibri" w:cs="Arial"/>
          <w:color w:val="auto"/>
          <w:kern w:val="2"/>
          <w:szCs w:val="22"/>
          <w:lang w:eastAsia="en-US"/>
          <w14:ligatures w14:val="standardContextual"/>
        </w:rPr>
        <w:t xml:space="preserve">de </w:t>
      </w:r>
      <w:r w:rsidRPr="006879B5">
        <w:rPr>
          <w:rFonts w:eastAsia="Calibri" w:cs="Arial"/>
          <w:color w:val="auto"/>
          <w:kern w:val="2"/>
          <w:szCs w:val="22"/>
          <w:lang w:eastAsia="en-US"/>
          <w14:ligatures w14:val="standardContextual"/>
        </w:rPr>
        <w:t xml:space="preserve">maatregelen ter versterking van het stelsel van de forensische geneeskunde. </w:t>
      </w:r>
      <w:r w:rsidRPr="006879B5">
        <w:rPr>
          <w:rFonts w:eastAsia="Calibri" w:cs="Arial"/>
          <w:color w:val="auto"/>
          <w:kern w:val="2"/>
          <w:szCs w:val="22"/>
          <w:lang w:eastAsia="en-US"/>
          <w14:ligatures w14:val="standardContextual"/>
        </w:rPr>
        <w:lastRenderedPageBreak/>
        <w:t>Doel van het programma was de aanpak van het tekort aan forensisch artsen en het verbeteren van de kwaliteit van de uitvoering. Met de brief van 23 april 2025</w:t>
      </w:r>
      <w:r w:rsidRPr="006879B5">
        <w:rPr>
          <w:vertAlign w:val="superscript"/>
          <w:lang w:val="en-US"/>
        </w:rPr>
        <w:footnoteReference w:id="57"/>
      </w:r>
      <w:r w:rsidRPr="006879B5">
        <w:rPr>
          <w:rFonts w:eastAsia="Calibri" w:cs="Arial"/>
          <w:color w:val="auto"/>
          <w:kern w:val="2"/>
          <w:szCs w:val="22"/>
          <w:lang w:eastAsia="en-US"/>
          <w14:ligatures w14:val="standardContextual"/>
        </w:rPr>
        <w:t xml:space="preserve"> heb ik u geïnformeerd over de voortgang van het programma. Hierbij stuur ik u een aantal (tussen)producten dat sindsdien is opgeleverd</w:t>
      </w:r>
      <w:r w:rsidRPr="006879B5" w:rsidR="001A07FF">
        <w:rPr>
          <w:rFonts w:eastAsia="Calibri" w:cs="Arial"/>
          <w:color w:val="auto"/>
          <w:kern w:val="2"/>
          <w:szCs w:val="22"/>
          <w:lang w:eastAsia="en-US"/>
          <w14:ligatures w14:val="standardContextual"/>
        </w:rPr>
        <w:t>, mede namens mijn collega’s van SZW en BZK.</w:t>
      </w:r>
    </w:p>
    <w:p w:rsidRPr="006879B5" w:rsidR="006846D8" w:rsidP="006846D8" w:rsidRDefault="006846D8" w14:paraId="39972523" w14:textId="77777777">
      <w:pPr>
        <w:autoSpaceDN/>
        <w:spacing w:after="160" w:line="259" w:lineRule="auto"/>
        <w:textAlignment w:val="auto"/>
        <w:rPr>
          <w:rFonts w:eastAsia="Calibri" w:cs="Arial"/>
          <w:color w:val="auto"/>
          <w:kern w:val="2"/>
          <w:szCs w:val="22"/>
          <w:lang w:eastAsia="en-US"/>
          <w14:ligatures w14:val="standardContextual"/>
        </w:rPr>
      </w:pPr>
      <w:r w:rsidRPr="006879B5">
        <w:rPr>
          <w:rFonts w:eastAsia="Calibri" w:cs="Arial"/>
          <w:color w:val="auto"/>
          <w:kern w:val="2"/>
          <w:szCs w:val="22"/>
          <w:lang w:eastAsia="en-US"/>
          <w14:ligatures w14:val="standardContextual"/>
        </w:rPr>
        <w:t>In de bijlage treft u de door de stelselverantwoordelijk ministeries opgestelde ‘Visie en uitgangspunten stelsel forensische geneeskunde’ aan. Deze visie geeft de kaders en uitgangspunten aan voor de versterking en doorontwikkeling van de forensische geneeskunde. De hoofdlijn van de visie is:</w:t>
      </w:r>
    </w:p>
    <w:p w:rsidRPr="006879B5" w:rsidR="006846D8" w:rsidP="006846D8" w:rsidRDefault="006846D8" w14:paraId="76787C10" w14:textId="77777777">
      <w:pPr>
        <w:numPr>
          <w:ilvl w:val="0"/>
          <w:numId w:val="6"/>
        </w:numPr>
        <w:autoSpaceDN/>
        <w:spacing w:after="160" w:line="259" w:lineRule="auto"/>
        <w:contextualSpacing/>
        <w:textAlignment w:val="auto"/>
        <w:rPr>
          <w:rFonts w:eastAsia="Calibri" w:cs="Arial"/>
          <w:color w:val="auto"/>
          <w:kern w:val="2"/>
          <w:szCs w:val="22"/>
          <w:lang w:eastAsia="en-US"/>
          <w14:ligatures w14:val="standardContextual"/>
        </w:rPr>
      </w:pPr>
      <w:r w:rsidRPr="006879B5">
        <w:rPr>
          <w:rFonts w:eastAsia="Calibri" w:cs="Arial"/>
          <w:color w:val="auto"/>
          <w:kern w:val="2"/>
          <w:szCs w:val="22"/>
          <w:lang w:eastAsia="en-US"/>
          <w14:ligatures w14:val="standardContextual"/>
        </w:rPr>
        <w:t>forensische geneeskunde bestaat uit: forensisch medisch onderzoek en lijkschouw;</w:t>
      </w:r>
    </w:p>
    <w:p w:rsidRPr="006879B5" w:rsidR="006846D8" w:rsidP="006846D8" w:rsidRDefault="006846D8" w14:paraId="073C758A" w14:textId="77777777">
      <w:pPr>
        <w:numPr>
          <w:ilvl w:val="0"/>
          <w:numId w:val="6"/>
        </w:numPr>
        <w:autoSpaceDN/>
        <w:spacing w:after="160" w:line="259" w:lineRule="auto"/>
        <w:contextualSpacing/>
        <w:textAlignment w:val="auto"/>
        <w:rPr>
          <w:rFonts w:eastAsia="Calibri" w:cs="Arial"/>
          <w:color w:val="auto"/>
          <w:kern w:val="2"/>
          <w:szCs w:val="22"/>
          <w:lang w:eastAsia="en-US"/>
          <w14:ligatures w14:val="standardContextual"/>
        </w:rPr>
      </w:pPr>
      <w:r w:rsidRPr="006879B5">
        <w:rPr>
          <w:rFonts w:eastAsia="Calibri" w:cs="Arial"/>
          <w:color w:val="auto"/>
          <w:kern w:val="2"/>
          <w:szCs w:val="22"/>
          <w:lang w:eastAsia="en-US"/>
          <w14:ligatures w14:val="standardContextual"/>
        </w:rPr>
        <w:t>waarheidsvinding ten behoeve van het (pre)strafrecht is de primaire focus van de forensische geneeskunde;</w:t>
      </w:r>
    </w:p>
    <w:p w:rsidRPr="006879B5" w:rsidR="006846D8" w:rsidP="006846D8" w:rsidRDefault="006846D8" w14:paraId="3575EF33" w14:textId="77777777">
      <w:pPr>
        <w:numPr>
          <w:ilvl w:val="0"/>
          <w:numId w:val="6"/>
        </w:numPr>
        <w:autoSpaceDN/>
        <w:spacing w:after="160" w:line="259" w:lineRule="auto"/>
        <w:contextualSpacing/>
        <w:textAlignment w:val="auto"/>
        <w:rPr>
          <w:rFonts w:eastAsia="Calibri" w:cs="Arial"/>
          <w:color w:val="auto"/>
          <w:kern w:val="2"/>
          <w:szCs w:val="22"/>
          <w:lang w:eastAsia="en-US"/>
          <w14:ligatures w14:val="standardContextual"/>
        </w:rPr>
      </w:pPr>
      <w:r w:rsidRPr="006879B5">
        <w:rPr>
          <w:rFonts w:eastAsia="Calibri" w:cs="Arial"/>
          <w:color w:val="auto"/>
          <w:kern w:val="2"/>
          <w:szCs w:val="22"/>
          <w:lang w:eastAsia="en-US"/>
          <w14:ligatures w14:val="standardContextual"/>
        </w:rPr>
        <w:t>medische arrestantenzorg (MAZ) is geen onderdeel van forensische geneeskunde, het dient een ander doel, namelijk de gezondheid van de arrestant. MAZ is een vorm van huisartsenzorg die niet noodzakelijkerwijs door een forensisch arts uitgevoerd hoeft te worden, maar het mag wel;</w:t>
      </w:r>
    </w:p>
    <w:p w:rsidRPr="006879B5" w:rsidR="006846D8" w:rsidP="006846D8" w:rsidRDefault="006846D8" w14:paraId="0866369F" w14:textId="77777777">
      <w:pPr>
        <w:numPr>
          <w:ilvl w:val="0"/>
          <w:numId w:val="6"/>
        </w:numPr>
        <w:autoSpaceDN/>
        <w:spacing w:after="160" w:line="259" w:lineRule="auto"/>
        <w:contextualSpacing/>
        <w:textAlignment w:val="auto"/>
        <w:rPr>
          <w:rFonts w:eastAsia="Calibri" w:cs="Arial"/>
          <w:color w:val="auto"/>
          <w:kern w:val="2"/>
          <w:szCs w:val="22"/>
          <w:lang w:eastAsia="en-US"/>
          <w14:ligatures w14:val="standardContextual"/>
        </w:rPr>
      </w:pPr>
      <w:r w:rsidRPr="006879B5">
        <w:rPr>
          <w:rFonts w:eastAsia="Calibri" w:cs="Arial"/>
          <w:color w:val="auto"/>
          <w:kern w:val="2"/>
          <w:szCs w:val="22"/>
          <w:lang w:eastAsia="en-US"/>
          <w14:ligatures w14:val="standardContextual"/>
        </w:rPr>
        <w:t>het overheidsprerogatief ziet op forensisch medisch onderzoek en lijkschouw, waarbij de uitvoering zowel door publieke als private partijen kan plaatsvinden binnen een gereguleerde markt. In deze markt stellen de stelselverantwoordelijke ministeries de kaders en tarieven vast, terwijl opdrachtgevers de kwaliteitseisen bepalen</w:t>
      </w:r>
    </w:p>
    <w:p w:rsidRPr="006879B5" w:rsidR="006846D8" w:rsidP="006846D8" w:rsidRDefault="006846D8" w14:paraId="32128774" w14:textId="77777777">
      <w:pPr>
        <w:autoSpaceDN/>
        <w:spacing w:after="160" w:line="259" w:lineRule="auto"/>
        <w:ind w:left="720"/>
        <w:contextualSpacing/>
        <w:textAlignment w:val="auto"/>
        <w:rPr>
          <w:rFonts w:eastAsia="Calibri" w:cs="Arial"/>
          <w:color w:val="auto"/>
          <w:kern w:val="2"/>
          <w:szCs w:val="22"/>
          <w:lang w:eastAsia="en-US"/>
          <w14:ligatures w14:val="standardContextual"/>
        </w:rPr>
      </w:pPr>
    </w:p>
    <w:p w:rsidRPr="006879B5" w:rsidR="006846D8" w:rsidP="006846D8" w:rsidRDefault="006846D8" w14:paraId="544A22FD" w14:textId="77777777">
      <w:pPr>
        <w:autoSpaceDN/>
        <w:spacing w:after="160" w:line="259" w:lineRule="auto"/>
        <w:textAlignment w:val="auto"/>
        <w:rPr>
          <w:rFonts w:eastAsia="Calibri" w:cs="Arial"/>
          <w:color w:val="auto"/>
          <w:kern w:val="2"/>
          <w:szCs w:val="22"/>
          <w:lang w:eastAsia="en-US"/>
          <w14:ligatures w14:val="standardContextual"/>
        </w:rPr>
      </w:pPr>
      <w:r w:rsidRPr="006879B5">
        <w:rPr>
          <w:rFonts w:eastAsia="Calibri" w:cs="Arial"/>
          <w:color w:val="auto"/>
          <w:kern w:val="2"/>
          <w:szCs w:val="22"/>
          <w:lang w:eastAsia="en-US"/>
          <w14:ligatures w14:val="standardContextual"/>
        </w:rPr>
        <w:t>Naast de visie vindt u ook het ‘Actieplan versterking forensische geneeskunde’ als bijlage bij deze brief. Het actieplan beschrijft de wijze waarop door de betrokken partijen in de forensische geneeskunde invulling wordt gegeven aan de opgaven aan de hand van drie pijlers: versterking van het stelsel, het vakgebied en de ketensamenwerking. Het actieplan geeft een overzicht van de acties waar het programma en de veldpartijen de komende tijd mee aan de slag gaan. De versterking van het stelsel richt zich onder andere op capaciteitsbevordering, governance en financiering. Versterking van het vakgebied betreft verbetering van kwaliteitsstandaarden en de verbinding met de wetenschap. Hier heeft de medische beroepsgroep een belangrijke rol. Versterking van de ketensamenwerking richt zich in belangrijke mate op samenwerking tussen opdrachtgevers en opdrachtnemers. De politie zal zich, als onderdeel van dit actieplan, inzetten voor het versterken van het opdrachtgeverschap bij forensisch medisch onderzoek. Om het tekort aan forensische artsen op te lossen is sinds 2019 de opleidingscapaciteit uitgebreid, is de instroom van aanstaand forensische artsen verbeterd en wordt uitvoering gegeven aan de motie Van der Werf c.s.</w:t>
      </w:r>
      <w:r w:rsidRPr="006879B5">
        <w:rPr>
          <w:rFonts w:eastAsia="Calibri" w:cs="Arial"/>
          <w:color w:val="auto"/>
          <w:kern w:val="2"/>
          <w:szCs w:val="22"/>
          <w:vertAlign w:val="superscript"/>
          <w:lang w:eastAsia="en-US"/>
          <w14:ligatures w14:val="standardContextual"/>
        </w:rPr>
        <w:footnoteReference w:id="58"/>
      </w:r>
      <w:r w:rsidRPr="006879B5">
        <w:rPr>
          <w:rFonts w:ascii="Calibri" w:hAnsi="RijksSansTT Light" w:eastAsia="Times New Roman" w:cs="Arial"/>
          <w:kern w:val="24"/>
          <w:sz w:val="34"/>
          <w:szCs w:val="34"/>
        </w:rPr>
        <w:t xml:space="preserve"> </w:t>
      </w:r>
      <w:r w:rsidRPr="006879B5">
        <w:rPr>
          <w:rFonts w:eastAsia="Calibri" w:cs="Arial"/>
          <w:color w:val="auto"/>
          <w:kern w:val="2"/>
          <w:szCs w:val="22"/>
          <w:lang w:eastAsia="en-US"/>
          <w14:ligatures w14:val="standardContextual"/>
        </w:rPr>
        <w:t>JenV verzorgt tot en met augustus 2027 (looptijd programma) het programmamanagement rondom het actieplan en faciliteert de partijen in het transitietraject, en doet de begeleiding van de onderzoekstrajecten in het actieplan.</w:t>
      </w:r>
    </w:p>
    <w:p w:rsidRPr="006879B5" w:rsidR="00A436A5" w:rsidP="006846D8" w:rsidRDefault="006846D8" w14:paraId="0F5F21F5" w14:textId="140B874C">
      <w:pPr>
        <w:autoSpaceDN/>
        <w:spacing w:after="160" w:line="259" w:lineRule="auto"/>
        <w:textAlignment w:val="auto"/>
        <w:rPr>
          <w:rFonts w:eastAsia="Calibri" w:cs="Arial"/>
          <w:color w:val="auto"/>
          <w:kern w:val="2"/>
          <w:szCs w:val="22"/>
          <w:lang w:eastAsia="en-US"/>
          <w14:ligatures w14:val="standardContextual"/>
        </w:rPr>
      </w:pPr>
      <w:r w:rsidRPr="006879B5">
        <w:rPr>
          <w:rFonts w:eastAsia="Calibri" w:cs="Arial"/>
          <w:color w:val="auto"/>
          <w:kern w:val="2"/>
          <w:szCs w:val="22"/>
          <w:lang w:eastAsia="en-US"/>
          <w14:ligatures w14:val="standardContextual"/>
        </w:rPr>
        <w:t>Over de visie en het actieplan heeft intensief overleg plaatsgevonden met OM, politie, KMar, NFI, GGD GHOR Nederland, GGD’en, FARR, LOEF, medTzorg, FMG.</w:t>
      </w:r>
    </w:p>
    <w:p w:rsidRPr="006879B5" w:rsidR="006846D8" w:rsidP="006846D8" w:rsidRDefault="00A436A5" w14:paraId="4ECC6A0C" w14:textId="4668D8A7">
      <w:pPr>
        <w:autoSpaceDN/>
        <w:spacing w:after="160" w:line="259" w:lineRule="auto"/>
        <w:textAlignment w:val="auto"/>
        <w:rPr>
          <w:rFonts w:eastAsia="Calibri" w:cs="Arial"/>
          <w:color w:val="auto"/>
          <w:kern w:val="2"/>
          <w:szCs w:val="22"/>
          <w:lang w:eastAsia="en-US"/>
          <w14:ligatures w14:val="standardContextual"/>
        </w:rPr>
      </w:pPr>
      <w:r w:rsidRPr="006879B5">
        <w:rPr>
          <w:rFonts w:eastAsia="Calibri" w:cs="Arial"/>
          <w:color w:val="auto"/>
          <w:kern w:val="2"/>
          <w:szCs w:val="22"/>
          <w:lang w:eastAsia="en-US"/>
          <w14:ligatures w14:val="standardContextual"/>
        </w:rPr>
        <w:t xml:space="preserve">In aanvulling op de visie en het actieplan, vindt u </w:t>
      </w:r>
      <w:r w:rsidRPr="006879B5" w:rsidR="006846D8">
        <w:rPr>
          <w:rFonts w:eastAsia="Calibri" w:cs="Arial"/>
          <w:color w:val="auto"/>
          <w:kern w:val="2"/>
          <w:szCs w:val="22"/>
          <w:lang w:eastAsia="en-US"/>
          <w14:ligatures w14:val="standardContextual"/>
        </w:rPr>
        <w:t>het rapport ‘Onderzoek bekostiging stelsel forensische geneeskunde’ van Andersson Elffers Felix</w:t>
      </w:r>
      <w:r w:rsidRPr="006879B5">
        <w:rPr>
          <w:rFonts w:eastAsia="Calibri" w:cs="Arial"/>
          <w:color w:val="auto"/>
          <w:kern w:val="2"/>
          <w:szCs w:val="22"/>
          <w:lang w:eastAsia="en-US"/>
          <w14:ligatures w14:val="standardContextual"/>
        </w:rPr>
        <w:t xml:space="preserve"> als bijlage van deze brief. </w:t>
      </w:r>
      <w:r w:rsidRPr="006879B5" w:rsidR="006846D8">
        <w:rPr>
          <w:rFonts w:eastAsia="Calibri" w:cs="Arial"/>
          <w:color w:val="auto"/>
          <w:kern w:val="2"/>
          <w:szCs w:val="22"/>
          <w:lang w:eastAsia="en-US"/>
          <w14:ligatures w14:val="standardContextual"/>
        </w:rPr>
        <w:t xml:space="preserve">Dit rapport vormt het eerste deel van het </w:t>
      </w:r>
      <w:r w:rsidRPr="006879B5" w:rsidR="006846D8">
        <w:rPr>
          <w:rFonts w:eastAsia="Calibri" w:cs="Arial"/>
          <w:color w:val="auto"/>
          <w:kern w:val="2"/>
          <w:szCs w:val="22"/>
          <w:lang w:eastAsia="en-US"/>
          <w14:ligatures w14:val="standardContextual"/>
        </w:rPr>
        <w:lastRenderedPageBreak/>
        <w:t>bekostigingsonderzoek dat binnen het programma wordt uitgevoerd. Het doel van dit onderzoek is om inzicht te verkrijgen in de huidige bekostiging van het stelsel van forensische geneeskunde en te komen tot een passende, transparante en toekomstbestendige financieringsstructuur. Binnenkort start een vervolgonderzoek naar de verdere uitwerking hiervan. Na afronding van dit vervolgonderzoek zal ik uw Kamer informeren middels een beleidsreactie.</w:t>
      </w:r>
    </w:p>
    <w:p w:rsidRPr="006879B5" w:rsidR="006846D8" w:rsidP="006879B5" w:rsidRDefault="00A436A5" w14:paraId="7E684164" w14:textId="719E60E8">
      <w:pPr>
        <w:autoSpaceDN/>
        <w:spacing w:after="160" w:line="259" w:lineRule="auto"/>
        <w:textAlignment w:val="auto"/>
        <w:rPr>
          <w:rFonts w:eastAsia="Calibri" w:cs="Arial"/>
          <w:color w:val="auto"/>
          <w:kern w:val="2"/>
          <w:szCs w:val="22"/>
          <w:lang w:eastAsia="en-US"/>
          <w14:ligatures w14:val="standardContextual"/>
        </w:rPr>
      </w:pPr>
      <w:r w:rsidRPr="006879B5">
        <w:rPr>
          <w:rFonts w:eastAsia="Calibri" w:cs="Arial"/>
          <w:color w:val="auto"/>
          <w:kern w:val="2"/>
          <w:szCs w:val="22"/>
          <w:lang w:eastAsia="en-US"/>
          <w14:ligatures w14:val="standardContextual"/>
        </w:rPr>
        <w:t xml:space="preserve">Tot slot </w:t>
      </w:r>
      <w:r w:rsidRPr="006879B5" w:rsidR="006846D8">
        <w:rPr>
          <w:rFonts w:eastAsia="Calibri" w:cs="Arial"/>
          <w:color w:val="auto"/>
          <w:kern w:val="2"/>
          <w:szCs w:val="22"/>
          <w:lang w:eastAsia="en-US"/>
          <w14:ligatures w14:val="standardContextual"/>
        </w:rPr>
        <w:t>is het onderzoeksrapport ‘Schouwen en sturen’ van de Nederlandse School voor Openbaar Bestuur</w:t>
      </w:r>
      <w:r w:rsidRPr="006879B5">
        <w:rPr>
          <w:rFonts w:eastAsia="Calibri" w:cs="Arial"/>
          <w:color w:val="auto"/>
          <w:kern w:val="2"/>
          <w:szCs w:val="22"/>
          <w:lang w:eastAsia="en-US"/>
          <w14:ligatures w14:val="standardContextual"/>
        </w:rPr>
        <w:t xml:space="preserve"> als bijlage bij deze brief gevoegd</w:t>
      </w:r>
      <w:r w:rsidRPr="006879B5" w:rsidR="006846D8">
        <w:rPr>
          <w:rFonts w:eastAsia="Calibri" w:cs="Arial"/>
          <w:color w:val="auto"/>
          <w:kern w:val="2"/>
          <w:szCs w:val="22"/>
          <w:lang w:eastAsia="en-US"/>
          <w14:ligatures w14:val="standardContextual"/>
        </w:rPr>
        <w:t xml:space="preserve">. Dit betreft een onderzoek hoe het opdrachtgeverschap van de gemeentelijke lijkschouw beter kan worden ingericht. Het rapport geeft een aantal opties voor versterking van het opdrachtgeverschap </w:t>
      </w:r>
      <w:r w:rsidRPr="006879B5" w:rsidR="001A07FF">
        <w:rPr>
          <w:rFonts w:eastAsia="Calibri" w:cs="Arial"/>
          <w:color w:val="auto"/>
          <w:kern w:val="2"/>
          <w:szCs w:val="22"/>
          <w:lang w:eastAsia="en-US"/>
          <w14:ligatures w14:val="standardContextual"/>
        </w:rPr>
        <w:t xml:space="preserve">van de lijkschouw </w:t>
      </w:r>
      <w:r w:rsidRPr="006879B5" w:rsidR="006846D8">
        <w:rPr>
          <w:rFonts w:eastAsia="Calibri" w:cs="Arial"/>
          <w:color w:val="auto"/>
          <w:kern w:val="2"/>
          <w:szCs w:val="22"/>
          <w:lang w:eastAsia="en-US"/>
          <w14:ligatures w14:val="standardContextual"/>
        </w:rPr>
        <w:t>die de komende periode in afstemming met de betrokken partijen verder worden verkend. Voor ik een standpunt kan innemen wacht ik ook de uitkomsten van het vervolgonderzoek over bekostiging af zodat ik het integrale beeld over de bekostiging van de lijkschouw in mijn standpunt kan meenemen. Hierna zal ik uw Kamer middels een beleidsreactie informeren.</w:t>
      </w:r>
    </w:p>
    <w:p w:rsidRPr="006879B5" w:rsidR="00224DB8" w:rsidP="00224DB8" w:rsidRDefault="00224DB8" w14:paraId="7FDFDE95" w14:textId="7F4A27C6">
      <w:pPr>
        <w:pStyle w:val="Kop2"/>
      </w:pPr>
      <w:r w:rsidRPr="006879B5">
        <w:t>Werkvoorraad zedenzaken</w:t>
      </w:r>
      <w:r w:rsidRPr="006879B5" w:rsidR="004B6BEE">
        <w:rPr>
          <w:rStyle w:val="Voetnootmarkering"/>
        </w:rPr>
        <w:footnoteReference w:id="59"/>
      </w:r>
    </w:p>
    <w:p w:rsidRPr="006879B5" w:rsidR="00224DB8" w:rsidP="00224DB8" w:rsidRDefault="00224DB8" w14:paraId="71C7D834" w14:textId="77777777"/>
    <w:p w:rsidRPr="006879B5" w:rsidR="00245442" w:rsidP="00245442" w:rsidRDefault="00245442" w14:paraId="22C7C4D0" w14:textId="77777777">
      <w:r w:rsidRPr="006879B5">
        <w:t>Sinds 2022 wordt uw Kamer naar aanleiding van een motie van de leden Michon-Derkzen en Van der Werf halfjaarlijks geïnformeerd over de werkvoorraad op het terrein van zedenzaken en de afspraken om deze werkvoorraad terug te dringen. Hieronder ga ik in op het actuele beeld van de werkvoorraden in zedenzaken.</w:t>
      </w:r>
    </w:p>
    <w:p w:rsidRPr="006879B5" w:rsidR="00245442" w:rsidP="00245442" w:rsidRDefault="00245442" w14:paraId="64D631E8" w14:textId="77777777">
      <w:pPr>
        <w:autoSpaceDN/>
        <w:spacing w:line="240" w:lineRule="auto"/>
        <w:textAlignment w:val="auto"/>
        <w:rPr>
          <w:rFonts w:eastAsia="Aptos" w:cs="Times New Roman"/>
          <w:i/>
          <w:iCs/>
          <w:color w:val="auto"/>
          <w:kern w:val="2"/>
          <w:szCs w:val="22"/>
          <w:lang w:eastAsia="en-US"/>
          <w14:ligatures w14:val="standardContextual"/>
        </w:rPr>
      </w:pPr>
    </w:p>
    <w:p w:rsidRPr="006879B5" w:rsidR="00245442" w:rsidP="00245442" w:rsidRDefault="00245442" w14:paraId="08458307" w14:textId="77777777">
      <w:pPr>
        <w:rPr>
          <w:i/>
          <w:iCs/>
        </w:rPr>
      </w:pPr>
      <w:r w:rsidRPr="006879B5">
        <w:rPr>
          <w:i/>
          <w:iCs/>
        </w:rPr>
        <w:t>Tabel 1 Werkvoorraden politie op het terrein van zedenzaken (bron: politie)</w:t>
      </w:r>
    </w:p>
    <w:tbl>
      <w:tblPr>
        <w:tblW w:w="8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659"/>
        <w:gridCol w:w="1300"/>
        <w:gridCol w:w="1300"/>
        <w:gridCol w:w="1300"/>
        <w:gridCol w:w="1300"/>
        <w:gridCol w:w="1300"/>
      </w:tblGrid>
      <w:tr w:rsidRPr="006879B5" w:rsidR="00245442" w:rsidTr="002931EA" w14:paraId="352526A4" w14:textId="77777777">
        <w:trPr>
          <w:trHeight w:val="960"/>
        </w:trPr>
        <w:tc>
          <w:tcPr>
            <w:tcW w:w="1659" w:type="dxa"/>
            <w:shd w:val="clear" w:color="auto" w:fill="auto"/>
            <w:vAlign w:val="bottom"/>
            <w:hideMark/>
          </w:tcPr>
          <w:p w:rsidRPr="006879B5" w:rsidR="00245442" w:rsidP="00245442" w:rsidRDefault="00245442" w14:paraId="6DC04CAD" w14:textId="77777777">
            <w:pPr>
              <w:spacing w:line="240" w:lineRule="auto"/>
              <w:rPr>
                <w:rFonts w:ascii="Arial" w:hAnsi="Arial" w:eastAsia="Times New Roman" w:cs="Arial"/>
                <w:b/>
                <w:bCs/>
                <w:sz w:val="20"/>
                <w:szCs w:val="20"/>
              </w:rPr>
            </w:pPr>
            <w:r w:rsidRPr="006879B5">
              <w:rPr>
                <w:rFonts w:ascii="Arial" w:hAnsi="Arial" w:eastAsia="Times New Roman" w:cs="Arial"/>
                <w:b/>
                <w:bCs/>
                <w:sz w:val="20"/>
                <w:szCs w:val="20"/>
              </w:rPr>
              <w:t>Cijfers zedenzaken</w:t>
            </w:r>
          </w:p>
        </w:tc>
        <w:tc>
          <w:tcPr>
            <w:tcW w:w="1300" w:type="dxa"/>
            <w:shd w:val="clear" w:color="auto" w:fill="auto"/>
            <w:vAlign w:val="bottom"/>
            <w:hideMark/>
          </w:tcPr>
          <w:p w:rsidRPr="006879B5" w:rsidR="00245442" w:rsidP="00245442" w:rsidRDefault="00245442" w14:paraId="054A7E57" w14:textId="77777777">
            <w:pPr>
              <w:spacing w:line="240" w:lineRule="auto"/>
              <w:rPr>
                <w:rFonts w:ascii="Arial" w:hAnsi="Arial" w:eastAsia="Times New Roman" w:cs="Arial"/>
                <w:b/>
                <w:bCs/>
                <w:sz w:val="20"/>
                <w:szCs w:val="20"/>
              </w:rPr>
            </w:pPr>
            <w:r w:rsidRPr="006879B5">
              <w:rPr>
                <w:rFonts w:ascii="Arial" w:hAnsi="Arial" w:eastAsia="Times New Roman" w:cs="Arial"/>
                <w:b/>
                <w:bCs/>
                <w:sz w:val="20"/>
                <w:szCs w:val="20"/>
              </w:rPr>
              <w:t xml:space="preserve">Stand </w:t>
            </w:r>
          </w:p>
          <w:p w:rsidRPr="006879B5" w:rsidR="00245442" w:rsidP="00245442" w:rsidRDefault="00245442" w14:paraId="15DD7BE4" w14:textId="77777777">
            <w:pPr>
              <w:spacing w:line="240" w:lineRule="auto"/>
              <w:rPr>
                <w:rFonts w:ascii="Arial" w:hAnsi="Arial" w:eastAsia="Times New Roman" w:cs="Arial"/>
                <w:b/>
                <w:bCs/>
                <w:sz w:val="20"/>
                <w:szCs w:val="20"/>
              </w:rPr>
            </w:pPr>
            <w:r w:rsidRPr="006879B5">
              <w:rPr>
                <w:rFonts w:ascii="Arial" w:hAnsi="Arial" w:eastAsia="Times New Roman" w:cs="Arial"/>
                <w:b/>
                <w:bCs/>
                <w:sz w:val="20"/>
                <w:szCs w:val="20"/>
              </w:rPr>
              <w:t>02-06-2022</w:t>
            </w:r>
          </w:p>
        </w:tc>
        <w:tc>
          <w:tcPr>
            <w:tcW w:w="1300" w:type="dxa"/>
            <w:shd w:val="clear" w:color="auto" w:fill="auto"/>
            <w:vAlign w:val="bottom"/>
            <w:hideMark/>
          </w:tcPr>
          <w:p w:rsidRPr="006879B5" w:rsidR="00245442" w:rsidP="00245442" w:rsidRDefault="00245442" w14:paraId="6CE69AB7" w14:textId="77777777">
            <w:pPr>
              <w:spacing w:line="240" w:lineRule="auto"/>
              <w:rPr>
                <w:rFonts w:ascii="Arial" w:hAnsi="Arial" w:eastAsia="Times New Roman" w:cs="Arial"/>
                <w:b/>
                <w:bCs/>
                <w:sz w:val="20"/>
                <w:szCs w:val="20"/>
              </w:rPr>
            </w:pPr>
            <w:r w:rsidRPr="006879B5">
              <w:rPr>
                <w:rFonts w:ascii="Arial" w:hAnsi="Arial" w:eastAsia="Times New Roman" w:cs="Arial"/>
                <w:b/>
                <w:bCs/>
                <w:sz w:val="20"/>
                <w:szCs w:val="20"/>
              </w:rPr>
              <w:t xml:space="preserve">Stand </w:t>
            </w:r>
          </w:p>
          <w:p w:rsidRPr="006879B5" w:rsidR="00245442" w:rsidP="00245442" w:rsidRDefault="00245442" w14:paraId="65CA43DB" w14:textId="77777777">
            <w:pPr>
              <w:spacing w:line="240" w:lineRule="auto"/>
              <w:rPr>
                <w:rFonts w:ascii="Arial" w:hAnsi="Arial" w:eastAsia="Times New Roman" w:cs="Arial"/>
                <w:b/>
                <w:bCs/>
                <w:sz w:val="20"/>
                <w:szCs w:val="20"/>
              </w:rPr>
            </w:pPr>
            <w:r w:rsidRPr="006879B5">
              <w:rPr>
                <w:rFonts w:ascii="Arial" w:hAnsi="Arial" w:eastAsia="Times New Roman" w:cs="Arial"/>
                <w:b/>
                <w:bCs/>
                <w:sz w:val="20"/>
                <w:szCs w:val="20"/>
              </w:rPr>
              <w:t>02-06-2023</w:t>
            </w:r>
          </w:p>
        </w:tc>
        <w:tc>
          <w:tcPr>
            <w:tcW w:w="1300" w:type="dxa"/>
            <w:shd w:val="clear" w:color="auto" w:fill="auto"/>
            <w:vAlign w:val="bottom"/>
            <w:hideMark/>
          </w:tcPr>
          <w:p w:rsidRPr="006879B5" w:rsidR="00245442" w:rsidP="00245442" w:rsidRDefault="00245442" w14:paraId="1B9A1F9F" w14:textId="77777777">
            <w:pPr>
              <w:spacing w:line="240" w:lineRule="auto"/>
              <w:rPr>
                <w:rFonts w:ascii="Arial" w:hAnsi="Arial" w:eastAsia="Times New Roman" w:cs="Arial"/>
                <w:b/>
                <w:bCs/>
                <w:sz w:val="20"/>
                <w:szCs w:val="20"/>
              </w:rPr>
            </w:pPr>
            <w:r w:rsidRPr="006879B5">
              <w:rPr>
                <w:rFonts w:ascii="Arial" w:hAnsi="Arial" w:eastAsia="Times New Roman" w:cs="Arial"/>
                <w:b/>
                <w:bCs/>
                <w:sz w:val="20"/>
                <w:szCs w:val="20"/>
              </w:rPr>
              <w:t xml:space="preserve">Stand </w:t>
            </w:r>
          </w:p>
          <w:p w:rsidRPr="006879B5" w:rsidR="00245442" w:rsidP="00245442" w:rsidRDefault="00245442" w14:paraId="02BBE24B" w14:textId="77777777">
            <w:pPr>
              <w:spacing w:line="240" w:lineRule="auto"/>
              <w:rPr>
                <w:rFonts w:ascii="Arial" w:hAnsi="Arial" w:eastAsia="Times New Roman" w:cs="Arial"/>
                <w:b/>
                <w:bCs/>
                <w:sz w:val="20"/>
                <w:szCs w:val="20"/>
              </w:rPr>
            </w:pPr>
            <w:r w:rsidRPr="006879B5">
              <w:rPr>
                <w:rFonts w:ascii="Arial" w:hAnsi="Arial" w:eastAsia="Times New Roman" w:cs="Arial"/>
                <w:b/>
                <w:bCs/>
                <w:sz w:val="20"/>
                <w:szCs w:val="20"/>
              </w:rPr>
              <w:t>02-06-2024</w:t>
            </w:r>
          </w:p>
        </w:tc>
        <w:tc>
          <w:tcPr>
            <w:tcW w:w="1300" w:type="dxa"/>
            <w:shd w:val="clear" w:color="auto" w:fill="auto"/>
            <w:vAlign w:val="bottom"/>
            <w:hideMark/>
          </w:tcPr>
          <w:p w:rsidRPr="006879B5" w:rsidR="00245442" w:rsidP="00245442" w:rsidRDefault="00245442" w14:paraId="7CE50E51" w14:textId="77777777">
            <w:pPr>
              <w:spacing w:line="240" w:lineRule="auto"/>
              <w:rPr>
                <w:rFonts w:ascii="Arial" w:hAnsi="Arial" w:eastAsia="Times New Roman" w:cs="Arial"/>
                <w:b/>
                <w:bCs/>
                <w:sz w:val="20"/>
                <w:szCs w:val="20"/>
              </w:rPr>
            </w:pPr>
            <w:r w:rsidRPr="006879B5">
              <w:rPr>
                <w:rFonts w:ascii="Arial" w:hAnsi="Arial" w:eastAsia="Times New Roman" w:cs="Arial"/>
                <w:b/>
                <w:bCs/>
                <w:sz w:val="20"/>
                <w:szCs w:val="20"/>
              </w:rPr>
              <w:t xml:space="preserve">Stand </w:t>
            </w:r>
          </w:p>
          <w:p w:rsidRPr="006879B5" w:rsidR="00245442" w:rsidP="00245442" w:rsidRDefault="00245442" w14:paraId="7A6326AC" w14:textId="77777777">
            <w:pPr>
              <w:spacing w:line="240" w:lineRule="auto"/>
              <w:rPr>
                <w:rFonts w:ascii="Arial" w:hAnsi="Arial" w:eastAsia="Times New Roman" w:cs="Arial"/>
                <w:b/>
                <w:bCs/>
                <w:sz w:val="20"/>
                <w:szCs w:val="20"/>
              </w:rPr>
            </w:pPr>
            <w:r w:rsidRPr="006879B5">
              <w:rPr>
                <w:rFonts w:ascii="Arial" w:hAnsi="Arial" w:eastAsia="Times New Roman" w:cs="Arial"/>
                <w:b/>
                <w:bCs/>
                <w:sz w:val="20"/>
                <w:szCs w:val="20"/>
              </w:rPr>
              <w:t>02-06-2025</w:t>
            </w:r>
          </w:p>
        </w:tc>
        <w:tc>
          <w:tcPr>
            <w:tcW w:w="1300" w:type="dxa"/>
            <w:shd w:val="clear" w:color="auto" w:fill="auto"/>
            <w:vAlign w:val="bottom"/>
            <w:hideMark/>
          </w:tcPr>
          <w:p w:rsidRPr="006879B5" w:rsidR="00245442" w:rsidP="00245442" w:rsidRDefault="00245442" w14:paraId="48CF7EF5" w14:textId="77777777">
            <w:pPr>
              <w:spacing w:line="240" w:lineRule="auto"/>
              <w:rPr>
                <w:rFonts w:ascii="Arial" w:hAnsi="Arial" w:eastAsia="Times New Roman" w:cs="Arial"/>
                <w:b/>
                <w:bCs/>
                <w:sz w:val="20"/>
                <w:szCs w:val="20"/>
              </w:rPr>
            </w:pPr>
            <w:r w:rsidRPr="006879B5">
              <w:rPr>
                <w:rFonts w:ascii="Arial" w:hAnsi="Arial" w:eastAsia="Times New Roman" w:cs="Arial"/>
                <w:b/>
                <w:bCs/>
                <w:sz w:val="20"/>
                <w:szCs w:val="20"/>
              </w:rPr>
              <w:t xml:space="preserve">Stand </w:t>
            </w:r>
          </w:p>
          <w:p w:rsidRPr="006879B5" w:rsidR="00245442" w:rsidP="00245442" w:rsidRDefault="00245442" w14:paraId="5B465B30" w14:textId="77777777">
            <w:pPr>
              <w:spacing w:line="240" w:lineRule="auto"/>
              <w:rPr>
                <w:rFonts w:ascii="Arial" w:hAnsi="Arial" w:eastAsia="Times New Roman" w:cs="Arial"/>
                <w:b/>
                <w:bCs/>
                <w:sz w:val="20"/>
                <w:szCs w:val="20"/>
              </w:rPr>
            </w:pPr>
            <w:r w:rsidRPr="006879B5">
              <w:rPr>
                <w:rFonts w:ascii="Arial" w:hAnsi="Arial" w:eastAsia="Times New Roman" w:cs="Arial"/>
                <w:b/>
                <w:bCs/>
                <w:sz w:val="20"/>
                <w:szCs w:val="20"/>
              </w:rPr>
              <w:t>02-06-2026</w:t>
            </w:r>
          </w:p>
        </w:tc>
      </w:tr>
      <w:tr w:rsidRPr="006879B5" w:rsidR="00245442" w:rsidTr="002931EA" w14:paraId="7680350F" w14:textId="77777777">
        <w:trPr>
          <w:trHeight w:val="765"/>
        </w:trPr>
        <w:tc>
          <w:tcPr>
            <w:tcW w:w="1659" w:type="dxa"/>
            <w:shd w:val="clear" w:color="auto" w:fill="auto"/>
            <w:vAlign w:val="bottom"/>
            <w:hideMark/>
          </w:tcPr>
          <w:p w:rsidRPr="006879B5" w:rsidR="00245442" w:rsidP="00245442" w:rsidRDefault="00245442" w14:paraId="6D483220" w14:textId="77777777">
            <w:pPr>
              <w:spacing w:line="240" w:lineRule="auto"/>
              <w:rPr>
                <w:rFonts w:ascii="Arial" w:hAnsi="Arial" w:eastAsia="Times New Roman" w:cs="Arial"/>
                <w:sz w:val="20"/>
                <w:szCs w:val="20"/>
              </w:rPr>
            </w:pPr>
            <w:r w:rsidRPr="006879B5">
              <w:rPr>
                <w:rFonts w:ascii="Arial" w:hAnsi="Arial" w:eastAsia="Times New Roman" w:cs="Arial"/>
                <w:sz w:val="20"/>
                <w:szCs w:val="20"/>
              </w:rPr>
              <w:t>Aantal geregistreerde incidenten</w:t>
            </w:r>
            <w:r w:rsidRPr="006879B5">
              <w:rPr>
                <w:rFonts w:ascii="Arial" w:hAnsi="Arial" w:eastAsia="Times New Roman" w:cs="Arial"/>
                <w:sz w:val="20"/>
                <w:szCs w:val="20"/>
                <w:vertAlign w:val="superscript"/>
              </w:rPr>
              <w:footnoteReference w:id="60"/>
            </w:r>
          </w:p>
        </w:tc>
        <w:tc>
          <w:tcPr>
            <w:tcW w:w="1300" w:type="dxa"/>
            <w:shd w:val="clear" w:color="auto" w:fill="auto"/>
            <w:noWrap/>
            <w:vAlign w:val="bottom"/>
            <w:hideMark/>
          </w:tcPr>
          <w:p w:rsidRPr="006879B5" w:rsidR="00245442" w:rsidP="00245442" w:rsidRDefault="00245442" w14:paraId="05B7D995"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6622</w:t>
            </w:r>
          </w:p>
        </w:tc>
        <w:tc>
          <w:tcPr>
            <w:tcW w:w="1300" w:type="dxa"/>
            <w:shd w:val="clear" w:color="auto" w:fill="auto"/>
            <w:noWrap/>
            <w:vAlign w:val="bottom"/>
            <w:hideMark/>
          </w:tcPr>
          <w:p w:rsidRPr="006879B5" w:rsidR="00245442" w:rsidP="00245442" w:rsidRDefault="00245442" w14:paraId="7922E897"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5705</w:t>
            </w:r>
          </w:p>
        </w:tc>
        <w:tc>
          <w:tcPr>
            <w:tcW w:w="1300" w:type="dxa"/>
            <w:shd w:val="clear" w:color="auto" w:fill="auto"/>
            <w:noWrap/>
            <w:vAlign w:val="bottom"/>
            <w:hideMark/>
          </w:tcPr>
          <w:p w:rsidRPr="006879B5" w:rsidR="00245442" w:rsidP="00245442" w:rsidRDefault="00245442" w14:paraId="4B41E34A"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5555</w:t>
            </w:r>
          </w:p>
        </w:tc>
        <w:tc>
          <w:tcPr>
            <w:tcW w:w="1300" w:type="dxa"/>
            <w:shd w:val="clear" w:color="auto" w:fill="auto"/>
            <w:noWrap/>
            <w:vAlign w:val="bottom"/>
            <w:hideMark/>
          </w:tcPr>
          <w:p w:rsidRPr="006879B5" w:rsidR="00245442" w:rsidP="00245442" w:rsidRDefault="00245442" w14:paraId="39B9603B"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6507</w:t>
            </w:r>
          </w:p>
        </w:tc>
        <w:tc>
          <w:tcPr>
            <w:tcW w:w="1300" w:type="dxa"/>
            <w:shd w:val="clear" w:color="auto" w:fill="auto"/>
            <w:noWrap/>
            <w:vAlign w:val="bottom"/>
            <w:hideMark/>
          </w:tcPr>
          <w:p w:rsidRPr="006879B5" w:rsidR="00245442" w:rsidP="00245442" w:rsidRDefault="00245442" w14:paraId="17AD82D0"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6228</w:t>
            </w:r>
          </w:p>
        </w:tc>
      </w:tr>
      <w:tr w:rsidRPr="006879B5" w:rsidR="00245442" w:rsidTr="002931EA" w14:paraId="68AB92F2" w14:textId="77777777">
        <w:trPr>
          <w:trHeight w:val="510"/>
        </w:trPr>
        <w:tc>
          <w:tcPr>
            <w:tcW w:w="1659" w:type="dxa"/>
            <w:shd w:val="clear" w:color="auto" w:fill="auto"/>
            <w:vAlign w:val="bottom"/>
            <w:hideMark/>
          </w:tcPr>
          <w:p w:rsidRPr="006879B5" w:rsidR="00245442" w:rsidP="00245442" w:rsidRDefault="00245442" w14:paraId="2F8075F0" w14:textId="77777777">
            <w:pPr>
              <w:spacing w:line="240" w:lineRule="auto"/>
              <w:rPr>
                <w:rFonts w:ascii="Arial" w:hAnsi="Arial" w:eastAsia="Times New Roman" w:cs="Arial"/>
                <w:sz w:val="20"/>
                <w:szCs w:val="20"/>
              </w:rPr>
            </w:pPr>
            <w:r w:rsidRPr="006879B5">
              <w:rPr>
                <w:rFonts w:ascii="Arial" w:hAnsi="Arial" w:eastAsia="Times New Roman" w:cs="Arial"/>
                <w:sz w:val="20"/>
                <w:szCs w:val="20"/>
              </w:rPr>
              <w:t>Voorraad aantal zedenzaken</w:t>
            </w:r>
          </w:p>
        </w:tc>
        <w:tc>
          <w:tcPr>
            <w:tcW w:w="1300" w:type="dxa"/>
            <w:shd w:val="clear" w:color="auto" w:fill="auto"/>
            <w:noWrap/>
            <w:vAlign w:val="bottom"/>
            <w:hideMark/>
          </w:tcPr>
          <w:p w:rsidRPr="006879B5" w:rsidR="00245442" w:rsidP="00245442" w:rsidRDefault="00245442" w14:paraId="6E394AD5"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3361</w:t>
            </w:r>
          </w:p>
        </w:tc>
        <w:tc>
          <w:tcPr>
            <w:tcW w:w="1300" w:type="dxa"/>
            <w:shd w:val="clear" w:color="auto" w:fill="auto"/>
            <w:noWrap/>
            <w:vAlign w:val="bottom"/>
            <w:hideMark/>
          </w:tcPr>
          <w:p w:rsidRPr="006879B5" w:rsidR="00245442" w:rsidP="00245442" w:rsidRDefault="00245442" w14:paraId="26F8B4A2"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3166</w:t>
            </w:r>
          </w:p>
        </w:tc>
        <w:tc>
          <w:tcPr>
            <w:tcW w:w="1300" w:type="dxa"/>
            <w:shd w:val="clear" w:color="auto" w:fill="auto"/>
            <w:noWrap/>
            <w:vAlign w:val="bottom"/>
            <w:hideMark/>
          </w:tcPr>
          <w:p w:rsidRPr="006879B5" w:rsidR="00245442" w:rsidP="00245442" w:rsidRDefault="00245442" w14:paraId="2E366A04"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2775</w:t>
            </w:r>
          </w:p>
        </w:tc>
        <w:tc>
          <w:tcPr>
            <w:tcW w:w="1300" w:type="dxa"/>
            <w:shd w:val="clear" w:color="auto" w:fill="auto"/>
            <w:noWrap/>
            <w:vAlign w:val="bottom"/>
            <w:hideMark/>
          </w:tcPr>
          <w:p w:rsidRPr="006879B5" w:rsidR="00245442" w:rsidP="00245442" w:rsidRDefault="00245442" w14:paraId="788DFA02"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3156</w:t>
            </w:r>
          </w:p>
        </w:tc>
        <w:tc>
          <w:tcPr>
            <w:tcW w:w="1300" w:type="dxa"/>
            <w:shd w:val="clear" w:color="auto" w:fill="auto"/>
            <w:noWrap/>
            <w:vAlign w:val="bottom"/>
            <w:hideMark/>
          </w:tcPr>
          <w:p w:rsidRPr="006879B5" w:rsidR="00245442" w:rsidP="00245442" w:rsidRDefault="00245442" w14:paraId="79BD27C4"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3400</w:t>
            </w:r>
          </w:p>
        </w:tc>
      </w:tr>
      <w:tr w:rsidRPr="006879B5" w:rsidR="00245442" w:rsidTr="002931EA" w14:paraId="23C86154" w14:textId="77777777">
        <w:trPr>
          <w:trHeight w:val="1020"/>
        </w:trPr>
        <w:tc>
          <w:tcPr>
            <w:tcW w:w="1659" w:type="dxa"/>
            <w:shd w:val="clear" w:color="auto" w:fill="auto"/>
            <w:vAlign w:val="bottom"/>
            <w:hideMark/>
          </w:tcPr>
          <w:p w:rsidRPr="006879B5" w:rsidR="00245442" w:rsidP="00245442" w:rsidRDefault="00245442" w14:paraId="19313ACA" w14:textId="77777777">
            <w:pPr>
              <w:spacing w:line="240" w:lineRule="auto"/>
              <w:rPr>
                <w:rFonts w:ascii="Arial" w:hAnsi="Arial" w:eastAsia="Times New Roman" w:cs="Arial"/>
                <w:sz w:val="20"/>
                <w:szCs w:val="20"/>
              </w:rPr>
            </w:pPr>
            <w:r w:rsidRPr="006879B5">
              <w:rPr>
                <w:rFonts w:ascii="Arial" w:hAnsi="Arial" w:eastAsia="Times New Roman" w:cs="Arial"/>
                <w:sz w:val="20"/>
                <w:szCs w:val="20"/>
              </w:rPr>
              <w:t>Aantal aangiftes langer dan 6 maanden in voorraad</w:t>
            </w:r>
          </w:p>
        </w:tc>
        <w:tc>
          <w:tcPr>
            <w:tcW w:w="1300" w:type="dxa"/>
            <w:shd w:val="clear" w:color="auto" w:fill="auto"/>
            <w:noWrap/>
            <w:vAlign w:val="bottom"/>
            <w:hideMark/>
          </w:tcPr>
          <w:p w:rsidRPr="006879B5" w:rsidR="00245442" w:rsidP="00245442" w:rsidRDefault="00245442" w14:paraId="10A907F1"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694</w:t>
            </w:r>
          </w:p>
        </w:tc>
        <w:tc>
          <w:tcPr>
            <w:tcW w:w="1300" w:type="dxa"/>
            <w:shd w:val="clear" w:color="auto" w:fill="auto"/>
            <w:noWrap/>
            <w:vAlign w:val="bottom"/>
            <w:hideMark/>
          </w:tcPr>
          <w:p w:rsidRPr="006879B5" w:rsidR="00245442" w:rsidP="00245442" w:rsidRDefault="00245442" w14:paraId="3FA250A3"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767</w:t>
            </w:r>
          </w:p>
        </w:tc>
        <w:tc>
          <w:tcPr>
            <w:tcW w:w="1300" w:type="dxa"/>
            <w:shd w:val="clear" w:color="auto" w:fill="auto"/>
            <w:noWrap/>
            <w:vAlign w:val="bottom"/>
            <w:hideMark/>
          </w:tcPr>
          <w:p w:rsidRPr="006879B5" w:rsidR="00245442" w:rsidP="00245442" w:rsidRDefault="00245442" w14:paraId="50FC5DDF"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722</w:t>
            </w:r>
          </w:p>
        </w:tc>
        <w:tc>
          <w:tcPr>
            <w:tcW w:w="1300" w:type="dxa"/>
            <w:shd w:val="clear" w:color="auto" w:fill="auto"/>
            <w:noWrap/>
            <w:vAlign w:val="bottom"/>
            <w:hideMark/>
          </w:tcPr>
          <w:p w:rsidRPr="006879B5" w:rsidR="00245442" w:rsidP="00245442" w:rsidRDefault="00245442" w14:paraId="7CAA19FC"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654</w:t>
            </w:r>
          </w:p>
        </w:tc>
        <w:tc>
          <w:tcPr>
            <w:tcW w:w="1300" w:type="dxa"/>
            <w:shd w:val="clear" w:color="auto" w:fill="auto"/>
            <w:noWrap/>
            <w:vAlign w:val="bottom"/>
            <w:hideMark/>
          </w:tcPr>
          <w:p w:rsidRPr="006879B5" w:rsidR="00245442" w:rsidP="00245442" w:rsidRDefault="00245442" w14:paraId="24B3E0EB"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642</w:t>
            </w:r>
          </w:p>
        </w:tc>
      </w:tr>
      <w:tr w:rsidRPr="006879B5" w:rsidR="00245442" w:rsidTr="002931EA" w14:paraId="3C55ED23" w14:textId="77777777">
        <w:trPr>
          <w:trHeight w:val="255"/>
        </w:trPr>
        <w:tc>
          <w:tcPr>
            <w:tcW w:w="1659" w:type="dxa"/>
            <w:shd w:val="clear" w:color="auto" w:fill="auto"/>
            <w:vAlign w:val="bottom"/>
            <w:hideMark/>
          </w:tcPr>
          <w:p w:rsidRPr="006879B5" w:rsidR="00245442" w:rsidP="00245442" w:rsidRDefault="00245442" w14:paraId="594A91B4" w14:textId="77777777">
            <w:pPr>
              <w:spacing w:line="240" w:lineRule="auto"/>
              <w:rPr>
                <w:rFonts w:ascii="Arial" w:hAnsi="Arial" w:eastAsia="Times New Roman" w:cs="Arial"/>
                <w:sz w:val="20"/>
                <w:szCs w:val="20"/>
              </w:rPr>
            </w:pPr>
            <w:r w:rsidRPr="006879B5">
              <w:rPr>
                <w:rFonts w:ascii="Arial" w:hAnsi="Arial" w:eastAsia="Times New Roman" w:cs="Arial"/>
                <w:sz w:val="20"/>
                <w:szCs w:val="20"/>
              </w:rPr>
              <w:t xml:space="preserve">Aantal aangiftes </w:t>
            </w:r>
          </w:p>
        </w:tc>
        <w:tc>
          <w:tcPr>
            <w:tcW w:w="1300" w:type="dxa"/>
            <w:shd w:val="clear" w:color="auto" w:fill="auto"/>
            <w:noWrap/>
            <w:vAlign w:val="bottom"/>
            <w:hideMark/>
          </w:tcPr>
          <w:p w:rsidRPr="006879B5" w:rsidR="00245442" w:rsidP="00245442" w:rsidRDefault="00245442" w14:paraId="1CC49D74"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1355</w:t>
            </w:r>
          </w:p>
        </w:tc>
        <w:tc>
          <w:tcPr>
            <w:tcW w:w="1300" w:type="dxa"/>
            <w:shd w:val="clear" w:color="auto" w:fill="auto"/>
            <w:noWrap/>
            <w:vAlign w:val="bottom"/>
            <w:hideMark/>
          </w:tcPr>
          <w:p w:rsidRPr="006879B5" w:rsidR="00245442" w:rsidP="00245442" w:rsidRDefault="00245442" w14:paraId="3DD936AB"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1404</w:t>
            </w:r>
          </w:p>
        </w:tc>
        <w:tc>
          <w:tcPr>
            <w:tcW w:w="1300" w:type="dxa"/>
            <w:shd w:val="clear" w:color="auto" w:fill="auto"/>
            <w:noWrap/>
            <w:vAlign w:val="bottom"/>
            <w:hideMark/>
          </w:tcPr>
          <w:p w:rsidRPr="006879B5" w:rsidR="00245442" w:rsidP="00245442" w:rsidRDefault="00245442" w14:paraId="51131B8E"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1355</w:t>
            </w:r>
          </w:p>
        </w:tc>
        <w:tc>
          <w:tcPr>
            <w:tcW w:w="1300" w:type="dxa"/>
            <w:shd w:val="clear" w:color="auto" w:fill="auto"/>
            <w:noWrap/>
            <w:vAlign w:val="bottom"/>
            <w:hideMark/>
          </w:tcPr>
          <w:p w:rsidRPr="006879B5" w:rsidR="00245442" w:rsidP="00245442" w:rsidRDefault="00245442" w14:paraId="651503D4"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1533</w:t>
            </w:r>
          </w:p>
        </w:tc>
        <w:tc>
          <w:tcPr>
            <w:tcW w:w="1300" w:type="dxa"/>
            <w:shd w:val="clear" w:color="auto" w:fill="auto"/>
            <w:noWrap/>
            <w:vAlign w:val="bottom"/>
            <w:hideMark/>
          </w:tcPr>
          <w:p w:rsidRPr="006879B5" w:rsidR="00245442" w:rsidP="00245442" w:rsidRDefault="00245442" w14:paraId="7240D5C5"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1676</w:t>
            </w:r>
          </w:p>
        </w:tc>
      </w:tr>
      <w:tr w:rsidRPr="006879B5" w:rsidR="00245442" w:rsidTr="002931EA" w14:paraId="2AE75108" w14:textId="77777777">
        <w:trPr>
          <w:trHeight w:val="765"/>
        </w:trPr>
        <w:tc>
          <w:tcPr>
            <w:tcW w:w="1659" w:type="dxa"/>
            <w:shd w:val="clear" w:color="auto" w:fill="auto"/>
            <w:vAlign w:val="bottom"/>
            <w:hideMark/>
          </w:tcPr>
          <w:p w:rsidRPr="006879B5" w:rsidR="00245442" w:rsidP="00245442" w:rsidRDefault="00245442" w14:paraId="47773A3F" w14:textId="77777777">
            <w:pPr>
              <w:spacing w:line="240" w:lineRule="auto"/>
              <w:rPr>
                <w:rFonts w:ascii="Arial" w:hAnsi="Arial" w:eastAsia="Times New Roman" w:cs="Arial"/>
                <w:sz w:val="20"/>
                <w:szCs w:val="20"/>
              </w:rPr>
            </w:pPr>
            <w:r w:rsidRPr="006879B5">
              <w:rPr>
                <w:rFonts w:ascii="Arial" w:hAnsi="Arial" w:eastAsia="Times New Roman" w:cs="Arial"/>
                <w:sz w:val="20"/>
                <w:szCs w:val="20"/>
              </w:rPr>
              <w:t>Aantal verdachten ingezonden naar het OM</w:t>
            </w:r>
          </w:p>
        </w:tc>
        <w:tc>
          <w:tcPr>
            <w:tcW w:w="1300" w:type="dxa"/>
            <w:shd w:val="clear" w:color="auto" w:fill="auto"/>
            <w:noWrap/>
            <w:vAlign w:val="bottom"/>
            <w:hideMark/>
          </w:tcPr>
          <w:p w:rsidRPr="006879B5" w:rsidR="00245442" w:rsidP="00245442" w:rsidRDefault="00245442" w14:paraId="44025742"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1154</w:t>
            </w:r>
          </w:p>
        </w:tc>
        <w:tc>
          <w:tcPr>
            <w:tcW w:w="1300" w:type="dxa"/>
            <w:shd w:val="clear" w:color="auto" w:fill="auto"/>
            <w:noWrap/>
            <w:vAlign w:val="bottom"/>
            <w:hideMark/>
          </w:tcPr>
          <w:p w:rsidRPr="006879B5" w:rsidR="00245442" w:rsidP="00245442" w:rsidRDefault="00245442" w14:paraId="28DA46AF"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1181</w:t>
            </w:r>
          </w:p>
        </w:tc>
        <w:tc>
          <w:tcPr>
            <w:tcW w:w="1300" w:type="dxa"/>
            <w:shd w:val="clear" w:color="auto" w:fill="auto"/>
            <w:noWrap/>
            <w:vAlign w:val="bottom"/>
            <w:hideMark/>
          </w:tcPr>
          <w:p w:rsidRPr="006879B5" w:rsidR="00245442" w:rsidP="00245442" w:rsidRDefault="00245442" w14:paraId="58D67AE5"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987</w:t>
            </w:r>
          </w:p>
        </w:tc>
        <w:tc>
          <w:tcPr>
            <w:tcW w:w="1300" w:type="dxa"/>
            <w:shd w:val="clear" w:color="auto" w:fill="auto"/>
            <w:noWrap/>
            <w:vAlign w:val="bottom"/>
            <w:hideMark/>
          </w:tcPr>
          <w:p w:rsidRPr="006879B5" w:rsidR="00245442" w:rsidP="00245442" w:rsidRDefault="00245442" w14:paraId="37357C6F"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1169</w:t>
            </w:r>
          </w:p>
        </w:tc>
        <w:tc>
          <w:tcPr>
            <w:tcW w:w="1300" w:type="dxa"/>
            <w:shd w:val="clear" w:color="auto" w:fill="auto"/>
            <w:noWrap/>
            <w:vAlign w:val="bottom"/>
            <w:hideMark/>
          </w:tcPr>
          <w:p w:rsidRPr="006879B5" w:rsidR="00245442" w:rsidP="00245442" w:rsidRDefault="00245442" w14:paraId="19F36E9E" w14:textId="77777777">
            <w:pPr>
              <w:spacing w:line="240" w:lineRule="auto"/>
              <w:jc w:val="right"/>
              <w:rPr>
                <w:rFonts w:ascii="Arial" w:hAnsi="Arial" w:eastAsia="Times New Roman" w:cs="Arial"/>
                <w:sz w:val="20"/>
                <w:szCs w:val="20"/>
              </w:rPr>
            </w:pPr>
            <w:r w:rsidRPr="006879B5">
              <w:rPr>
                <w:rFonts w:ascii="Arial" w:hAnsi="Arial" w:eastAsia="Times New Roman" w:cs="Arial"/>
                <w:sz w:val="20"/>
                <w:szCs w:val="20"/>
              </w:rPr>
              <w:t>1142</w:t>
            </w:r>
          </w:p>
        </w:tc>
      </w:tr>
    </w:tbl>
    <w:p w:rsidRPr="006879B5" w:rsidR="00245442" w:rsidP="00245442" w:rsidRDefault="00245442" w14:paraId="071C6B23" w14:textId="77777777">
      <w:pPr>
        <w:autoSpaceDN/>
        <w:spacing w:line="240" w:lineRule="auto"/>
        <w:textAlignment w:val="auto"/>
        <w:rPr>
          <w:rFonts w:eastAsia="Aptos" w:cs="Times New Roman"/>
          <w:color w:val="auto"/>
          <w:kern w:val="2"/>
          <w:szCs w:val="22"/>
          <w:lang w:eastAsia="en-US"/>
          <w14:ligatures w14:val="standardContextual"/>
        </w:rPr>
      </w:pPr>
    </w:p>
    <w:p w:rsidRPr="006879B5" w:rsidR="00245442" w:rsidP="00245442" w:rsidRDefault="00245442" w14:paraId="6846DF46" w14:textId="77777777">
      <w:pPr>
        <w:autoSpaceDN/>
        <w:spacing w:line="240" w:lineRule="auto"/>
        <w:textAlignment w:val="auto"/>
        <w:rPr>
          <w:rFonts w:eastAsia="Aptos" w:cs="Times New Roman"/>
          <w:color w:val="auto"/>
          <w:kern w:val="2"/>
          <w:szCs w:val="22"/>
          <w:lang w:eastAsia="en-US"/>
          <w14:ligatures w14:val="standardContextual"/>
        </w:rPr>
      </w:pPr>
      <w:r w:rsidRPr="006879B5">
        <w:rPr>
          <w:rFonts w:eastAsia="Aptos" w:cs="Times New Roman"/>
          <w:color w:val="auto"/>
          <w:kern w:val="2"/>
          <w:szCs w:val="22"/>
          <w:lang w:eastAsia="en-US"/>
          <w14:ligatures w14:val="standardContextual"/>
        </w:rPr>
        <w:t xml:space="preserve">De cijfers in de tabel 1 laten zien dat op 2 juni 2026 de werkvoorraad zedenzaken licht is gestegen (met 8%) ten opzichte van dezelfde periode vorig jaar, maar ook het aantal aangiftes van een seksueel misdrijf in die periode is gestegen (9%). Tegelijkertijd is het aantal aangiftes dat langer dan zes maanden in voorraad ligt, </w:t>
      </w:r>
      <w:r w:rsidRPr="006879B5">
        <w:rPr>
          <w:rFonts w:eastAsia="Aptos" w:cs="Times New Roman"/>
          <w:color w:val="auto"/>
          <w:kern w:val="2"/>
          <w:szCs w:val="22"/>
          <w:lang w:eastAsia="en-US"/>
          <w14:ligatures w14:val="standardContextual"/>
        </w:rPr>
        <w:lastRenderedPageBreak/>
        <w:t>gedaald. Dit laat zien dat er onder toenemende druk grote inspanningen worden geleverd door de teams opsporing seksuele misdrijven.</w:t>
      </w:r>
    </w:p>
    <w:p w:rsidRPr="006879B5" w:rsidR="00245442" w:rsidP="00245442" w:rsidRDefault="00245442" w14:paraId="01F07E2A" w14:textId="77777777">
      <w:pPr>
        <w:autoSpaceDN/>
        <w:spacing w:line="240" w:lineRule="auto"/>
        <w:textAlignment w:val="auto"/>
        <w:rPr>
          <w:rFonts w:eastAsia="Aptos" w:cs="Times New Roman"/>
          <w:i/>
          <w:iCs/>
          <w:color w:val="auto"/>
          <w:kern w:val="2"/>
          <w:szCs w:val="22"/>
          <w:lang w:eastAsia="en-US"/>
          <w14:ligatures w14:val="standardContextual"/>
        </w:rPr>
      </w:pPr>
    </w:p>
    <w:p w:rsidRPr="006879B5" w:rsidR="00245442" w:rsidP="00245442" w:rsidRDefault="00245442" w14:paraId="0224BCCC" w14:textId="77777777">
      <w:pPr>
        <w:autoSpaceDN/>
        <w:spacing w:line="240" w:lineRule="auto"/>
        <w:textAlignment w:val="auto"/>
        <w:rPr>
          <w:rFonts w:eastAsia="Aptos" w:cs="Times New Roman"/>
          <w:i/>
          <w:iCs/>
          <w:color w:val="auto"/>
          <w:kern w:val="2"/>
          <w:szCs w:val="22"/>
          <w:lang w:eastAsia="en-US"/>
          <w14:ligatures w14:val="standardContextual"/>
        </w:rPr>
      </w:pPr>
      <w:r w:rsidRPr="006879B5">
        <w:rPr>
          <w:rFonts w:eastAsia="Aptos" w:cs="Times New Roman"/>
          <w:i/>
          <w:iCs/>
          <w:color w:val="auto"/>
          <w:kern w:val="2"/>
          <w:szCs w:val="22"/>
          <w:lang w:eastAsia="en-US"/>
          <w14:ligatures w14:val="standardContextual"/>
        </w:rPr>
        <w:t>Maatregelen</w:t>
      </w:r>
    </w:p>
    <w:p w:rsidRPr="006879B5" w:rsidR="00245442" w:rsidP="00245442" w:rsidRDefault="00245442" w14:paraId="566B7FAE" w14:textId="77777777">
      <w:pPr>
        <w:autoSpaceDN/>
        <w:spacing w:line="240" w:lineRule="auto"/>
        <w:textAlignment w:val="auto"/>
        <w:rPr>
          <w:rFonts w:eastAsia="Aptos" w:cs="Times New Roman"/>
          <w:color w:val="auto"/>
          <w:kern w:val="2"/>
          <w:lang w:eastAsia="en-US"/>
          <w14:ligatures w14:val="standardContextual"/>
        </w:rPr>
      </w:pPr>
      <w:r w:rsidRPr="006879B5">
        <w:rPr>
          <w:rFonts w:eastAsia="Aptos" w:cs="Times New Roman"/>
          <w:color w:val="auto"/>
          <w:kern w:val="2"/>
          <w:lang w:eastAsia="en-US"/>
          <w14:ligatures w14:val="standardContextual"/>
        </w:rPr>
        <w:t>Lange doorlooptijden in zedenzaken kunnen een grote impact hebben op zedenslachtoffers</w:t>
      </w:r>
      <w:r w:rsidRPr="006879B5">
        <w:t xml:space="preserve"> en </w:t>
      </w:r>
      <w:r w:rsidRPr="006879B5">
        <w:rPr>
          <w:rFonts w:eastAsia="Aptos" w:cs="Times New Roman"/>
          <w:color w:val="auto"/>
          <w:kern w:val="2"/>
          <w:lang w:eastAsia="en-US"/>
          <w14:ligatures w14:val="standardContextual"/>
        </w:rPr>
        <w:t>hun naaste omgeving</w:t>
      </w:r>
      <w:r w:rsidRPr="006879B5">
        <w:rPr>
          <w:rFonts w:eastAsia="Aptos" w:cs="Times New Roman"/>
          <w:color w:val="77206D"/>
          <w:kern w:val="2"/>
          <w:lang w:eastAsia="en-US"/>
          <w14:ligatures w14:val="standardContextual"/>
        </w:rPr>
        <w:t>.</w:t>
      </w:r>
      <w:r w:rsidRPr="006879B5">
        <w:rPr>
          <w:rFonts w:eastAsia="Aptos" w:cs="Times New Roman"/>
          <w:color w:val="auto"/>
          <w:kern w:val="2"/>
          <w:lang w:eastAsia="en-US"/>
          <w14:ligatures w14:val="standardContextual"/>
        </w:rPr>
        <w:t xml:space="preserve"> </w:t>
      </w:r>
      <w:r w:rsidRPr="006879B5">
        <w:t>A</w:t>
      </w:r>
      <w:r w:rsidRPr="006879B5">
        <w:rPr>
          <w:rFonts w:eastAsia="Aptos" w:cs="Times New Roman"/>
          <w:color w:val="auto"/>
          <w:kern w:val="2"/>
          <w:lang w:eastAsia="en-US"/>
          <w14:ligatures w14:val="standardContextual"/>
        </w:rPr>
        <w:t xml:space="preserve">fgelopen jaren </w:t>
      </w:r>
      <w:r w:rsidRPr="006879B5">
        <w:t xml:space="preserve">zijn verschillende </w:t>
      </w:r>
      <w:r w:rsidRPr="006879B5">
        <w:rPr>
          <w:rFonts w:eastAsia="Aptos" w:cs="Times New Roman"/>
          <w:color w:val="auto"/>
          <w:kern w:val="2"/>
          <w:lang w:eastAsia="en-US"/>
          <w14:ligatures w14:val="standardContextual"/>
        </w:rPr>
        <w:t xml:space="preserve">investeringen gedaan voor het uitbreiden </w:t>
      </w:r>
      <w:r w:rsidRPr="006879B5">
        <w:t>van de formatie van de teams opsporing seksuele misdrijven (voorheen zedenrecherche) om de werkvoorraden terug te dringen en de verwachte stijging van het aantal meldingen en aangiften als gevolg van de invoering van de Wet seksuele misdrijven op 1 juli 2024 te kunnen opvangen.</w:t>
      </w:r>
      <w:r w:rsidRPr="006879B5">
        <w:rPr>
          <w:vertAlign w:val="superscript"/>
        </w:rPr>
        <w:footnoteReference w:id="61"/>
      </w:r>
      <w:r w:rsidRPr="006879B5">
        <w:t xml:space="preserve"> Door de pensioenuitstroom en de krappe arbeidsmarkt blijft het echter een uitdaging om de bezetting op peil te houden.</w:t>
      </w:r>
    </w:p>
    <w:p w:rsidRPr="006879B5" w:rsidR="00245442" w:rsidP="00245442" w:rsidRDefault="00245442" w14:paraId="750E0F11" w14:textId="77777777">
      <w:pPr>
        <w:autoSpaceDN/>
        <w:spacing w:line="240" w:lineRule="auto"/>
        <w:textAlignment w:val="auto"/>
        <w:rPr>
          <w:rFonts w:eastAsia="Aptos" w:cs="Times New Roman"/>
          <w:color w:val="auto"/>
          <w:lang w:eastAsia="en-US"/>
        </w:rPr>
      </w:pPr>
    </w:p>
    <w:p w:rsidRPr="006879B5" w:rsidR="00245442" w:rsidP="00245442" w:rsidRDefault="00245442" w14:paraId="37650812" w14:textId="77777777">
      <w:pPr>
        <w:rPr>
          <w:rFonts w:eastAsia="Aptos" w:cs="Times New Roman"/>
          <w:color w:val="auto"/>
          <w:lang w:eastAsia="en-US"/>
        </w:rPr>
      </w:pPr>
      <w:r w:rsidRPr="006879B5">
        <w:rPr>
          <w:rFonts w:eastAsia="Aptos" w:cs="Times New Roman"/>
          <w:color w:val="auto"/>
          <w:lang w:eastAsia="en-US"/>
        </w:rPr>
        <w:t>Ook dit kabinet zal, conform ambities in het coalitieakkoord, een impuls geven aan de aanpak van online seksueel misbruik door de politie.</w:t>
      </w:r>
      <w:r w:rsidRPr="006879B5">
        <w:t xml:space="preserve"> Omdat een steeds groter deel van de zedenzaken een online seksuele misdrijf betreft, is de verwachting dat dit zal bijdragen tot het verder terugdringen van de werkvoorraden. </w:t>
      </w:r>
      <w:r w:rsidRPr="006879B5">
        <w:rPr>
          <w:rFonts w:eastAsia="Aptos" w:cs="Times New Roman"/>
          <w:color w:val="auto"/>
          <w:lang w:eastAsia="en-US"/>
        </w:rPr>
        <w:t xml:space="preserve">Deze ambitie zal in de uitvoering een bredere invulling krijgen, waarbij gestreefd wordt naar een meer multidisciplinaire aanpak, met verschillende specialismen, meer datagedreven en intel-gestuurd en met behulp van analysetools. De bestedingsplannen worden momenteel met de gezagen uitgewerkt, in de JenV-ontwerpbegroting zal de Kamer worden geïnformeerd over hoe de middelen voor de politie zullen worden besteed. </w:t>
      </w:r>
    </w:p>
    <w:p w:rsidRPr="006879B5" w:rsidR="00245442" w:rsidP="00245442" w:rsidRDefault="00245442" w14:paraId="39F36EFC" w14:textId="77777777">
      <w:pPr>
        <w:autoSpaceDN/>
        <w:spacing w:line="240" w:lineRule="auto"/>
        <w:textAlignment w:val="auto"/>
        <w:rPr>
          <w:rFonts w:eastAsia="Aptos" w:cs="Times New Roman"/>
          <w:color w:val="auto"/>
          <w:kern w:val="2"/>
          <w:szCs w:val="22"/>
          <w:lang w:eastAsia="en-US"/>
          <w14:ligatures w14:val="standardContextual"/>
        </w:rPr>
      </w:pPr>
    </w:p>
    <w:p w:rsidRPr="006879B5" w:rsidR="00245442" w:rsidP="00245442" w:rsidRDefault="00245442" w14:paraId="4AF58839" w14:textId="77777777">
      <w:pPr>
        <w:autoSpaceDN/>
        <w:spacing w:line="240" w:lineRule="auto"/>
        <w:textAlignment w:val="auto"/>
        <w:rPr>
          <w:rFonts w:eastAsia="Aptos" w:cs="Times New Roman"/>
          <w:color w:val="auto"/>
          <w:kern w:val="2"/>
          <w:szCs w:val="22"/>
          <w:lang w:eastAsia="en-US"/>
          <w14:ligatures w14:val="standardContextual"/>
        </w:rPr>
      </w:pPr>
      <w:r w:rsidRPr="006879B5">
        <w:rPr>
          <w:rFonts w:eastAsia="Aptos" w:cs="Times New Roman"/>
          <w:color w:val="auto"/>
          <w:kern w:val="2"/>
          <w:szCs w:val="22"/>
          <w:lang w:eastAsia="en-US"/>
          <w14:ligatures w14:val="standardContextual"/>
        </w:rPr>
        <w:t xml:space="preserve">Naast het uitbreiden van capaciteit en (technologische) innovatie van de opsporing, werkt de politie al enkele jaren, zowel regionaal binnen de teams opsporing seksuele misdrijven als op landelijk niveau, aan verbeteringen op het gebied van slachtofferbejegening en opvolging, sturing, maatwerk en capaciteit. </w:t>
      </w:r>
    </w:p>
    <w:p w:rsidRPr="006879B5" w:rsidR="00245442" w:rsidP="00245442" w:rsidRDefault="00245442" w14:paraId="4877C1E8" w14:textId="77777777">
      <w:pPr>
        <w:rPr>
          <w:rFonts w:eastAsia="Aptos" w:cs="Times New Roman"/>
          <w:color w:val="auto"/>
          <w:lang w:eastAsia="en-US"/>
        </w:rPr>
      </w:pPr>
    </w:p>
    <w:p w:rsidRPr="006879B5" w:rsidR="00245442" w:rsidP="00245442" w:rsidRDefault="00245442" w14:paraId="3556BAE5" w14:textId="5E3A8F87">
      <w:r w:rsidRPr="006879B5">
        <w:t>Daarnaast werken de organisaties binnen de strafrechtketen in gezamenlijkheid aan het verkorten van de doorlooptijden in zedenzaken. Met het Actieplan Versterken Ketenaanpak Zedenzaken, dat op 31 december 2025 is afgerond, hebben de ketenpartners gezamenlijk maatregelen doorgevoerd die structureel moeten bijdragen aan het verkorten van doorlooptijden en aan verdere professionalisering van de aanpak van zedenzaken</w:t>
      </w:r>
      <w:r w:rsidRPr="006879B5" w:rsidR="008A33EF">
        <w:rPr>
          <w:rStyle w:val="Voetnootmarkering"/>
        </w:rPr>
        <w:footnoteReference w:id="62"/>
      </w:r>
      <w:r w:rsidRPr="006879B5">
        <w:t>. Het gaat onder meer om het optimaliseren van werkprocessen binnen en tussen organisaties, het prioriteren van zedenzaken bij de zittingsplanning, betere sturing op capaciteit en prioritering, en meer maatwerk met een passende en betekenisvolle afdoening voor slachtoffers — of dat nu een strafrechtelijke afdoening is, begeleiding naar hulpverlening of toepassing van herstelrecht. Hoewel er geen eenvoudige oplossing bestaat voor het verkorten van doorlooptijden, laten de resultaten over 2024 zien dat de gezamenlijke inzet effect sorteert. De cijfers tot en met juni 2025 bevestigen deze voorzichtige daling, ondanks een hogere instroom die mede samenhangt met (de publiciteit rondom) de Wet Seksuele Misdrijven.</w:t>
      </w:r>
      <w:r w:rsidRPr="006879B5" w:rsidR="008A33EF">
        <w:rPr>
          <w:rStyle w:val="Voetnootmarkering"/>
        </w:rPr>
        <w:footnoteReference w:id="63"/>
      </w:r>
      <w:r w:rsidRPr="006879B5">
        <w:t xml:space="preserve"> Het Actieplan is afgerond, maar de structuur blijft overeind, onder meer door de ketenexpertgroep die minimaal twee keer per jaar bij elkaar komt om de monitor te bespreken en de lopende acties van het actieplan door te nemen. Indien de cijfers daartoe aanleiding geven kan besloten worden om aanvullende maatregelen te nemen om doorlooptijden terug te dringen. </w:t>
      </w:r>
    </w:p>
    <w:p w:rsidRPr="006879B5" w:rsidR="00245442" w:rsidP="00245442" w:rsidRDefault="00245442" w14:paraId="5B4CC652" w14:textId="77777777"/>
    <w:p w:rsidRPr="006879B5" w:rsidR="00910315" w:rsidP="00224DB8" w:rsidRDefault="00245442" w14:paraId="23CFE798" w14:textId="79F47859">
      <w:r w:rsidRPr="006879B5">
        <w:lastRenderedPageBreak/>
        <w:t>Naast een strafrechtelijke afdoening kan in zedenzaken ook worden gekozen voor alternatieve interventies en hulp, d</w:t>
      </w:r>
      <w:r w:rsidRPr="006879B5" w:rsidR="00793B06">
        <w:t>ie</w:t>
      </w:r>
      <w:r w:rsidRPr="006879B5">
        <w:t xml:space="preserve"> aansluit</w:t>
      </w:r>
      <w:r w:rsidRPr="006879B5" w:rsidR="00793B06">
        <w:t xml:space="preserve">(en) </w:t>
      </w:r>
      <w:r w:rsidRPr="006879B5">
        <w:t>bij de behoeften van het slachtoffer. Sinds 2024 wordt via het traject ‘goed georganiseerd landschap van hulp-, meld- en steunpunten’ samen met de VNG, zorg en -straforganisaties en slachtoffers gewerkt aan een nieuwe integrale manier van samenwerken. Aan de hand van dit traject is een werkwijze ontwikkeld die recent in de praktijk is getoetst in de regio’s Den Haag en Oost-Brabant. Momenteel wordt een uitvoeringstoets gedaan om te bepalen of de werkwijze uitvoerbaar is voor professionals en met een resultaat- en effectmeting wordt onderzocht of de werkwijze de gewenste verbetering oplevert voor slachtoffers. De uitvoeringstoets wordt in de zomer afgerond waarna besluitvorming zal plaatsvinden over het vervolg. In de tweede helft van dit jaar wordt de Kamer hierover schriftelijk geïnformeerd.</w:t>
      </w:r>
    </w:p>
    <w:p w:rsidRPr="006879B5" w:rsidR="00224DB8" w:rsidP="00224DB8" w:rsidRDefault="00A551EC" w14:paraId="0CAE4919" w14:textId="0D4F0B4D">
      <w:pPr>
        <w:pStyle w:val="Kop2"/>
      </w:pPr>
      <w:r w:rsidRPr="006879B5">
        <w:t>Reflectie op de HCSS Strategische Monitor Politie 2026: Weerbare rechtsorde in onzekere tijden</w:t>
      </w:r>
    </w:p>
    <w:p w:rsidRPr="006879B5" w:rsidR="00A551EC" w:rsidP="00A551EC" w:rsidRDefault="00A551EC" w14:paraId="433DBD03" w14:textId="77777777"/>
    <w:p w:rsidRPr="006879B5" w:rsidR="00224DB8" w:rsidP="00224DB8" w:rsidRDefault="00A551EC" w14:paraId="1D6A581F" w14:textId="4CDA6696">
      <w:r w:rsidRPr="006879B5">
        <w:t>In opdracht van de Directie Strategie en Innovatie van de politie heeft The Hague Centre for Strategic Studies (HCSS) het rapport 'Strategische Monitor Politie 2026: Weerbare rechtsorde in onzekere tijden’</w:t>
      </w:r>
      <w:r w:rsidRPr="006879B5" w:rsidR="004B6BEE">
        <w:rPr>
          <w:rStyle w:val="Voetnootmarkering"/>
        </w:rPr>
        <w:footnoteReference w:id="64"/>
      </w:r>
      <w:r w:rsidRPr="006879B5">
        <w:t xml:space="preserve"> uitgebracht. Het rapport ondersteunt op verscheidende thema’s de inzet van het Coalitieakkoord 2026-2030 om de Nationale Politie tot een meer weerbare en toekomstbestendige organisatie uit te bouwen. Daarnaast onderstreept het rapport de huidige Kabinetsinzet qua prioriteiten voor de politie, waaronder een stevige rechtstaat, aanpak van online criminaliteit en aanpak van hybride dreigingen. In een complexe en veranderende wereld is wetenschappelijk gefundeerd beleid cruciaal voor het adaptieve vermogen van het politieapparaat. Het </w:t>
      </w:r>
      <w:r w:rsidRPr="006879B5" w:rsidR="00910315">
        <w:t xml:space="preserve">kabinet </w:t>
      </w:r>
      <w:r w:rsidRPr="006879B5">
        <w:t xml:space="preserve">verwelkomt daarom initiatieven van de Nationale Politie zoals het HCSS-rapport om het politiebeleid te voeden. </w:t>
      </w:r>
    </w:p>
    <w:p w:rsidRPr="006879B5" w:rsidR="00224DB8" w:rsidP="00224DB8" w:rsidRDefault="008006EB" w14:paraId="4B6121C4" w14:textId="1EF6CE9E">
      <w:pPr>
        <w:pStyle w:val="Kop2"/>
      </w:pPr>
      <w:r w:rsidRPr="006879B5">
        <w:t>Toezegging om de kamer de informeren over de leidraad inzake de afdoening winkeldiefstal</w:t>
      </w:r>
      <w:r w:rsidRPr="006879B5" w:rsidR="003B4656">
        <w:rPr>
          <w:rStyle w:val="Voetnootmarkering"/>
        </w:rPr>
        <w:footnoteReference w:id="65"/>
      </w:r>
    </w:p>
    <w:p w:rsidRPr="006879B5" w:rsidR="008006EB" w:rsidP="008006EB" w:rsidRDefault="008006EB" w14:paraId="7325E14E" w14:textId="77777777"/>
    <w:p w:rsidRPr="006879B5" w:rsidR="008006EB" w:rsidP="008006EB" w:rsidRDefault="008006EB" w14:paraId="7D0A361E" w14:textId="6DE65ED2">
      <w:r w:rsidRPr="006879B5">
        <w:t>Tijdens het Commissiedebat Politie van 18 december 2025 heeft uw Kamer vragen gesteld over de ontwikkelingen binnen de aanpak van winkeldiefstal. Graag informeer ik u over de voortgang op de leidraad voor de afdoening van winkeldiefstal, conform mijn toezegging. Deze leidraad is onderdeel van het plan om de aanpak van winkeldiefstal te versterken middels publieke en private samenwerking dat in november 2025 is vastgesteld door het Nationaal Platform Criminaliteitsbeheersing. Uw Kamer is geïnformeerd over de voortgang van de uitvoering van het plan van aanpak op 10 december 2025.</w:t>
      </w:r>
      <w:r w:rsidRPr="006879B5">
        <w:rPr>
          <w:rStyle w:val="Voetnootmarkering"/>
        </w:rPr>
        <w:footnoteReference w:id="66"/>
      </w:r>
    </w:p>
    <w:p w:rsidRPr="006879B5" w:rsidR="008006EB" w:rsidP="008006EB" w:rsidRDefault="008006EB" w14:paraId="2B64991C" w14:textId="77777777"/>
    <w:p w:rsidRPr="006879B5" w:rsidR="008006EB" w:rsidP="008006EB" w:rsidRDefault="008006EB" w14:paraId="0BCB05BA" w14:textId="77777777">
      <w:r w:rsidRPr="006879B5">
        <w:t xml:space="preserve">De leidraad afdoening winkeldiefstal heeft als doel om ondernemers bij winkeldiefstal te ondersteunen in de afdoeningsmogelijkheden. De leidraad is ontwikkeld in gezamenlijkheid met de politie, het Openbaar Ministerie en vertegenwoordigers van de detailhandel (waaronder VNO-NCW/ MKB-Nederland, INretail en het Retail Veiligheidsoverleg). </w:t>
      </w:r>
    </w:p>
    <w:p w:rsidRPr="006879B5" w:rsidR="008006EB" w:rsidP="008006EB" w:rsidRDefault="008006EB" w14:paraId="62B00AA1" w14:textId="77777777"/>
    <w:p w:rsidRPr="006879B5" w:rsidR="008006EB" w:rsidP="008006EB" w:rsidRDefault="008006EB" w14:paraId="06A7688C" w14:textId="77777777">
      <w:r w:rsidRPr="006879B5">
        <w:t xml:space="preserve">Op 1 april j.l. zijn de pilots ‘leidraad winkeliers bij winkeldiefstal’ gestart in Oost-Nederland. Binnen de pilots worden de ondernemers meegenomen door de </w:t>
      </w:r>
      <w:r w:rsidRPr="006879B5">
        <w:lastRenderedPageBreak/>
        <w:t>leidraad bij het afdoen van winkeldiefstal middels een website. De leidraad omvat een keuzehulp voor zowel civielrechtelijke afdoening als het inschakelen van de politie. De pilots lopen voor drie maanden. Het WODC begeleidt een evaluatie van de pilots, waarbij zowel de effectiviteit van de keuzehulp als ervaringen van ondernemers met de keuzehulp in de praktijk worden onderzocht.</w:t>
      </w:r>
    </w:p>
    <w:p w:rsidRPr="006879B5" w:rsidR="008006EB" w:rsidP="008006EB" w:rsidRDefault="008006EB" w14:paraId="5E71D1DC" w14:textId="77777777"/>
    <w:p w:rsidRPr="006879B5" w:rsidR="00DF3DA0" w:rsidP="00224DB8" w:rsidRDefault="008006EB" w14:paraId="078C9124" w14:textId="74D356E0">
      <w:r w:rsidRPr="006879B5">
        <w:t>Momenteel ben ik samen met publieke en private partners bezig met de invulling van het nieuwe Actieprogramma Veilig Ondernemen 2027 – 2030. Tijdens het Nationaal Platform Criminaliteitsbeheersing (NPC) van 13 april j.l. is vastgesteld dat een van de thema’s geweld- en vermogenscriminaliteit betreft. De aanpak van winkeldiefstal, waaronder het verder ontwikkelen van de leidraad afdoening winkeldiefstal voor winkeliers, maakt hier een onderdeel van uit. De evaluatie van het WODC</w:t>
      </w:r>
      <w:r w:rsidRPr="006879B5" w:rsidR="00E26C9B">
        <w:rPr>
          <w:rStyle w:val="Voetnootmarkering"/>
        </w:rPr>
        <w:footnoteReference w:id="67"/>
      </w:r>
      <w:r w:rsidRPr="006879B5">
        <w:t xml:space="preserve"> en het traject richting het nieuwe Actieprogramma zullen verdere inzichten bieden ter optimalisatie van de leidraad. Ik zal uw Kamer hier verder over informeren bij mijn beleidsreactie op de WODC-evaluatie. De oplevering van het WODC-onderzoek wordt voor eind 2026 verwacht.</w:t>
      </w:r>
    </w:p>
    <w:p w:rsidRPr="006879B5" w:rsidR="00224DB8" w:rsidP="00224DB8" w:rsidRDefault="00224DB8" w14:paraId="60039558" w14:textId="4A699BDE">
      <w:pPr>
        <w:pStyle w:val="Kop2"/>
      </w:pPr>
      <w:r w:rsidRPr="006879B5">
        <w:t>Schadeverhalen coronarellen</w:t>
      </w:r>
    </w:p>
    <w:p w:rsidRPr="006879B5" w:rsidR="00DF3DA0" w:rsidP="00DF3DA0" w:rsidRDefault="00DF3DA0" w14:paraId="38151C5D" w14:textId="77777777"/>
    <w:p w:rsidRPr="006879B5" w:rsidR="001F2F7A" w:rsidP="001F2F7A" w:rsidRDefault="001F2F7A" w14:paraId="056B7443" w14:textId="77777777">
      <w:r w:rsidRPr="006879B5">
        <w:t>Eerder heeft mijn ambtsvoorganger u geïnformeerd over het</w:t>
      </w:r>
    </w:p>
    <w:p w:rsidRPr="006879B5" w:rsidR="001F2F7A" w:rsidP="001F2F7A" w:rsidRDefault="001F2F7A" w14:paraId="0657F381" w14:textId="77777777">
      <w:r w:rsidRPr="006879B5">
        <w:t>verhalen van schade door de Staat op relschoppers grond van de Regeling</w:t>
      </w:r>
    </w:p>
    <w:p w:rsidRPr="006879B5" w:rsidR="001F2F7A" w:rsidP="001F2F7A" w:rsidRDefault="001F2F7A" w14:paraId="77254213" w14:textId="77777777">
      <w:r w:rsidRPr="006879B5">
        <w:t>bedrijvenschade coronarellen.</w:t>
      </w:r>
      <w:r w:rsidRPr="006879B5">
        <w:rPr>
          <w:vertAlign w:val="superscript"/>
        </w:rPr>
        <w:footnoteReference w:id="68"/>
      </w:r>
      <w:r w:rsidRPr="006879B5">
        <w:t xml:space="preserve"> Het gaat hierbij in totaal om een bedrag van € 228.150,-. Via deze brief informeer ik u over de stand van zaken. Omdat het van belang is dat daders opdraaien voor de schade die zij veroorzaakt hebben, zijn er verschillende inspanningen verricht om het door de Staat uitgekeerde bedrag op de daders te verhalen. Helaas is het echter niet gelukt om alle schade te verhalen. De oorzaak hiervan ligt in het feit dat het niet mogelijk is gebleken de schade via geautomatiseerde weg te koppelen aan daders. Alleen handmatige zoekslagen, die tijdrovend, kostbaar en niet met zekerheid succesvol zijn, zouden mogelijk leiden tot het koppelen van een dader en mogelijk kostenverhaal. Gegeven deze onevenredige, kostbare inspanningen met een onzeker resultaat, is ervoor gekozen deze poging te staken. Hieronder wordt dit besluit nader toegelicht.</w:t>
      </w:r>
    </w:p>
    <w:p w:rsidRPr="006879B5" w:rsidR="001F2F7A" w:rsidP="001F2F7A" w:rsidRDefault="001F2F7A" w14:paraId="6B64C52A" w14:textId="77777777"/>
    <w:p w:rsidRPr="006879B5" w:rsidR="001F2F7A" w:rsidP="001F2F7A" w:rsidRDefault="001F2F7A" w14:paraId="13ECDC9D" w14:textId="77777777">
      <w:r w:rsidRPr="006879B5">
        <w:t>Het koppelen van de aangerichte schade aan de daders die deze hebben</w:t>
      </w:r>
    </w:p>
    <w:p w:rsidRPr="006879B5" w:rsidR="001F2F7A" w:rsidP="001F2F7A" w:rsidRDefault="001F2F7A" w14:paraId="00D82C5C" w14:textId="77777777">
      <w:r w:rsidRPr="006879B5">
        <w:t>veroorzaakt is complex gebleken, omdat er bij de Staat wel gegevens van slachtoffers, maar niet van daders bekend waren. Indien daders zijn vervolgd (voor de schade die zij hebben veroorzaakt), zijn zij bekend bij het OM. Het OM heeft in twee zaken als proef gekeken of een dader aan specifieke schade kan worden gekoppeld. In één zaak is dit gelukt. Vervolgens heb ik een verzoek ingediend bij het OM om in alle zaken te bezien of gegevens kunnen worden gevonden en verstrekt. Het OM heeft hierop zorgvuldig bekeken of de slachtoffergegevens in de aktes van cessie via een geautomatiseerde wijze kunnen worden gekoppeld aan veroordeelden. Dit bleek helaas niet mogelijk.</w:t>
      </w:r>
    </w:p>
    <w:p w:rsidRPr="006879B5" w:rsidR="001F2F7A" w:rsidP="001F2F7A" w:rsidRDefault="001F2F7A" w14:paraId="002A772E" w14:textId="77777777"/>
    <w:p w:rsidRPr="006879B5" w:rsidR="001F2F7A" w:rsidP="001F2F7A" w:rsidRDefault="001F2F7A" w14:paraId="782AC433" w14:textId="77777777">
      <w:r w:rsidRPr="006879B5">
        <w:t>Voor een meer diepgaande zoekslag zou er op meerdere parketten een</w:t>
      </w:r>
    </w:p>
    <w:p w:rsidRPr="006879B5" w:rsidR="001F2F7A" w:rsidP="001F2F7A" w:rsidRDefault="001F2F7A" w14:paraId="1BB5CF7A" w14:textId="77777777">
      <w:r w:rsidRPr="006879B5">
        <w:t>tijdrovende, handmatige zoekslag moeten worden gemaakt tussen informatie uit</w:t>
      </w:r>
    </w:p>
    <w:p w:rsidRPr="006879B5" w:rsidR="001F2F7A" w:rsidP="001F2F7A" w:rsidRDefault="001F2F7A" w14:paraId="28E53B89" w14:textId="77777777">
      <w:r w:rsidRPr="006879B5">
        <w:t>de akte van cessies en mogelijke veroordeelden. Ik kies ervoor dit niet te doen</w:t>
      </w:r>
    </w:p>
    <w:p w:rsidRPr="006879B5" w:rsidR="001F2F7A" w:rsidP="001F2F7A" w:rsidRDefault="001F2F7A" w14:paraId="7D29C3CB" w14:textId="77777777">
      <w:r w:rsidRPr="006879B5">
        <w:t>gelet op de grote inspanningen en kosten die dit met zich meebrengt enerzijds en</w:t>
      </w:r>
    </w:p>
    <w:p w:rsidRPr="006879B5" w:rsidR="001F2F7A" w:rsidP="001F2F7A" w:rsidRDefault="001F2F7A" w14:paraId="46493875" w14:textId="77777777">
      <w:r w:rsidRPr="006879B5">
        <w:t>de onzekere en mogelijk lage uitkomst anderzijds.</w:t>
      </w:r>
    </w:p>
    <w:p w:rsidRPr="006879B5" w:rsidR="001F2F7A" w:rsidP="001F2F7A" w:rsidRDefault="001F2F7A" w14:paraId="0207C822" w14:textId="77777777"/>
    <w:p w:rsidRPr="006879B5" w:rsidR="001F2F7A" w:rsidP="001F2F7A" w:rsidRDefault="001F2F7A" w14:paraId="7F957BD7" w14:textId="77777777">
      <w:r w:rsidRPr="006879B5">
        <w:t>In de eerste plaats betekent dit voor het OM een extra taak, die bovenop de</w:t>
      </w:r>
    </w:p>
    <w:p w:rsidRPr="006879B5" w:rsidR="001F2F7A" w:rsidP="001F2F7A" w:rsidRDefault="001F2F7A" w14:paraId="24BCEFDB" w14:textId="77777777">
      <w:r w:rsidRPr="006879B5">
        <w:t>reguliere werkzaamheden komt. Gelet op de beperkte capaciteit bij het OM kies ik</w:t>
      </w:r>
    </w:p>
    <w:p w:rsidRPr="006879B5" w:rsidR="001F2F7A" w:rsidP="001F2F7A" w:rsidRDefault="001F2F7A" w14:paraId="7F4A5BA1" w14:textId="77777777">
      <w:r w:rsidRPr="006879B5">
        <w:t>ervoor om prioriteit te geven aan het doen van strafzaken. Daarnaast geeft het</w:t>
      </w:r>
    </w:p>
    <w:p w:rsidRPr="006879B5" w:rsidR="001F2F7A" w:rsidP="001F2F7A" w:rsidRDefault="001F2F7A" w14:paraId="62AA1CBB" w14:textId="77777777">
      <w:r w:rsidRPr="006879B5">
        <w:t>uitvoeren van een handmatige zoekslag geen zekerheid dat ook daadwerkelijk</w:t>
      </w:r>
    </w:p>
    <w:p w:rsidRPr="006879B5" w:rsidR="001F2F7A" w:rsidP="001F2F7A" w:rsidRDefault="001F2F7A" w14:paraId="331D2BD8" w14:textId="77777777">
      <w:r w:rsidRPr="006879B5">
        <w:t>dadergegevens voor deze specifieke schade gevonden en gekoppeld kunnen</w:t>
      </w:r>
    </w:p>
    <w:p w:rsidRPr="006879B5" w:rsidR="001F2F7A" w:rsidP="001F2F7A" w:rsidRDefault="001F2F7A" w14:paraId="0127C541" w14:textId="77777777">
      <w:r w:rsidRPr="006879B5">
        <w:t>worden. De ervaring leert dat het bij grootschalige rellen, door de chaotische en</w:t>
      </w:r>
    </w:p>
    <w:p w:rsidRPr="006879B5" w:rsidR="001F2F7A" w:rsidP="001F2F7A" w:rsidRDefault="001F2F7A" w14:paraId="6DC70289" w14:textId="77777777">
      <w:r w:rsidRPr="006879B5">
        <w:t>onoverzichtelijke situatie, vaak lastig is om vast te stellen welke concrete dader</w:t>
      </w:r>
    </w:p>
    <w:p w:rsidRPr="006879B5" w:rsidR="001F2F7A" w:rsidP="001F2F7A" w:rsidRDefault="001F2F7A" w14:paraId="06B93D42" w14:textId="77777777">
      <w:r w:rsidRPr="006879B5">
        <w:t>een specifieke schade heeft toegebracht.</w:t>
      </w:r>
    </w:p>
    <w:p w:rsidRPr="006879B5" w:rsidR="001F2F7A" w:rsidP="001F2F7A" w:rsidRDefault="001F2F7A" w14:paraId="0B6FB2D2" w14:textId="77777777"/>
    <w:p w:rsidRPr="006879B5" w:rsidR="001F2F7A" w:rsidP="001F2F7A" w:rsidRDefault="001F2F7A" w14:paraId="462503DA" w14:textId="1C1E50B7">
      <w:r w:rsidRPr="006879B5">
        <w:t>Daarnaast is ook het te verhalen bedrag onzeker. Indien wel een aantal</w:t>
      </w:r>
      <w:r w:rsidRPr="006879B5" w:rsidR="003A2A02">
        <w:t xml:space="preserve"> </w:t>
      </w:r>
      <w:r w:rsidRPr="006879B5">
        <w:t>veroordeelden aan de schade gekoppeld kan worden, zal het OM per zaak moeten</w:t>
      </w:r>
    </w:p>
    <w:p w:rsidRPr="006879B5" w:rsidR="001F2F7A" w:rsidP="001F2F7A" w:rsidRDefault="001F2F7A" w14:paraId="151198F7" w14:textId="77777777">
      <w:r w:rsidRPr="006879B5">
        <w:t>beoordelen of de gegevens op grond van de Wet justitiële en strafvorderlijke</w:t>
      </w:r>
    </w:p>
    <w:p w:rsidRPr="006879B5" w:rsidR="001F2F7A" w:rsidP="001F2F7A" w:rsidRDefault="001F2F7A" w14:paraId="5F25FC3E" w14:textId="77777777">
      <w:r w:rsidRPr="006879B5">
        <w:t>gegevens (Wjsg) gedeeld kunnen worden met de Staat. Vervolgens zal de</w:t>
      </w:r>
    </w:p>
    <w:p w:rsidRPr="006879B5" w:rsidR="001F2F7A" w:rsidP="001F2F7A" w:rsidRDefault="001F2F7A" w14:paraId="4F4ABF6C" w14:textId="77777777">
      <w:r w:rsidRPr="006879B5">
        <w:t>Landsadvocaat en mogelijk een deurwaarder ingeschakeld moeten worden om de</w:t>
      </w:r>
    </w:p>
    <w:p w:rsidRPr="006879B5" w:rsidR="001F2F7A" w:rsidP="001F2F7A" w:rsidRDefault="001F2F7A" w14:paraId="019E7777" w14:textId="77777777">
      <w:r w:rsidRPr="006879B5">
        <w:t>schade daadwerkelijk op de daders te verhalen. De kans op daadwerkelijke</w:t>
      </w:r>
    </w:p>
    <w:p w:rsidRPr="006879B5" w:rsidR="001F2F7A" w:rsidP="001F2F7A" w:rsidRDefault="001F2F7A" w14:paraId="3759D2EB" w14:textId="77777777">
      <w:r w:rsidRPr="006879B5">
        <w:t>betaling houdt verband met het aantal schuldenaren per zaak, de betalingsbereid</w:t>
      </w:r>
    </w:p>
    <w:p w:rsidRPr="006879B5" w:rsidR="001F2F7A" w:rsidP="001F2F7A" w:rsidRDefault="001F2F7A" w14:paraId="0BFD4E2D" w14:textId="77777777">
      <w:r w:rsidRPr="006879B5">
        <w:t>en solvabiliteit van daders en of het nodig is om de betaling in rechte af te</w:t>
      </w:r>
    </w:p>
    <w:p w:rsidRPr="006879B5" w:rsidR="001F2F7A" w:rsidP="001F2F7A" w:rsidRDefault="001F2F7A" w14:paraId="0FACDA42" w14:textId="77777777">
      <w:r w:rsidRPr="006879B5">
        <w:t>dwingen. De kosten die met dit traject voor OM en Landsadvocaat gemoeid zijn</w:t>
      </w:r>
    </w:p>
    <w:p w:rsidRPr="006879B5" w:rsidR="001F2F7A" w:rsidP="001F2F7A" w:rsidRDefault="001F2F7A" w14:paraId="753DDB82" w14:textId="77777777">
      <w:r w:rsidRPr="006879B5">
        <w:t>worden ingeschat op minimaal € 50.000,-. De werkzaamheden van het OM in het</w:t>
      </w:r>
    </w:p>
    <w:p w:rsidRPr="006879B5" w:rsidR="001F2F7A" w:rsidP="001F2F7A" w:rsidRDefault="001F2F7A" w14:paraId="611AF9A5" w14:textId="77777777">
      <w:r w:rsidRPr="006879B5">
        <w:t>kader van de Wjsg zijn hierin nog niet meegenomen.</w:t>
      </w:r>
    </w:p>
    <w:p w:rsidRPr="006879B5" w:rsidR="001F2F7A" w:rsidP="001F2F7A" w:rsidRDefault="001F2F7A" w14:paraId="62E80CAD" w14:textId="77777777"/>
    <w:p w:rsidRPr="006879B5" w:rsidR="001F2F7A" w:rsidP="001F2F7A" w:rsidRDefault="001F2F7A" w14:paraId="7B3B2B9A" w14:textId="77777777">
      <w:r w:rsidRPr="006879B5">
        <w:t>Ik wil benadrukken dat ik het, los van bovenstaande, net als mijn</w:t>
      </w:r>
    </w:p>
    <w:p w:rsidRPr="006879B5" w:rsidR="001F2F7A" w:rsidP="001F2F7A" w:rsidRDefault="001F2F7A" w14:paraId="28049C39" w14:textId="77777777">
      <w:r w:rsidRPr="006879B5">
        <w:t>ambtsvoorgangers belangrijk vind dat daders opdraaien voor de schade die zij</w:t>
      </w:r>
    </w:p>
    <w:p w:rsidRPr="006879B5" w:rsidR="001F2F7A" w:rsidP="001F2F7A" w:rsidRDefault="001F2F7A" w14:paraId="53E9F220" w14:textId="77777777">
      <w:r w:rsidRPr="006879B5">
        <w:t>veroorzaakt hebben. Als de dader bekend is en wordt vervolgd, kan het slachtoffer</w:t>
      </w:r>
    </w:p>
    <w:p w:rsidRPr="006879B5" w:rsidR="001F2F7A" w:rsidP="001F2F7A" w:rsidRDefault="001F2F7A" w14:paraId="50FA9109" w14:textId="77777777">
      <w:r w:rsidRPr="006879B5">
        <w:t>zich met zijn schade als benadeelde partij voegen in het strafproces. Tegelijkertijd</w:t>
      </w:r>
    </w:p>
    <w:p w:rsidRPr="006879B5" w:rsidR="001F2F7A" w:rsidP="001F2F7A" w:rsidRDefault="001F2F7A" w14:paraId="379AF730" w14:textId="77777777">
      <w:r w:rsidRPr="006879B5">
        <w:t>moet ik realistisch zijn en constateren dat het in het algemeen helaas niet altijd</w:t>
      </w:r>
    </w:p>
    <w:p w:rsidRPr="006879B5" w:rsidR="001F2F7A" w:rsidP="001F2F7A" w:rsidRDefault="001F2F7A" w14:paraId="4F09BC03" w14:textId="77777777">
      <w:r w:rsidRPr="006879B5">
        <w:t>mogelijk is om bij rellen alle daders te koppelen aan de veroorzaakte schade.</w:t>
      </w:r>
    </w:p>
    <w:p w:rsidRPr="006879B5" w:rsidR="001F2F7A" w:rsidP="001F2F7A" w:rsidRDefault="001F2F7A" w14:paraId="437E952F" w14:textId="77777777">
      <w:r w:rsidRPr="006879B5">
        <w:t>Daarnaast heeft de rechter voor de gevallen waarin niet duidelijk is welke schade</w:t>
      </w:r>
    </w:p>
    <w:p w:rsidRPr="006879B5" w:rsidR="001F2F7A" w:rsidP="001F2F7A" w:rsidRDefault="001F2F7A" w14:paraId="6A2DFA99" w14:textId="77777777">
      <w:r w:rsidRPr="006879B5">
        <w:t>de dader precies heeft veroorzaakt, de mogelijkheid om de dader via een</w:t>
      </w:r>
    </w:p>
    <w:p w:rsidRPr="006879B5" w:rsidR="001F2F7A" w:rsidP="001F2F7A" w:rsidRDefault="001F2F7A" w14:paraId="00F3A736" w14:textId="77777777">
      <w:r w:rsidRPr="006879B5">
        <w:t>bijzondere voorwaarde te verplichten een geldbedrag te storten in het</w:t>
      </w:r>
    </w:p>
    <w:p w:rsidRPr="006879B5" w:rsidR="001F2F7A" w:rsidP="001F2F7A" w:rsidRDefault="001F2F7A" w14:paraId="1E627E1D" w14:textId="77777777">
      <w:r w:rsidRPr="006879B5">
        <w:t>Schadefonds Geweldsmisdrijven of in een instelling die slachtofferbelangen</w:t>
      </w:r>
    </w:p>
    <w:p w:rsidRPr="006879B5" w:rsidR="001F2F7A" w:rsidP="001F2F7A" w:rsidRDefault="001F2F7A" w14:paraId="438CDA8E" w14:textId="77777777">
      <w:r w:rsidRPr="006879B5">
        <w:t>behartigt. Deze mogelijkheid is de afgelopen periode extra onder de aandacht gebracht bij OM en ZM.</w:t>
      </w:r>
      <w:r w:rsidRPr="006879B5">
        <w:rPr>
          <w:vertAlign w:val="superscript"/>
        </w:rPr>
        <w:footnoteReference w:id="69"/>
      </w:r>
      <w:r w:rsidRPr="006879B5">
        <w:t xml:space="preserve"> De uiteindelijke beslissing over het opleggen daarvan in</w:t>
      </w:r>
    </w:p>
    <w:p w:rsidRPr="006879B5" w:rsidR="001F2F7A" w:rsidP="001F2F7A" w:rsidRDefault="001F2F7A" w14:paraId="0DA94B86" w14:textId="77777777">
      <w:r w:rsidRPr="006879B5">
        <w:t>concrete gevallen is uiteraard voorbehouden aan de rechter. In de praktijk blijkt</w:t>
      </w:r>
    </w:p>
    <w:p w:rsidRPr="006879B5" w:rsidR="001F2F7A" w:rsidP="001F2F7A" w:rsidRDefault="001F2F7A" w14:paraId="32C30BE1" w14:textId="77777777">
      <w:r w:rsidRPr="006879B5">
        <w:t>dat deze bijzondere voorwaarde door het OM wordt gevorderd en door de rechter</w:t>
      </w:r>
    </w:p>
    <w:p w:rsidRPr="006879B5" w:rsidR="001F2F7A" w:rsidP="001F2F7A" w:rsidRDefault="001F2F7A" w14:paraId="47535C28" w14:textId="191517ED">
      <w:r w:rsidRPr="006879B5">
        <w:t xml:space="preserve">wordt opgelegd. </w:t>
      </w:r>
      <w:r w:rsidRPr="006879B5">
        <w:rPr>
          <w:vertAlign w:val="superscript"/>
        </w:rPr>
        <w:footnoteReference w:id="70"/>
      </w:r>
    </w:p>
    <w:p w:rsidRPr="006879B5" w:rsidR="00F46647" w:rsidP="001F2F7A" w:rsidRDefault="00F46647" w14:paraId="4D16B400" w14:textId="77777777"/>
    <w:p w:rsidRPr="006879B5" w:rsidR="00F46647" w:rsidP="00F46647" w:rsidRDefault="00F46647" w14:paraId="54804E4F" w14:textId="68E61F69">
      <w:pPr>
        <w:rPr>
          <w:i/>
          <w:iCs/>
        </w:rPr>
      </w:pPr>
      <w:r w:rsidRPr="006879B5">
        <w:rPr>
          <w:i/>
          <w:iCs/>
        </w:rPr>
        <w:t xml:space="preserve">Motie over de richtlijn voor de inzet van burgermotorverkeersregelaars spoedig landelijk implementeren. </w:t>
      </w:r>
    </w:p>
    <w:p w:rsidRPr="006879B5" w:rsidR="00F46647" w:rsidP="00F46647" w:rsidRDefault="00F46647" w14:paraId="0769A293" w14:textId="77777777">
      <w:pPr>
        <w:rPr>
          <w:b/>
          <w:bCs/>
        </w:rPr>
      </w:pPr>
    </w:p>
    <w:p w:rsidRPr="006879B5" w:rsidR="00F46647" w:rsidP="00F46647" w:rsidRDefault="00F46647" w14:paraId="7677058B" w14:textId="4E1DA5E3">
      <w:r w:rsidRPr="006879B5">
        <w:t>De motie Straatman</w:t>
      </w:r>
      <w:r w:rsidRPr="006879B5">
        <w:rPr>
          <w:rStyle w:val="Voetnootmarkering"/>
        </w:rPr>
        <w:footnoteReference w:id="71"/>
      </w:r>
      <w:r w:rsidRPr="006879B5">
        <w:t xml:space="preserve"> (CDA) verzoekt de regering om de landelijke richtlijn voor de inzet van burgermotorverkeersregelaars te bespoedigen en te implementeren. De Koninklijke Nederlandse Wielerunie (KNWU) heeft profielbeschrijvingen van de motorverkeersregelaars en motor begeleidingsteams opgesteld. Deze zijn gepubliceerd in maart 2026 en de KNWU geeft aan tevreden te zijn met de implementatie hiervan door vrijwilligersorganisaties, wielerorganisaties en politie. Middels deze tekst beschouw ik de motie als afgedaan. </w:t>
      </w:r>
    </w:p>
    <w:p w:rsidRPr="006879B5" w:rsidR="009135CD" w:rsidP="001F2F7A" w:rsidRDefault="009135CD" w14:paraId="3E69827F" w14:textId="77777777"/>
    <w:p w:rsidRPr="006879B5" w:rsidR="00DF3DA0" w:rsidP="009D5C05" w:rsidRDefault="009D5C05" w14:paraId="6D48AB93" w14:textId="21601122">
      <w:pPr>
        <w:pStyle w:val="Kop1"/>
        <w:rPr>
          <w:b w:val="0"/>
          <w:bCs/>
          <w:i/>
          <w:iCs/>
        </w:rPr>
      </w:pPr>
      <w:r w:rsidRPr="006879B5">
        <w:rPr>
          <w:b w:val="0"/>
          <w:bCs/>
          <w:i/>
          <w:iCs/>
        </w:rPr>
        <w:lastRenderedPageBreak/>
        <w:t>Verlenging van het tijdelijk beleidskader drones</w:t>
      </w:r>
    </w:p>
    <w:p w:rsidRPr="006879B5" w:rsidR="009135CD" w:rsidP="009135CD" w:rsidRDefault="009135CD" w14:paraId="682CFDB1" w14:textId="77777777"/>
    <w:p w:rsidRPr="006879B5" w:rsidR="009135CD" w:rsidP="009135CD" w:rsidRDefault="009135CD" w14:paraId="7E13BF97" w14:textId="77777777">
      <w:pPr>
        <w:autoSpaceDN/>
        <w:spacing w:line="276" w:lineRule="auto"/>
        <w:textAlignment w:val="auto"/>
        <w:rPr>
          <w:rFonts w:eastAsia="Calibri" w:cs="Times New Roman"/>
          <w:color w:val="auto"/>
          <w:lang w:eastAsia="en-US"/>
        </w:rPr>
      </w:pPr>
      <w:r w:rsidRPr="006879B5">
        <w:rPr>
          <w:rFonts w:eastAsia="Calibri" w:cs="Times New Roman"/>
          <w:color w:val="auto"/>
          <w:lang w:eastAsia="en-US"/>
        </w:rPr>
        <w:t>In mijn brief</w:t>
      </w:r>
      <w:r w:rsidRPr="006879B5">
        <w:rPr>
          <w:rFonts w:eastAsia="Calibri" w:cs="Times New Roman"/>
          <w:color w:val="auto"/>
          <w:vertAlign w:val="superscript"/>
          <w:lang w:eastAsia="en-US"/>
        </w:rPr>
        <w:footnoteReference w:id="72"/>
      </w:r>
      <w:r w:rsidRPr="006879B5">
        <w:rPr>
          <w:rFonts w:eastAsia="Calibri" w:cs="Times New Roman"/>
          <w:color w:val="auto"/>
          <w:lang w:eastAsia="en-US"/>
        </w:rPr>
        <w:t xml:space="preserve"> van 16 maart jl. heb ik uw Kamer geïnformeerd over de vaststelling van een tijdelijk beleidskader voor de bestrijding van drones.</w:t>
      </w:r>
      <w:r w:rsidRPr="006879B5">
        <w:rPr>
          <w:rFonts w:eastAsia="Calibri" w:cs="Times New Roman"/>
          <w:color w:val="auto"/>
          <w:vertAlign w:val="superscript"/>
          <w:lang w:eastAsia="en-US"/>
        </w:rPr>
        <w:footnoteReference w:id="73"/>
      </w:r>
      <w:r w:rsidRPr="006879B5">
        <w:rPr>
          <w:rFonts w:eastAsia="Calibri" w:cs="Times New Roman"/>
          <w:color w:val="auto"/>
          <w:lang w:eastAsia="en-US"/>
        </w:rPr>
        <w:t xml:space="preserve"> Het beleidskader verduidelijkt bestaande bevoegdheden om drones te bestrijden, en de afwegingsfactoren die daarbij in acht dienen te worden genomen. Het beleidskader voorziet in de urgente behoefte aan meer houvast bij onder meer operationeel counterdrone-specialisten van de politie, de Koninklijke marechaussee en de bewakers van militaire objecten.</w:t>
      </w:r>
    </w:p>
    <w:p w:rsidRPr="006879B5" w:rsidR="009135CD" w:rsidP="009135CD" w:rsidRDefault="009135CD" w14:paraId="56AA08DA" w14:textId="77777777">
      <w:pPr>
        <w:autoSpaceDN/>
        <w:spacing w:line="276" w:lineRule="auto"/>
        <w:textAlignment w:val="auto"/>
        <w:rPr>
          <w:rFonts w:eastAsia="Calibri" w:cs="Times New Roman"/>
          <w:color w:val="auto"/>
          <w:lang w:eastAsia="en-US"/>
        </w:rPr>
      </w:pPr>
    </w:p>
    <w:p w:rsidRPr="006879B5" w:rsidR="009135CD" w:rsidP="009135CD" w:rsidRDefault="009135CD" w14:paraId="54227CEB" w14:textId="7891C6FA">
      <w:pPr>
        <w:autoSpaceDN/>
        <w:spacing w:line="276" w:lineRule="auto"/>
        <w:textAlignment w:val="auto"/>
        <w:rPr>
          <w:rFonts w:eastAsia="Calibri" w:cs="Times New Roman"/>
          <w:color w:val="auto"/>
          <w:lang w:eastAsia="en-US"/>
        </w:rPr>
      </w:pPr>
      <w:r w:rsidRPr="006879B5">
        <w:rPr>
          <w:rFonts w:eastAsia="Calibri" w:cs="Times New Roman"/>
          <w:color w:val="auto"/>
          <w:lang w:eastAsia="en-US"/>
        </w:rPr>
        <w:t xml:space="preserve">Ik heb u meegedeeld dat het beleidskader vervalt met ingang van 1 juli 2026 en gemeld dat de looptijd van het tijdelijk beleidskader zou worden gebruikt om te bepalen wat ervoor nodig is om de bevoegdheid om drones te bestrijden juridisch </w:t>
      </w:r>
      <w:r w:rsidRPr="006879B5" w:rsidR="00644A89">
        <w:rPr>
          <w:rFonts w:eastAsia="Calibri" w:cs="Times New Roman"/>
          <w:color w:val="auto"/>
          <w:lang w:eastAsia="en-US"/>
        </w:rPr>
        <w:t xml:space="preserve">structureel </w:t>
      </w:r>
      <w:r w:rsidRPr="006879B5">
        <w:rPr>
          <w:rFonts w:eastAsia="Calibri" w:cs="Times New Roman"/>
          <w:color w:val="auto"/>
          <w:lang w:eastAsia="en-US"/>
        </w:rPr>
        <w:t>te waarborgen. Inmiddels is gebleken dat er meer tijd nodig is om te komen tot een eenduidige juridische borging van counter-drone bevoegdheden, opdat uitvoerende organisaties in vergelijkbare situaties vergelijkbaar optreden. Met dat doel is mijn departement een traject gestart. De planning is erop gericht om begin 2027 te komen tot voorstellen voor (aanpassing van) regelgeving.</w:t>
      </w:r>
    </w:p>
    <w:p w:rsidRPr="006879B5" w:rsidR="009135CD" w:rsidP="009135CD" w:rsidRDefault="009135CD" w14:paraId="4A1F2886" w14:textId="77777777">
      <w:pPr>
        <w:autoSpaceDN/>
        <w:spacing w:line="276" w:lineRule="auto"/>
        <w:textAlignment w:val="auto"/>
        <w:rPr>
          <w:rFonts w:eastAsia="Calibri" w:cs="Times New Roman"/>
          <w:color w:val="auto"/>
          <w:lang w:eastAsia="en-US"/>
        </w:rPr>
      </w:pPr>
    </w:p>
    <w:p w:rsidRPr="00082E3E" w:rsidR="009135CD" w:rsidP="009135CD" w:rsidRDefault="009135CD" w14:paraId="28627EC3" w14:textId="43A5C265">
      <w:pPr>
        <w:autoSpaceDN/>
        <w:spacing w:line="276" w:lineRule="auto"/>
        <w:textAlignment w:val="auto"/>
        <w:rPr>
          <w:rFonts w:eastAsia="Calibri" w:cs="Times New Roman"/>
          <w:color w:val="auto"/>
          <w:lang w:eastAsia="en-US"/>
        </w:rPr>
      </w:pPr>
      <w:r w:rsidRPr="006879B5">
        <w:rPr>
          <w:rFonts w:eastAsia="Calibri" w:cs="Times New Roman"/>
          <w:color w:val="auto"/>
          <w:lang w:eastAsia="en-US"/>
        </w:rPr>
        <w:t>In overeenstemming met de Minister van Defensie heb ik besloten het tijdelijke beleidskader na 1 juli 2026 te verlengen voor de duur van een jaar, dat wil zeggen tot 1 juli 2027.</w:t>
      </w:r>
      <w:r w:rsidRPr="006879B5" w:rsidR="00855DC8">
        <w:rPr>
          <w:rStyle w:val="Voetnootmarkering"/>
          <w:rFonts w:eastAsia="Calibri" w:cs="Times New Roman"/>
          <w:color w:val="auto"/>
          <w:lang w:eastAsia="en-US"/>
        </w:rPr>
        <w:footnoteReference w:id="74"/>
      </w:r>
    </w:p>
    <w:p w:rsidRPr="00082E3E" w:rsidR="009135CD" w:rsidP="00082E3E" w:rsidRDefault="009135CD" w14:paraId="09BB5A37" w14:textId="77777777">
      <w:pPr>
        <w:rPr>
          <w:b/>
        </w:rPr>
      </w:pPr>
    </w:p>
    <w:sectPr w:rsidRPr="00082E3E" w:rsidR="009135C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194C1" w14:textId="77777777" w:rsidR="008956F6" w:rsidRDefault="008956F6">
      <w:pPr>
        <w:spacing w:line="240" w:lineRule="auto"/>
      </w:pPr>
      <w:r>
        <w:separator/>
      </w:r>
    </w:p>
  </w:endnote>
  <w:endnote w:type="continuationSeparator" w:id="0">
    <w:p w14:paraId="0FD10A59" w14:textId="77777777" w:rsidR="008956F6" w:rsidRDefault="00895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SansTT Ligh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5B7B" w14:textId="77777777" w:rsidR="00ED7790" w:rsidRDefault="00ED77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C2D4" w14:textId="77777777" w:rsidR="00ED7790" w:rsidRDefault="00ED77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8D30" w14:textId="77777777" w:rsidR="00ED7790" w:rsidRDefault="00ED77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D7B60" w14:textId="77777777" w:rsidR="008956F6" w:rsidRDefault="008956F6">
      <w:pPr>
        <w:pStyle w:val="Voetnoottekst"/>
      </w:pPr>
    </w:p>
  </w:footnote>
  <w:footnote w:type="continuationSeparator" w:id="0">
    <w:p w14:paraId="5B9505EE" w14:textId="77777777" w:rsidR="008956F6" w:rsidRDefault="008956F6">
      <w:pPr>
        <w:pStyle w:val="Voetnoottekst"/>
      </w:pPr>
    </w:p>
  </w:footnote>
  <w:footnote w:id="1">
    <w:p w14:paraId="48599E77" w14:textId="77777777" w:rsidR="00996DAE" w:rsidRDefault="00996DAE" w:rsidP="00996DAE">
      <w:pPr>
        <w:pStyle w:val="Voetnoottekst"/>
      </w:pPr>
      <w:bookmarkStart w:id="1" w:name="_Hlk231482155"/>
      <w:r>
        <w:rPr>
          <w:rStyle w:val="Voetnootmarkering"/>
        </w:rPr>
        <w:footnoteRef/>
      </w:r>
      <w:r>
        <w:t xml:space="preserve"> </w:t>
      </w:r>
      <w:r w:rsidRPr="009D76EF">
        <w:t>Kamerstukken II, 2025/26, 36 800-V, nr. 133</w:t>
      </w:r>
      <w:bookmarkEnd w:id="1"/>
    </w:p>
  </w:footnote>
  <w:footnote w:id="2">
    <w:p w14:paraId="31212122" w14:textId="77777777" w:rsidR="00996DAE" w:rsidRDefault="00996DAE" w:rsidP="00996DAE">
      <w:pPr>
        <w:pStyle w:val="Voetnoottekst"/>
      </w:pPr>
      <w:r>
        <w:rPr>
          <w:rStyle w:val="Voetnootmarkering"/>
        </w:rPr>
        <w:footnoteRef/>
      </w:r>
      <w:r>
        <w:t xml:space="preserve"> </w:t>
      </w:r>
      <w:r w:rsidRPr="00AA7C90">
        <w:t>Kamerstuk</w:t>
      </w:r>
      <w:r>
        <w:t>ken II 2024/25,</w:t>
      </w:r>
      <w:r w:rsidRPr="00AA7C90">
        <w:t xml:space="preserve"> </w:t>
      </w:r>
      <w:r w:rsidRPr="00F15350">
        <w:t>29628</w:t>
      </w:r>
      <w:r>
        <w:t xml:space="preserve">, nr. </w:t>
      </w:r>
      <w:r w:rsidRPr="00F15350">
        <w:t>1242</w:t>
      </w:r>
      <w:r>
        <w:t xml:space="preserve"> (verslag debat)</w:t>
      </w:r>
    </w:p>
  </w:footnote>
  <w:footnote w:id="3">
    <w:p w14:paraId="5F00F063" w14:textId="77777777" w:rsidR="00996DAE" w:rsidRPr="00436A4D" w:rsidRDefault="00996DAE" w:rsidP="00996DAE">
      <w:pPr>
        <w:pStyle w:val="Voetnoottekst"/>
      </w:pPr>
      <w:r>
        <w:rPr>
          <w:rStyle w:val="Voetnootmarkering"/>
        </w:rPr>
        <w:footnoteRef/>
      </w:r>
      <w:r>
        <w:t xml:space="preserve"> </w:t>
      </w:r>
      <w:r w:rsidRPr="00436A4D">
        <w:t>Kamerstukken II, 2024</w:t>
      </w:r>
      <w:r>
        <w:t>/</w:t>
      </w:r>
      <w:r w:rsidRPr="00436A4D">
        <w:t>25, 29628 nr. 1238</w:t>
      </w:r>
    </w:p>
  </w:footnote>
  <w:footnote w:id="4">
    <w:p w14:paraId="6D1D2598" w14:textId="77777777" w:rsidR="00996DAE" w:rsidRDefault="00996DAE" w:rsidP="00996DAE">
      <w:pPr>
        <w:pStyle w:val="Voetnoottekst"/>
      </w:pPr>
      <w:r>
        <w:rPr>
          <w:rStyle w:val="Voetnootmarkering"/>
        </w:rPr>
        <w:footnoteRef/>
      </w:r>
      <w:r>
        <w:t xml:space="preserve"> In Kamerstukken 2023/34, </w:t>
      </w:r>
      <w:r w:rsidRPr="003C4AE0">
        <w:t>36560-VI</w:t>
      </w:r>
      <w:r>
        <w:t xml:space="preserve">, nr. </w:t>
      </w:r>
      <w:r w:rsidRPr="003C4AE0">
        <w:t>1</w:t>
      </w:r>
      <w:r>
        <w:t>, pag. 262.</w:t>
      </w:r>
    </w:p>
  </w:footnote>
  <w:footnote w:id="5">
    <w:p w14:paraId="123832CE" w14:textId="77777777" w:rsidR="00996DAE" w:rsidRDefault="00996DAE" w:rsidP="00996DAE">
      <w:pPr>
        <w:pStyle w:val="Voetnoottekst"/>
      </w:pPr>
      <w:r>
        <w:rPr>
          <w:rStyle w:val="Voetnootmarkering"/>
        </w:rPr>
        <w:footnoteRef/>
      </w:r>
      <w:r>
        <w:t xml:space="preserve"> </w:t>
      </w:r>
      <w:bookmarkStart w:id="4" w:name="_Hlk231482489"/>
      <w:r w:rsidRPr="009D76EF">
        <w:t xml:space="preserve">In: Kamerstukken II, 2025/26, 36 800-V, nr. 133, </w:t>
      </w:r>
      <w:hyperlink r:id="rId1" w:history="1">
        <w:r w:rsidRPr="009D76EF">
          <w:rPr>
            <w:rStyle w:val="Hyperlink"/>
          </w:rPr>
          <w:t>Verslag wetgevingsoverleg (26 januari 2026) over Begrotingsonderdeel Politie.pdf</w:t>
        </w:r>
      </w:hyperlink>
      <w:bookmarkEnd w:id="4"/>
    </w:p>
  </w:footnote>
  <w:footnote w:id="6">
    <w:p w14:paraId="4BAEA4C1" w14:textId="77777777" w:rsidR="00707891" w:rsidRDefault="00707891" w:rsidP="00707891">
      <w:pPr>
        <w:pStyle w:val="Voetnoottekst"/>
      </w:pPr>
      <w:r>
        <w:rPr>
          <w:rStyle w:val="Voetnootmarkering"/>
        </w:rPr>
        <w:footnoteRef/>
      </w:r>
      <w:r>
        <w:t xml:space="preserve"> </w:t>
      </w:r>
      <w:r w:rsidRPr="00AA7C90">
        <w:t>Kamerstuk</w:t>
      </w:r>
      <w:r>
        <w:t>ken II 2025/26,</w:t>
      </w:r>
      <w:r w:rsidRPr="00AA7C90">
        <w:t xml:space="preserve"> </w:t>
      </w:r>
      <w:r w:rsidRPr="005858FF">
        <w:t>2025Z18295</w:t>
      </w:r>
      <w:r>
        <w:t>.</w:t>
      </w:r>
    </w:p>
  </w:footnote>
  <w:footnote w:id="7">
    <w:p w14:paraId="0B938FE0" w14:textId="77777777" w:rsidR="00996DAE" w:rsidRDefault="00996DAE" w:rsidP="00996DAE">
      <w:pPr>
        <w:pStyle w:val="Voetnoottekst"/>
      </w:pPr>
      <w:r>
        <w:rPr>
          <w:rStyle w:val="Voetnootmarkering"/>
        </w:rPr>
        <w:footnoteRef/>
      </w:r>
      <w:r>
        <w:t xml:space="preserve"> </w:t>
      </w:r>
      <w:r w:rsidRPr="00AA7C90">
        <w:t>Kamerstuk</w:t>
      </w:r>
      <w:r>
        <w:t>ken II 2025/26,</w:t>
      </w:r>
      <w:r w:rsidRPr="00AA7C90">
        <w:t xml:space="preserve"> </w:t>
      </w:r>
      <w:r w:rsidRPr="005858FF">
        <w:t>2025Z18295</w:t>
      </w:r>
      <w:r>
        <w:t xml:space="preserve">. </w:t>
      </w:r>
    </w:p>
  </w:footnote>
  <w:footnote w:id="8">
    <w:p w14:paraId="695119A3" w14:textId="666FCF97" w:rsidR="00107106" w:rsidRPr="00461D27" w:rsidRDefault="00107106" w:rsidP="00107106">
      <w:pPr>
        <w:pStyle w:val="Voetnoottekst"/>
        <w:rPr>
          <w:b/>
          <w:bCs/>
        </w:rPr>
      </w:pPr>
      <w:r>
        <w:rPr>
          <w:rStyle w:val="Voetnootmarkering"/>
        </w:rPr>
        <w:footnoteRef/>
      </w:r>
      <w:r>
        <w:t xml:space="preserve"> Kamerstukken </w:t>
      </w:r>
      <w:r w:rsidR="008E2615">
        <w:t>II</w:t>
      </w:r>
      <w:r>
        <w:t xml:space="preserve">, 2025/26, </w:t>
      </w:r>
      <w:r w:rsidRPr="009A1458">
        <w:t>36 800 VI</w:t>
      </w:r>
      <w:r>
        <w:t xml:space="preserve">, nr. 61. </w:t>
      </w:r>
    </w:p>
  </w:footnote>
  <w:footnote w:id="9">
    <w:p w14:paraId="2D667967" w14:textId="77777777" w:rsidR="003D6DC0" w:rsidRDefault="003D6DC0" w:rsidP="003D6DC0">
      <w:pPr>
        <w:pStyle w:val="Voetnoottekst"/>
      </w:pPr>
      <w:r>
        <w:rPr>
          <w:rStyle w:val="Voetnootmarkering"/>
        </w:rPr>
        <w:footnoteRef/>
      </w:r>
      <w:r>
        <w:t xml:space="preserve"> Kamerstukken ll 2025-2026,</w:t>
      </w:r>
      <w:r w:rsidRPr="00DB743A">
        <w:t xml:space="preserve"> </w:t>
      </w:r>
      <w:r w:rsidRPr="0003444B">
        <w:t>TZ202603</w:t>
      </w:r>
      <w:r>
        <w:t xml:space="preserve">, nr. </w:t>
      </w:r>
      <w:r w:rsidRPr="0003444B">
        <w:t>160</w:t>
      </w:r>
      <w:r>
        <w:t>.</w:t>
      </w:r>
    </w:p>
  </w:footnote>
  <w:footnote w:id="10">
    <w:p w14:paraId="5E8F7945" w14:textId="53D7E386" w:rsidR="00FF6853" w:rsidRDefault="00FF6853" w:rsidP="00FF6853">
      <w:pPr>
        <w:pStyle w:val="Voetnoottekst"/>
      </w:pPr>
      <w:r>
        <w:rPr>
          <w:rStyle w:val="Voetnootmarkering"/>
        </w:rPr>
        <w:footnoteRef/>
      </w:r>
      <w:r>
        <w:t xml:space="preserve"> Kamerstukken ll 2025-2026,</w:t>
      </w:r>
      <w:r w:rsidR="00C7307B" w:rsidRPr="00C7307B">
        <w:t xml:space="preserve"> 2026D06388</w:t>
      </w:r>
    </w:p>
  </w:footnote>
  <w:footnote w:id="11">
    <w:p w14:paraId="2A35215F" w14:textId="5ED9D2D0" w:rsidR="00C7307B" w:rsidRDefault="00C7307B">
      <w:pPr>
        <w:pStyle w:val="Voetnoottekst"/>
      </w:pPr>
      <w:r>
        <w:rPr>
          <w:rStyle w:val="Voetnootmarkering"/>
        </w:rPr>
        <w:footnoteRef/>
      </w:r>
      <w:r>
        <w:t xml:space="preserve"> Kamerstukken II 2025-2026, </w:t>
      </w:r>
      <w:r w:rsidRPr="00C7307B">
        <w:t>TZ202603</w:t>
      </w:r>
      <w:r>
        <w:t xml:space="preserve">, </w:t>
      </w:r>
      <w:r w:rsidR="00330818">
        <w:t xml:space="preserve">nr. </w:t>
      </w:r>
      <w:r w:rsidRPr="00C7307B">
        <w:t>158</w:t>
      </w:r>
      <w:r>
        <w:t>.</w:t>
      </w:r>
    </w:p>
  </w:footnote>
  <w:footnote w:id="12">
    <w:p w14:paraId="412C357E" w14:textId="77777777" w:rsidR="00FF6853" w:rsidRPr="00C7307B" w:rsidRDefault="00FF6853" w:rsidP="00FF6853">
      <w:pPr>
        <w:pStyle w:val="Voetnoottekst"/>
        <w:rPr>
          <w:b/>
          <w:bCs/>
        </w:rPr>
      </w:pPr>
      <w:r>
        <w:rPr>
          <w:rStyle w:val="Voetnootmarkering"/>
        </w:rPr>
        <w:footnoteRef/>
      </w:r>
      <w:r w:rsidRPr="00CF2459">
        <w:t xml:space="preserve"> Ad.nl, 4 februari 2026</w:t>
      </w:r>
      <w:r>
        <w:t>.</w:t>
      </w:r>
    </w:p>
  </w:footnote>
  <w:footnote w:id="13">
    <w:p w14:paraId="5546870E" w14:textId="66B6CF5D" w:rsidR="00330818" w:rsidRDefault="00330818">
      <w:pPr>
        <w:pStyle w:val="Voetnoottekst"/>
      </w:pPr>
      <w:r>
        <w:rPr>
          <w:rStyle w:val="Voetnootmarkering"/>
        </w:rPr>
        <w:footnoteRef/>
      </w:r>
      <w:r>
        <w:t xml:space="preserve"> </w:t>
      </w:r>
      <w:r w:rsidRPr="00330818">
        <w:t>Kamerstukken II 2025-2026, TZ202603, nr. 158.</w:t>
      </w:r>
    </w:p>
  </w:footnote>
  <w:footnote w:id="14">
    <w:p w14:paraId="4A7E1DE3" w14:textId="7072E1B9" w:rsidR="005A3D08" w:rsidRDefault="005A3D08" w:rsidP="005A3D08">
      <w:pPr>
        <w:pStyle w:val="Voetnoottekst"/>
      </w:pPr>
      <w:r>
        <w:rPr>
          <w:rStyle w:val="Voetnootmarkering"/>
        </w:rPr>
        <w:footnoteRef/>
      </w:r>
      <w:r>
        <w:t xml:space="preserve"> Kamerstukken </w:t>
      </w:r>
      <w:r w:rsidR="008070EB">
        <w:t>II</w:t>
      </w:r>
      <w:r>
        <w:t xml:space="preserve">, 2025/26, </w:t>
      </w:r>
      <w:r w:rsidRPr="009A1458">
        <w:t>36800-VI</w:t>
      </w:r>
      <w:r>
        <w:t xml:space="preserve">, nr. </w:t>
      </w:r>
      <w:r w:rsidRPr="009A1458">
        <w:t>57</w:t>
      </w:r>
      <w:r>
        <w:t>.</w:t>
      </w:r>
    </w:p>
  </w:footnote>
  <w:footnote w:id="15">
    <w:p w14:paraId="5E59CADC" w14:textId="46B8F17E" w:rsidR="00D60CA8" w:rsidRDefault="00D60CA8">
      <w:pPr>
        <w:pStyle w:val="Voetnoottekst"/>
      </w:pPr>
      <w:r>
        <w:rPr>
          <w:rStyle w:val="Voetnootmarkering"/>
        </w:rPr>
        <w:footnoteRef/>
      </w:r>
      <w:r>
        <w:t xml:space="preserve"> </w:t>
      </w:r>
      <w:hyperlink r:id="rId2" w:history="1">
        <w:r w:rsidRPr="00D60CA8">
          <w:rPr>
            <w:rStyle w:val="Hyperlink"/>
          </w:rPr>
          <w:t>Strategische agenda politie 'Stevig staan in deze tijd'</w:t>
        </w:r>
      </w:hyperlink>
    </w:p>
  </w:footnote>
  <w:footnote w:id="16">
    <w:p w14:paraId="50C3BA76" w14:textId="77777777" w:rsidR="005A3D08" w:rsidRDefault="005A3D08" w:rsidP="005A3D08">
      <w:pPr>
        <w:pStyle w:val="Voetnoottekst"/>
      </w:pPr>
      <w:r>
        <w:rPr>
          <w:rStyle w:val="Voetnootmarkering"/>
        </w:rPr>
        <w:footnoteRef/>
      </w:r>
      <w:r>
        <w:t xml:space="preserve"> Kamerstukken ll 2025-2026, </w:t>
      </w:r>
      <w:r w:rsidRPr="0003444B">
        <w:t>29628</w:t>
      </w:r>
      <w:r>
        <w:t>, nr.</w:t>
      </w:r>
      <w:r w:rsidRPr="0003444B">
        <w:t>1291</w:t>
      </w:r>
      <w:r>
        <w:t>.</w:t>
      </w:r>
    </w:p>
  </w:footnote>
  <w:footnote w:id="17">
    <w:p w14:paraId="5669F561" w14:textId="77777777" w:rsidR="005A3D08" w:rsidRDefault="005A3D08" w:rsidP="005A3D08">
      <w:pPr>
        <w:pStyle w:val="Voetnoottekst"/>
      </w:pPr>
      <w:r>
        <w:rPr>
          <w:rStyle w:val="Voetnootmarkering"/>
        </w:rPr>
        <w:footnoteRef/>
      </w:r>
      <w:r>
        <w:t xml:space="preserve"> Kamerstukken ll 2025-2026, </w:t>
      </w:r>
      <w:r w:rsidRPr="009402A2">
        <w:t>30950</w:t>
      </w:r>
      <w:r>
        <w:t>, nr</w:t>
      </w:r>
      <w:r w:rsidRPr="009402A2">
        <w:t>-474</w:t>
      </w:r>
      <w:r>
        <w:t>.</w:t>
      </w:r>
    </w:p>
  </w:footnote>
  <w:footnote w:id="18">
    <w:p w14:paraId="0AE5E857" w14:textId="691E0258" w:rsidR="00D60CA8" w:rsidRDefault="00D60CA8">
      <w:pPr>
        <w:pStyle w:val="Voetnoottekst"/>
      </w:pPr>
      <w:r>
        <w:rPr>
          <w:rStyle w:val="Voetnootmarkering"/>
        </w:rPr>
        <w:footnoteRef/>
      </w:r>
      <w:r>
        <w:t xml:space="preserve"> </w:t>
      </w:r>
      <w:hyperlink r:id="rId3" w:history="1">
        <w:r w:rsidRPr="00D60CA8">
          <w:rPr>
            <w:rStyle w:val="Hyperlink"/>
          </w:rPr>
          <w:t>P</w:t>
        </w:r>
        <w:r>
          <w:rPr>
            <w:rStyle w:val="Hyperlink"/>
          </w:rPr>
          <w:t>rogramma p</w:t>
        </w:r>
        <w:r w:rsidRPr="00D60CA8">
          <w:rPr>
            <w:rStyle w:val="Hyperlink"/>
          </w:rPr>
          <w:t>olitie voor Iedereen</w:t>
        </w:r>
      </w:hyperlink>
    </w:p>
  </w:footnote>
  <w:footnote w:id="19">
    <w:p w14:paraId="2AA5C05A" w14:textId="77777777" w:rsidR="005A3D08" w:rsidRDefault="005A3D08" w:rsidP="005A3D08">
      <w:pPr>
        <w:pStyle w:val="Voetnoottekst"/>
      </w:pPr>
      <w:r>
        <w:rPr>
          <w:rStyle w:val="Voetnootmarkering"/>
        </w:rPr>
        <w:footnoteRef/>
      </w:r>
      <w:r>
        <w:t xml:space="preserve"> </w:t>
      </w:r>
      <w:r w:rsidRPr="008D6CB3">
        <w:t>Kamerstukken II, 2019/20, 35614 nr. 9</w:t>
      </w:r>
      <w:r>
        <w:t>.</w:t>
      </w:r>
    </w:p>
  </w:footnote>
  <w:footnote w:id="20">
    <w:p w14:paraId="1A8F1242" w14:textId="404A8A29" w:rsidR="00D60CA8" w:rsidRDefault="00D60CA8">
      <w:pPr>
        <w:pStyle w:val="Voetnoottekst"/>
      </w:pPr>
      <w:r>
        <w:rPr>
          <w:rStyle w:val="Voetnootmarkering"/>
        </w:rPr>
        <w:footnoteRef/>
      </w:r>
      <w:r>
        <w:t xml:space="preserve"> </w:t>
      </w:r>
      <w:hyperlink r:id="rId4" w:history="1">
        <w:r w:rsidRPr="00D60CA8">
          <w:rPr>
            <w:rStyle w:val="Hyperlink"/>
          </w:rPr>
          <w:t>Strategie Bestrijding Antisemitisme 2024-2030</w:t>
        </w:r>
      </w:hyperlink>
      <w:r w:rsidR="00C452AB">
        <w:t xml:space="preserve"> </w:t>
      </w:r>
    </w:p>
  </w:footnote>
  <w:footnote w:id="21">
    <w:p w14:paraId="31503F24" w14:textId="48C48A40" w:rsidR="00D60CA8" w:rsidRDefault="00D60CA8">
      <w:pPr>
        <w:pStyle w:val="Voetnoottekst"/>
      </w:pPr>
      <w:r>
        <w:rPr>
          <w:rStyle w:val="Voetnootmarkering"/>
        </w:rPr>
        <w:footnoteRef/>
      </w:r>
      <w:r>
        <w:t xml:space="preserve"> </w:t>
      </w:r>
      <w:hyperlink r:id="rId5" w:history="1">
        <w:r w:rsidRPr="00D60CA8">
          <w:rPr>
            <w:rStyle w:val="Hyperlink"/>
          </w:rPr>
          <w:t>Denkrichtingen ten behoeve van een Nationaal Programma tegen Discriminatie en Racisme 2025-2029</w:t>
        </w:r>
      </w:hyperlink>
    </w:p>
  </w:footnote>
  <w:footnote w:id="22">
    <w:p w14:paraId="5E0891F6" w14:textId="324ADCAC" w:rsidR="00C452AB" w:rsidRDefault="00C452AB">
      <w:pPr>
        <w:pStyle w:val="Voetnoottekst"/>
      </w:pPr>
      <w:r>
        <w:rPr>
          <w:rStyle w:val="Voetnootmarkering"/>
        </w:rPr>
        <w:footnoteRef/>
      </w:r>
      <w:r>
        <w:t xml:space="preserve"> </w:t>
      </w:r>
      <w:hyperlink r:id="rId6" w:history="1">
        <w:r w:rsidRPr="00C452AB">
          <w:rPr>
            <w:rStyle w:val="Hyperlink"/>
          </w:rPr>
          <w:t>Beslisnota Versterkte aanpak veiligheid lhbtiq+ personen</w:t>
        </w:r>
      </w:hyperlink>
    </w:p>
  </w:footnote>
  <w:footnote w:id="23">
    <w:p w14:paraId="2EFBBC33" w14:textId="07AF80D3" w:rsidR="00224DB8" w:rsidRDefault="00224DB8" w:rsidP="00224DB8">
      <w:pPr>
        <w:pStyle w:val="Voetnoottekst"/>
      </w:pPr>
      <w:bookmarkStart w:id="8" w:name="_Hlk231480884"/>
      <w:r>
        <w:rPr>
          <w:rStyle w:val="Voetnootmarkering"/>
        </w:rPr>
        <w:footnoteRef/>
      </w:r>
      <w:r>
        <w:t xml:space="preserve"> </w:t>
      </w:r>
      <w:r w:rsidR="00F23AD8" w:rsidRPr="00F23AD8">
        <w:t>Kamerstukken II, 20</w:t>
      </w:r>
      <w:r w:rsidR="00F23AD8">
        <w:t>25</w:t>
      </w:r>
      <w:r w:rsidR="00210776">
        <w:t>/</w:t>
      </w:r>
      <w:r w:rsidR="00F23AD8">
        <w:t xml:space="preserve">26, </w:t>
      </w:r>
      <w:r w:rsidRPr="005300C5">
        <w:t>30950, nr. 474</w:t>
      </w:r>
      <w:r>
        <w:t xml:space="preserve"> en 29628, nr. 1291</w:t>
      </w:r>
      <w:r w:rsidR="00A44D80">
        <w:t xml:space="preserve"> </w:t>
      </w:r>
    </w:p>
    <w:bookmarkEnd w:id="8"/>
  </w:footnote>
  <w:footnote w:id="24">
    <w:p w14:paraId="3D4816E3" w14:textId="77777777" w:rsidR="005A3D08" w:rsidRDefault="005A3D08" w:rsidP="005A3D08">
      <w:pPr>
        <w:pStyle w:val="Voetnoottekst"/>
      </w:pPr>
      <w:r>
        <w:rPr>
          <w:rStyle w:val="Voetnootmarkering"/>
        </w:rPr>
        <w:footnoteRef/>
      </w:r>
      <w:r>
        <w:t xml:space="preserve"> </w:t>
      </w:r>
      <w:r w:rsidRPr="00F23AD8">
        <w:t>Kamerstukken II, 20</w:t>
      </w:r>
      <w:r>
        <w:t xml:space="preserve">25/26, </w:t>
      </w:r>
      <w:r w:rsidRPr="00A30AB5">
        <w:t>29628</w:t>
      </w:r>
      <w:r>
        <w:t xml:space="preserve">, nr. </w:t>
      </w:r>
      <w:r w:rsidRPr="00A30AB5">
        <w:t>1311</w:t>
      </w:r>
      <w:r>
        <w:t xml:space="preserve">. </w:t>
      </w:r>
    </w:p>
  </w:footnote>
  <w:footnote w:id="25">
    <w:p w14:paraId="67A74DAE" w14:textId="77777777" w:rsidR="005A3D08" w:rsidRDefault="005A3D08" w:rsidP="005A3D08">
      <w:pPr>
        <w:pStyle w:val="Voetnoottekst"/>
      </w:pPr>
      <w:r>
        <w:rPr>
          <w:rStyle w:val="Voetnootmarkering"/>
        </w:rPr>
        <w:footnoteRef/>
      </w:r>
      <w:r>
        <w:t xml:space="preserve"> </w:t>
      </w:r>
      <w:r w:rsidRPr="00F23AD8">
        <w:t>Kamerstukken II, 20</w:t>
      </w:r>
      <w:r>
        <w:t xml:space="preserve">25/26, </w:t>
      </w:r>
      <w:r w:rsidRPr="00C452AB">
        <w:t>29628</w:t>
      </w:r>
      <w:r>
        <w:t xml:space="preserve">, nr. </w:t>
      </w:r>
      <w:r w:rsidRPr="00C452AB">
        <w:t>1284</w:t>
      </w:r>
      <w:r>
        <w:t>.</w:t>
      </w:r>
    </w:p>
  </w:footnote>
  <w:footnote w:id="26">
    <w:p w14:paraId="1451A422" w14:textId="77777777" w:rsidR="005A3D08" w:rsidRDefault="005A3D08" w:rsidP="005A3D08">
      <w:pPr>
        <w:pStyle w:val="Voetnoottekst"/>
      </w:pPr>
      <w:r>
        <w:rPr>
          <w:rStyle w:val="Voetnootmarkering"/>
        </w:rPr>
        <w:footnoteRef/>
      </w:r>
      <w:r>
        <w:t xml:space="preserve"> </w:t>
      </w:r>
      <w:r w:rsidRPr="00F23AD8">
        <w:t>Kamerstukken II, 20</w:t>
      </w:r>
      <w:r>
        <w:t xml:space="preserve">25/26, </w:t>
      </w:r>
      <w:r w:rsidRPr="00520770">
        <w:t>29628</w:t>
      </w:r>
      <w:r>
        <w:t xml:space="preserve">, nr. </w:t>
      </w:r>
      <w:r w:rsidRPr="00520770">
        <w:t>1292</w:t>
      </w:r>
      <w:r>
        <w:t>.</w:t>
      </w:r>
    </w:p>
  </w:footnote>
  <w:footnote w:id="27">
    <w:p w14:paraId="53F23F4E" w14:textId="77777777" w:rsidR="005A3D08" w:rsidRDefault="005A3D08" w:rsidP="005A3D08">
      <w:pPr>
        <w:pStyle w:val="Voetnoottekst"/>
      </w:pPr>
      <w:r>
        <w:rPr>
          <w:rStyle w:val="Voetnootmarkering"/>
        </w:rPr>
        <w:footnoteRef/>
      </w:r>
      <w:r>
        <w:t xml:space="preserve"> </w:t>
      </w:r>
      <w:r w:rsidRPr="00F23AD8">
        <w:t>Kamerstukken II, 20</w:t>
      </w:r>
      <w:r>
        <w:t xml:space="preserve">24/25, </w:t>
      </w:r>
      <w:r w:rsidRPr="00520770">
        <w:t>29628</w:t>
      </w:r>
      <w:r>
        <w:t xml:space="preserve">, nr. </w:t>
      </w:r>
      <w:r w:rsidRPr="00520770">
        <w:t>1258</w:t>
      </w:r>
      <w:r>
        <w:t>.</w:t>
      </w:r>
    </w:p>
  </w:footnote>
  <w:footnote w:id="28">
    <w:p w14:paraId="1E6EC18C" w14:textId="77777777" w:rsidR="005A3D08" w:rsidRDefault="005A3D08" w:rsidP="005A3D08">
      <w:pPr>
        <w:pStyle w:val="Voetnoottekst"/>
      </w:pPr>
      <w:r>
        <w:rPr>
          <w:rStyle w:val="Voetnootmarkering"/>
        </w:rPr>
        <w:footnoteRef/>
      </w:r>
      <w:r>
        <w:t xml:space="preserve"> </w:t>
      </w:r>
      <w:r w:rsidRPr="00F23AD8">
        <w:t>Kamerstukken II, 20</w:t>
      </w:r>
      <w:r>
        <w:t xml:space="preserve">24/25, </w:t>
      </w:r>
      <w:r w:rsidRPr="003B6A75">
        <w:t>TZ202504</w:t>
      </w:r>
      <w:r>
        <w:t xml:space="preserve">, nr. </w:t>
      </w:r>
      <w:r w:rsidRPr="003B6A75">
        <w:t>122</w:t>
      </w:r>
      <w:r w:rsidRPr="003B6A75">
        <w:rPr>
          <w:iCs/>
        </w:rPr>
        <w:t xml:space="preserve"> </w:t>
      </w:r>
      <w:r>
        <w:rPr>
          <w:iCs/>
        </w:rPr>
        <w:t>.</w:t>
      </w:r>
    </w:p>
  </w:footnote>
  <w:footnote w:id="29">
    <w:p w14:paraId="3DA5E72A" w14:textId="77777777" w:rsidR="00600986" w:rsidRDefault="00600986" w:rsidP="00600986">
      <w:pPr>
        <w:pStyle w:val="Voetnoottekst"/>
      </w:pPr>
      <w:r>
        <w:rPr>
          <w:rStyle w:val="Voetnootmarkering"/>
        </w:rPr>
        <w:footnoteRef/>
      </w:r>
      <w:r>
        <w:t xml:space="preserve"> </w:t>
      </w:r>
      <w:r w:rsidRPr="00F23AD8">
        <w:t>Kamerstukken II, 20</w:t>
      </w:r>
      <w:r>
        <w:t xml:space="preserve">25/26, </w:t>
      </w:r>
      <w:r w:rsidRPr="00520770">
        <w:t>29628</w:t>
      </w:r>
      <w:r>
        <w:t xml:space="preserve">, nr. </w:t>
      </w:r>
      <w:r w:rsidRPr="00520770">
        <w:t>1292</w:t>
      </w:r>
      <w:r>
        <w:t>.</w:t>
      </w:r>
    </w:p>
  </w:footnote>
  <w:footnote w:id="30">
    <w:p w14:paraId="20A1FE44" w14:textId="77777777" w:rsidR="00600986" w:rsidRDefault="00600986" w:rsidP="00600986">
      <w:pPr>
        <w:pStyle w:val="Voetnoottekst"/>
      </w:pPr>
      <w:r>
        <w:rPr>
          <w:rStyle w:val="Voetnootmarkering"/>
        </w:rPr>
        <w:footnoteRef/>
      </w:r>
      <w:r>
        <w:t xml:space="preserve"> </w:t>
      </w:r>
      <w:r w:rsidRPr="00AA7C90">
        <w:t>Kamerstuk</w:t>
      </w:r>
      <w:r>
        <w:t>ken II 2025/26,</w:t>
      </w:r>
      <w:r w:rsidRPr="00AA7C90">
        <w:t xml:space="preserve"> 29628, nr. 1302</w:t>
      </w:r>
      <w:r>
        <w:t xml:space="preserve">, bijlage 1227796. </w:t>
      </w:r>
    </w:p>
  </w:footnote>
  <w:footnote w:id="31">
    <w:p w14:paraId="6945279F" w14:textId="77777777" w:rsidR="00AF0266" w:rsidRPr="00D149EE" w:rsidRDefault="00AF0266" w:rsidP="00AF0266">
      <w:pPr>
        <w:pStyle w:val="Voetnoottekst"/>
      </w:pPr>
      <w:r w:rsidRPr="00D149EE">
        <w:rPr>
          <w:rStyle w:val="Voetnootmarkering"/>
        </w:rPr>
        <w:footnoteRef/>
      </w:r>
      <w:r w:rsidRPr="00D149EE">
        <w:t xml:space="preserve"> Kamerstukken II 2024/25, 29628, nr. 1258.</w:t>
      </w:r>
    </w:p>
  </w:footnote>
  <w:footnote w:id="32">
    <w:p w14:paraId="1D0DE6FD" w14:textId="77777777" w:rsidR="00AF0266" w:rsidRPr="00D149EE" w:rsidRDefault="00AF0266" w:rsidP="00AF0266">
      <w:pPr>
        <w:pStyle w:val="Voetnoottekst"/>
      </w:pPr>
      <w:r w:rsidRPr="00D149EE">
        <w:rPr>
          <w:rStyle w:val="Voetnootmarkering"/>
        </w:rPr>
        <w:footnoteRef/>
      </w:r>
      <w:r w:rsidRPr="00D149EE">
        <w:t xml:space="preserve"> Kamerstukken II 2024/25, 29 628, nr. 1292.</w:t>
      </w:r>
    </w:p>
  </w:footnote>
  <w:footnote w:id="33">
    <w:p w14:paraId="396344CA" w14:textId="77777777" w:rsidR="00AF0266" w:rsidRPr="00D149EE" w:rsidRDefault="00AF0266" w:rsidP="00AF0266">
      <w:pPr>
        <w:pStyle w:val="Voetnoottekst"/>
      </w:pPr>
      <w:r w:rsidRPr="00D149EE">
        <w:rPr>
          <w:rStyle w:val="Voetnootmarkering"/>
        </w:rPr>
        <w:footnoteRef/>
      </w:r>
      <w:r w:rsidRPr="00D149EE">
        <w:t xml:space="preserve"> Kamerstukken II 2024/25, 29 628, nr, 1254. </w:t>
      </w:r>
    </w:p>
  </w:footnote>
  <w:footnote w:id="34">
    <w:p w14:paraId="3052BACC" w14:textId="77777777" w:rsidR="00AF0266" w:rsidRPr="00D149EE" w:rsidRDefault="00AF0266" w:rsidP="00AF0266">
      <w:pPr>
        <w:pStyle w:val="Voetnoottekst"/>
      </w:pPr>
      <w:r w:rsidRPr="00D149EE">
        <w:rPr>
          <w:rStyle w:val="Voetnootmarkering"/>
        </w:rPr>
        <w:footnoteRef/>
      </w:r>
      <w:r w:rsidRPr="00D149EE">
        <w:t xml:space="preserve"> Brief van de Autoriteit Persoonsgegevens van 15 juni 2025, Bewaartermijnen politiegegevens, 2025-017608. </w:t>
      </w:r>
    </w:p>
  </w:footnote>
  <w:footnote w:id="35">
    <w:p w14:paraId="3DCF4F01" w14:textId="77777777" w:rsidR="005A3D08" w:rsidRDefault="005A3D08" w:rsidP="005A3D08">
      <w:pPr>
        <w:pStyle w:val="Voetnoottekst"/>
      </w:pPr>
      <w:r>
        <w:rPr>
          <w:rStyle w:val="Voetnootmarkering"/>
        </w:rPr>
        <w:footnoteRef/>
      </w:r>
      <w:r>
        <w:t xml:space="preserve"> </w:t>
      </w:r>
      <w:r w:rsidRPr="00AA7C90">
        <w:t>Kamerstuk</w:t>
      </w:r>
      <w:r>
        <w:t>ken II 2025/26,</w:t>
      </w:r>
      <w:r w:rsidRPr="00AA7C90">
        <w:t xml:space="preserve"> </w:t>
      </w:r>
      <w:r w:rsidRPr="00CA28C6">
        <w:t>29628</w:t>
      </w:r>
      <w:r>
        <w:t xml:space="preserve">, nr. </w:t>
      </w:r>
      <w:r w:rsidRPr="00CA28C6">
        <w:t>1306</w:t>
      </w:r>
      <w:r>
        <w:t>.</w:t>
      </w:r>
      <w:r>
        <w:rPr>
          <w:rStyle w:val="Verwijzingopmerking"/>
          <w:rFonts w:asciiTheme="minorHAnsi" w:eastAsiaTheme="minorHAnsi" w:hAnsiTheme="minorHAnsi" w:cstheme="minorBidi"/>
          <w:kern w:val="2"/>
          <w:lang w:eastAsia="en-US"/>
          <w14:ligatures w14:val="standardContextual"/>
        </w:rPr>
        <w:t xml:space="preserve"> </w:t>
      </w:r>
    </w:p>
  </w:footnote>
  <w:footnote w:id="36">
    <w:p w14:paraId="2E996B62" w14:textId="77777777" w:rsidR="005A3D08" w:rsidRPr="009D76EF" w:rsidRDefault="005A3D08" w:rsidP="005A3D08">
      <w:pPr>
        <w:pStyle w:val="Voetnoottekst"/>
      </w:pPr>
      <w:r>
        <w:rPr>
          <w:rStyle w:val="Voetnootmarkering"/>
        </w:rPr>
        <w:footnoteRef/>
      </w:r>
      <w:r>
        <w:t xml:space="preserve"> </w:t>
      </w:r>
      <w:r w:rsidRPr="009D76EF">
        <w:t xml:space="preserve">In: </w:t>
      </w:r>
      <w:hyperlink r:id="rId7" w:history="1">
        <w:r w:rsidRPr="009D76EF">
          <w:rPr>
            <w:rStyle w:val="Hyperlink"/>
          </w:rPr>
          <w:t>Kamerstukken II, 2025/26, 36800-VI, nr. 133</w:t>
        </w:r>
      </w:hyperlink>
      <w:r w:rsidRPr="009D76EF">
        <w:t xml:space="preserve"> (Verslag Wetgevingsoverleg. Vastgesteld 5 maart 2026), Kopje ‘Toezeggingen’</w:t>
      </w:r>
      <w:r>
        <w:t>.</w:t>
      </w:r>
    </w:p>
  </w:footnote>
  <w:footnote w:id="37">
    <w:p w14:paraId="6D200DF2" w14:textId="77777777" w:rsidR="005A3D08" w:rsidRDefault="005A3D08" w:rsidP="005A3D08">
      <w:pPr>
        <w:pStyle w:val="Voetnoottekst"/>
      </w:pPr>
      <w:r>
        <w:rPr>
          <w:rStyle w:val="Voetnootmarkering"/>
        </w:rPr>
        <w:footnoteRef/>
      </w:r>
      <w:r>
        <w:t xml:space="preserve"> </w:t>
      </w:r>
      <w:bookmarkStart w:id="13" w:name="_Hlk231481669"/>
      <w:r w:rsidRPr="009D76EF">
        <w:t xml:space="preserve">In: </w:t>
      </w:r>
      <w:hyperlink r:id="rId8" w:history="1">
        <w:r w:rsidRPr="009D76EF">
          <w:rPr>
            <w:rStyle w:val="Hyperlink"/>
          </w:rPr>
          <w:t>Kamerstukken II, 2025/26, 36800-VI, nr. 133</w:t>
        </w:r>
      </w:hyperlink>
      <w:r w:rsidRPr="009D76EF">
        <w:t xml:space="preserve"> (Verslag Wetgevingsoverleg. Vastgesteld 5 maart 2026), Kopje ‘Toezeggingen’</w:t>
      </w:r>
      <w:r>
        <w:t xml:space="preserve">. </w:t>
      </w:r>
      <w:bookmarkEnd w:id="13"/>
    </w:p>
  </w:footnote>
  <w:footnote w:id="38">
    <w:p w14:paraId="477995BA" w14:textId="77777777" w:rsidR="00B5625A" w:rsidRDefault="00B5625A" w:rsidP="00B5625A">
      <w:pPr>
        <w:pStyle w:val="Voetnoottekst"/>
      </w:pPr>
      <w:r>
        <w:rPr>
          <w:rStyle w:val="Voetnootmarkering"/>
        </w:rPr>
        <w:footnoteRef/>
      </w:r>
      <w:r>
        <w:t xml:space="preserve"> Handelingen II 2025-2026, </w:t>
      </w:r>
      <w:r w:rsidRPr="001E5CE4">
        <w:t>29 628 nr. 1306</w:t>
      </w:r>
    </w:p>
  </w:footnote>
  <w:footnote w:id="39">
    <w:p w14:paraId="1E71E880" w14:textId="77777777" w:rsidR="00B5625A" w:rsidRDefault="00B5625A" w:rsidP="00B5625A">
      <w:pPr>
        <w:pStyle w:val="Voetnoottekst"/>
      </w:pPr>
      <w:r>
        <w:rPr>
          <w:rStyle w:val="Voetnootmarkering"/>
        </w:rPr>
        <w:footnoteRef/>
      </w:r>
      <w:r>
        <w:t xml:space="preserve"> </w:t>
      </w:r>
      <w:r w:rsidRPr="009B3764">
        <w:t>een vervolg op commissie monitoring waarborgen heimelijk werk, het eindrapport van de commissie en de beleidsreactie hierop is te vinden in het tweede halfjaarbericht politie 2025</w:t>
      </w:r>
      <w:r>
        <w:t xml:space="preserve">, Kamerstukken II, 2024-2025, </w:t>
      </w:r>
      <w:r w:rsidRPr="009B3764">
        <w:t xml:space="preserve"> </w:t>
      </w:r>
      <w:r w:rsidRPr="00F22F89">
        <w:t>29</w:t>
      </w:r>
      <w:r>
        <w:t xml:space="preserve"> </w:t>
      </w:r>
      <w:r w:rsidRPr="00F22F89">
        <w:t>628, nr. 1302</w:t>
      </w:r>
    </w:p>
  </w:footnote>
  <w:footnote w:id="40">
    <w:p w14:paraId="0CFA6D58" w14:textId="77777777" w:rsidR="00996DAE" w:rsidRDefault="00996DAE" w:rsidP="00996DAE">
      <w:pPr>
        <w:pStyle w:val="Voetnoottekst"/>
      </w:pPr>
      <w:r>
        <w:rPr>
          <w:rStyle w:val="Voetnootmarkering"/>
        </w:rPr>
        <w:footnoteRef/>
      </w:r>
      <w:r>
        <w:t xml:space="preserve"> Kamerstukken ll 2025/26, </w:t>
      </w:r>
      <w:r w:rsidRPr="00EF0BA7">
        <w:t>36800-VI</w:t>
      </w:r>
      <w:r>
        <w:t xml:space="preserve">, nr. </w:t>
      </w:r>
      <w:r w:rsidRPr="00EF0BA7">
        <w:t>50</w:t>
      </w:r>
      <w:r>
        <w:t>.</w:t>
      </w:r>
    </w:p>
  </w:footnote>
  <w:footnote w:id="41">
    <w:p w14:paraId="7E417F70" w14:textId="77777777" w:rsidR="00996DAE" w:rsidRDefault="00996DAE" w:rsidP="00996DAE">
      <w:pPr>
        <w:pStyle w:val="Voetnoottekst"/>
      </w:pPr>
      <w:r>
        <w:rPr>
          <w:rStyle w:val="Voetnootmarkering"/>
        </w:rPr>
        <w:footnoteRef/>
      </w:r>
      <w:r>
        <w:t xml:space="preserve"> Kamerstukken ll 2024/25, 36600-VI,</w:t>
      </w:r>
      <w:r w:rsidRPr="00BE78F2">
        <w:t xml:space="preserve"> </w:t>
      </w:r>
      <w:r>
        <w:t xml:space="preserve">nr. </w:t>
      </w:r>
      <w:r w:rsidRPr="00BE78F2">
        <w:t>80</w:t>
      </w:r>
      <w:r>
        <w:t>.</w:t>
      </w:r>
    </w:p>
  </w:footnote>
  <w:footnote w:id="42">
    <w:p w14:paraId="1E2DF829" w14:textId="1875BA82" w:rsidR="00996DAE" w:rsidRDefault="00996DAE" w:rsidP="00996DAE">
      <w:pPr>
        <w:pStyle w:val="Voetnoottekst"/>
      </w:pPr>
      <w:r>
        <w:rPr>
          <w:rStyle w:val="Voetnootmarkering"/>
        </w:rPr>
        <w:footnoteRef/>
      </w:r>
      <w:r>
        <w:t xml:space="preserve"> In: Stenogram Vaststelling van de begrotingsstaten Ministerie JenV 2025, antw. 1</w:t>
      </w:r>
      <w:r w:rsidRPr="009600BE">
        <w:rPr>
          <w:vertAlign w:val="superscript"/>
        </w:rPr>
        <w:t>e</w:t>
      </w:r>
      <w:r>
        <w:t xml:space="preserve"> termijn + rest., p (Kamerstukken II 2025/26, 36600-VI) </w:t>
      </w:r>
    </w:p>
  </w:footnote>
  <w:footnote w:id="43">
    <w:p w14:paraId="649601AD" w14:textId="77777777" w:rsidR="00996DAE" w:rsidRPr="00461D27" w:rsidRDefault="00996DAE" w:rsidP="00996DAE">
      <w:pPr>
        <w:pStyle w:val="Voetnoottekst"/>
      </w:pPr>
      <w:r>
        <w:rPr>
          <w:rStyle w:val="Voetnootmarkering"/>
        </w:rPr>
        <w:footnoteRef/>
      </w:r>
      <w:r>
        <w:t xml:space="preserve"> </w:t>
      </w:r>
      <w:r w:rsidRPr="00461D27">
        <w:t>Kamerstukken ll, 202</w:t>
      </w:r>
      <w:r>
        <w:t>3</w:t>
      </w:r>
      <w:r w:rsidRPr="00461D27">
        <w:t>/2</w:t>
      </w:r>
      <w:r>
        <w:t>4</w:t>
      </w:r>
      <w:r w:rsidRPr="00461D27">
        <w:t xml:space="preserve">, </w:t>
      </w:r>
      <w:r w:rsidRPr="003B6A75">
        <w:t>TZ202412</w:t>
      </w:r>
      <w:r>
        <w:t xml:space="preserve">, nr. </w:t>
      </w:r>
      <w:r w:rsidRPr="003B6A75">
        <w:t>155</w:t>
      </w:r>
      <w:r>
        <w:t>.</w:t>
      </w:r>
    </w:p>
  </w:footnote>
  <w:footnote w:id="44">
    <w:p w14:paraId="4588E511" w14:textId="77777777" w:rsidR="005A3D08" w:rsidRDefault="005A3D08" w:rsidP="005A3D08">
      <w:pPr>
        <w:pStyle w:val="Voetnoottekst"/>
      </w:pPr>
      <w:r>
        <w:rPr>
          <w:rStyle w:val="Voetnootmarkering"/>
        </w:rPr>
        <w:footnoteRef/>
      </w:r>
      <w:r>
        <w:t xml:space="preserve"> </w:t>
      </w:r>
      <w:r w:rsidRPr="00AA7C90">
        <w:t>Kamerstuk</w:t>
      </w:r>
      <w:r>
        <w:t>ken II 2021/22,</w:t>
      </w:r>
      <w:r w:rsidRPr="00AA7C90">
        <w:t xml:space="preserve"> </w:t>
      </w:r>
      <w:r w:rsidRPr="00AE1987">
        <w:t>35925-VI</w:t>
      </w:r>
      <w:r>
        <w:t xml:space="preserve">, nr. </w:t>
      </w:r>
      <w:r w:rsidRPr="00AE1987">
        <w:t>78</w:t>
      </w:r>
      <w:r>
        <w:t>.</w:t>
      </w:r>
    </w:p>
  </w:footnote>
  <w:footnote w:id="45">
    <w:p w14:paraId="718D5211" w14:textId="77777777" w:rsidR="005A3D08" w:rsidRDefault="005A3D08" w:rsidP="005A3D08">
      <w:pPr>
        <w:pStyle w:val="Voetnoottekst"/>
      </w:pPr>
      <w:r>
        <w:rPr>
          <w:rStyle w:val="Voetnootmarkering"/>
        </w:rPr>
        <w:footnoteRef/>
      </w:r>
      <w:r>
        <w:t xml:space="preserve"> </w:t>
      </w:r>
      <w:r w:rsidRPr="00AA7C90">
        <w:t>Kamerstuk</w:t>
      </w:r>
      <w:r>
        <w:t>ken II 2025/26,</w:t>
      </w:r>
      <w:r w:rsidRPr="00AA7C90">
        <w:t xml:space="preserve"> </w:t>
      </w:r>
      <w:r w:rsidRPr="00AE1987">
        <w:t>29911</w:t>
      </w:r>
      <w:r>
        <w:t xml:space="preserve">, nr. </w:t>
      </w:r>
      <w:r w:rsidRPr="00AE1987">
        <w:t>487</w:t>
      </w:r>
      <w:r>
        <w:t>.</w:t>
      </w:r>
    </w:p>
  </w:footnote>
  <w:footnote w:id="46">
    <w:p w14:paraId="3658FDAF" w14:textId="77777777" w:rsidR="00A551EC" w:rsidRDefault="00A551EC" w:rsidP="00A551EC">
      <w:pPr>
        <w:pStyle w:val="Voetnoottekst"/>
      </w:pPr>
      <w:r>
        <w:rPr>
          <w:rStyle w:val="Voetnootmarkering"/>
        </w:rPr>
        <w:footnoteRef/>
      </w:r>
      <w:r>
        <w:t xml:space="preserve"> </w:t>
      </w:r>
      <w:r w:rsidRPr="00AA7C90">
        <w:t>Kamerstuk</w:t>
      </w:r>
      <w:r>
        <w:t>ken II 2025/26,</w:t>
      </w:r>
      <w:r w:rsidRPr="00AA7C90">
        <w:t xml:space="preserve"> 29628, nr. 1302</w:t>
      </w:r>
      <w:r>
        <w:t xml:space="preserve">, bijlage 1227796. </w:t>
      </w:r>
    </w:p>
  </w:footnote>
  <w:footnote w:id="47">
    <w:p w14:paraId="3DB20457" w14:textId="77777777" w:rsidR="005A3D08" w:rsidRDefault="005A3D08" w:rsidP="005A3D08">
      <w:pPr>
        <w:pStyle w:val="Voetnoottekst"/>
      </w:pPr>
      <w:r>
        <w:rPr>
          <w:rStyle w:val="Voetnootmarkering"/>
        </w:rPr>
        <w:footnoteRef/>
      </w:r>
      <w:r>
        <w:t xml:space="preserve"> </w:t>
      </w:r>
      <w:r w:rsidRPr="00AA7C90">
        <w:t>Kamerstuk</w:t>
      </w:r>
      <w:r>
        <w:t>ken II 2025/26,</w:t>
      </w:r>
      <w:r w:rsidRPr="00AA7C90">
        <w:t xml:space="preserve"> </w:t>
      </w:r>
      <w:r w:rsidRPr="001F506A">
        <w:t>TZ202603</w:t>
      </w:r>
      <w:r>
        <w:t xml:space="preserve">, nr. </w:t>
      </w:r>
      <w:r w:rsidRPr="001F506A">
        <w:t>164</w:t>
      </w:r>
      <w:r>
        <w:t>.</w:t>
      </w:r>
    </w:p>
  </w:footnote>
  <w:footnote w:id="48">
    <w:p w14:paraId="562AE380" w14:textId="77777777" w:rsidR="00311624" w:rsidRPr="00311624" w:rsidRDefault="00311624" w:rsidP="00311624">
      <w:pPr>
        <w:pStyle w:val="Voetnoottekst"/>
      </w:pPr>
      <w:r w:rsidRPr="00311624">
        <w:rPr>
          <w:rStyle w:val="Voetnootmarkering"/>
        </w:rPr>
        <w:footnoteRef/>
      </w:r>
      <w:r w:rsidRPr="00311624">
        <w:t xml:space="preserve"> </w:t>
      </w:r>
      <w:hyperlink r:id="rId9" w:history="1">
        <w:r w:rsidRPr="00311624">
          <w:rPr>
            <w:rStyle w:val="Hyperlink"/>
          </w:rPr>
          <w:t>https://www.politie.nl/nieuws/2025/oktober/15/05-voetbalseizoen-24-25-weer-minder-incidenten.html</w:t>
        </w:r>
      </w:hyperlink>
      <w:r w:rsidRPr="00311624">
        <w:t xml:space="preserve"> </w:t>
      </w:r>
    </w:p>
  </w:footnote>
  <w:footnote w:id="49">
    <w:p w14:paraId="3A0045AF" w14:textId="3A29BDEC" w:rsidR="00F0699E" w:rsidRDefault="00F0699E">
      <w:pPr>
        <w:pStyle w:val="Voetnoottekst"/>
      </w:pPr>
      <w:r>
        <w:rPr>
          <w:rStyle w:val="Voetnootmarkering"/>
        </w:rPr>
        <w:footnoteRef/>
      </w:r>
      <w:r>
        <w:t xml:space="preserve"> </w:t>
      </w:r>
      <w:r w:rsidRPr="00AA7C90">
        <w:t>Kamerstuk</w:t>
      </w:r>
      <w:r>
        <w:t>ken II 2025/26,</w:t>
      </w:r>
      <w:r w:rsidRPr="00AA7C90">
        <w:t xml:space="preserve"> </w:t>
      </w:r>
      <w:r w:rsidRPr="001F506A">
        <w:t>TZ202603</w:t>
      </w:r>
      <w:r>
        <w:t xml:space="preserve">, nr. </w:t>
      </w:r>
      <w:r w:rsidRPr="001F506A">
        <w:t>164</w:t>
      </w:r>
      <w:r>
        <w:t>.</w:t>
      </w:r>
    </w:p>
  </w:footnote>
  <w:footnote w:id="50">
    <w:p w14:paraId="7A19CE42" w14:textId="77777777" w:rsidR="005A3D08" w:rsidRDefault="005A3D08" w:rsidP="005A3D08">
      <w:pPr>
        <w:pStyle w:val="Voetnoottekst"/>
      </w:pPr>
      <w:r>
        <w:rPr>
          <w:rStyle w:val="Voetnootmarkering"/>
        </w:rPr>
        <w:footnoteRef/>
      </w:r>
      <w:r>
        <w:t xml:space="preserve"> </w:t>
      </w:r>
      <w:r w:rsidRPr="00AD5625">
        <w:t>Kamerstukken II 2024/25, 29628, nr. 1264</w:t>
      </w:r>
      <w:r>
        <w:t>.</w:t>
      </w:r>
    </w:p>
  </w:footnote>
  <w:footnote w:id="51">
    <w:p w14:paraId="3AFB31E8" w14:textId="77777777" w:rsidR="005A3D08" w:rsidRDefault="005A3D08" w:rsidP="005A3D08">
      <w:pPr>
        <w:pStyle w:val="Voetnoottekst"/>
      </w:pPr>
      <w:r>
        <w:rPr>
          <w:rStyle w:val="Voetnootmarkering"/>
        </w:rPr>
        <w:footnoteRef/>
      </w:r>
      <w:r>
        <w:t xml:space="preserve"> </w:t>
      </w:r>
      <w:r w:rsidRPr="00AD5625">
        <w:t>Kamerstukken II 202</w:t>
      </w:r>
      <w:r>
        <w:t>5</w:t>
      </w:r>
      <w:r w:rsidRPr="00AD5625">
        <w:t>/2</w:t>
      </w:r>
      <w:r>
        <w:t>6</w:t>
      </w:r>
      <w:r w:rsidRPr="00AD5625">
        <w:t>, 36800-VI</w:t>
      </w:r>
      <w:r>
        <w:t xml:space="preserve">, nr. </w:t>
      </w:r>
      <w:r w:rsidRPr="00AD5625">
        <w:t>56</w:t>
      </w:r>
      <w:r>
        <w:t>.</w:t>
      </w:r>
    </w:p>
  </w:footnote>
  <w:footnote w:id="52">
    <w:p w14:paraId="2177BE56" w14:textId="78E0D151" w:rsidR="00726C41" w:rsidRDefault="00D06114" w:rsidP="00D06114">
      <w:pPr>
        <w:pStyle w:val="Voetnoottekst"/>
      </w:pPr>
      <w:r>
        <w:rPr>
          <w:rStyle w:val="Voetnootmarkering"/>
        </w:rPr>
        <w:footnoteRef/>
      </w:r>
      <w:r>
        <w:t xml:space="preserve"> </w:t>
      </w:r>
      <w:r w:rsidR="00FE0F3C">
        <w:t xml:space="preserve">In: Kamerstukken II, </w:t>
      </w:r>
      <w:r w:rsidR="00FE0F3C" w:rsidRPr="00FE0F3C">
        <w:t>2024/25, nr.</w:t>
      </w:r>
      <w:r w:rsidR="00FE0F3C">
        <w:t xml:space="preserve"> </w:t>
      </w:r>
      <w:hyperlink r:id="rId10" w:tooltip="link naar publicatie ah-tk-20242025-543" w:history="1">
        <w:r w:rsidR="00FE0F3C" w:rsidRPr="00FE0F3C">
          <w:rPr>
            <w:rStyle w:val="Hyperlink"/>
          </w:rPr>
          <w:t>543</w:t>
        </w:r>
      </w:hyperlink>
      <w:r w:rsidR="00FE0F3C">
        <w:t xml:space="preserve"> (</w:t>
      </w:r>
      <w:r w:rsidR="00FE0F3C" w:rsidRPr="00FE0F3C">
        <w:t>Antwoord Minister Van Weel</w:t>
      </w:r>
      <w:r w:rsidR="00FE0F3C">
        <w:t xml:space="preserve">, </w:t>
      </w:r>
      <w:r w:rsidR="00FE0F3C" w:rsidRPr="00FE0F3C">
        <w:t>JenV</w:t>
      </w:r>
      <w:r w:rsidR="00FE0F3C">
        <w:t xml:space="preserve">, </w:t>
      </w:r>
      <w:r w:rsidR="00FE0F3C" w:rsidRPr="00FE0F3C">
        <w:t>ontvangen 10 december 2024</w:t>
      </w:r>
      <w:r w:rsidR="00FE0F3C">
        <w:t>, Kop ‘A</w:t>
      </w:r>
      <w:r w:rsidR="00FE0F3C" w:rsidRPr="00FE0F3C">
        <w:t>ntwoord 7, 8, 9, 10 en 11</w:t>
      </w:r>
      <w:r w:rsidR="00FE0F3C">
        <w:t>’.</w:t>
      </w:r>
    </w:p>
  </w:footnote>
  <w:footnote w:id="53">
    <w:p w14:paraId="072D9632" w14:textId="50DFEE2F" w:rsidR="005A3D08" w:rsidRDefault="005A3D08" w:rsidP="005A3D08">
      <w:pPr>
        <w:pStyle w:val="Voetnoottekst"/>
      </w:pPr>
      <w:r>
        <w:rPr>
          <w:rStyle w:val="Voetnootmarkering"/>
        </w:rPr>
        <w:footnoteRef/>
      </w:r>
      <w:r>
        <w:t xml:space="preserve"> </w:t>
      </w:r>
      <w:r w:rsidRPr="00AD5625">
        <w:t>Kamerstukken II 202</w:t>
      </w:r>
      <w:r>
        <w:t>5</w:t>
      </w:r>
      <w:r w:rsidRPr="00AD5625">
        <w:t>/2</w:t>
      </w:r>
      <w:r>
        <w:t>6</w:t>
      </w:r>
      <w:r w:rsidRPr="00AD5625">
        <w:t>, 28684</w:t>
      </w:r>
      <w:r>
        <w:t xml:space="preserve">, nr. </w:t>
      </w:r>
      <w:r w:rsidRPr="00AD5625">
        <w:t>823</w:t>
      </w:r>
      <w:r>
        <w:t>.</w:t>
      </w:r>
    </w:p>
  </w:footnote>
  <w:footnote w:id="54">
    <w:p w14:paraId="7EA87C41" w14:textId="235AA089" w:rsidR="00726C41" w:rsidRDefault="00726C41">
      <w:pPr>
        <w:pStyle w:val="Voetnoottekst"/>
      </w:pPr>
      <w:r>
        <w:rPr>
          <w:rStyle w:val="Voetnootmarkering"/>
        </w:rPr>
        <w:footnoteRef/>
      </w:r>
      <w:r>
        <w:t xml:space="preserve"> </w:t>
      </w:r>
      <w:hyperlink r:id="rId11" w:history="1">
        <w:r>
          <w:rPr>
            <w:rStyle w:val="Hyperlink"/>
          </w:rPr>
          <w:t>H</w:t>
        </w:r>
        <w:r w:rsidRPr="00726C41">
          <w:rPr>
            <w:rStyle w:val="Hyperlink"/>
          </w:rPr>
          <w:t>oe de Baseline helpt tegen agressie en geweld</w:t>
        </w:r>
      </w:hyperlink>
    </w:p>
  </w:footnote>
  <w:footnote w:id="55">
    <w:p w14:paraId="7D374938" w14:textId="77777777" w:rsidR="000C0143" w:rsidRDefault="000C0143" w:rsidP="000C0143">
      <w:pPr>
        <w:pStyle w:val="Voetnoottekst"/>
      </w:pPr>
      <w:r>
        <w:rPr>
          <w:rStyle w:val="Voetnootmarkering"/>
        </w:rPr>
        <w:footnoteRef/>
      </w:r>
      <w:r>
        <w:t xml:space="preserve"> In Kamerstukken 2025/36, </w:t>
      </w:r>
      <w:r w:rsidRPr="00115CED">
        <w:t>2026Z01727</w:t>
      </w:r>
      <w:r>
        <w:t xml:space="preserve"> (</w:t>
      </w:r>
      <w:r w:rsidRPr="00115CED">
        <w:t xml:space="preserve">schriftelijk de antwoorden op vragen tijdens </w:t>
      </w:r>
      <w:r>
        <w:t>1e</w:t>
      </w:r>
      <w:r w:rsidRPr="00115CED">
        <w:t xml:space="preserve"> termijn begroting</w:t>
      </w:r>
      <w:r>
        <w:t>s</w:t>
      </w:r>
      <w:r w:rsidRPr="00115CED">
        <w:t xml:space="preserve">behandeling </w:t>
      </w:r>
      <w:r>
        <w:t>JenV</w:t>
      </w:r>
      <w:r w:rsidRPr="00115CED">
        <w:t xml:space="preserve"> 2026</w:t>
      </w:r>
      <w:r>
        <w:t>), p.38, nr. 47 (vraag kamerlid Vd Plas)</w:t>
      </w:r>
    </w:p>
  </w:footnote>
  <w:footnote w:id="56">
    <w:p w14:paraId="60035D64" w14:textId="77777777" w:rsidR="0052402F" w:rsidRDefault="0052402F" w:rsidP="0052402F">
      <w:pPr>
        <w:pStyle w:val="Voetnoottekst"/>
      </w:pPr>
      <w:r>
        <w:rPr>
          <w:rStyle w:val="Voetnootmarkering"/>
        </w:rPr>
        <w:footnoteRef/>
      </w:r>
      <w:r>
        <w:t xml:space="preserve"> </w:t>
      </w:r>
      <w:r w:rsidRPr="00A14F22">
        <w:t>Vervolgonderzoek “Medische veiligheid van stroomstootwapens (R12699), TNO 15 januari 2025 (ongerubriceerd).</w:t>
      </w:r>
    </w:p>
  </w:footnote>
  <w:footnote w:id="57">
    <w:p w14:paraId="7D1F036D" w14:textId="77777777" w:rsidR="006846D8" w:rsidRPr="00A14F22" w:rsidRDefault="006846D8" w:rsidP="006846D8">
      <w:pPr>
        <w:pStyle w:val="Voetnoottekst"/>
      </w:pPr>
      <w:r>
        <w:rPr>
          <w:rStyle w:val="Voetnootmarkering"/>
        </w:rPr>
        <w:footnoteRef/>
      </w:r>
      <w:r w:rsidRPr="000D58A6">
        <w:t xml:space="preserve"> </w:t>
      </w:r>
      <w:r w:rsidRPr="00082E3E">
        <w:t>Kamerstukken II, 2024/25, 33628, nr. 109.</w:t>
      </w:r>
    </w:p>
  </w:footnote>
  <w:footnote w:id="58">
    <w:p w14:paraId="29D36349" w14:textId="77777777" w:rsidR="006846D8" w:rsidRPr="005F40A2" w:rsidRDefault="006846D8" w:rsidP="006846D8">
      <w:pPr>
        <w:pStyle w:val="Voetnoottekst"/>
      </w:pPr>
      <w:r>
        <w:rPr>
          <w:rStyle w:val="Voetnootmarkering"/>
        </w:rPr>
        <w:footnoteRef/>
      </w:r>
      <w:r>
        <w:t xml:space="preserve"> </w:t>
      </w:r>
      <w:r w:rsidRPr="005F40A2">
        <w:t>Kamerstukken II, 2022/23, 36200-VI nr. 70.</w:t>
      </w:r>
    </w:p>
  </w:footnote>
  <w:footnote w:id="59">
    <w:p w14:paraId="5AE4D2DC" w14:textId="66D7DEF0" w:rsidR="004B6BEE" w:rsidRPr="006D6A65" w:rsidRDefault="004B6BEE">
      <w:pPr>
        <w:pStyle w:val="Voetnoottekst"/>
      </w:pPr>
      <w:r w:rsidRPr="005F40A2">
        <w:rPr>
          <w:rStyle w:val="Voetnootmarkering"/>
        </w:rPr>
        <w:footnoteRef/>
      </w:r>
      <w:r w:rsidRPr="005F40A2">
        <w:t xml:space="preserve"> </w:t>
      </w:r>
      <w:r w:rsidRPr="006D6A65">
        <w:t>Kamerstukken II 2021/22, 31015 nr. 249..</w:t>
      </w:r>
    </w:p>
  </w:footnote>
  <w:footnote w:id="60">
    <w:p w14:paraId="47B72A99" w14:textId="77777777" w:rsidR="00245442" w:rsidRPr="006D6A65" w:rsidRDefault="00245442" w:rsidP="00245442">
      <w:pPr>
        <w:pStyle w:val="Voetnoottekst"/>
      </w:pPr>
      <w:r w:rsidRPr="006D6A65">
        <w:rPr>
          <w:rStyle w:val="Voetnootmarkering"/>
        </w:rPr>
        <w:footnoteRef/>
      </w:r>
      <w:r w:rsidRPr="006D6A65">
        <w:t xml:space="preserve"> Dit zijn niet allemaal strafbare feiten, want niet elke vorm van seksueel grensoverschrijdend gedrag is strafbaar en zedenincidenten bestaan niet alleen uit meldingen van burgers. Als een wijkagent een bezoek brengt aan een veroordeelde zedendelinquent of als een agent een bekende schennispleger in een afgelegen gebied aantreft, dan wordt dat ook vastgelegd en als incident geregistreerd. Dit verklaart waarom lang niet alle geregistreerde zedenincidenten resulteren in een aangifte maar wel werk met zich meebrengt voor de politie.</w:t>
      </w:r>
    </w:p>
  </w:footnote>
  <w:footnote w:id="61">
    <w:p w14:paraId="58EA05E6" w14:textId="77777777" w:rsidR="00245442" w:rsidRPr="008A33EF" w:rsidRDefault="00245442" w:rsidP="00245442">
      <w:pPr>
        <w:pStyle w:val="Voetnoottekst"/>
      </w:pPr>
      <w:r w:rsidRPr="008A33EF">
        <w:rPr>
          <w:rStyle w:val="Voetnootmarkering"/>
        </w:rPr>
        <w:footnoteRef/>
      </w:r>
      <w:r w:rsidRPr="008A33EF">
        <w:t xml:space="preserve"> </w:t>
      </w:r>
      <w:r w:rsidRPr="008A33EF">
        <w:rPr>
          <w:i/>
          <w:iCs/>
        </w:rPr>
        <w:t>Kamerstukken II</w:t>
      </w:r>
      <w:r w:rsidRPr="008A33EF">
        <w:t xml:space="preserve"> 2019/20, 35300 nr. 11 en </w:t>
      </w:r>
      <w:r w:rsidRPr="008A33EF">
        <w:rPr>
          <w:i/>
          <w:iCs/>
        </w:rPr>
        <w:t>Kamerstukken II</w:t>
      </w:r>
      <w:r w:rsidRPr="008A33EF">
        <w:t xml:space="preserve"> 2021/22, 35925, nr. 13.</w:t>
      </w:r>
    </w:p>
  </w:footnote>
  <w:footnote w:id="62">
    <w:p w14:paraId="07A107E3" w14:textId="3CAC43FB" w:rsidR="008A33EF" w:rsidRPr="008A33EF" w:rsidRDefault="008A33EF">
      <w:pPr>
        <w:pStyle w:val="Voetnoottekst"/>
      </w:pPr>
      <w:r w:rsidRPr="008A33EF">
        <w:rPr>
          <w:rStyle w:val="Voetnootmarkering"/>
        </w:rPr>
        <w:footnoteRef/>
      </w:r>
      <w:r w:rsidRPr="008A33EF">
        <w:t xml:space="preserve"> Tweede Kamer, vergaderjaar 2022–2023, 34 843, nr. 63</w:t>
      </w:r>
    </w:p>
  </w:footnote>
  <w:footnote w:id="63">
    <w:p w14:paraId="3FF96BB9" w14:textId="79D0DE1C" w:rsidR="008A33EF" w:rsidRPr="008A33EF" w:rsidRDefault="008A33EF">
      <w:pPr>
        <w:pStyle w:val="Voetnoottekst"/>
      </w:pPr>
      <w:r>
        <w:rPr>
          <w:rStyle w:val="Voetnootmarkering"/>
        </w:rPr>
        <w:footnoteRef/>
      </w:r>
      <w:r w:rsidRPr="008A33EF">
        <w:t xml:space="preserve"> Tweede Kamer, vergaderjaar 2025-2026, 29279 nr. 1005</w:t>
      </w:r>
    </w:p>
  </w:footnote>
  <w:footnote w:id="64">
    <w:p w14:paraId="65857C16" w14:textId="0E5C8DBE" w:rsidR="004B6BEE" w:rsidRPr="00245442" w:rsidRDefault="004B6BEE" w:rsidP="004B6BEE">
      <w:pPr>
        <w:pStyle w:val="Voetnoottekst"/>
        <w:rPr>
          <w:lang w:val="de-DE"/>
        </w:rPr>
      </w:pPr>
      <w:r w:rsidRPr="005F40A2">
        <w:rPr>
          <w:rStyle w:val="Voetnootmarkering"/>
        </w:rPr>
        <w:footnoteRef/>
      </w:r>
      <w:r w:rsidRPr="00245442">
        <w:rPr>
          <w:lang w:val="de-DE"/>
        </w:rPr>
        <w:t xml:space="preserve"> </w:t>
      </w:r>
      <w:hyperlink r:id="rId12" w:history="1">
        <w:r w:rsidRPr="00245442">
          <w:rPr>
            <w:rStyle w:val="Hyperlink"/>
            <w:lang w:val="de-DE"/>
          </w:rPr>
          <w:t>Strategische-Monitor-Politie-2026-HCSS-WEB.pdf</w:t>
        </w:r>
      </w:hyperlink>
      <w:r w:rsidR="00726C41" w:rsidRPr="00245442">
        <w:rPr>
          <w:lang w:val="de-DE"/>
        </w:rPr>
        <w:t>.</w:t>
      </w:r>
    </w:p>
  </w:footnote>
  <w:footnote w:id="65">
    <w:p w14:paraId="7D614EB3" w14:textId="77777777" w:rsidR="003B4656" w:rsidRDefault="003B4656" w:rsidP="003B4656">
      <w:pPr>
        <w:pStyle w:val="Voetnoottekst"/>
      </w:pPr>
      <w:r>
        <w:rPr>
          <w:rStyle w:val="Voetnootmarkering"/>
        </w:rPr>
        <w:footnoteRef/>
      </w:r>
      <w:r>
        <w:t xml:space="preserve"> </w:t>
      </w:r>
      <w:hyperlink r:id="rId13" w:history="1">
        <w:r w:rsidRPr="00787A78">
          <w:rPr>
            <w:rStyle w:val="Hyperlink"/>
          </w:rPr>
          <w:t>[18-12-2025] - Commissiedebat Politie</w:t>
        </w:r>
      </w:hyperlink>
      <w:r>
        <w:t xml:space="preserve"> </w:t>
      </w:r>
      <w:r w:rsidRPr="00982DD0">
        <w:t xml:space="preserve">Kamerstukken II, 2025/26, </w:t>
      </w:r>
      <w:r w:rsidRPr="00E26C9B">
        <w:t>TZ202512</w:t>
      </w:r>
      <w:r>
        <w:t xml:space="preserve">, nr. </w:t>
      </w:r>
      <w:r w:rsidRPr="00E26C9B">
        <w:t>066</w:t>
      </w:r>
      <w:r>
        <w:t>.</w:t>
      </w:r>
    </w:p>
  </w:footnote>
  <w:footnote w:id="66">
    <w:p w14:paraId="09625C01" w14:textId="77777777" w:rsidR="008006EB" w:rsidRDefault="008006EB" w:rsidP="008006EB">
      <w:pPr>
        <w:pStyle w:val="Voetnoottekst"/>
      </w:pPr>
      <w:r>
        <w:rPr>
          <w:rStyle w:val="Voetnootmarkering"/>
        </w:rPr>
        <w:footnoteRef/>
      </w:r>
      <w:r>
        <w:t xml:space="preserve"> </w:t>
      </w:r>
      <w:r w:rsidRPr="00982DD0">
        <w:t>Kamerstukken II, 2025/26, 29628, nr. 1302.</w:t>
      </w:r>
    </w:p>
  </w:footnote>
  <w:footnote w:id="67">
    <w:p w14:paraId="6AB8C024" w14:textId="68B0AEA6" w:rsidR="00E26C9B" w:rsidRDefault="00E26C9B">
      <w:pPr>
        <w:pStyle w:val="Voetnoottekst"/>
      </w:pPr>
      <w:r>
        <w:rPr>
          <w:rStyle w:val="Voetnootmarkering"/>
        </w:rPr>
        <w:footnoteRef/>
      </w:r>
      <w:r>
        <w:t xml:space="preserve"> </w:t>
      </w:r>
      <w:hyperlink r:id="rId14" w:history="1">
        <w:r w:rsidRPr="00D028E7">
          <w:rPr>
            <w:rStyle w:val="Hyperlink"/>
          </w:rPr>
          <w:t>Geen pasklare oplossing voor winkeldiefstal | WODC - Wetenschappelijk Onderzoek- en Datacentrum</w:t>
        </w:r>
      </w:hyperlink>
      <w:r w:rsidR="00BC4841" w:rsidRPr="00D028E7" w:rsidDel="00BC4841">
        <w:t xml:space="preserve"> </w:t>
      </w:r>
    </w:p>
  </w:footnote>
  <w:footnote w:id="68">
    <w:p w14:paraId="64033EAD" w14:textId="32470F92" w:rsidR="001F2F7A" w:rsidRPr="001F2F7A" w:rsidRDefault="001F2F7A" w:rsidP="001F2F7A">
      <w:pPr>
        <w:pStyle w:val="Voetnoottekst"/>
      </w:pPr>
      <w:r>
        <w:rPr>
          <w:rStyle w:val="Voetnootmarkering"/>
        </w:rPr>
        <w:footnoteRef/>
      </w:r>
      <w:r>
        <w:t xml:space="preserve"> </w:t>
      </w:r>
      <w:r w:rsidRPr="001F2F7A">
        <w:t>Kamerstukken II 2024</w:t>
      </w:r>
      <w:r w:rsidR="00F23AD8">
        <w:t>/</w:t>
      </w:r>
      <w:r w:rsidRPr="001F2F7A">
        <w:t>25, 33552 nr. 137</w:t>
      </w:r>
    </w:p>
  </w:footnote>
  <w:footnote w:id="69">
    <w:p w14:paraId="6B884C03" w14:textId="0EF04300" w:rsidR="001F2F7A" w:rsidRPr="001F2F7A" w:rsidRDefault="001F2F7A" w:rsidP="001F2F7A">
      <w:pPr>
        <w:pStyle w:val="Voetnoottekst"/>
      </w:pPr>
      <w:r w:rsidRPr="00CB53A9">
        <w:rPr>
          <w:rStyle w:val="Voetnootmarkering"/>
          <w:sz w:val="16"/>
          <w:szCs w:val="16"/>
        </w:rPr>
        <w:footnoteRef/>
      </w:r>
      <w:r w:rsidRPr="00CB53A9">
        <w:rPr>
          <w:sz w:val="16"/>
          <w:szCs w:val="16"/>
        </w:rPr>
        <w:t xml:space="preserve"> </w:t>
      </w:r>
      <w:r w:rsidRPr="001F2F7A">
        <w:t>Kamerstukken II 2024</w:t>
      </w:r>
      <w:r w:rsidR="00F23AD8">
        <w:t>/</w:t>
      </w:r>
      <w:r w:rsidRPr="001F2F7A">
        <w:t>25, 33552 nr. 137</w:t>
      </w:r>
    </w:p>
  </w:footnote>
  <w:footnote w:id="70">
    <w:p w14:paraId="66D8EEC5" w14:textId="77777777" w:rsidR="001F2F7A" w:rsidRPr="00CB53A9" w:rsidRDefault="001F2F7A" w:rsidP="001F2F7A">
      <w:pPr>
        <w:pStyle w:val="Voetnoottekst"/>
        <w:rPr>
          <w:b/>
          <w:bCs/>
        </w:rPr>
      </w:pPr>
      <w:r w:rsidRPr="001F2F7A">
        <w:rPr>
          <w:rStyle w:val="Voetnootmarkering"/>
        </w:rPr>
        <w:footnoteRef/>
      </w:r>
      <w:r w:rsidRPr="001F2F7A">
        <w:t xml:space="preserve"> Zie bericht rechtspraak 23/9/2025: </w:t>
      </w:r>
      <w:hyperlink r:id="rId15" w:history="1">
        <w:r w:rsidRPr="001F2F7A">
          <w:rPr>
            <w:color w:val="0000FF"/>
            <w:u w:val="single"/>
          </w:rPr>
          <w:t>Veroordelingen na hevige ongeregeldheden rond demonstratie Malieveld in Den Haag | Rechtspraak</w:t>
        </w:r>
      </w:hyperlink>
    </w:p>
  </w:footnote>
  <w:footnote w:id="71">
    <w:p w14:paraId="6271E58E" w14:textId="6F226042" w:rsidR="00F46647" w:rsidRDefault="00F46647">
      <w:pPr>
        <w:pStyle w:val="Voetnoottekst"/>
      </w:pPr>
      <w:r>
        <w:rPr>
          <w:rStyle w:val="Voetnootmarkering"/>
        </w:rPr>
        <w:footnoteRef/>
      </w:r>
      <w:r>
        <w:t xml:space="preserve"> Kamerstukken II 2025/26, 36800 nr. 55</w:t>
      </w:r>
    </w:p>
  </w:footnote>
  <w:footnote w:id="72">
    <w:p w14:paraId="65A5CFC3" w14:textId="77777777" w:rsidR="009135CD" w:rsidRDefault="009135CD" w:rsidP="009135CD">
      <w:pPr>
        <w:pStyle w:val="Voetnoottekst"/>
        <w:tabs>
          <w:tab w:val="left" w:pos="2268"/>
        </w:tabs>
      </w:pPr>
      <w:r>
        <w:rPr>
          <w:rStyle w:val="Voetnootmarkering"/>
        </w:rPr>
        <w:footnoteRef/>
      </w:r>
      <w:r>
        <w:t xml:space="preserve"> Kamerstukken II, 2025–2026, 30 821, nr. 329.</w:t>
      </w:r>
    </w:p>
  </w:footnote>
  <w:footnote w:id="73">
    <w:p w14:paraId="25204C46" w14:textId="77777777" w:rsidR="009135CD" w:rsidRDefault="009135CD" w:rsidP="009135CD">
      <w:pPr>
        <w:pStyle w:val="Voetnoottekst"/>
        <w:tabs>
          <w:tab w:val="left" w:pos="2268"/>
        </w:tabs>
      </w:pPr>
      <w:r>
        <w:rPr>
          <w:rStyle w:val="Voetnootmarkering"/>
        </w:rPr>
        <w:footnoteRef/>
      </w:r>
      <w:r>
        <w:t xml:space="preserve"> Tijdelijk beleidskader voor de bestrijding van drones (geldend van 19 december 2025 t/m 1 juli 2026), Stcrt. 2026, nr. 2035.</w:t>
      </w:r>
    </w:p>
  </w:footnote>
  <w:footnote w:id="74">
    <w:p w14:paraId="6EDF11B1" w14:textId="71EE1E6D" w:rsidR="00855DC8" w:rsidRDefault="00855DC8" w:rsidP="00855DC8">
      <w:pPr>
        <w:pStyle w:val="Voetnoottekst"/>
      </w:pPr>
      <w:r>
        <w:rPr>
          <w:rStyle w:val="Voetnootmarkering"/>
        </w:rPr>
        <w:footnoteRef/>
      </w:r>
      <w:r>
        <w:t xml:space="preserve"> </w:t>
      </w:r>
      <w:hyperlink r:id="rId16" w:history="1">
        <w:r w:rsidRPr="000112AD">
          <w:rPr>
            <w:rStyle w:val="Hyperlink"/>
          </w:rPr>
          <w:t>St</w:t>
        </w:r>
        <w:r w:rsidR="00474F3E">
          <w:rPr>
            <w:rStyle w:val="Hyperlink"/>
          </w:rPr>
          <w:t>aats</w:t>
        </w:r>
        <w:r w:rsidRPr="000112AD">
          <w:rPr>
            <w:rStyle w:val="Hyperlink"/>
          </w:rPr>
          <w:t>c</w:t>
        </w:r>
        <w:r w:rsidR="00474F3E">
          <w:rPr>
            <w:rStyle w:val="Hyperlink"/>
          </w:rPr>
          <w:t>ou</w:t>
        </w:r>
        <w:r w:rsidRPr="000112AD">
          <w:rPr>
            <w:rStyle w:val="Hyperlink"/>
          </w:rPr>
          <w:t>r</w:t>
        </w:r>
        <w:r w:rsidR="00474F3E">
          <w:rPr>
            <w:rStyle w:val="Hyperlink"/>
          </w:rPr>
          <w:t>an</w:t>
        </w:r>
        <w:r w:rsidRPr="000112AD">
          <w:rPr>
            <w:rStyle w:val="Hyperlink"/>
          </w:rPr>
          <w:t xml:space="preserve">t </w:t>
        </w:r>
        <w:r w:rsidR="00474F3E">
          <w:rPr>
            <w:rStyle w:val="Hyperlink"/>
          </w:rPr>
          <w:t xml:space="preserve">11 juni </w:t>
        </w:r>
        <w:r w:rsidRPr="000112AD">
          <w:rPr>
            <w:rStyle w:val="Hyperlink"/>
          </w:rPr>
          <w:t>2026, 21457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A565" w14:textId="77777777" w:rsidR="00ED7790" w:rsidRDefault="00ED77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7695" w14:textId="77777777" w:rsidR="002C353A" w:rsidRDefault="00000000">
    <w:r>
      <w:rPr>
        <w:noProof/>
      </w:rPr>
      <mc:AlternateContent>
        <mc:Choice Requires="wps">
          <w:drawing>
            <wp:anchor distT="0" distB="0" distL="0" distR="0" simplePos="0" relativeHeight="251652608" behindDoc="0" locked="1" layoutInCell="1" allowOverlap="1" wp14:anchorId="589C09C8" wp14:editId="75302E92">
              <wp:simplePos x="5921375" y="1965325"/>
              <wp:positionH relativeFrom="page">
                <wp:posOffset>5921375</wp:posOffset>
              </wp:positionH>
              <wp:positionV relativeFrom="paragraph">
                <wp:posOffset>1965325</wp:posOffset>
              </wp:positionV>
              <wp:extent cx="1277620" cy="8009890"/>
              <wp:effectExtent l="0" t="0" r="0" b="0"/>
              <wp:wrapNone/>
              <wp:docPr id="1" name="Tekstvak 1"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91A135" w14:textId="77777777" w:rsidR="002C353A" w:rsidRDefault="00000000">
                          <w:pPr>
                            <w:pStyle w:val="Referentiegegevensbold"/>
                          </w:pPr>
                          <w:r>
                            <w:t>Datum</w:t>
                          </w:r>
                        </w:p>
                        <w:p w14:paraId="67E252E1" w14:textId="03063D90" w:rsidR="002C353A" w:rsidRDefault="007D0064">
                          <w:pPr>
                            <w:pStyle w:val="Referentiegegevens"/>
                          </w:pPr>
                          <w:r>
                            <w:t>3 juli 2026</w:t>
                          </w:r>
                        </w:p>
                        <w:p w14:paraId="70927FC4" w14:textId="77777777" w:rsidR="002C353A" w:rsidRDefault="002C353A">
                          <w:pPr>
                            <w:pStyle w:val="WitregelW1"/>
                          </w:pPr>
                        </w:p>
                        <w:p w14:paraId="3F3C6FF9" w14:textId="77777777" w:rsidR="002C353A" w:rsidRDefault="00000000">
                          <w:pPr>
                            <w:pStyle w:val="Referentiegegevensbold"/>
                          </w:pPr>
                          <w:r>
                            <w:t>Onze referentie</w:t>
                          </w:r>
                        </w:p>
                        <w:p w14:paraId="0CA08158" w14:textId="77777777" w:rsidR="002C353A" w:rsidRDefault="00000000">
                          <w:pPr>
                            <w:pStyle w:val="Referentiegegevens"/>
                          </w:pPr>
                          <w:r>
                            <w:t>7588855</w:t>
                          </w:r>
                        </w:p>
                      </w:txbxContent>
                    </wps:txbx>
                    <wps:bodyPr vert="horz" wrap="square" lIns="0" tIns="0" rIns="0" bIns="0" anchor="t" anchorCtr="0"/>
                  </wps:wsp>
                </a:graphicData>
              </a:graphic>
            </wp:anchor>
          </w:drawing>
        </mc:Choice>
        <mc:Fallback>
          <w:pict>
            <v:shapetype w14:anchorId="589C09C8" id="_x0000_t202" coordsize="21600,21600" o:spt="202" path="m,l,21600r21600,l21600,xe">
              <v:stroke joinstyle="miter"/>
              <v:path gradientshapeok="t" o:connecttype="rect"/>
            </v:shapetype>
            <v:shape id="Tekstvak 1"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291A135" w14:textId="77777777" w:rsidR="002C353A" w:rsidRDefault="00000000">
                    <w:pPr>
                      <w:pStyle w:val="Referentiegegevensbold"/>
                    </w:pPr>
                    <w:r>
                      <w:t>Datum</w:t>
                    </w:r>
                  </w:p>
                  <w:p w14:paraId="67E252E1" w14:textId="03063D90" w:rsidR="002C353A" w:rsidRDefault="007D0064">
                    <w:pPr>
                      <w:pStyle w:val="Referentiegegevens"/>
                    </w:pPr>
                    <w:r>
                      <w:t>3 juli 2026</w:t>
                    </w:r>
                  </w:p>
                  <w:p w14:paraId="70927FC4" w14:textId="77777777" w:rsidR="002C353A" w:rsidRDefault="002C353A">
                    <w:pPr>
                      <w:pStyle w:val="WitregelW1"/>
                    </w:pPr>
                  </w:p>
                  <w:p w14:paraId="3F3C6FF9" w14:textId="77777777" w:rsidR="002C353A" w:rsidRDefault="00000000">
                    <w:pPr>
                      <w:pStyle w:val="Referentiegegevensbold"/>
                    </w:pPr>
                    <w:r>
                      <w:t>Onze referentie</w:t>
                    </w:r>
                  </w:p>
                  <w:p w14:paraId="0CA08158" w14:textId="77777777" w:rsidR="002C353A" w:rsidRDefault="00000000">
                    <w:pPr>
                      <w:pStyle w:val="Referentiegegevens"/>
                    </w:pPr>
                    <w:r>
                      <w:t>7588855</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4778CFA" wp14:editId="09682911">
              <wp:simplePos x="1007744" y="10194925"/>
              <wp:positionH relativeFrom="page">
                <wp:posOffset>1007744</wp:posOffset>
              </wp:positionH>
              <wp:positionV relativeFrom="paragraph">
                <wp:posOffset>10194925</wp:posOffset>
              </wp:positionV>
              <wp:extent cx="4787900" cy="161290"/>
              <wp:effectExtent l="0" t="0" r="0" b="0"/>
              <wp:wrapNone/>
              <wp:docPr id="2" name="Tekstvak 2"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6E65FA3" w14:textId="77777777" w:rsidR="003E39F9" w:rsidRDefault="003E39F9"/>
                      </w:txbxContent>
                    </wps:txbx>
                    <wps:bodyPr vert="horz" wrap="square" lIns="0" tIns="0" rIns="0" bIns="0" anchor="t" anchorCtr="0"/>
                  </wps:wsp>
                </a:graphicData>
              </a:graphic>
            </wp:anchor>
          </w:drawing>
        </mc:Choice>
        <mc:Fallback>
          <w:pict>
            <v:shape w14:anchorId="54778CFA" id="Tekstvak 2"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6E65FA3" w14:textId="77777777" w:rsidR="003E39F9" w:rsidRDefault="003E39F9"/>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7BFC2745" wp14:editId="137B87D1">
              <wp:simplePos x="5921375" y="10194925"/>
              <wp:positionH relativeFrom="page">
                <wp:posOffset>5921375</wp:posOffset>
              </wp:positionH>
              <wp:positionV relativeFrom="paragraph">
                <wp:posOffset>10194925</wp:posOffset>
              </wp:positionV>
              <wp:extent cx="1285875" cy="161290"/>
              <wp:effectExtent l="0" t="0" r="0" b="0"/>
              <wp:wrapNone/>
              <wp:docPr id="3" name="Tekstvak 3"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319BD2" w14:textId="43FCDB70" w:rsidR="002C353A" w:rsidRDefault="00000000">
                          <w:pPr>
                            <w:pStyle w:val="Referentiegegevens"/>
                          </w:pPr>
                          <w:r>
                            <w:t xml:space="preserve">Pagina </w:t>
                          </w:r>
                          <w:r>
                            <w:fldChar w:fldCharType="begin"/>
                          </w:r>
                          <w:r>
                            <w:instrText>PAGE</w:instrText>
                          </w:r>
                          <w:r>
                            <w:fldChar w:fldCharType="separate"/>
                          </w:r>
                          <w:r w:rsidR="002A287D">
                            <w:rPr>
                              <w:noProof/>
                            </w:rPr>
                            <w:t>2</w:t>
                          </w:r>
                          <w:r>
                            <w:fldChar w:fldCharType="end"/>
                          </w:r>
                          <w:r>
                            <w:t xml:space="preserve"> van </w:t>
                          </w:r>
                          <w:r>
                            <w:fldChar w:fldCharType="begin"/>
                          </w:r>
                          <w:r>
                            <w:instrText>NUMPAGES</w:instrText>
                          </w:r>
                          <w:r>
                            <w:fldChar w:fldCharType="separate"/>
                          </w:r>
                          <w:r w:rsidR="002A287D">
                            <w:rPr>
                              <w:noProof/>
                            </w:rPr>
                            <w:t>2</w:t>
                          </w:r>
                          <w:r>
                            <w:fldChar w:fldCharType="end"/>
                          </w:r>
                        </w:p>
                      </w:txbxContent>
                    </wps:txbx>
                    <wps:bodyPr vert="horz" wrap="square" lIns="0" tIns="0" rIns="0" bIns="0" anchor="t" anchorCtr="0"/>
                  </wps:wsp>
                </a:graphicData>
              </a:graphic>
            </wp:anchor>
          </w:drawing>
        </mc:Choice>
        <mc:Fallback>
          <w:pict>
            <v:shape w14:anchorId="7BFC2745" id="Tekstvak 3"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319BD2" w14:textId="43FCDB70" w:rsidR="002C353A" w:rsidRDefault="00000000">
                    <w:pPr>
                      <w:pStyle w:val="Referentiegegevens"/>
                    </w:pPr>
                    <w:r>
                      <w:t xml:space="preserve">Pagina </w:t>
                    </w:r>
                    <w:r>
                      <w:fldChar w:fldCharType="begin"/>
                    </w:r>
                    <w:r>
                      <w:instrText>PAGE</w:instrText>
                    </w:r>
                    <w:r>
                      <w:fldChar w:fldCharType="separate"/>
                    </w:r>
                    <w:r w:rsidR="002A287D">
                      <w:rPr>
                        <w:noProof/>
                      </w:rPr>
                      <w:t>2</w:t>
                    </w:r>
                    <w:r>
                      <w:fldChar w:fldCharType="end"/>
                    </w:r>
                    <w:r>
                      <w:t xml:space="preserve"> van </w:t>
                    </w:r>
                    <w:r>
                      <w:fldChar w:fldCharType="begin"/>
                    </w:r>
                    <w:r>
                      <w:instrText>NUMPAGES</w:instrText>
                    </w:r>
                    <w:r>
                      <w:fldChar w:fldCharType="separate"/>
                    </w:r>
                    <w:r w:rsidR="002A287D">
                      <w:rPr>
                        <w:noProof/>
                      </w:rPr>
                      <w:t>2</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3B84" w14:textId="77777777" w:rsidR="002C353A" w:rsidRDefault="00000000">
    <w:pPr>
      <w:spacing w:after="6377" w:line="14" w:lineRule="exact"/>
    </w:pPr>
    <w:r>
      <w:rPr>
        <w:noProof/>
      </w:rPr>
      <mc:AlternateContent>
        <mc:Choice Requires="wps">
          <w:drawing>
            <wp:anchor distT="0" distB="0" distL="0" distR="0" simplePos="0" relativeHeight="251655680" behindDoc="0" locked="1" layoutInCell="1" allowOverlap="1" wp14:anchorId="0516193F" wp14:editId="3BD341D4">
              <wp:simplePos x="1007744" y="1954530"/>
              <wp:positionH relativeFrom="page">
                <wp:posOffset>1007744</wp:posOffset>
              </wp:positionH>
              <wp:positionV relativeFrom="paragraph">
                <wp:posOffset>1954530</wp:posOffset>
              </wp:positionV>
              <wp:extent cx="4787900" cy="1115695"/>
              <wp:effectExtent l="0" t="0" r="0" b="0"/>
              <wp:wrapNone/>
              <wp:docPr id="4" name="Tekstvak 4"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E8ABFA" w14:textId="77777777" w:rsidR="002C353A" w:rsidRDefault="00000000">
                          <w:r>
                            <w:t>Aan de Voorzitter van de Tweede Kamer der Staten-Generaal</w:t>
                          </w:r>
                        </w:p>
                        <w:p w14:paraId="191A4C39" w14:textId="77777777" w:rsidR="002C353A" w:rsidRDefault="00000000">
                          <w:r>
                            <w:t>Postbus 20018</w:t>
                          </w:r>
                        </w:p>
                        <w:p w14:paraId="20EAD53D" w14:textId="77777777" w:rsidR="002C353A" w:rsidRDefault="00000000">
                          <w:r>
                            <w:t>2500 EA  DEN HAAG</w:t>
                          </w:r>
                        </w:p>
                      </w:txbxContent>
                    </wps:txbx>
                    <wps:bodyPr vert="horz" wrap="square" lIns="0" tIns="0" rIns="0" bIns="0" anchor="t" anchorCtr="0"/>
                  </wps:wsp>
                </a:graphicData>
              </a:graphic>
            </wp:anchor>
          </w:drawing>
        </mc:Choice>
        <mc:Fallback>
          <w:pict>
            <v:shapetype w14:anchorId="0516193F" id="_x0000_t202" coordsize="21600,21600" o:spt="202" path="m,l,21600r21600,l21600,xe">
              <v:stroke joinstyle="miter"/>
              <v:path gradientshapeok="t" o:connecttype="rect"/>
            </v:shapetype>
            <v:shape id="Tekstvak 4"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0E8ABFA" w14:textId="77777777" w:rsidR="002C353A" w:rsidRDefault="00000000">
                    <w:r>
                      <w:t>Aan de Voorzitter van de Tweede Kamer der Staten-Generaal</w:t>
                    </w:r>
                  </w:p>
                  <w:p w14:paraId="191A4C39" w14:textId="77777777" w:rsidR="002C353A" w:rsidRDefault="00000000">
                    <w:r>
                      <w:t>Postbus 20018</w:t>
                    </w:r>
                  </w:p>
                  <w:p w14:paraId="20EAD53D" w14:textId="77777777" w:rsidR="002C353A" w:rsidRDefault="00000000">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329147D8" wp14:editId="0A7DFD8B">
              <wp:simplePos x="1009015" y="3354704"/>
              <wp:positionH relativeFrom="page">
                <wp:posOffset>1009015</wp:posOffset>
              </wp:positionH>
              <wp:positionV relativeFrom="paragraph">
                <wp:posOffset>3354704</wp:posOffset>
              </wp:positionV>
              <wp:extent cx="4787900" cy="323850"/>
              <wp:effectExtent l="0" t="0" r="0" b="0"/>
              <wp:wrapNone/>
              <wp:docPr id="5" name="Tekstvak 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2C353A" w14:paraId="0DC4B197" w14:textId="77777777">
                            <w:trPr>
                              <w:trHeight w:val="240"/>
                            </w:trPr>
                            <w:tc>
                              <w:tcPr>
                                <w:tcW w:w="1140" w:type="dxa"/>
                              </w:tcPr>
                              <w:p w14:paraId="573841FE" w14:textId="77777777" w:rsidR="002C353A" w:rsidRDefault="00000000">
                                <w:r>
                                  <w:t>Datum</w:t>
                                </w:r>
                              </w:p>
                            </w:tc>
                            <w:tc>
                              <w:tcPr>
                                <w:tcW w:w="5918" w:type="dxa"/>
                              </w:tcPr>
                              <w:p w14:paraId="24488936" w14:textId="0260F981" w:rsidR="002C353A" w:rsidRDefault="00ED7790">
                                <w:r>
                                  <w:t>3 juli 2026</w:t>
                                </w:r>
                              </w:p>
                            </w:tc>
                          </w:tr>
                          <w:tr w:rsidR="002C353A" w14:paraId="519ED6B4" w14:textId="77777777">
                            <w:trPr>
                              <w:trHeight w:val="240"/>
                            </w:trPr>
                            <w:tc>
                              <w:tcPr>
                                <w:tcW w:w="1140" w:type="dxa"/>
                              </w:tcPr>
                              <w:p w14:paraId="4DDDA095" w14:textId="77777777" w:rsidR="002C353A" w:rsidRDefault="00000000">
                                <w:r>
                                  <w:t>Betreft</w:t>
                                </w:r>
                              </w:p>
                            </w:tc>
                            <w:tc>
                              <w:tcPr>
                                <w:tcW w:w="5918" w:type="dxa"/>
                              </w:tcPr>
                              <w:p w14:paraId="4A664CD8" w14:textId="168A3D94" w:rsidR="002C353A" w:rsidRDefault="00FF6853">
                                <w:r>
                                  <w:t>Bijlage 3: Moties en toezeggingen</w:t>
                                </w:r>
                                <w:r w:rsidR="00583879">
                                  <w:t xml:space="preserve"> inzake politie</w:t>
                                </w:r>
                              </w:p>
                            </w:tc>
                          </w:tr>
                        </w:tbl>
                        <w:p w14:paraId="559FA83B" w14:textId="77777777" w:rsidR="003E39F9" w:rsidRDefault="003E39F9"/>
                      </w:txbxContent>
                    </wps:txbx>
                    <wps:bodyPr vert="horz" wrap="square" lIns="0" tIns="0" rIns="0" bIns="0" anchor="t" anchorCtr="0"/>
                  </wps:wsp>
                </a:graphicData>
              </a:graphic>
            </wp:anchor>
          </w:drawing>
        </mc:Choice>
        <mc:Fallback>
          <w:pict>
            <v:shape w14:anchorId="329147D8" id="Tekstvak 5"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2C353A" w14:paraId="0DC4B197" w14:textId="77777777">
                      <w:trPr>
                        <w:trHeight w:val="240"/>
                      </w:trPr>
                      <w:tc>
                        <w:tcPr>
                          <w:tcW w:w="1140" w:type="dxa"/>
                        </w:tcPr>
                        <w:p w14:paraId="573841FE" w14:textId="77777777" w:rsidR="002C353A" w:rsidRDefault="00000000">
                          <w:r>
                            <w:t>Datum</w:t>
                          </w:r>
                        </w:p>
                      </w:tc>
                      <w:tc>
                        <w:tcPr>
                          <w:tcW w:w="5918" w:type="dxa"/>
                        </w:tcPr>
                        <w:p w14:paraId="24488936" w14:textId="0260F981" w:rsidR="002C353A" w:rsidRDefault="00ED7790">
                          <w:r>
                            <w:t>3 juli 2026</w:t>
                          </w:r>
                        </w:p>
                      </w:tc>
                    </w:tr>
                    <w:tr w:rsidR="002C353A" w14:paraId="519ED6B4" w14:textId="77777777">
                      <w:trPr>
                        <w:trHeight w:val="240"/>
                      </w:trPr>
                      <w:tc>
                        <w:tcPr>
                          <w:tcW w:w="1140" w:type="dxa"/>
                        </w:tcPr>
                        <w:p w14:paraId="4DDDA095" w14:textId="77777777" w:rsidR="002C353A" w:rsidRDefault="00000000">
                          <w:r>
                            <w:t>Betreft</w:t>
                          </w:r>
                        </w:p>
                      </w:tc>
                      <w:tc>
                        <w:tcPr>
                          <w:tcW w:w="5918" w:type="dxa"/>
                        </w:tcPr>
                        <w:p w14:paraId="4A664CD8" w14:textId="168A3D94" w:rsidR="002C353A" w:rsidRDefault="00FF6853">
                          <w:r>
                            <w:t>Bijlage 3: Moties en toezeggingen</w:t>
                          </w:r>
                          <w:r w:rsidR="00583879">
                            <w:t xml:space="preserve"> inzake politie</w:t>
                          </w:r>
                        </w:p>
                      </w:tc>
                    </w:tr>
                  </w:tbl>
                  <w:p w14:paraId="559FA83B" w14:textId="77777777" w:rsidR="003E39F9" w:rsidRDefault="003E39F9"/>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1E746955" wp14:editId="72F99F51">
              <wp:simplePos x="5921375" y="1965325"/>
              <wp:positionH relativeFrom="page">
                <wp:posOffset>5921375</wp:posOffset>
              </wp:positionH>
              <wp:positionV relativeFrom="paragraph">
                <wp:posOffset>1965325</wp:posOffset>
              </wp:positionV>
              <wp:extent cx="1277620" cy="8009890"/>
              <wp:effectExtent l="0" t="0" r="0" b="0"/>
              <wp:wrapNone/>
              <wp:docPr id="6" name="Tekstvak 6"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CC1FA2" w14:textId="77777777" w:rsidR="002C353A" w:rsidRPr="00705191" w:rsidRDefault="00000000">
                          <w:pPr>
                            <w:pStyle w:val="Referentiegegevens"/>
                            <w:rPr>
                              <w:lang w:val="de-DE"/>
                            </w:rPr>
                          </w:pPr>
                          <w:r w:rsidRPr="00705191">
                            <w:rPr>
                              <w:lang w:val="de-DE"/>
                            </w:rPr>
                            <w:t>Turfmarkt 147</w:t>
                          </w:r>
                        </w:p>
                        <w:p w14:paraId="17E65801" w14:textId="77777777" w:rsidR="002C353A" w:rsidRPr="00705191" w:rsidRDefault="00000000">
                          <w:pPr>
                            <w:pStyle w:val="Referentiegegevens"/>
                            <w:rPr>
                              <w:lang w:val="de-DE"/>
                            </w:rPr>
                          </w:pPr>
                          <w:r w:rsidRPr="00705191">
                            <w:rPr>
                              <w:lang w:val="de-DE"/>
                            </w:rPr>
                            <w:t>2511 DP  Den Haag</w:t>
                          </w:r>
                        </w:p>
                        <w:p w14:paraId="7ACAE325" w14:textId="77777777" w:rsidR="002C353A" w:rsidRPr="00705191" w:rsidRDefault="00000000">
                          <w:pPr>
                            <w:pStyle w:val="Referentiegegevens"/>
                            <w:rPr>
                              <w:lang w:val="de-DE"/>
                            </w:rPr>
                          </w:pPr>
                          <w:r w:rsidRPr="00705191">
                            <w:rPr>
                              <w:lang w:val="de-DE"/>
                            </w:rPr>
                            <w:t>Postbus 20301</w:t>
                          </w:r>
                        </w:p>
                        <w:p w14:paraId="5478F8E7" w14:textId="77777777" w:rsidR="002C353A" w:rsidRPr="00705191" w:rsidRDefault="00000000">
                          <w:pPr>
                            <w:pStyle w:val="Referentiegegevens"/>
                            <w:rPr>
                              <w:lang w:val="de-DE"/>
                            </w:rPr>
                          </w:pPr>
                          <w:r w:rsidRPr="00705191">
                            <w:rPr>
                              <w:lang w:val="de-DE"/>
                            </w:rPr>
                            <w:t>2500 EH  Den Haag</w:t>
                          </w:r>
                        </w:p>
                        <w:p w14:paraId="3FF19680" w14:textId="77777777" w:rsidR="002C353A" w:rsidRPr="00705191" w:rsidRDefault="00000000">
                          <w:pPr>
                            <w:pStyle w:val="Referentiegegevens"/>
                            <w:rPr>
                              <w:lang w:val="de-DE"/>
                            </w:rPr>
                          </w:pPr>
                          <w:r w:rsidRPr="00705191">
                            <w:rPr>
                              <w:lang w:val="de-DE"/>
                            </w:rPr>
                            <w:t>www.rijksoverheid.nl/jenv</w:t>
                          </w:r>
                        </w:p>
                        <w:p w14:paraId="32278B83" w14:textId="77777777" w:rsidR="002C353A" w:rsidRPr="00705191" w:rsidRDefault="002C353A">
                          <w:pPr>
                            <w:pStyle w:val="WitregelW2"/>
                            <w:rPr>
                              <w:lang w:val="de-DE"/>
                            </w:rPr>
                          </w:pPr>
                        </w:p>
                        <w:p w14:paraId="321FE05B" w14:textId="77777777" w:rsidR="002C353A" w:rsidRDefault="00000000">
                          <w:pPr>
                            <w:pStyle w:val="Referentiegegevensbold"/>
                          </w:pPr>
                          <w:r>
                            <w:t>Onze referentie</w:t>
                          </w:r>
                        </w:p>
                        <w:p w14:paraId="0BEECCA4" w14:textId="77777777" w:rsidR="002C353A" w:rsidRDefault="00000000">
                          <w:pPr>
                            <w:pStyle w:val="Referentiegegevens"/>
                          </w:pPr>
                          <w:r>
                            <w:t>7588855</w:t>
                          </w:r>
                        </w:p>
                        <w:p w14:paraId="632D714A" w14:textId="77777777" w:rsidR="002C353A" w:rsidRDefault="002C353A">
                          <w:pPr>
                            <w:pStyle w:val="WitregelW1"/>
                          </w:pPr>
                        </w:p>
                        <w:p w14:paraId="6160092F" w14:textId="77777777" w:rsidR="002C353A" w:rsidRDefault="00000000">
                          <w:pPr>
                            <w:pStyle w:val="Referentiegegevensbold"/>
                          </w:pPr>
                          <w:r>
                            <w:t>Bijlage(n)</w:t>
                          </w:r>
                        </w:p>
                        <w:p w14:paraId="3C4D4018" w14:textId="77777777" w:rsidR="002C353A" w:rsidRDefault="00000000">
                          <w:pPr>
                            <w:pStyle w:val="Referentiegegevens"/>
                          </w:pPr>
                          <w:r>
                            <w:t>0</w:t>
                          </w:r>
                        </w:p>
                        <w:p w14:paraId="7AA0A165" w14:textId="77777777" w:rsidR="002C353A" w:rsidRDefault="002C353A">
                          <w:pPr>
                            <w:pStyle w:val="WitregelW2"/>
                          </w:pPr>
                        </w:p>
                      </w:txbxContent>
                    </wps:txbx>
                    <wps:bodyPr vert="horz" wrap="square" lIns="0" tIns="0" rIns="0" bIns="0" anchor="t" anchorCtr="0"/>
                  </wps:wsp>
                </a:graphicData>
              </a:graphic>
            </wp:anchor>
          </w:drawing>
        </mc:Choice>
        <mc:Fallback>
          <w:pict>
            <v:shape w14:anchorId="1E746955" id="Tekstvak 6"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ECC1FA2" w14:textId="77777777" w:rsidR="002C353A" w:rsidRPr="00705191" w:rsidRDefault="00000000">
                    <w:pPr>
                      <w:pStyle w:val="Referentiegegevens"/>
                      <w:rPr>
                        <w:lang w:val="de-DE"/>
                      </w:rPr>
                    </w:pPr>
                    <w:r w:rsidRPr="00705191">
                      <w:rPr>
                        <w:lang w:val="de-DE"/>
                      </w:rPr>
                      <w:t>Turfmarkt 147</w:t>
                    </w:r>
                  </w:p>
                  <w:p w14:paraId="17E65801" w14:textId="77777777" w:rsidR="002C353A" w:rsidRPr="00705191" w:rsidRDefault="00000000">
                    <w:pPr>
                      <w:pStyle w:val="Referentiegegevens"/>
                      <w:rPr>
                        <w:lang w:val="de-DE"/>
                      </w:rPr>
                    </w:pPr>
                    <w:r w:rsidRPr="00705191">
                      <w:rPr>
                        <w:lang w:val="de-DE"/>
                      </w:rPr>
                      <w:t>2511 DP  Den Haag</w:t>
                    </w:r>
                  </w:p>
                  <w:p w14:paraId="7ACAE325" w14:textId="77777777" w:rsidR="002C353A" w:rsidRPr="00705191" w:rsidRDefault="00000000">
                    <w:pPr>
                      <w:pStyle w:val="Referentiegegevens"/>
                      <w:rPr>
                        <w:lang w:val="de-DE"/>
                      </w:rPr>
                    </w:pPr>
                    <w:r w:rsidRPr="00705191">
                      <w:rPr>
                        <w:lang w:val="de-DE"/>
                      </w:rPr>
                      <w:t>Postbus 20301</w:t>
                    </w:r>
                  </w:p>
                  <w:p w14:paraId="5478F8E7" w14:textId="77777777" w:rsidR="002C353A" w:rsidRPr="00705191" w:rsidRDefault="00000000">
                    <w:pPr>
                      <w:pStyle w:val="Referentiegegevens"/>
                      <w:rPr>
                        <w:lang w:val="de-DE"/>
                      </w:rPr>
                    </w:pPr>
                    <w:r w:rsidRPr="00705191">
                      <w:rPr>
                        <w:lang w:val="de-DE"/>
                      </w:rPr>
                      <w:t>2500 EH  Den Haag</w:t>
                    </w:r>
                  </w:p>
                  <w:p w14:paraId="3FF19680" w14:textId="77777777" w:rsidR="002C353A" w:rsidRPr="00705191" w:rsidRDefault="00000000">
                    <w:pPr>
                      <w:pStyle w:val="Referentiegegevens"/>
                      <w:rPr>
                        <w:lang w:val="de-DE"/>
                      </w:rPr>
                    </w:pPr>
                    <w:r w:rsidRPr="00705191">
                      <w:rPr>
                        <w:lang w:val="de-DE"/>
                      </w:rPr>
                      <w:t>www.rijksoverheid.nl/jenv</w:t>
                    </w:r>
                  </w:p>
                  <w:p w14:paraId="32278B83" w14:textId="77777777" w:rsidR="002C353A" w:rsidRPr="00705191" w:rsidRDefault="002C353A">
                    <w:pPr>
                      <w:pStyle w:val="WitregelW2"/>
                      <w:rPr>
                        <w:lang w:val="de-DE"/>
                      </w:rPr>
                    </w:pPr>
                  </w:p>
                  <w:p w14:paraId="321FE05B" w14:textId="77777777" w:rsidR="002C353A" w:rsidRDefault="00000000">
                    <w:pPr>
                      <w:pStyle w:val="Referentiegegevensbold"/>
                    </w:pPr>
                    <w:r>
                      <w:t>Onze referentie</w:t>
                    </w:r>
                  </w:p>
                  <w:p w14:paraId="0BEECCA4" w14:textId="77777777" w:rsidR="002C353A" w:rsidRDefault="00000000">
                    <w:pPr>
                      <w:pStyle w:val="Referentiegegevens"/>
                    </w:pPr>
                    <w:r>
                      <w:t>7588855</w:t>
                    </w:r>
                  </w:p>
                  <w:p w14:paraId="632D714A" w14:textId="77777777" w:rsidR="002C353A" w:rsidRDefault="002C353A">
                    <w:pPr>
                      <w:pStyle w:val="WitregelW1"/>
                    </w:pPr>
                  </w:p>
                  <w:p w14:paraId="6160092F" w14:textId="77777777" w:rsidR="002C353A" w:rsidRDefault="00000000">
                    <w:pPr>
                      <w:pStyle w:val="Referentiegegevensbold"/>
                    </w:pPr>
                    <w:r>
                      <w:t>Bijlage(n)</w:t>
                    </w:r>
                  </w:p>
                  <w:p w14:paraId="3C4D4018" w14:textId="77777777" w:rsidR="002C353A" w:rsidRDefault="00000000">
                    <w:pPr>
                      <w:pStyle w:val="Referentiegegevens"/>
                    </w:pPr>
                    <w:r>
                      <w:t>0</w:t>
                    </w:r>
                  </w:p>
                  <w:p w14:paraId="7AA0A165" w14:textId="77777777" w:rsidR="002C353A" w:rsidRDefault="002C353A">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D61E487" wp14:editId="5F8903DB">
              <wp:simplePos x="1007744" y="10194925"/>
              <wp:positionH relativeFrom="page">
                <wp:posOffset>1007744</wp:posOffset>
              </wp:positionH>
              <wp:positionV relativeFrom="paragraph">
                <wp:posOffset>10194925</wp:posOffset>
              </wp:positionV>
              <wp:extent cx="4787900" cy="161925"/>
              <wp:effectExtent l="0" t="0" r="0" b="0"/>
              <wp:wrapNone/>
              <wp:docPr id="7" name="Tekstvak 7"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889944" w14:textId="77777777" w:rsidR="003E39F9" w:rsidRDefault="003E39F9"/>
                      </w:txbxContent>
                    </wps:txbx>
                    <wps:bodyPr vert="horz" wrap="square" lIns="0" tIns="0" rIns="0" bIns="0" anchor="t" anchorCtr="0"/>
                  </wps:wsp>
                </a:graphicData>
              </a:graphic>
            </wp:anchor>
          </w:drawing>
        </mc:Choice>
        <mc:Fallback>
          <w:pict>
            <v:shape w14:anchorId="6D61E487" id="Tekstvak 7"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0889944" w14:textId="77777777" w:rsidR="003E39F9" w:rsidRDefault="003E39F9"/>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2665C94B" wp14:editId="29E808D5">
              <wp:simplePos x="5921375" y="10194925"/>
              <wp:positionH relativeFrom="page">
                <wp:posOffset>5921375</wp:posOffset>
              </wp:positionH>
              <wp:positionV relativeFrom="paragraph">
                <wp:posOffset>10194925</wp:posOffset>
              </wp:positionV>
              <wp:extent cx="1285875" cy="161290"/>
              <wp:effectExtent l="0" t="0" r="0" b="0"/>
              <wp:wrapNone/>
              <wp:docPr id="8" name="Tekstvak 8"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2640B4" w14:textId="77777777" w:rsidR="002C353A" w:rsidRDefault="00000000">
                          <w:pPr>
                            <w:pStyle w:val="Referentiegegevens"/>
                          </w:pPr>
                          <w:r>
                            <w:t xml:space="preserve">Pagina </w:t>
                          </w:r>
                          <w:r>
                            <w:fldChar w:fldCharType="begin"/>
                          </w:r>
                          <w:r>
                            <w:instrText>PAGE</w:instrText>
                          </w:r>
                          <w:r>
                            <w:fldChar w:fldCharType="separate"/>
                          </w:r>
                          <w:r w:rsidR="00705191">
                            <w:rPr>
                              <w:noProof/>
                            </w:rPr>
                            <w:t>1</w:t>
                          </w:r>
                          <w:r>
                            <w:fldChar w:fldCharType="end"/>
                          </w:r>
                          <w:r>
                            <w:t xml:space="preserve"> van </w:t>
                          </w:r>
                          <w:r>
                            <w:fldChar w:fldCharType="begin"/>
                          </w:r>
                          <w:r>
                            <w:instrText>NUMPAGES</w:instrText>
                          </w:r>
                          <w:r>
                            <w:fldChar w:fldCharType="separate"/>
                          </w:r>
                          <w:r w:rsidR="00705191">
                            <w:rPr>
                              <w:noProof/>
                            </w:rPr>
                            <w:t>1</w:t>
                          </w:r>
                          <w:r>
                            <w:fldChar w:fldCharType="end"/>
                          </w:r>
                        </w:p>
                      </w:txbxContent>
                    </wps:txbx>
                    <wps:bodyPr vert="horz" wrap="square" lIns="0" tIns="0" rIns="0" bIns="0" anchor="t" anchorCtr="0"/>
                  </wps:wsp>
                </a:graphicData>
              </a:graphic>
            </wp:anchor>
          </w:drawing>
        </mc:Choice>
        <mc:Fallback>
          <w:pict>
            <v:shape w14:anchorId="2665C94B" id="Tekstvak 8"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72640B4" w14:textId="77777777" w:rsidR="002C353A" w:rsidRDefault="00000000">
                    <w:pPr>
                      <w:pStyle w:val="Referentiegegevens"/>
                    </w:pPr>
                    <w:r>
                      <w:t xml:space="preserve">Pagina </w:t>
                    </w:r>
                    <w:r>
                      <w:fldChar w:fldCharType="begin"/>
                    </w:r>
                    <w:r>
                      <w:instrText>PAGE</w:instrText>
                    </w:r>
                    <w:r>
                      <w:fldChar w:fldCharType="separate"/>
                    </w:r>
                    <w:r w:rsidR="00705191">
                      <w:rPr>
                        <w:noProof/>
                      </w:rPr>
                      <w:t>1</w:t>
                    </w:r>
                    <w:r>
                      <w:fldChar w:fldCharType="end"/>
                    </w:r>
                    <w:r>
                      <w:t xml:space="preserve"> van </w:t>
                    </w:r>
                    <w:r>
                      <w:fldChar w:fldCharType="begin"/>
                    </w:r>
                    <w:r>
                      <w:instrText>NUMPAGES</w:instrText>
                    </w:r>
                    <w:r>
                      <w:fldChar w:fldCharType="separate"/>
                    </w:r>
                    <w:r w:rsidR="00705191">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45A78AE7" wp14:editId="47888A3F">
              <wp:simplePos x="3545840" y="0"/>
              <wp:positionH relativeFrom="page">
                <wp:posOffset>3545840</wp:posOffset>
              </wp:positionH>
              <wp:positionV relativeFrom="paragraph">
                <wp:posOffset>0</wp:posOffset>
              </wp:positionV>
              <wp:extent cx="467995" cy="1583055"/>
              <wp:effectExtent l="0" t="0" r="0" b="0"/>
              <wp:wrapNone/>
              <wp:docPr id="9" name="Tekstvak 9"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F40EC69" w14:textId="77777777" w:rsidR="002C353A" w:rsidRDefault="00000000">
                          <w:pPr>
                            <w:spacing w:line="240" w:lineRule="auto"/>
                          </w:pPr>
                          <w:r>
                            <w:rPr>
                              <w:noProof/>
                            </w:rPr>
                            <w:drawing>
                              <wp:inline distT="0" distB="0" distL="0" distR="0" wp14:anchorId="05F26CCA" wp14:editId="4044293F">
                                <wp:extent cx="467995" cy="1583865"/>
                                <wp:effectExtent l="0" t="0" r="0" b="0"/>
                                <wp:docPr id="10" name="Afbeelding 12"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A78AE7" id="Tekstvak 9"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F40EC69" w14:textId="77777777" w:rsidR="002C353A" w:rsidRDefault="00000000">
                    <w:pPr>
                      <w:spacing w:line="240" w:lineRule="auto"/>
                    </w:pPr>
                    <w:r>
                      <w:rPr>
                        <w:noProof/>
                      </w:rPr>
                      <w:drawing>
                        <wp:inline distT="0" distB="0" distL="0" distR="0" wp14:anchorId="05F26CCA" wp14:editId="4044293F">
                          <wp:extent cx="467995" cy="1583865"/>
                          <wp:effectExtent l="0" t="0" r="0" b="0"/>
                          <wp:docPr id="10" name="Afbeelding 12"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5C2C73EB" wp14:editId="3067E0D4">
              <wp:simplePos x="3995420" y="0"/>
              <wp:positionH relativeFrom="page">
                <wp:posOffset>3995420</wp:posOffset>
              </wp:positionH>
              <wp:positionV relativeFrom="paragraph">
                <wp:posOffset>0</wp:posOffset>
              </wp:positionV>
              <wp:extent cx="2339975" cy="1583690"/>
              <wp:effectExtent l="0" t="0" r="0" b="0"/>
              <wp:wrapNone/>
              <wp:docPr id="11" name="Tekstvak 1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DC2BB8" w14:textId="77777777" w:rsidR="002C353A" w:rsidRDefault="00000000">
                          <w:pPr>
                            <w:spacing w:line="240" w:lineRule="auto"/>
                          </w:pPr>
                          <w:r>
                            <w:rPr>
                              <w:noProof/>
                            </w:rPr>
                            <w:drawing>
                              <wp:inline distT="0" distB="0" distL="0" distR="0" wp14:anchorId="11EF21A4" wp14:editId="1DEA5C8F">
                                <wp:extent cx="2339975" cy="1582834"/>
                                <wp:effectExtent l="0" t="0" r="0" b="0"/>
                                <wp:docPr id="12" name="Afbeelding 13"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2C73EB" id="Tekstvak 10"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0DC2BB8" w14:textId="77777777" w:rsidR="002C353A" w:rsidRDefault="00000000">
                    <w:pPr>
                      <w:spacing w:line="240" w:lineRule="auto"/>
                    </w:pPr>
                    <w:r>
                      <w:rPr>
                        <w:noProof/>
                      </w:rPr>
                      <w:drawing>
                        <wp:inline distT="0" distB="0" distL="0" distR="0" wp14:anchorId="11EF21A4" wp14:editId="1DEA5C8F">
                          <wp:extent cx="2339975" cy="1582834"/>
                          <wp:effectExtent l="0" t="0" r="0" b="0"/>
                          <wp:docPr id="12" name="Afbeelding 13"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1C28F26B" wp14:editId="69E8BEB2">
              <wp:simplePos x="1010919" y="1720214"/>
              <wp:positionH relativeFrom="page">
                <wp:posOffset>1010919</wp:posOffset>
              </wp:positionH>
              <wp:positionV relativeFrom="paragraph">
                <wp:posOffset>1720214</wp:posOffset>
              </wp:positionV>
              <wp:extent cx="4787900" cy="161925"/>
              <wp:effectExtent l="0" t="0" r="0" b="0"/>
              <wp:wrapNone/>
              <wp:docPr id="13" name="Tekstvak 11"/>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7038CE" w14:textId="77777777" w:rsidR="002C353A" w:rsidRDefault="0000000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C28F26B" id="Tekstvak 11"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27038CE" w14:textId="77777777" w:rsidR="002C353A" w:rsidRDefault="00000000">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10C7B2"/>
    <w:multiLevelType w:val="multilevel"/>
    <w:tmpl w:val="C15CEDB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EAC6BED"/>
    <w:multiLevelType w:val="hybridMultilevel"/>
    <w:tmpl w:val="47E0E246"/>
    <w:lvl w:ilvl="0" w:tplc="4D3C4D6C">
      <w:start w:val="1"/>
      <w:numFmt w:val="decimal"/>
      <w:lvlText w:val="%1)"/>
      <w:lvlJc w:val="left"/>
      <w:pPr>
        <w:ind w:left="1120" w:hanging="360"/>
      </w:pPr>
    </w:lvl>
    <w:lvl w:ilvl="1" w:tplc="7C0C64D6">
      <w:start w:val="1"/>
      <w:numFmt w:val="decimal"/>
      <w:lvlText w:val="%2)"/>
      <w:lvlJc w:val="left"/>
      <w:pPr>
        <w:ind w:left="1120" w:hanging="360"/>
      </w:pPr>
    </w:lvl>
    <w:lvl w:ilvl="2" w:tplc="DBDC4888">
      <w:start w:val="1"/>
      <w:numFmt w:val="decimal"/>
      <w:lvlText w:val="%3)"/>
      <w:lvlJc w:val="left"/>
      <w:pPr>
        <w:ind w:left="1120" w:hanging="360"/>
      </w:pPr>
    </w:lvl>
    <w:lvl w:ilvl="3" w:tplc="E93A0518">
      <w:start w:val="1"/>
      <w:numFmt w:val="decimal"/>
      <w:lvlText w:val="%4)"/>
      <w:lvlJc w:val="left"/>
      <w:pPr>
        <w:ind w:left="1120" w:hanging="360"/>
      </w:pPr>
    </w:lvl>
    <w:lvl w:ilvl="4" w:tplc="CC20A6C0">
      <w:start w:val="1"/>
      <w:numFmt w:val="decimal"/>
      <w:lvlText w:val="%5)"/>
      <w:lvlJc w:val="left"/>
      <w:pPr>
        <w:ind w:left="1120" w:hanging="360"/>
      </w:pPr>
    </w:lvl>
    <w:lvl w:ilvl="5" w:tplc="B6161F86">
      <w:start w:val="1"/>
      <w:numFmt w:val="decimal"/>
      <w:lvlText w:val="%6)"/>
      <w:lvlJc w:val="left"/>
      <w:pPr>
        <w:ind w:left="1120" w:hanging="360"/>
      </w:pPr>
    </w:lvl>
    <w:lvl w:ilvl="6" w:tplc="9BC09E64">
      <w:start w:val="1"/>
      <w:numFmt w:val="decimal"/>
      <w:lvlText w:val="%7)"/>
      <w:lvlJc w:val="left"/>
      <w:pPr>
        <w:ind w:left="1120" w:hanging="360"/>
      </w:pPr>
    </w:lvl>
    <w:lvl w:ilvl="7" w:tplc="D42E8E1C">
      <w:start w:val="1"/>
      <w:numFmt w:val="decimal"/>
      <w:lvlText w:val="%8)"/>
      <w:lvlJc w:val="left"/>
      <w:pPr>
        <w:ind w:left="1120" w:hanging="360"/>
      </w:pPr>
    </w:lvl>
    <w:lvl w:ilvl="8" w:tplc="2A267E06">
      <w:start w:val="1"/>
      <w:numFmt w:val="decimal"/>
      <w:lvlText w:val="%9)"/>
      <w:lvlJc w:val="left"/>
      <w:pPr>
        <w:ind w:left="1120" w:hanging="360"/>
      </w:pPr>
    </w:lvl>
  </w:abstractNum>
  <w:abstractNum w:abstractNumId="2" w15:restartNumberingAfterBreak="0">
    <w:nsid w:val="4AC8E376"/>
    <w:multiLevelType w:val="multilevel"/>
    <w:tmpl w:val="1886B2C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B4C0791"/>
    <w:multiLevelType w:val="multilevel"/>
    <w:tmpl w:val="39BC0F1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4719DD4"/>
    <w:multiLevelType w:val="multilevel"/>
    <w:tmpl w:val="E322770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3901E00"/>
    <w:multiLevelType w:val="hybridMultilevel"/>
    <w:tmpl w:val="226E5F62"/>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3314268">
    <w:abstractNumId w:val="0"/>
  </w:num>
  <w:num w:numId="2" w16cid:durableId="1729379508">
    <w:abstractNumId w:val="4"/>
  </w:num>
  <w:num w:numId="3" w16cid:durableId="1608926082">
    <w:abstractNumId w:val="2"/>
  </w:num>
  <w:num w:numId="4" w16cid:durableId="1143157586">
    <w:abstractNumId w:val="3"/>
  </w:num>
  <w:num w:numId="5" w16cid:durableId="494535292">
    <w:abstractNumId w:val="1"/>
  </w:num>
  <w:num w:numId="6" w16cid:durableId="467016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53A"/>
    <w:rsid w:val="0000024B"/>
    <w:rsid w:val="00001B52"/>
    <w:rsid w:val="000035B1"/>
    <w:rsid w:val="000038B8"/>
    <w:rsid w:val="00006E03"/>
    <w:rsid w:val="00010151"/>
    <w:rsid w:val="000112AD"/>
    <w:rsid w:val="00012745"/>
    <w:rsid w:val="00014D7B"/>
    <w:rsid w:val="000163BB"/>
    <w:rsid w:val="0002696E"/>
    <w:rsid w:val="00031B74"/>
    <w:rsid w:val="0003444B"/>
    <w:rsid w:val="00034BE8"/>
    <w:rsid w:val="00046280"/>
    <w:rsid w:val="00052423"/>
    <w:rsid w:val="00053947"/>
    <w:rsid w:val="0005459B"/>
    <w:rsid w:val="00057E68"/>
    <w:rsid w:val="00061772"/>
    <w:rsid w:val="00062E07"/>
    <w:rsid w:val="000664A7"/>
    <w:rsid w:val="00075662"/>
    <w:rsid w:val="00080290"/>
    <w:rsid w:val="00082E3E"/>
    <w:rsid w:val="000846E6"/>
    <w:rsid w:val="0009093F"/>
    <w:rsid w:val="000935FC"/>
    <w:rsid w:val="000968E0"/>
    <w:rsid w:val="000A3797"/>
    <w:rsid w:val="000C0143"/>
    <w:rsid w:val="000D207A"/>
    <w:rsid w:val="000D62FF"/>
    <w:rsid w:val="000D75D6"/>
    <w:rsid w:val="000E1F6D"/>
    <w:rsid w:val="000F1A49"/>
    <w:rsid w:val="000F339B"/>
    <w:rsid w:val="001001BD"/>
    <w:rsid w:val="0010409D"/>
    <w:rsid w:val="00107106"/>
    <w:rsid w:val="00115CED"/>
    <w:rsid w:val="0012159E"/>
    <w:rsid w:val="001224F4"/>
    <w:rsid w:val="00130617"/>
    <w:rsid w:val="0014205F"/>
    <w:rsid w:val="00147D79"/>
    <w:rsid w:val="00153F5D"/>
    <w:rsid w:val="00154636"/>
    <w:rsid w:val="00162E0D"/>
    <w:rsid w:val="00164194"/>
    <w:rsid w:val="001657A4"/>
    <w:rsid w:val="00165C3F"/>
    <w:rsid w:val="001752AD"/>
    <w:rsid w:val="0019028B"/>
    <w:rsid w:val="001A07FF"/>
    <w:rsid w:val="001A44A9"/>
    <w:rsid w:val="001A5D79"/>
    <w:rsid w:val="001B4CC3"/>
    <w:rsid w:val="001B5E06"/>
    <w:rsid w:val="001B75CB"/>
    <w:rsid w:val="001C002C"/>
    <w:rsid w:val="001E772D"/>
    <w:rsid w:val="001F0BB0"/>
    <w:rsid w:val="001F2F7A"/>
    <w:rsid w:val="001F506A"/>
    <w:rsid w:val="0020778D"/>
    <w:rsid w:val="00210776"/>
    <w:rsid w:val="002234EC"/>
    <w:rsid w:val="00224936"/>
    <w:rsid w:val="00224DB8"/>
    <w:rsid w:val="00227D0D"/>
    <w:rsid w:val="00234A19"/>
    <w:rsid w:val="00234C46"/>
    <w:rsid w:val="00236457"/>
    <w:rsid w:val="00245442"/>
    <w:rsid w:val="00245838"/>
    <w:rsid w:val="0025593C"/>
    <w:rsid w:val="00274755"/>
    <w:rsid w:val="002766FE"/>
    <w:rsid w:val="00287862"/>
    <w:rsid w:val="0029325F"/>
    <w:rsid w:val="002945B6"/>
    <w:rsid w:val="002966E3"/>
    <w:rsid w:val="002A287D"/>
    <w:rsid w:val="002B5790"/>
    <w:rsid w:val="002C2B51"/>
    <w:rsid w:val="002C353A"/>
    <w:rsid w:val="002C393B"/>
    <w:rsid w:val="002E017B"/>
    <w:rsid w:val="002E0547"/>
    <w:rsid w:val="002E0908"/>
    <w:rsid w:val="002E4308"/>
    <w:rsid w:val="002E5675"/>
    <w:rsid w:val="002E73DD"/>
    <w:rsid w:val="002F688C"/>
    <w:rsid w:val="002F7649"/>
    <w:rsid w:val="003016F9"/>
    <w:rsid w:val="00306531"/>
    <w:rsid w:val="00311624"/>
    <w:rsid w:val="003140F8"/>
    <w:rsid w:val="00330818"/>
    <w:rsid w:val="00330C7B"/>
    <w:rsid w:val="00330DA8"/>
    <w:rsid w:val="0033188D"/>
    <w:rsid w:val="00333468"/>
    <w:rsid w:val="0033527F"/>
    <w:rsid w:val="00336A72"/>
    <w:rsid w:val="00336EBA"/>
    <w:rsid w:val="00343BF7"/>
    <w:rsid w:val="00347691"/>
    <w:rsid w:val="00357961"/>
    <w:rsid w:val="00362EDB"/>
    <w:rsid w:val="003809B5"/>
    <w:rsid w:val="00384EDB"/>
    <w:rsid w:val="0038577C"/>
    <w:rsid w:val="003859E0"/>
    <w:rsid w:val="00391310"/>
    <w:rsid w:val="00393317"/>
    <w:rsid w:val="00396F44"/>
    <w:rsid w:val="003A22F7"/>
    <w:rsid w:val="003A2A02"/>
    <w:rsid w:val="003A6260"/>
    <w:rsid w:val="003A6BB7"/>
    <w:rsid w:val="003B4656"/>
    <w:rsid w:val="003B6A75"/>
    <w:rsid w:val="003C4AE0"/>
    <w:rsid w:val="003D0DAC"/>
    <w:rsid w:val="003D32DE"/>
    <w:rsid w:val="003D45BF"/>
    <w:rsid w:val="003D54C6"/>
    <w:rsid w:val="003D6DC0"/>
    <w:rsid w:val="003E39F9"/>
    <w:rsid w:val="00400614"/>
    <w:rsid w:val="00410ECE"/>
    <w:rsid w:val="0043256D"/>
    <w:rsid w:val="00436A4D"/>
    <w:rsid w:val="004377EE"/>
    <w:rsid w:val="00443181"/>
    <w:rsid w:val="004447A8"/>
    <w:rsid w:val="00461D27"/>
    <w:rsid w:val="00470AE2"/>
    <w:rsid w:val="00474F3E"/>
    <w:rsid w:val="00480E4D"/>
    <w:rsid w:val="00481A23"/>
    <w:rsid w:val="00483445"/>
    <w:rsid w:val="0049565B"/>
    <w:rsid w:val="004A0FD0"/>
    <w:rsid w:val="004B130B"/>
    <w:rsid w:val="004B6BEE"/>
    <w:rsid w:val="004C5284"/>
    <w:rsid w:val="004C6477"/>
    <w:rsid w:val="004C7C10"/>
    <w:rsid w:val="004D5F18"/>
    <w:rsid w:val="004E188A"/>
    <w:rsid w:val="004E4018"/>
    <w:rsid w:val="004E6BDF"/>
    <w:rsid w:val="004F4065"/>
    <w:rsid w:val="005066EF"/>
    <w:rsid w:val="00510A31"/>
    <w:rsid w:val="00520770"/>
    <w:rsid w:val="0052402F"/>
    <w:rsid w:val="00525E22"/>
    <w:rsid w:val="00526230"/>
    <w:rsid w:val="00530443"/>
    <w:rsid w:val="00534D92"/>
    <w:rsid w:val="00536753"/>
    <w:rsid w:val="0053752A"/>
    <w:rsid w:val="00543043"/>
    <w:rsid w:val="005436CD"/>
    <w:rsid w:val="00550E5D"/>
    <w:rsid w:val="0056339E"/>
    <w:rsid w:val="005755AD"/>
    <w:rsid w:val="00583879"/>
    <w:rsid w:val="005858FF"/>
    <w:rsid w:val="005A0F53"/>
    <w:rsid w:val="005A3D08"/>
    <w:rsid w:val="005A508D"/>
    <w:rsid w:val="005A723F"/>
    <w:rsid w:val="005C10E3"/>
    <w:rsid w:val="005C2E8C"/>
    <w:rsid w:val="005D0927"/>
    <w:rsid w:val="005D1570"/>
    <w:rsid w:val="005D6024"/>
    <w:rsid w:val="005E442F"/>
    <w:rsid w:val="005F40A2"/>
    <w:rsid w:val="00600986"/>
    <w:rsid w:val="00603E06"/>
    <w:rsid w:val="00616188"/>
    <w:rsid w:val="00631A73"/>
    <w:rsid w:val="006339F4"/>
    <w:rsid w:val="00640B2E"/>
    <w:rsid w:val="00644A89"/>
    <w:rsid w:val="006451C9"/>
    <w:rsid w:val="00653525"/>
    <w:rsid w:val="0065505E"/>
    <w:rsid w:val="00670A9D"/>
    <w:rsid w:val="0067432D"/>
    <w:rsid w:val="00676D94"/>
    <w:rsid w:val="00680752"/>
    <w:rsid w:val="006813C0"/>
    <w:rsid w:val="00683F05"/>
    <w:rsid w:val="006846D8"/>
    <w:rsid w:val="006879B5"/>
    <w:rsid w:val="0069430D"/>
    <w:rsid w:val="006947A3"/>
    <w:rsid w:val="00696CD0"/>
    <w:rsid w:val="006A1644"/>
    <w:rsid w:val="006A7F94"/>
    <w:rsid w:val="006B04D3"/>
    <w:rsid w:val="006B1F35"/>
    <w:rsid w:val="006C4F76"/>
    <w:rsid w:val="006D2A26"/>
    <w:rsid w:val="006D3488"/>
    <w:rsid w:val="006D6A65"/>
    <w:rsid w:val="006E2CD9"/>
    <w:rsid w:val="006E43CE"/>
    <w:rsid w:val="006F3B2D"/>
    <w:rsid w:val="006F6341"/>
    <w:rsid w:val="0070216A"/>
    <w:rsid w:val="00702445"/>
    <w:rsid w:val="00702EB4"/>
    <w:rsid w:val="00705191"/>
    <w:rsid w:val="00707891"/>
    <w:rsid w:val="00711A5D"/>
    <w:rsid w:val="0072007A"/>
    <w:rsid w:val="007269A0"/>
    <w:rsid w:val="00726C41"/>
    <w:rsid w:val="00736DFF"/>
    <w:rsid w:val="00737009"/>
    <w:rsid w:val="007459E7"/>
    <w:rsid w:val="007663FE"/>
    <w:rsid w:val="00770B21"/>
    <w:rsid w:val="00772BC3"/>
    <w:rsid w:val="00775435"/>
    <w:rsid w:val="00776524"/>
    <w:rsid w:val="00784D65"/>
    <w:rsid w:val="00787A78"/>
    <w:rsid w:val="00792BED"/>
    <w:rsid w:val="00793B06"/>
    <w:rsid w:val="007A02F7"/>
    <w:rsid w:val="007A21C2"/>
    <w:rsid w:val="007A3D11"/>
    <w:rsid w:val="007A474A"/>
    <w:rsid w:val="007C1F9E"/>
    <w:rsid w:val="007D0064"/>
    <w:rsid w:val="007D047A"/>
    <w:rsid w:val="007E08B9"/>
    <w:rsid w:val="007E20EB"/>
    <w:rsid w:val="007E40DE"/>
    <w:rsid w:val="007E664E"/>
    <w:rsid w:val="007E7D7E"/>
    <w:rsid w:val="007F5D7B"/>
    <w:rsid w:val="008006E1"/>
    <w:rsid w:val="008006EB"/>
    <w:rsid w:val="008037C6"/>
    <w:rsid w:val="008070EB"/>
    <w:rsid w:val="00811025"/>
    <w:rsid w:val="00811110"/>
    <w:rsid w:val="00812383"/>
    <w:rsid w:val="00813A5E"/>
    <w:rsid w:val="008227A3"/>
    <w:rsid w:val="008361B3"/>
    <w:rsid w:val="008435E3"/>
    <w:rsid w:val="00845C1F"/>
    <w:rsid w:val="00855DC8"/>
    <w:rsid w:val="008605DF"/>
    <w:rsid w:val="00861D0D"/>
    <w:rsid w:val="00876755"/>
    <w:rsid w:val="00887CD7"/>
    <w:rsid w:val="008956F6"/>
    <w:rsid w:val="008A33EF"/>
    <w:rsid w:val="008B3A67"/>
    <w:rsid w:val="008C6907"/>
    <w:rsid w:val="008D1821"/>
    <w:rsid w:val="008D33E5"/>
    <w:rsid w:val="008D520D"/>
    <w:rsid w:val="008E02B2"/>
    <w:rsid w:val="008E177B"/>
    <w:rsid w:val="008E2615"/>
    <w:rsid w:val="008E3A55"/>
    <w:rsid w:val="008F0864"/>
    <w:rsid w:val="008F4AE9"/>
    <w:rsid w:val="008F7088"/>
    <w:rsid w:val="008F73C7"/>
    <w:rsid w:val="00904BFE"/>
    <w:rsid w:val="00910315"/>
    <w:rsid w:val="00911831"/>
    <w:rsid w:val="009135CD"/>
    <w:rsid w:val="00913F9D"/>
    <w:rsid w:val="00922FC3"/>
    <w:rsid w:val="0093783A"/>
    <w:rsid w:val="009402A2"/>
    <w:rsid w:val="00950CB9"/>
    <w:rsid w:val="009600BE"/>
    <w:rsid w:val="0096681F"/>
    <w:rsid w:val="009727F0"/>
    <w:rsid w:val="009909FD"/>
    <w:rsid w:val="00995516"/>
    <w:rsid w:val="00996DAE"/>
    <w:rsid w:val="009A1458"/>
    <w:rsid w:val="009A51AB"/>
    <w:rsid w:val="009B0765"/>
    <w:rsid w:val="009B09FE"/>
    <w:rsid w:val="009B32EF"/>
    <w:rsid w:val="009B3BAB"/>
    <w:rsid w:val="009B7802"/>
    <w:rsid w:val="009C226A"/>
    <w:rsid w:val="009C22FB"/>
    <w:rsid w:val="009C3B91"/>
    <w:rsid w:val="009D5C05"/>
    <w:rsid w:val="009D76EF"/>
    <w:rsid w:val="009E346E"/>
    <w:rsid w:val="009E4F8F"/>
    <w:rsid w:val="009F132D"/>
    <w:rsid w:val="00A0266D"/>
    <w:rsid w:val="00A02D96"/>
    <w:rsid w:val="00A04A70"/>
    <w:rsid w:val="00A06A43"/>
    <w:rsid w:val="00A10B74"/>
    <w:rsid w:val="00A1325B"/>
    <w:rsid w:val="00A14F22"/>
    <w:rsid w:val="00A15D6E"/>
    <w:rsid w:val="00A22B3E"/>
    <w:rsid w:val="00A30AB5"/>
    <w:rsid w:val="00A34492"/>
    <w:rsid w:val="00A3631E"/>
    <w:rsid w:val="00A410FB"/>
    <w:rsid w:val="00A41D41"/>
    <w:rsid w:val="00A436A5"/>
    <w:rsid w:val="00A44848"/>
    <w:rsid w:val="00A44D80"/>
    <w:rsid w:val="00A5315B"/>
    <w:rsid w:val="00A551EC"/>
    <w:rsid w:val="00A56006"/>
    <w:rsid w:val="00A604EF"/>
    <w:rsid w:val="00A626D1"/>
    <w:rsid w:val="00A643C8"/>
    <w:rsid w:val="00A64F3D"/>
    <w:rsid w:val="00A65566"/>
    <w:rsid w:val="00A66F94"/>
    <w:rsid w:val="00A73EA5"/>
    <w:rsid w:val="00A76B4F"/>
    <w:rsid w:val="00A77989"/>
    <w:rsid w:val="00A83A05"/>
    <w:rsid w:val="00A905E5"/>
    <w:rsid w:val="00A947F8"/>
    <w:rsid w:val="00A97668"/>
    <w:rsid w:val="00AA6C27"/>
    <w:rsid w:val="00AB4C97"/>
    <w:rsid w:val="00AC1C97"/>
    <w:rsid w:val="00AC37AA"/>
    <w:rsid w:val="00AC616B"/>
    <w:rsid w:val="00AD4FA4"/>
    <w:rsid w:val="00AD5625"/>
    <w:rsid w:val="00AD613D"/>
    <w:rsid w:val="00AD651E"/>
    <w:rsid w:val="00AE1987"/>
    <w:rsid w:val="00AE561A"/>
    <w:rsid w:val="00AF0266"/>
    <w:rsid w:val="00AF1328"/>
    <w:rsid w:val="00AF336D"/>
    <w:rsid w:val="00B01810"/>
    <w:rsid w:val="00B01ED3"/>
    <w:rsid w:val="00B2121F"/>
    <w:rsid w:val="00B2387C"/>
    <w:rsid w:val="00B23D8F"/>
    <w:rsid w:val="00B5476B"/>
    <w:rsid w:val="00B5625A"/>
    <w:rsid w:val="00B64B85"/>
    <w:rsid w:val="00B6509E"/>
    <w:rsid w:val="00B75592"/>
    <w:rsid w:val="00B75AF6"/>
    <w:rsid w:val="00B80F9A"/>
    <w:rsid w:val="00B83C1C"/>
    <w:rsid w:val="00B862BE"/>
    <w:rsid w:val="00B92823"/>
    <w:rsid w:val="00B95CDE"/>
    <w:rsid w:val="00B95E26"/>
    <w:rsid w:val="00BA047A"/>
    <w:rsid w:val="00BA0DF7"/>
    <w:rsid w:val="00BA5572"/>
    <w:rsid w:val="00BA6628"/>
    <w:rsid w:val="00BB5FE0"/>
    <w:rsid w:val="00BC33AE"/>
    <w:rsid w:val="00BC4841"/>
    <w:rsid w:val="00BC6C66"/>
    <w:rsid w:val="00BD38CD"/>
    <w:rsid w:val="00BD44F7"/>
    <w:rsid w:val="00BD7741"/>
    <w:rsid w:val="00BE2C2E"/>
    <w:rsid w:val="00BE78F2"/>
    <w:rsid w:val="00BF2CE3"/>
    <w:rsid w:val="00C010E4"/>
    <w:rsid w:val="00C03EEA"/>
    <w:rsid w:val="00C0635F"/>
    <w:rsid w:val="00C1614F"/>
    <w:rsid w:val="00C165F0"/>
    <w:rsid w:val="00C420BB"/>
    <w:rsid w:val="00C452AB"/>
    <w:rsid w:val="00C478F7"/>
    <w:rsid w:val="00C64856"/>
    <w:rsid w:val="00C71E29"/>
    <w:rsid w:val="00C7307B"/>
    <w:rsid w:val="00C77F6C"/>
    <w:rsid w:val="00C80CE1"/>
    <w:rsid w:val="00C811CB"/>
    <w:rsid w:val="00C845F2"/>
    <w:rsid w:val="00C85F40"/>
    <w:rsid w:val="00C918A5"/>
    <w:rsid w:val="00C924C2"/>
    <w:rsid w:val="00C936F1"/>
    <w:rsid w:val="00C97073"/>
    <w:rsid w:val="00CA28C6"/>
    <w:rsid w:val="00CA2CBF"/>
    <w:rsid w:val="00CB2D44"/>
    <w:rsid w:val="00CC0BFF"/>
    <w:rsid w:val="00CC383A"/>
    <w:rsid w:val="00CD024B"/>
    <w:rsid w:val="00CE4077"/>
    <w:rsid w:val="00CF057F"/>
    <w:rsid w:val="00CF2459"/>
    <w:rsid w:val="00CF58C7"/>
    <w:rsid w:val="00CF7CDE"/>
    <w:rsid w:val="00D02246"/>
    <w:rsid w:val="00D028E7"/>
    <w:rsid w:val="00D0547A"/>
    <w:rsid w:val="00D06114"/>
    <w:rsid w:val="00D149EE"/>
    <w:rsid w:val="00D40266"/>
    <w:rsid w:val="00D430C0"/>
    <w:rsid w:val="00D473E7"/>
    <w:rsid w:val="00D5116B"/>
    <w:rsid w:val="00D52102"/>
    <w:rsid w:val="00D5291F"/>
    <w:rsid w:val="00D609ED"/>
    <w:rsid w:val="00D60CA8"/>
    <w:rsid w:val="00D6358F"/>
    <w:rsid w:val="00D65B17"/>
    <w:rsid w:val="00D80249"/>
    <w:rsid w:val="00D804F2"/>
    <w:rsid w:val="00D823F4"/>
    <w:rsid w:val="00D91F62"/>
    <w:rsid w:val="00D93D7A"/>
    <w:rsid w:val="00DA3260"/>
    <w:rsid w:val="00DA5B0A"/>
    <w:rsid w:val="00DB1100"/>
    <w:rsid w:val="00DB6B34"/>
    <w:rsid w:val="00DB743A"/>
    <w:rsid w:val="00DC5218"/>
    <w:rsid w:val="00DD5707"/>
    <w:rsid w:val="00DE4B76"/>
    <w:rsid w:val="00DE5139"/>
    <w:rsid w:val="00DF3DA0"/>
    <w:rsid w:val="00DF5288"/>
    <w:rsid w:val="00E005A3"/>
    <w:rsid w:val="00E022DE"/>
    <w:rsid w:val="00E04AFE"/>
    <w:rsid w:val="00E211A3"/>
    <w:rsid w:val="00E23B82"/>
    <w:rsid w:val="00E26C9B"/>
    <w:rsid w:val="00E31395"/>
    <w:rsid w:val="00E400EA"/>
    <w:rsid w:val="00E40788"/>
    <w:rsid w:val="00E45880"/>
    <w:rsid w:val="00E510D0"/>
    <w:rsid w:val="00E53D9D"/>
    <w:rsid w:val="00E53F7C"/>
    <w:rsid w:val="00E55EB4"/>
    <w:rsid w:val="00E60BFA"/>
    <w:rsid w:val="00E720FC"/>
    <w:rsid w:val="00E7690E"/>
    <w:rsid w:val="00E83CD6"/>
    <w:rsid w:val="00E86E8D"/>
    <w:rsid w:val="00EA01F3"/>
    <w:rsid w:val="00EA3C6A"/>
    <w:rsid w:val="00EA67BB"/>
    <w:rsid w:val="00EA7883"/>
    <w:rsid w:val="00EB3797"/>
    <w:rsid w:val="00EB6BB5"/>
    <w:rsid w:val="00EB73FA"/>
    <w:rsid w:val="00EC4529"/>
    <w:rsid w:val="00ED7790"/>
    <w:rsid w:val="00EE0D22"/>
    <w:rsid w:val="00EE2A3D"/>
    <w:rsid w:val="00EE6164"/>
    <w:rsid w:val="00EE62B4"/>
    <w:rsid w:val="00EF0BA7"/>
    <w:rsid w:val="00F0087A"/>
    <w:rsid w:val="00F0699E"/>
    <w:rsid w:val="00F140F0"/>
    <w:rsid w:val="00F15350"/>
    <w:rsid w:val="00F23AD8"/>
    <w:rsid w:val="00F334CD"/>
    <w:rsid w:val="00F44574"/>
    <w:rsid w:val="00F44AB0"/>
    <w:rsid w:val="00F4607A"/>
    <w:rsid w:val="00F46647"/>
    <w:rsid w:val="00F47EFA"/>
    <w:rsid w:val="00F5241F"/>
    <w:rsid w:val="00F535B9"/>
    <w:rsid w:val="00F63918"/>
    <w:rsid w:val="00F70BEF"/>
    <w:rsid w:val="00F73FFB"/>
    <w:rsid w:val="00F76E7F"/>
    <w:rsid w:val="00F77548"/>
    <w:rsid w:val="00F8135B"/>
    <w:rsid w:val="00F819FF"/>
    <w:rsid w:val="00FA19A9"/>
    <w:rsid w:val="00FA49C6"/>
    <w:rsid w:val="00FA5D42"/>
    <w:rsid w:val="00FB0CA0"/>
    <w:rsid w:val="00FB37A9"/>
    <w:rsid w:val="00FB495B"/>
    <w:rsid w:val="00FD087C"/>
    <w:rsid w:val="00FE0D42"/>
    <w:rsid w:val="00FE0F3C"/>
    <w:rsid w:val="00FF3F8D"/>
    <w:rsid w:val="00FF5949"/>
    <w:rsid w:val="00FF62A1"/>
    <w:rsid w:val="00FF68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5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VoetnoottekstChar">
    <w:name w:val="Voetnoottekst Char"/>
    <w:basedOn w:val="Standaardalinea-lettertype"/>
    <w:link w:val="Voetnoottekst"/>
    <w:uiPriority w:val="99"/>
    <w:rsid w:val="00224DB8"/>
    <w:rPr>
      <w:rFonts w:ascii="Verdana" w:hAnsi="Verdana"/>
      <w:sz w:val="13"/>
      <w:szCs w:val="13"/>
    </w:rPr>
  </w:style>
  <w:style w:type="character" w:styleId="Voetnootmarkering">
    <w:name w:val="footnote reference"/>
    <w:aliases w:val="sobrescrito,Footnote Refernece,Voetnootmarkering Openbaar Ministerie"/>
    <w:basedOn w:val="Standaardalinea-lettertype"/>
    <w:uiPriority w:val="99"/>
    <w:semiHidden/>
    <w:unhideWhenUsed/>
    <w:rsid w:val="00224DB8"/>
    <w:rPr>
      <w:vertAlign w:val="superscript"/>
    </w:rPr>
  </w:style>
  <w:style w:type="paragraph" w:styleId="Plattetekst">
    <w:name w:val="Body Text"/>
    <w:basedOn w:val="Standaard"/>
    <w:link w:val="PlattetekstChar"/>
    <w:uiPriority w:val="99"/>
    <w:unhideWhenUsed/>
    <w:rsid w:val="008006EB"/>
    <w:pPr>
      <w:autoSpaceDN/>
      <w:spacing w:after="120" w:line="278" w:lineRule="auto"/>
      <w:textAlignment w:val="auto"/>
    </w:pPr>
    <w:rPr>
      <w:rFonts w:asciiTheme="minorHAnsi" w:eastAsiaTheme="minorHAnsi" w:hAnsiTheme="minorHAnsi" w:cstheme="minorBidi"/>
      <w:color w:val="auto"/>
      <w:kern w:val="2"/>
      <w:sz w:val="24"/>
      <w:szCs w:val="24"/>
      <w:lang w:eastAsia="en-US"/>
      <w14:ligatures w14:val="standardContextual"/>
    </w:rPr>
  </w:style>
  <w:style w:type="character" w:customStyle="1" w:styleId="PlattetekstChar">
    <w:name w:val="Platte tekst Char"/>
    <w:basedOn w:val="Standaardalinea-lettertype"/>
    <w:link w:val="Plattetekst"/>
    <w:uiPriority w:val="99"/>
    <w:rsid w:val="008006EB"/>
    <w:rPr>
      <w:rFonts w:asciiTheme="minorHAnsi" w:eastAsiaTheme="minorHAnsi" w:hAnsiTheme="minorHAnsi" w:cstheme="minorBidi"/>
      <w:kern w:val="2"/>
      <w:sz w:val="24"/>
      <w:szCs w:val="24"/>
      <w:lang w:eastAsia="en-US"/>
      <w14:ligatures w14:val="standardContextual"/>
    </w:rPr>
  </w:style>
  <w:style w:type="character" w:styleId="Verwijzingopmerking">
    <w:name w:val="annotation reference"/>
    <w:basedOn w:val="Standaardalinea-lettertype"/>
    <w:uiPriority w:val="99"/>
    <w:semiHidden/>
    <w:unhideWhenUsed/>
    <w:rsid w:val="008006EB"/>
    <w:rPr>
      <w:sz w:val="16"/>
      <w:szCs w:val="16"/>
    </w:rPr>
  </w:style>
  <w:style w:type="paragraph" w:styleId="Tekstopmerking">
    <w:name w:val="annotation text"/>
    <w:basedOn w:val="Standaard"/>
    <w:link w:val="TekstopmerkingChar"/>
    <w:uiPriority w:val="99"/>
    <w:unhideWhenUsed/>
    <w:rsid w:val="008006E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006EB"/>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D0611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D06114"/>
    <w:rPr>
      <w:rFonts w:ascii="Verdana" w:eastAsiaTheme="minorHAnsi" w:hAnsi="Verdana" w:cstheme="minorBidi"/>
      <w:b/>
      <w:bCs/>
      <w:color w:val="000000"/>
      <w:kern w:val="2"/>
      <w:lang w:eastAsia="en-US"/>
      <w14:ligatures w14:val="standardContextual"/>
    </w:rPr>
  </w:style>
  <w:style w:type="character" w:styleId="Onopgelostemelding">
    <w:name w:val="Unresolved Mention"/>
    <w:basedOn w:val="Standaardalinea-lettertype"/>
    <w:uiPriority w:val="99"/>
    <w:semiHidden/>
    <w:unhideWhenUsed/>
    <w:rsid w:val="00B862BE"/>
    <w:rPr>
      <w:color w:val="605E5C"/>
      <w:shd w:val="clear" w:color="auto" w:fill="E1DFDD"/>
    </w:rPr>
  </w:style>
  <w:style w:type="paragraph" w:styleId="Koptekst">
    <w:name w:val="header"/>
    <w:basedOn w:val="Standaard"/>
    <w:link w:val="KoptekstChar"/>
    <w:uiPriority w:val="99"/>
    <w:unhideWhenUsed/>
    <w:rsid w:val="00A30AB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0AB5"/>
    <w:rPr>
      <w:rFonts w:ascii="Verdana" w:hAnsi="Verdana"/>
      <w:color w:val="000000"/>
      <w:sz w:val="18"/>
      <w:szCs w:val="18"/>
    </w:rPr>
  </w:style>
  <w:style w:type="paragraph" w:styleId="Voettekst">
    <w:name w:val="footer"/>
    <w:basedOn w:val="Standaard"/>
    <w:link w:val="VoettekstChar"/>
    <w:uiPriority w:val="99"/>
    <w:unhideWhenUsed/>
    <w:rsid w:val="00A30AB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30AB5"/>
    <w:rPr>
      <w:rFonts w:ascii="Verdana" w:hAnsi="Verdana"/>
      <w:color w:val="000000"/>
      <w:sz w:val="18"/>
      <w:szCs w:val="18"/>
    </w:rPr>
  </w:style>
  <w:style w:type="character" w:styleId="GevolgdeHyperlink">
    <w:name w:val="FollowedHyperlink"/>
    <w:basedOn w:val="Standaardalinea-lettertype"/>
    <w:uiPriority w:val="99"/>
    <w:semiHidden/>
    <w:unhideWhenUsed/>
    <w:rsid w:val="00224936"/>
    <w:rPr>
      <w:color w:val="96607D" w:themeColor="followedHyperlink"/>
      <w:u w:val="single"/>
    </w:rPr>
  </w:style>
  <w:style w:type="paragraph" w:styleId="Eindnoottekst">
    <w:name w:val="endnote text"/>
    <w:basedOn w:val="Standaard"/>
    <w:link w:val="EindnoottekstChar"/>
    <w:uiPriority w:val="99"/>
    <w:semiHidden/>
    <w:unhideWhenUsed/>
    <w:rsid w:val="00F0699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F0699E"/>
    <w:rPr>
      <w:rFonts w:ascii="Verdana" w:hAnsi="Verdana"/>
      <w:color w:val="000000"/>
    </w:rPr>
  </w:style>
  <w:style w:type="character" w:styleId="Eindnootmarkering">
    <w:name w:val="endnote reference"/>
    <w:basedOn w:val="Standaardalinea-lettertype"/>
    <w:uiPriority w:val="99"/>
    <w:semiHidden/>
    <w:unhideWhenUsed/>
    <w:rsid w:val="00F0699E"/>
    <w:rPr>
      <w:vertAlign w:val="superscript"/>
    </w:rPr>
  </w:style>
  <w:style w:type="paragraph" w:styleId="Revisie">
    <w:name w:val="Revision"/>
    <w:hidden/>
    <w:uiPriority w:val="99"/>
    <w:semiHidden/>
    <w:rsid w:val="00A1325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4454">
      <w:bodyDiv w:val="1"/>
      <w:marLeft w:val="0"/>
      <w:marRight w:val="0"/>
      <w:marTop w:val="0"/>
      <w:marBottom w:val="0"/>
      <w:divBdr>
        <w:top w:val="none" w:sz="0" w:space="0" w:color="auto"/>
        <w:left w:val="none" w:sz="0" w:space="0" w:color="auto"/>
        <w:bottom w:val="none" w:sz="0" w:space="0" w:color="auto"/>
        <w:right w:val="none" w:sz="0" w:space="0" w:color="auto"/>
      </w:divBdr>
      <w:divsChild>
        <w:div w:id="673841536">
          <w:marLeft w:val="0"/>
          <w:marRight w:val="0"/>
          <w:marTop w:val="0"/>
          <w:marBottom w:val="0"/>
          <w:divBdr>
            <w:top w:val="none" w:sz="0" w:space="0" w:color="auto"/>
            <w:left w:val="none" w:sz="0" w:space="0" w:color="auto"/>
            <w:bottom w:val="none" w:sz="0" w:space="0" w:color="auto"/>
            <w:right w:val="none" w:sz="0" w:space="0" w:color="auto"/>
          </w:divBdr>
        </w:div>
      </w:divsChild>
    </w:div>
    <w:div w:id="56826828">
      <w:bodyDiv w:val="1"/>
      <w:marLeft w:val="0"/>
      <w:marRight w:val="0"/>
      <w:marTop w:val="0"/>
      <w:marBottom w:val="0"/>
      <w:divBdr>
        <w:top w:val="none" w:sz="0" w:space="0" w:color="auto"/>
        <w:left w:val="none" w:sz="0" w:space="0" w:color="auto"/>
        <w:bottom w:val="none" w:sz="0" w:space="0" w:color="auto"/>
        <w:right w:val="none" w:sz="0" w:space="0" w:color="auto"/>
      </w:divBdr>
    </w:div>
    <w:div w:id="158348139">
      <w:bodyDiv w:val="1"/>
      <w:marLeft w:val="0"/>
      <w:marRight w:val="0"/>
      <w:marTop w:val="0"/>
      <w:marBottom w:val="0"/>
      <w:divBdr>
        <w:top w:val="none" w:sz="0" w:space="0" w:color="auto"/>
        <w:left w:val="none" w:sz="0" w:space="0" w:color="auto"/>
        <w:bottom w:val="none" w:sz="0" w:space="0" w:color="auto"/>
        <w:right w:val="none" w:sz="0" w:space="0" w:color="auto"/>
      </w:divBdr>
    </w:div>
    <w:div w:id="258299325">
      <w:bodyDiv w:val="1"/>
      <w:marLeft w:val="0"/>
      <w:marRight w:val="0"/>
      <w:marTop w:val="0"/>
      <w:marBottom w:val="0"/>
      <w:divBdr>
        <w:top w:val="none" w:sz="0" w:space="0" w:color="auto"/>
        <w:left w:val="none" w:sz="0" w:space="0" w:color="auto"/>
        <w:bottom w:val="none" w:sz="0" w:space="0" w:color="auto"/>
        <w:right w:val="none" w:sz="0" w:space="0" w:color="auto"/>
      </w:divBdr>
      <w:divsChild>
        <w:div w:id="1061176408">
          <w:marLeft w:val="0"/>
          <w:marRight w:val="0"/>
          <w:marTop w:val="0"/>
          <w:marBottom w:val="0"/>
          <w:divBdr>
            <w:top w:val="none" w:sz="0" w:space="0" w:color="auto"/>
            <w:left w:val="none" w:sz="0" w:space="0" w:color="auto"/>
            <w:bottom w:val="none" w:sz="0" w:space="0" w:color="auto"/>
            <w:right w:val="none" w:sz="0" w:space="0" w:color="auto"/>
          </w:divBdr>
        </w:div>
      </w:divsChild>
    </w:div>
    <w:div w:id="324673000">
      <w:bodyDiv w:val="1"/>
      <w:marLeft w:val="0"/>
      <w:marRight w:val="0"/>
      <w:marTop w:val="0"/>
      <w:marBottom w:val="0"/>
      <w:divBdr>
        <w:top w:val="none" w:sz="0" w:space="0" w:color="auto"/>
        <w:left w:val="none" w:sz="0" w:space="0" w:color="auto"/>
        <w:bottom w:val="none" w:sz="0" w:space="0" w:color="auto"/>
        <w:right w:val="none" w:sz="0" w:space="0" w:color="auto"/>
      </w:divBdr>
      <w:divsChild>
        <w:div w:id="1945728085">
          <w:marLeft w:val="0"/>
          <w:marRight w:val="0"/>
          <w:marTop w:val="0"/>
          <w:marBottom w:val="0"/>
          <w:divBdr>
            <w:top w:val="none" w:sz="0" w:space="0" w:color="auto"/>
            <w:left w:val="none" w:sz="0" w:space="0" w:color="auto"/>
            <w:bottom w:val="none" w:sz="0" w:space="0" w:color="auto"/>
            <w:right w:val="none" w:sz="0" w:space="0" w:color="auto"/>
          </w:divBdr>
        </w:div>
      </w:divsChild>
    </w:div>
    <w:div w:id="422797394">
      <w:bodyDiv w:val="1"/>
      <w:marLeft w:val="0"/>
      <w:marRight w:val="0"/>
      <w:marTop w:val="0"/>
      <w:marBottom w:val="0"/>
      <w:divBdr>
        <w:top w:val="none" w:sz="0" w:space="0" w:color="auto"/>
        <w:left w:val="none" w:sz="0" w:space="0" w:color="auto"/>
        <w:bottom w:val="none" w:sz="0" w:space="0" w:color="auto"/>
        <w:right w:val="none" w:sz="0" w:space="0" w:color="auto"/>
      </w:divBdr>
    </w:div>
    <w:div w:id="428745918">
      <w:bodyDiv w:val="1"/>
      <w:marLeft w:val="0"/>
      <w:marRight w:val="0"/>
      <w:marTop w:val="0"/>
      <w:marBottom w:val="0"/>
      <w:divBdr>
        <w:top w:val="none" w:sz="0" w:space="0" w:color="auto"/>
        <w:left w:val="none" w:sz="0" w:space="0" w:color="auto"/>
        <w:bottom w:val="none" w:sz="0" w:space="0" w:color="auto"/>
        <w:right w:val="none" w:sz="0" w:space="0" w:color="auto"/>
      </w:divBdr>
    </w:div>
    <w:div w:id="474221471">
      <w:bodyDiv w:val="1"/>
      <w:marLeft w:val="0"/>
      <w:marRight w:val="0"/>
      <w:marTop w:val="0"/>
      <w:marBottom w:val="0"/>
      <w:divBdr>
        <w:top w:val="none" w:sz="0" w:space="0" w:color="auto"/>
        <w:left w:val="none" w:sz="0" w:space="0" w:color="auto"/>
        <w:bottom w:val="none" w:sz="0" w:space="0" w:color="auto"/>
        <w:right w:val="none" w:sz="0" w:space="0" w:color="auto"/>
      </w:divBdr>
    </w:div>
    <w:div w:id="533159502">
      <w:bodyDiv w:val="1"/>
      <w:marLeft w:val="0"/>
      <w:marRight w:val="0"/>
      <w:marTop w:val="0"/>
      <w:marBottom w:val="0"/>
      <w:divBdr>
        <w:top w:val="none" w:sz="0" w:space="0" w:color="auto"/>
        <w:left w:val="none" w:sz="0" w:space="0" w:color="auto"/>
        <w:bottom w:val="none" w:sz="0" w:space="0" w:color="auto"/>
        <w:right w:val="none" w:sz="0" w:space="0" w:color="auto"/>
      </w:divBdr>
    </w:div>
    <w:div w:id="817838926">
      <w:bodyDiv w:val="1"/>
      <w:marLeft w:val="0"/>
      <w:marRight w:val="0"/>
      <w:marTop w:val="0"/>
      <w:marBottom w:val="0"/>
      <w:divBdr>
        <w:top w:val="none" w:sz="0" w:space="0" w:color="auto"/>
        <w:left w:val="none" w:sz="0" w:space="0" w:color="auto"/>
        <w:bottom w:val="none" w:sz="0" w:space="0" w:color="auto"/>
        <w:right w:val="none" w:sz="0" w:space="0" w:color="auto"/>
      </w:divBdr>
    </w:div>
    <w:div w:id="833374336">
      <w:bodyDiv w:val="1"/>
      <w:marLeft w:val="0"/>
      <w:marRight w:val="0"/>
      <w:marTop w:val="0"/>
      <w:marBottom w:val="0"/>
      <w:divBdr>
        <w:top w:val="none" w:sz="0" w:space="0" w:color="auto"/>
        <w:left w:val="none" w:sz="0" w:space="0" w:color="auto"/>
        <w:bottom w:val="none" w:sz="0" w:space="0" w:color="auto"/>
        <w:right w:val="none" w:sz="0" w:space="0" w:color="auto"/>
      </w:divBdr>
    </w:div>
    <w:div w:id="1247690953">
      <w:bodyDiv w:val="1"/>
      <w:marLeft w:val="0"/>
      <w:marRight w:val="0"/>
      <w:marTop w:val="0"/>
      <w:marBottom w:val="0"/>
      <w:divBdr>
        <w:top w:val="none" w:sz="0" w:space="0" w:color="auto"/>
        <w:left w:val="none" w:sz="0" w:space="0" w:color="auto"/>
        <w:bottom w:val="none" w:sz="0" w:space="0" w:color="auto"/>
        <w:right w:val="none" w:sz="0" w:space="0" w:color="auto"/>
      </w:divBdr>
    </w:div>
    <w:div w:id="1286348623">
      <w:bodyDiv w:val="1"/>
      <w:marLeft w:val="0"/>
      <w:marRight w:val="0"/>
      <w:marTop w:val="0"/>
      <w:marBottom w:val="0"/>
      <w:divBdr>
        <w:top w:val="none" w:sz="0" w:space="0" w:color="auto"/>
        <w:left w:val="none" w:sz="0" w:space="0" w:color="auto"/>
        <w:bottom w:val="none" w:sz="0" w:space="0" w:color="auto"/>
        <w:right w:val="none" w:sz="0" w:space="0" w:color="auto"/>
      </w:divBdr>
    </w:div>
    <w:div w:id="1403673397">
      <w:bodyDiv w:val="1"/>
      <w:marLeft w:val="0"/>
      <w:marRight w:val="0"/>
      <w:marTop w:val="0"/>
      <w:marBottom w:val="0"/>
      <w:divBdr>
        <w:top w:val="none" w:sz="0" w:space="0" w:color="auto"/>
        <w:left w:val="none" w:sz="0" w:space="0" w:color="auto"/>
        <w:bottom w:val="none" w:sz="0" w:space="0" w:color="auto"/>
        <w:right w:val="none" w:sz="0" w:space="0" w:color="auto"/>
      </w:divBdr>
    </w:div>
    <w:div w:id="1527794419">
      <w:bodyDiv w:val="1"/>
      <w:marLeft w:val="0"/>
      <w:marRight w:val="0"/>
      <w:marTop w:val="0"/>
      <w:marBottom w:val="0"/>
      <w:divBdr>
        <w:top w:val="none" w:sz="0" w:space="0" w:color="auto"/>
        <w:left w:val="none" w:sz="0" w:space="0" w:color="auto"/>
        <w:bottom w:val="none" w:sz="0" w:space="0" w:color="auto"/>
        <w:right w:val="none" w:sz="0" w:space="0" w:color="auto"/>
      </w:divBdr>
    </w:div>
    <w:div w:id="1556816553">
      <w:bodyDiv w:val="1"/>
      <w:marLeft w:val="0"/>
      <w:marRight w:val="0"/>
      <w:marTop w:val="0"/>
      <w:marBottom w:val="0"/>
      <w:divBdr>
        <w:top w:val="none" w:sz="0" w:space="0" w:color="auto"/>
        <w:left w:val="none" w:sz="0" w:space="0" w:color="auto"/>
        <w:bottom w:val="none" w:sz="0" w:space="0" w:color="auto"/>
        <w:right w:val="none" w:sz="0" w:space="0" w:color="auto"/>
      </w:divBdr>
      <w:divsChild>
        <w:div w:id="533618830">
          <w:marLeft w:val="0"/>
          <w:marRight w:val="0"/>
          <w:marTop w:val="0"/>
          <w:marBottom w:val="0"/>
          <w:divBdr>
            <w:top w:val="none" w:sz="0" w:space="0" w:color="auto"/>
            <w:left w:val="none" w:sz="0" w:space="0" w:color="auto"/>
            <w:bottom w:val="none" w:sz="0" w:space="0" w:color="auto"/>
            <w:right w:val="none" w:sz="0" w:space="0" w:color="auto"/>
          </w:divBdr>
        </w:div>
      </w:divsChild>
    </w:div>
    <w:div w:id="1561402842">
      <w:bodyDiv w:val="1"/>
      <w:marLeft w:val="0"/>
      <w:marRight w:val="0"/>
      <w:marTop w:val="0"/>
      <w:marBottom w:val="0"/>
      <w:divBdr>
        <w:top w:val="none" w:sz="0" w:space="0" w:color="auto"/>
        <w:left w:val="none" w:sz="0" w:space="0" w:color="auto"/>
        <w:bottom w:val="none" w:sz="0" w:space="0" w:color="auto"/>
        <w:right w:val="none" w:sz="0" w:space="0" w:color="auto"/>
      </w:divBdr>
    </w:div>
    <w:div w:id="1595019385">
      <w:bodyDiv w:val="1"/>
      <w:marLeft w:val="0"/>
      <w:marRight w:val="0"/>
      <w:marTop w:val="0"/>
      <w:marBottom w:val="0"/>
      <w:divBdr>
        <w:top w:val="none" w:sz="0" w:space="0" w:color="auto"/>
        <w:left w:val="none" w:sz="0" w:space="0" w:color="auto"/>
        <w:bottom w:val="none" w:sz="0" w:space="0" w:color="auto"/>
        <w:right w:val="none" w:sz="0" w:space="0" w:color="auto"/>
      </w:divBdr>
    </w:div>
    <w:div w:id="1717045299">
      <w:bodyDiv w:val="1"/>
      <w:marLeft w:val="0"/>
      <w:marRight w:val="0"/>
      <w:marTop w:val="0"/>
      <w:marBottom w:val="0"/>
      <w:divBdr>
        <w:top w:val="none" w:sz="0" w:space="0" w:color="auto"/>
        <w:left w:val="none" w:sz="0" w:space="0" w:color="auto"/>
        <w:bottom w:val="none" w:sz="0" w:space="0" w:color="auto"/>
        <w:right w:val="none" w:sz="0" w:space="0" w:color="auto"/>
      </w:divBdr>
    </w:div>
    <w:div w:id="1723671579">
      <w:bodyDiv w:val="1"/>
      <w:marLeft w:val="0"/>
      <w:marRight w:val="0"/>
      <w:marTop w:val="0"/>
      <w:marBottom w:val="0"/>
      <w:divBdr>
        <w:top w:val="none" w:sz="0" w:space="0" w:color="auto"/>
        <w:left w:val="none" w:sz="0" w:space="0" w:color="auto"/>
        <w:bottom w:val="none" w:sz="0" w:space="0" w:color="auto"/>
        <w:right w:val="none" w:sz="0" w:space="0" w:color="auto"/>
      </w:divBdr>
    </w:div>
    <w:div w:id="1757823773">
      <w:bodyDiv w:val="1"/>
      <w:marLeft w:val="0"/>
      <w:marRight w:val="0"/>
      <w:marTop w:val="0"/>
      <w:marBottom w:val="0"/>
      <w:divBdr>
        <w:top w:val="none" w:sz="0" w:space="0" w:color="auto"/>
        <w:left w:val="none" w:sz="0" w:space="0" w:color="auto"/>
        <w:bottom w:val="none" w:sz="0" w:space="0" w:color="auto"/>
        <w:right w:val="none" w:sz="0" w:space="0" w:color="auto"/>
      </w:divBdr>
    </w:div>
    <w:div w:id="1840578842">
      <w:bodyDiv w:val="1"/>
      <w:marLeft w:val="0"/>
      <w:marRight w:val="0"/>
      <w:marTop w:val="0"/>
      <w:marBottom w:val="0"/>
      <w:divBdr>
        <w:top w:val="none" w:sz="0" w:space="0" w:color="auto"/>
        <w:left w:val="none" w:sz="0" w:space="0" w:color="auto"/>
        <w:bottom w:val="none" w:sz="0" w:space="0" w:color="auto"/>
        <w:right w:val="none" w:sz="0" w:space="0" w:color="auto"/>
      </w:divBdr>
    </w:div>
    <w:div w:id="1936593638">
      <w:bodyDiv w:val="1"/>
      <w:marLeft w:val="0"/>
      <w:marRight w:val="0"/>
      <w:marTop w:val="0"/>
      <w:marBottom w:val="0"/>
      <w:divBdr>
        <w:top w:val="none" w:sz="0" w:space="0" w:color="auto"/>
        <w:left w:val="none" w:sz="0" w:space="0" w:color="auto"/>
        <w:bottom w:val="none" w:sz="0" w:space="0" w:color="auto"/>
        <w:right w:val="none" w:sz="0" w:space="0" w:color="auto"/>
      </w:divBdr>
    </w:div>
    <w:div w:id="2082480438">
      <w:bodyDiv w:val="1"/>
      <w:marLeft w:val="0"/>
      <w:marRight w:val="0"/>
      <w:marTop w:val="0"/>
      <w:marBottom w:val="0"/>
      <w:divBdr>
        <w:top w:val="none" w:sz="0" w:space="0" w:color="auto"/>
        <w:left w:val="none" w:sz="0" w:space="0" w:color="auto"/>
        <w:bottom w:val="none" w:sz="0" w:space="0" w:color="auto"/>
        <w:right w:val="none" w:sz="0" w:space="0" w:color="auto"/>
      </w:divBdr>
    </w:div>
    <w:div w:id="2090885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6800-VI-133.html" TargetMode="External"/><Relationship Id="rId13" Type="http://schemas.openxmlformats.org/officeDocument/2006/relationships/hyperlink" Target="http://paminco.minjus.nl/pamincodotnet/DetailRapport/PARapport.aspx?id=130040&amp;CalledFrom=DetailRapport" TargetMode="External"/><Relationship Id="rId3" Type="http://schemas.openxmlformats.org/officeDocument/2006/relationships/hyperlink" Target="https://www.politie.nl/informatie/politie-voor-iedereen-diversiteit-en-inclusie.html" TargetMode="External"/><Relationship Id="rId7" Type="http://schemas.openxmlformats.org/officeDocument/2006/relationships/hyperlink" Target="https://zoek.officielebekendmakingen.nl/kst-36800-VI-133.html" TargetMode="External"/><Relationship Id="rId12" Type="http://schemas.openxmlformats.org/officeDocument/2006/relationships/hyperlink" Target="https://hcss.nl/wp-content/uploads/2026/03/Strategische-Monitor-Politie-2026-HCSS-WEB.pdf" TargetMode="External"/><Relationship Id="rId2" Type="http://schemas.openxmlformats.org/officeDocument/2006/relationships/hyperlink" Target="https://www.politie.nl/informatie/strategische-agenda-politie-stevig-staan-in-deze-tijd.html" TargetMode="External"/><Relationship Id="rId16" Type="http://schemas.openxmlformats.org/officeDocument/2006/relationships/hyperlink" Target="https://zoek.officielebekendmakingen.nl/stcrt-2026-21457.html" TargetMode="External"/><Relationship Id="rId1" Type="http://schemas.openxmlformats.org/officeDocument/2006/relationships/hyperlink" Target="file:///H:\Downloads\Verslag%20van%20een%20wetgevingsoverleg,%20gehouden%20op%2026%20januari%202026,%20over%20Begrotingsonderdeel%20Politie%20(4).pdf" TargetMode="External"/><Relationship Id="rId6" Type="http://schemas.openxmlformats.org/officeDocument/2006/relationships/hyperlink" Target="https://open.overheid.nl/documenten/3fcf103a-8667-4946-9eec-f327bc36f7fb/file" TargetMode="External"/><Relationship Id="rId11" Type="http://schemas.openxmlformats.org/officeDocument/2006/relationships/hyperlink" Target="https://www.veiligepubliekedienstverlening.nl/actueel/nieuws/2026/04/30/in-gesprek-met-jenv-hoe-de-baseline-helpt-tegen-agressie-en-geweld" TargetMode="External"/><Relationship Id="rId5" Type="http://schemas.openxmlformats.org/officeDocument/2006/relationships/hyperlink" Target="https://open.overheid.nl/documenten/dcd16ec3-fdbf-48ad-8348-c29fe0495b55/file" TargetMode="External"/><Relationship Id="rId15" Type="http://schemas.openxmlformats.org/officeDocument/2006/relationships/hyperlink" Target="https://www.rechtspraak.nl/organisatie-en-contact/organisatie/rechtbanken/rechtbank-den-haag/nieuws/veroordelingen-na-hevige-ongeregeldheden-rond-demonstratie-malieveld-in-den-haag" TargetMode="External"/><Relationship Id="rId10" Type="http://schemas.openxmlformats.org/officeDocument/2006/relationships/hyperlink" Target="https://zoek.officielebekendmakingen.nl/ah-tk-20242025-543.html" TargetMode="External"/><Relationship Id="rId4" Type="http://schemas.openxmlformats.org/officeDocument/2006/relationships/hyperlink" Target="https://open.overheid.nl/documenten/dpc-374aaf38926e5b5e3e1aefd6a443d1d20ca8c7d9/pdf" TargetMode="External"/><Relationship Id="rId9" Type="http://schemas.openxmlformats.org/officeDocument/2006/relationships/hyperlink" Target="https://www.politie.nl/nieuws/2025/oktober/15/05-voetbalseizoen-24-25-weer-minder-incidenten.html" TargetMode="External"/><Relationship Id="rId14" Type="http://schemas.openxmlformats.org/officeDocument/2006/relationships/hyperlink" Target="https://www.wodc.nl/actueel/nieuws/2026/04/21/geen-pasklare-oplossing-voor-winkeldiefsta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27</ap:Pages>
  <ap:Words>12166</ap:Words>
  <ap:Characters>66915</ap:Characters>
  <ap:DocSecurity>0</ap:DocSecurity>
  <ap:Lines>557</ap:Lines>
  <ap:Paragraphs>157</ap:Paragraphs>
  <ap:ScaleCrop>false</ap:ScaleCrop>
  <ap:LinksUpToDate>false</ap:LinksUpToDate>
  <ap:CharactersWithSpaces>78924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2026-07-03T13:08:00.0000000Z</dcterms:created>
  <dcterms:modified xsi:type="dcterms:W3CDTF">2026-07-03T13:09:00.0000000Z</dcterms:modified>
  <dc:description>------------------------</dc:description>
  <dc:subject/>
  <keywords/>
  <version/>
  <category/>
</coreProperties>
</file>