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5E7E43" w:rsidR="002F6197" w:rsidP="002F6197" w14:paraId="7A23E66F" w14:textId="77777777">
      <w:pPr>
        <w:pStyle w:val="ListParagraph"/>
        <w:numPr>
          <w:ilvl w:val="0"/>
          <w:numId w:val="5"/>
        </w:numPr>
        <w:rPr>
          <w:rFonts w:ascii="Verdana" w:hAnsi="Verdana"/>
          <w:b/>
          <w:bCs/>
          <w:sz w:val="18"/>
          <w:szCs w:val="18"/>
        </w:rPr>
      </w:pPr>
      <w:r w:rsidRPr="005E7E43">
        <w:rPr>
          <w:rFonts w:ascii="Verdana" w:hAnsi="Verdana"/>
          <w:b/>
          <w:bCs/>
          <w:sz w:val="18"/>
          <w:szCs w:val="18"/>
        </w:rPr>
        <w:t>Aanleiding</w:t>
      </w:r>
    </w:p>
    <w:p w:rsidRPr="005E7E43" w:rsidR="002F6197" w:rsidP="002F6197" w14:paraId="4E4C242A" w14:textId="77777777">
      <w:bookmarkStart w:name="_Hlk222480182" w:id="0"/>
      <w:r w:rsidRPr="005E7E43">
        <w:t xml:space="preserve">In het </w:t>
      </w:r>
      <w:r w:rsidRPr="005E7E43" w:rsidR="008218D3">
        <w:t xml:space="preserve">coalitieakkoord van het kabinet is aangegeven </w:t>
      </w:r>
      <w:r w:rsidRPr="005E7E43" w:rsidR="00797962">
        <w:t xml:space="preserve">dat voor een sterke democratie en een betrouwbare en </w:t>
      </w:r>
      <w:r w:rsidRPr="005E7E43" w:rsidR="00BD6C29">
        <w:t>menselijke</w:t>
      </w:r>
      <w:r w:rsidRPr="005E7E43" w:rsidR="00797962">
        <w:t xml:space="preserve"> overheid</w:t>
      </w:r>
      <w:r w:rsidRPr="005E7E43" w:rsidR="0022031E">
        <w:t xml:space="preserve"> </w:t>
      </w:r>
      <w:r w:rsidRPr="005E7E43" w:rsidR="008218D3">
        <w:t>de uitvoerbaarheid van beleid versterking behoeft.</w:t>
      </w:r>
      <w:r w:rsidRPr="005E7E43" w:rsidR="00187978">
        <w:t xml:space="preserve"> De uitvoerbaarheid van beleid </w:t>
      </w:r>
      <w:r w:rsidRPr="005E7E43" w:rsidR="0091306F">
        <w:t xml:space="preserve">is </w:t>
      </w:r>
      <w:r w:rsidRPr="005E7E43" w:rsidR="00187978">
        <w:t>mede afhankelijk van een goede toedeling van taken en bevoegdheden aan het decentraal en gedeconcentreerd bestuur.</w:t>
      </w:r>
      <w:r w:rsidR="006F30A4">
        <w:t xml:space="preserve"> </w:t>
      </w:r>
      <w:r w:rsidRPr="005E7E43" w:rsidR="00797962">
        <w:t>Daartoe is een</w:t>
      </w:r>
      <w:r w:rsidRPr="005E7E43" w:rsidR="0022031E">
        <w:t xml:space="preserve"> eerder</w:t>
      </w:r>
      <w:r w:rsidRPr="005E7E43" w:rsidR="00797962">
        <w:t xml:space="preserve"> </w:t>
      </w:r>
      <w:r w:rsidRPr="005E7E43" w:rsidR="00F3216C">
        <w:t xml:space="preserve">aangekondigd beleidskader </w:t>
      </w:r>
      <w:r w:rsidRPr="005E7E43">
        <w:t xml:space="preserve">decentraal en gedeconcentreerd bestuur </w:t>
      </w:r>
      <w:r w:rsidRPr="005E7E43" w:rsidR="00797962">
        <w:t>ontwikkeld</w:t>
      </w:r>
      <w:r w:rsidR="003B637B">
        <w:t>,</w:t>
      </w:r>
      <w:r w:rsidRPr="005E7E43" w:rsidR="00797962">
        <w:t xml:space="preserve"> </w:t>
      </w:r>
      <w:r w:rsidRPr="005E7E43">
        <w:t xml:space="preserve">met een afwegingskader voor het </w:t>
      </w:r>
      <w:r w:rsidRPr="005E7E43" w:rsidR="005F1A6D">
        <w:t>R</w:t>
      </w:r>
      <w:r w:rsidRPr="005E7E43">
        <w:t>ijk voor het toedelen van taken en bevoegdheden, waaronder aan het regionaal bestuur.</w:t>
      </w:r>
      <w:r>
        <w:rPr>
          <w:rStyle w:val="FootnoteReference"/>
        </w:rPr>
        <w:footnoteReference w:id="2"/>
      </w:r>
      <w:r w:rsidRPr="005E7E43" w:rsidR="00B43774">
        <w:t xml:space="preserve"> </w:t>
      </w:r>
      <w:r w:rsidRPr="005E7E43" w:rsidR="00F3216C">
        <w:t xml:space="preserve">Hierbij bied ik uw Kamer dit beleidskader aan. </w:t>
      </w:r>
      <w:r w:rsidRPr="005E7E43" w:rsidR="00BE3EC1">
        <w:t xml:space="preserve">Dit kader is onderdeel van de beleidsinzet </w:t>
      </w:r>
      <w:r w:rsidRPr="005E7E43" w:rsidR="00D94F24">
        <w:t>voor een</w:t>
      </w:r>
      <w:r w:rsidRPr="005E7E43" w:rsidR="00B43774">
        <w:t xml:space="preserve"> dienstbare, slagvaardige, herkenbare en democratische overheid</w:t>
      </w:r>
      <w:r w:rsidRPr="005E7E43" w:rsidR="00BE3EC1">
        <w:t xml:space="preserve">, zoals </w:t>
      </w:r>
      <w:r w:rsidRPr="005E7E43" w:rsidR="00F3216C">
        <w:t xml:space="preserve">eerder </w:t>
      </w:r>
      <w:r w:rsidRPr="005E7E43" w:rsidR="00BE3EC1">
        <w:t>verwoord in de actieagenda goed bestuur</w:t>
      </w:r>
      <w:r w:rsidRPr="005E7E43" w:rsidR="00B53367">
        <w:t xml:space="preserve"> van het vorige kabinet</w:t>
      </w:r>
      <w:r w:rsidRPr="005E7E43" w:rsidR="00F3216C">
        <w:t>.</w:t>
      </w:r>
      <w:r>
        <w:rPr>
          <w:rStyle w:val="FootnoteReference"/>
        </w:rPr>
        <w:footnoteReference w:id="3"/>
      </w:r>
      <w:r w:rsidRPr="005E7E43" w:rsidR="00E462C8">
        <w:t xml:space="preserve"> </w:t>
      </w:r>
    </w:p>
    <w:bookmarkEnd w:id="0"/>
    <w:p w:rsidRPr="005E7E43" w:rsidR="002F6197" w:rsidP="002F6197" w14:paraId="5A143234" w14:textId="77777777"/>
    <w:p w:rsidR="00871122" w:rsidP="002F6197" w14:paraId="53D6D1A7" w14:textId="77777777">
      <w:r w:rsidRPr="005E7E43">
        <w:t>In de actieagenda goed bestuur is geconstateerd dat d</w:t>
      </w:r>
      <w:r w:rsidRPr="005E7E43" w:rsidR="00C259B1">
        <w:t>e afgelopen jaren</w:t>
      </w:r>
      <w:r w:rsidRPr="005E7E43" w:rsidR="00D446E4">
        <w:t xml:space="preserve"> op een aantal </w:t>
      </w:r>
      <w:r w:rsidRPr="005E7E43" w:rsidR="007C7078">
        <w:t>gebieden</w:t>
      </w:r>
      <w:r w:rsidRPr="005E7E43" w:rsidR="00C259B1">
        <w:t xml:space="preserve"> een </w:t>
      </w:r>
      <w:r w:rsidRPr="005E7E43" w:rsidR="00497EAA">
        <w:t xml:space="preserve">disbalans </w:t>
      </w:r>
      <w:r w:rsidRPr="005E7E43" w:rsidR="00C259B1">
        <w:t xml:space="preserve">tussen taken, middelen, ambities en uitvoeringskracht </w:t>
      </w:r>
      <w:r w:rsidRPr="005E7E43" w:rsidR="007C7078">
        <w:t xml:space="preserve">van gemeenten </w:t>
      </w:r>
      <w:r w:rsidRPr="005E7E43">
        <w:t xml:space="preserve">is </w:t>
      </w:r>
      <w:r w:rsidRPr="005E7E43" w:rsidR="009F2846">
        <w:t>ontstaan</w:t>
      </w:r>
      <w:r w:rsidRPr="005E7E43" w:rsidR="007C7078">
        <w:t xml:space="preserve">. </w:t>
      </w:r>
      <w:r w:rsidRPr="005E7E43" w:rsidR="007A7F7D">
        <w:t xml:space="preserve">Die scheefgroei wordt veroorzaakt door een samenloop van ontwikkelingen. </w:t>
      </w:r>
      <w:r w:rsidRPr="005E7E43">
        <w:t>Veel adviezen en rapporten hebben aan deze problematiek de afgelopen periode aandacht geschonken, waaronder recentelijk het advies van de studiegroep interbestuurlijke verhoudingen, dat naar aanleiding van een motie van het lid-</w:t>
      </w:r>
      <w:r w:rsidRPr="005E7E43">
        <w:t>Chakor</w:t>
      </w:r>
      <w:r w:rsidRPr="005E7E43">
        <w:t xml:space="preserve"> werd opgesteld. </w:t>
      </w:r>
      <w:r w:rsidRPr="005E7E43" w:rsidR="007A7F7D">
        <w:t>Zo is e</w:t>
      </w:r>
      <w:r w:rsidRPr="005E7E43" w:rsidR="0052582A">
        <w:t xml:space="preserve">r een </w:t>
      </w:r>
      <w:r w:rsidRPr="005E7E43" w:rsidR="007A7F7D">
        <w:t xml:space="preserve">merkbare </w:t>
      </w:r>
      <w:r w:rsidRPr="005E7E43" w:rsidR="0052582A">
        <w:t xml:space="preserve">tendens naar meer sturingsbehoefte vanuit het Rijk op gedecentraliseerde taken. </w:t>
      </w:r>
      <w:r w:rsidRPr="005E7E43" w:rsidR="0036261E">
        <w:t>De beleidsvrijheid en de autonomie zijn daardoor geslonken.</w:t>
      </w:r>
      <w:r w:rsidRPr="005E7E43" w:rsidR="00C259B1">
        <w:t xml:space="preserve"> </w:t>
      </w:r>
      <w:r w:rsidRPr="005E7E43" w:rsidR="007A7F7D">
        <w:t xml:space="preserve">Hierdoor worden de </w:t>
      </w:r>
      <w:r w:rsidRPr="005E7E43" w:rsidR="009F612A">
        <w:t xml:space="preserve">gemeentebesturen </w:t>
      </w:r>
      <w:r w:rsidRPr="005E7E43" w:rsidR="00497EAA">
        <w:t>vaker</w:t>
      </w:r>
      <w:r w:rsidRPr="005E7E43" w:rsidR="007A7F7D">
        <w:t xml:space="preserve"> ingezet </w:t>
      </w:r>
      <w:r w:rsidRPr="005E7E43" w:rsidR="009F612A">
        <w:t xml:space="preserve">als uitvoerders van gedetailleerd </w:t>
      </w:r>
      <w:r w:rsidRPr="005E7E43" w:rsidR="005F1A6D">
        <w:t>r</w:t>
      </w:r>
      <w:r w:rsidRPr="005E7E43" w:rsidR="009F612A">
        <w:t>ijksbeleid</w:t>
      </w:r>
      <w:r w:rsidRPr="005E7E43" w:rsidR="007A7F7D">
        <w:t xml:space="preserve">, hetgeen </w:t>
      </w:r>
      <w:r w:rsidRPr="005E7E43" w:rsidR="009F612A">
        <w:t xml:space="preserve">de </w:t>
      </w:r>
      <w:r w:rsidRPr="005E7E43" w:rsidR="00497EAA">
        <w:t>beleidsvrijheid beperkt</w:t>
      </w:r>
      <w:r w:rsidRPr="005E7E43" w:rsidR="009F612A">
        <w:t xml:space="preserve">. </w:t>
      </w:r>
      <w:r w:rsidRPr="005E7E43" w:rsidR="00D95DDF">
        <w:t xml:space="preserve">Veel taken worden </w:t>
      </w:r>
      <w:r w:rsidRPr="005E7E43" w:rsidR="007A7F7D">
        <w:t xml:space="preserve">daarbij </w:t>
      </w:r>
      <w:r w:rsidRPr="005E7E43" w:rsidR="0036261E">
        <w:t>tegenwoordig</w:t>
      </w:r>
      <w:r w:rsidRPr="005E7E43" w:rsidR="00D95DDF">
        <w:t xml:space="preserve"> in regionaal verband uitgevoerd</w:t>
      </w:r>
      <w:r w:rsidRPr="005E7E43" w:rsidR="00F85B76">
        <w:t xml:space="preserve">, </w:t>
      </w:r>
      <w:r w:rsidRPr="005E7E43" w:rsidR="009F612A">
        <w:t xml:space="preserve">in verplichte of semi-verplichte samenwerkingsverbanden, </w:t>
      </w:r>
      <w:r w:rsidRPr="005E7E43" w:rsidR="00F85B76">
        <w:t>waardoor het regionaal</w:t>
      </w:r>
      <w:r w:rsidRPr="005E7E43" w:rsidR="006521A9">
        <w:t xml:space="preserve"> bestuur</w:t>
      </w:r>
      <w:r w:rsidRPr="005E7E43" w:rsidR="00F85B76">
        <w:t xml:space="preserve"> is uitgedijd</w:t>
      </w:r>
      <w:r w:rsidRPr="005E7E43" w:rsidR="00D95DDF">
        <w:t>.</w:t>
      </w:r>
      <w:r>
        <w:rPr>
          <w:rStyle w:val="FootnoteReference"/>
        </w:rPr>
        <w:footnoteReference w:id="4"/>
      </w:r>
      <w:r w:rsidRPr="005E7E43" w:rsidR="00D95DDF">
        <w:t xml:space="preserve"> </w:t>
      </w:r>
      <w:r w:rsidRPr="005E7E43" w:rsidR="0036261E">
        <w:t>Regionaal bestuur</w:t>
      </w:r>
      <w:r w:rsidRPr="005E7E43" w:rsidR="00C848A3">
        <w:t xml:space="preserve"> is een hulpstructuur en kan passend zijn om voor bepaalde maatschappelijke opgaven tot resultaten te komen</w:t>
      </w:r>
      <w:r w:rsidRPr="005E7E43" w:rsidR="0036261E">
        <w:t xml:space="preserve">, maar kent </w:t>
      </w:r>
      <w:r w:rsidR="003F258F">
        <w:t xml:space="preserve">ook </w:t>
      </w:r>
      <w:r w:rsidRPr="005E7E43" w:rsidR="0036261E">
        <w:t xml:space="preserve">belangrijke onvolkomenheden </w:t>
      </w:r>
      <w:r w:rsidRPr="005E7E43" w:rsidR="003A0639">
        <w:t xml:space="preserve">als het gaat om </w:t>
      </w:r>
      <w:r w:rsidRPr="005E7E43" w:rsidR="0036261E">
        <w:t>democratische legitimatie.</w:t>
      </w:r>
      <w:r>
        <w:rPr>
          <w:rStyle w:val="FootnoteReference"/>
        </w:rPr>
        <w:footnoteReference w:id="5"/>
      </w:r>
      <w:r w:rsidRPr="005E7E43" w:rsidR="006544DA">
        <w:t xml:space="preserve"> </w:t>
      </w:r>
    </w:p>
    <w:p w:rsidR="00871122" w:rsidP="002F6197" w14:paraId="7335C88F" w14:textId="77777777"/>
    <w:p w:rsidRPr="005E7E43" w:rsidR="00386D8F" w:rsidP="002F6197" w14:paraId="715C0E6E" w14:textId="77777777">
      <w:r w:rsidRPr="005E7E43">
        <w:t>Mijn ambtsvoorganger heeft aangekondigd te starten met een visie op de regio en regionale samenwerking.</w:t>
      </w:r>
      <w:r w:rsidR="007F4DB8">
        <w:t xml:space="preserve"> </w:t>
      </w:r>
      <w:r w:rsidRPr="007F4DB8" w:rsidR="007F4DB8">
        <w:t xml:space="preserve">Door de toenemende samenwerking op regionale schaal verandert het openbaar bestuur, zonder dat we bewuste keuzes maken. In </w:t>
      </w:r>
      <w:r w:rsidR="007F4DB8">
        <w:t>samenhang met</w:t>
      </w:r>
      <w:r w:rsidRPr="007F4DB8" w:rsidR="007F4DB8">
        <w:t xml:space="preserve"> </w:t>
      </w:r>
      <w:r w:rsidR="00871122">
        <w:t>dit</w:t>
      </w:r>
      <w:r w:rsidRPr="007F4DB8" w:rsidR="007F4DB8">
        <w:t xml:space="preserve"> beleidskader werk ik daarom aan een visie op de rol en positie van de regio en regionale samenwerking in de inrichting van het openbaar bestuur</w:t>
      </w:r>
      <w:r w:rsidR="00702BEE">
        <w:t>. Dit</w:t>
      </w:r>
      <w:r w:rsidRPr="007F4DB8" w:rsidR="007F4DB8">
        <w:t xml:space="preserve"> draagt bij aan een slagvaardig en democratisch gelegitimeerd samenspel tussen overheden op regionale schaal. Het streven is de visie eind 2026 aan te kunnen bieden.   </w:t>
      </w:r>
    </w:p>
    <w:p w:rsidRPr="005E7E43" w:rsidR="00386D8F" w:rsidP="002F6197" w14:paraId="73A29528" w14:textId="77777777"/>
    <w:p w:rsidRPr="005E7E43" w:rsidR="00F131A7" w:rsidP="002F6197" w14:paraId="3F4121D5" w14:textId="77777777">
      <w:r w:rsidRPr="005E7E43">
        <w:t xml:space="preserve">Deze ontwikkelingen </w:t>
      </w:r>
      <w:r w:rsidRPr="005E7E43" w:rsidR="007C7078">
        <w:t xml:space="preserve">bij elkaar </w:t>
      </w:r>
      <w:r w:rsidRPr="005E7E43">
        <w:t>hebben gevolgen voor de kwaliteit en het functioneren van het decentraal bestuur en de aantrekkelijkheid van het politieke ambt.</w:t>
      </w:r>
      <w:r w:rsidRPr="005E7E43" w:rsidR="0036261E">
        <w:t xml:space="preserve"> Om die reden</w:t>
      </w:r>
      <w:r w:rsidRPr="005E7E43" w:rsidR="00F3216C">
        <w:t>en</w:t>
      </w:r>
      <w:r w:rsidRPr="005E7E43" w:rsidR="0036261E">
        <w:t xml:space="preserve"> is het van belang om </w:t>
      </w:r>
      <w:r w:rsidRPr="005E7E43">
        <w:t xml:space="preserve">als </w:t>
      </w:r>
      <w:r w:rsidRPr="005E7E43" w:rsidR="005F1A6D">
        <w:t>r</w:t>
      </w:r>
      <w:r w:rsidRPr="005E7E43">
        <w:t xml:space="preserve">ijksoverheid </w:t>
      </w:r>
      <w:r w:rsidRPr="005E7E43" w:rsidR="0036261E">
        <w:t>bewuste</w:t>
      </w:r>
      <w:r w:rsidRPr="005E7E43" w:rsidR="00F3216C">
        <w:t>re</w:t>
      </w:r>
      <w:r w:rsidRPr="005E7E43" w:rsidR="0036261E">
        <w:t xml:space="preserve"> keuzes te maken</w:t>
      </w:r>
      <w:r w:rsidRPr="005E7E43" w:rsidR="00B91B7A">
        <w:t xml:space="preserve"> ten aanzien van de taaktoedeling</w:t>
      </w:r>
      <w:r w:rsidRPr="005E7E43" w:rsidR="00F3216C">
        <w:t xml:space="preserve"> aan decentraal en gedeconcentreerd bestuur</w:t>
      </w:r>
      <w:r w:rsidRPr="005E7E43" w:rsidR="0036261E">
        <w:t xml:space="preserve">. </w:t>
      </w:r>
      <w:r w:rsidRPr="005E7E43" w:rsidR="00512541">
        <w:t>Voor goed</w:t>
      </w:r>
      <w:r w:rsidRPr="005E7E43" w:rsidR="00512541">
        <w:t xml:space="preserve"> bestuur en een </w:t>
      </w:r>
      <w:r w:rsidRPr="005E7E43" w:rsidR="00386D8F">
        <w:t>sterke</w:t>
      </w:r>
      <w:r w:rsidRPr="005E7E43" w:rsidR="00512541">
        <w:t xml:space="preserve"> democratie is het belangrijk dat staatsrechtelijke kenmerken van de verschillende decentrale bestuurslichamen op een betere manier worden meegewogen door het kabinet. Door aan het begin van het wetgevingsproces goed te kijken bij welk bestuurslichaam nieuwe wettelijke taken het beste passen, beoogt het kabinet bij te dragen aan verdere verbetering van de interbestuurlijke verhoudingen. </w:t>
      </w:r>
      <w:r w:rsidRPr="005E7E43" w:rsidR="007F480C">
        <w:t xml:space="preserve">Ook draagt een beleidskader bij aan betere wet- en regelgeving en betere uitvoerbaarheid. </w:t>
      </w:r>
    </w:p>
    <w:p w:rsidRPr="005E7E43" w:rsidR="00F131A7" w:rsidP="002F6197" w14:paraId="40BBBD6C" w14:textId="77777777"/>
    <w:p w:rsidRPr="005E7E43" w:rsidR="008506E5" w:rsidP="002F6197" w14:paraId="7D5EB84A" w14:textId="77777777">
      <w:r w:rsidRPr="005E7E43">
        <w:t>Voor het voorbereiden van beleid is het Beleidskompas de aangewezen werkwijze. Het Beleidskompas helpt bij een zorgvuldige en adequate taaktoedeling aan het decentraal en gedeconcentreerd bestuur, doordat het verplichte kwaliteitseisen als de uitvoerbaarheidstoets (UDO) omvat en het de vroegtijdige en voortdurende betrokkenheid van belanghebbenden (zoals decentrale overheden) in het beleidsvormingsproces bevordert. Dit beleidskader vormt, samen met het in ontwikkeling zijnde afwegingskader bevoegdheden burgemeesters, daarop een aanvullend instrument. Het biedt criteria en uitgangspunten op basis waarvan het Rijk op een zo vroeg mogelijk moment bij het proces voor taaktoedeling beter kan afwegen bij welk bestuurslichaam een nieuwe taak of bevoegdheid kan worden belegd.</w:t>
      </w:r>
      <w:r w:rsidRPr="005E7E43" w:rsidR="00B90DB8">
        <w:t xml:space="preserve"> </w:t>
      </w:r>
      <w:r w:rsidRPr="005E7E43" w:rsidR="000D2DF6">
        <w:t>V</w:t>
      </w:r>
      <w:r w:rsidRPr="005E7E43" w:rsidR="002361C4">
        <w:t xml:space="preserve">oor </w:t>
      </w:r>
      <w:r w:rsidRPr="005E7E43" w:rsidR="003F0BB7">
        <w:t xml:space="preserve">de vormgeving van </w:t>
      </w:r>
      <w:r w:rsidRPr="005E7E43" w:rsidR="002361C4">
        <w:t xml:space="preserve">een </w:t>
      </w:r>
      <w:r w:rsidRPr="005E7E43" w:rsidR="008B4CA0">
        <w:t xml:space="preserve">nieuwe </w:t>
      </w:r>
      <w:r w:rsidRPr="005E7E43" w:rsidR="002361C4">
        <w:t xml:space="preserve">wettelijke taak </w:t>
      </w:r>
      <w:r w:rsidRPr="005E7E43" w:rsidR="000D2DF6">
        <w:t>wordt</w:t>
      </w:r>
      <w:r w:rsidRPr="005E7E43" w:rsidR="00D92408">
        <w:t>, zoals genoemd in het coalitieakkoord,</w:t>
      </w:r>
      <w:r w:rsidRPr="005E7E43" w:rsidR="000D2DF6">
        <w:t xml:space="preserve"> </w:t>
      </w:r>
      <w:r w:rsidRPr="005E7E43" w:rsidR="002361C4">
        <w:t>een UDO uitgevoerd als op basis van dit beleidskader blijkt dat de taak bij een decentrale overheid past.</w:t>
      </w:r>
      <w:r w:rsidRPr="005E7E43" w:rsidR="002B2423">
        <w:t xml:space="preserve"> </w:t>
      </w:r>
      <w:r w:rsidR="0077390E">
        <w:t>Met dit instrumentarium</w:t>
      </w:r>
      <w:r w:rsidRPr="005E7E43">
        <w:t xml:space="preserve"> geef ik nader invulling aan mijn </w:t>
      </w:r>
      <w:r w:rsidRPr="005E7E43" w:rsidR="002B2423">
        <w:t xml:space="preserve">wettelijke </w:t>
      </w:r>
      <w:r w:rsidRPr="005E7E43">
        <w:t>verantwoordelijkheid als minister van B</w:t>
      </w:r>
      <w:r w:rsidRPr="005E7E43" w:rsidR="00BE46BB">
        <w:t>innenlandse Zaken en Koninkrijksrelaties</w:t>
      </w:r>
      <w:r w:rsidRPr="005E7E43">
        <w:t xml:space="preserve"> voor de coördinatie van het </w:t>
      </w:r>
      <w:r w:rsidRPr="005E7E43" w:rsidR="005F1A6D">
        <w:t>r</w:t>
      </w:r>
      <w:r w:rsidRPr="005E7E43">
        <w:t xml:space="preserve">ijksbeleid dat gemeenten en provincies raakt. </w:t>
      </w:r>
    </w:p>
    <w:p w:rsidRPr="005E7E43" w:rsidR="008506E5" w:rsidP="002F6197" w14:paraId="35D0E9D7" w14:textId="77777777"/>
    <w:p w:rsidRPr="00E86477" w:rsidR="00E86477" w:rsidP="00E86477" w14:paraId="2AA7B9CB" w14:textId="77777777">
      <w:pPr>
        <w:pStyle w:val="ListParagraph"/>
        <w:numPr>
          <w:ilvl w:val="1"/>
          <w:numId w:val="12"/>
        </w:numPr>
        <w:spacing w:after="0" w:line="276" w:lineRule="auto"/>
        <w:rPr>
          <w:rFonts w:ascii="Verdana" w:hAnsi="Verdana"/>
          <w:sz w:val="18"/>
          <w:szCs w:val="18"/>
        </w:rPr>
      </w:pPr>
      <w:r w:rsidRPr="00E86477">
        <w:rPr>
          <w:rFonts w:ascii="Verdana" w:hAnsi="Verdana"/>
          <w:i/>
          <w:iCs/>
          <w:sz w:val="18"/>
          <w:szCs w:val="18"/>
        </w:rPr>
        <w:t xml:space="preserve">Hoofdlijnen </w:t>
      </w:r>
      <w:r w:rsidRPr="00E86477" w:rsidR="00940E29">
        <w:rPr>
          <w:rFonts w:ascii="Verdana" w:hAnsi="Verdana"/>
          <w:i/>
          <w:iCs/>
          <w:sz w:val="18"/>
          <w:szCs w:val="18"/>
        </w:rPr>
        <w:t xml:space="preserve">beleidskader </w:t>
      </w:r>
      <w:r w:rsidRPr="00E86477">
        <w:rPr>
          <w:rFonts w:ascii="Verdana" w:hAnsi="Verdana"/>
          <w:i/>
          <w:iCs/>
          <w:sz w:val="18"/>
          <w:szCs w:val="18"/>
        </w:rPr>
        <w:t>taaktoedeling decentraal en gedeconcentreerd bestuur</w:t>
      </w:r>
    </w:p>
    <w:p w:rsidRPr="005E7E43" w:rsidR="007F480C" w:rsidP="00E86477" w14:paraId="7F8F6EAB" w14:textId="77777777">
      <w:pPr>
        <w:spacing w:line="276" w:lineRule="auto"/>
      </w:pPr>
      <w:r w:rsidRPr="005E7E43">
        <w:t xml:space="preserve">Het beleidskader is van toepassing op de toedeling van nieuwe wettelijke taken en bevoegdheden. </w:t>
      </w:r>
      <w:r w:rsidRPr="005E7E43" w:rsidR="002F6197">
        <w:t xml:space="preserve">Voor taken met veel beleidsvrijheid die passen bij de lokale schaal is taaktoedeling aan gemeenten passend. Bij dergelijke taken </w:t>
      </w:r>
      <w:r w:rsidRPr="005E7E43" w:rsidR="00F509ED">
        <w:t xml:space="preserve">past een politiek debat binnen gemeenteraden en </w:t>
      </w:r>
      <w:r w:rsidRPr="005E7E43" w:rsidR="002F6197">
        <w:t xml:space="preserve">kunnen lokale politici het verschil maken, wat kan bijdragen </w:t>
      </w:r>
      <w:r w:rsidRPr="005E7E43" w:rsidR="008707F1">
        <w:t xml:space="preserve">aan een beter functioneren van </w:t>
      </w:r>
      <w:r w:rsidRPr="005E7E43" w:rsidR="002F6197">
        <w:t xml:space="preserve">de lokale politiek. </w:t>
      </w:r>
      <w:r w:rsidRPr="005E7E43" w:rsidR="00853950">
        <w:t xml:space="preserve">Voor taken op een regionale schaal en veel beleidsvrijheid dient eerst te worden afgewogen of de taak passend is voor de provincies als het primaire regionale bestuur met een gekozen volksvertegenwoordiging aan het hoofd, voordat naar andere regionale bestuurslichamen wordt gekeken. </w:t>
      </w:r>
    </w:p>
    <w:p w:rsidRPr="005E7E43" w:rsidR="00386D8F" w:rsidP="002F6197" w14:paraId="3C9592BA" w14:textId="77777777"/>
    <w:p w:rsidRPr="005E7E43" w:rsidR="002F6197" w:rsidP="002F6197" w14:paraId="512AC61B" w14:textId="77777777">
      <w:r w:rsidRPr="005E7E43">
        <w:t xml:space="preserve">Regionale samenwerking op grond van de Wet gemeenschappelijke regelingen is in de eerste plaats een hulpstructuur om beleidsarme taken efficiënt uit te voeren en dient </w:t>
      </w:r>
      <w:r w:rsidRPr="005E7E43" w:rsidR="00940E29">
        <w:t xml:space="preserve">in beginsel </w:t>
      </w:r>
      <w:r w:rsidRPr="005E7E43">
        <w:t xml:space="preserve">vrijwillig plaats te vinden. </w:t>
      </w:r>
      <w:r w:rsidRPr="005E7E43" w:rsidR="0087227A">
        <w:t xml:space="preserve">Als </w:t>
      </w:r>
      <w:r w:rsidRPr="005E7E43" w:rsidR="004F6F66">
        <w:t>v</w:t>
      </w:r>
      <w:r w:rsidRPr="005E7E43" w:rsidR="00940E29">
        <w:t>erplichte samenwerking</w:t>
      </w:r>
      <w:r w:rsidRPr="005E7E43" w:rsidR="00853950">
        <w:t xml:space="preserve"> </w:t>
      </w:r>
      <w:r w:rsidRPr="005E7E43" w:rsidR="0087227A">
        <w:t xml:space="preserve">wordt </w:t>
      </w:r>
      <w:r w:rsidRPr="005E7E43" w:rsidR="004F6F66">
        <w:t xml:space="preserve">overwogen </w:t>
      </w:r>
      <w:r w:rsidRPr="005E7E43" w:rsidR="00F231F4">
        <w:t xml:space="preserve">dient </w:t>
      </w:r>
      <w:r w:rsidRPr="005E7E43" w:rsidR="004F6F66">
        <w:t xml:space="preserve">eerst te worden bekeken of de taak aan de provincie als primair </w:t>
      </w:r>
      <w:r w:rsidRPr="005E7E43" w:rsidR="00F23C52">
        <w:t>bovengemeentelijk</w:t>
      </w:r>
      <w:r w:rsidRPr="005E7E43" w:rsidR="004F6F66">
        <w:t xml:space="preserve"> bestuur kan worden toebedeeld</w:t>
      </w:r>
      <w:r w:rsidRPr="005E7E43" w:rsidR="00940E29">
        <w:t xml:space="preserve">. </w:t>
      </w:r>
      <w:r w:rsidRPr="005E7E43">
        <w:t>Het waarborgen van een congruente regio-indeling is daarbij het uitgangspunt. Voor</w:t>
      </w:r>
      <w:r w:rsidRPr="005E7E43" w:rsidR="00722EFE">
        <w:t xml:space="preserve"> uitvoerende </w:t>
      </w:r>
      <w:r w:rsidRPr="005E7E43">
        <w:t xml:space="preserve">taken </w:t>
      </w:r>
      <w:r w:rsidRPr="005E7E43" w:rsidR="00722EFE">
        <w:t xml:space="preserve">met weinig beleidsvrijheid voor decentrale besturen, </w:t>
      </w:r>
      <w:r w:rsidRPr="005E7E43">
        <w:t xml:space="preserve">waarbij veel sturing door vakdepartementen gewenst is, </w:t>
      </w:r>
      <w:r w:rsidRPr="005E7E43" w:rsidR="004F6F66">
        <w:t>dient ook</w:t>
      </w:r>
      <w:r w:rsidRPr="005E7E43" w:rsidR="007E4EA2">
        <w:t xml:space="preserve"> eerst</w:t>
      </w:r>
      <w:r w:rsidRPr="005E7E43" w:rsidR="004F6F66">
        <w:t xml:space="preserve"> te worden</w:t>
      </w:r>
      <w:r w:rsidRPr="005E7E43" w:rsidR="00722EFE">
        <w:t xml:space="preserve"> afgewogen of de taak past bij </w:t>
      </w:r>
      <w:r w:rsidRPr="005E7E43" w:rsidR="007E4EA2">
        <w:t>-</w:t>
      </w:r>
      <w:r w:rsidRPr="005E7E43">
        <w:t>gedeconcentreerde-</w:t>
      </w:r>
      <w:r w:rsidRPr="005E7E43" w:rsidR="007E4EA2">
        <w:t xml:space="preserve"> </w:t>
      </w:r>
      <w:r w:rsidRPr="005E7E43" w:rsidR="005F1A6D">
        <w:t>r</w:t>
      </w:r>
      <w:r w:rsidRPr="005E7E43" w:rsidR="007E4EA2">
        <w:t>ijks</w:t>
      </w:r>
      <w:r w:rsidRPr="005E7E43">
        <w:t>uitvoeringsorganisaties</w:t>
      </w:r>
      <w:r w:rsidRPr="005E7E43">
        <w:t xml:space="preserve">. Ook </w:t>
      </w:r>
      <w:r w:rsidRPr="005E7E43" w:rsidR="00722EFE">
        <w:t>k</w:t>
      </w:r>
      <w:r w:rsidRPr="005E7E43" w:rsidR="00983BD2">
        <w:t>un</w:t>
      </w:r>
      <w:r w:rsidRPr="005E7E43" w:rsidR="00722EFE">
        <w:t>n</w:t>
      </w:r>
      <w:r w:rsidRPr="005E7E43" w:rsidR="00983BD2">
        <w:t>en</w:t>
      </w:r>
      <w:r w:rsidRPr="005E7E43" w:rsidR="00722EFE">
        <w:t xml:space="preserve"> voor specifieke beleidsterreinen </w:t>
      </w:r>
      <w:r w:rsidRPr="005E7E43">
        <w:t>functionele bestuursvormen</w:t>
      </w:r>
      <w:r w:rsidRPr="005E7E43" w:rsidR="00983BD2">
        <w:t xml:space="preserve"> worden overwogen</w:t>
      </w:r>
      <w:r w:rsidRPr="005E7E43">
        <w:t>.</w:t>
      </w:r>
      <w:r w:rsidRPr="005E7E43" w:rsidR="008506E5">
        <w:t xml:space="preserve"> </w:t>
      </w:r>
      <w:r w:rsidRPr="005E7E43" w:rsidR="00082FCB">
        <w:t xml:space="preserve">De decentralisatie van taken aan het waterschap wordt geregeld in de Waterschapswet. </w:t>
      </w:r>
    </w:p>
    <w:p w:rsidRPr="005E7E43" w:rsidR="0044516D" w:rsidP="002F6197" w14:paraId="70FEE028" w14:textId="77777777"/>
    <w:p w:rsidRPr="005E7E43" w:rsidR="0044516D" w:rsidP="00B90DB8" w14:paraId="7CEA6360" w14:textId="77777777">
      <w:pPr>
        <w:pStyle w:val="ListParagraph"/>
        <w:numPr>
          <w:ilvl w:val="0"/>
          <w:numId w:val="5"/>
        </w:numPr>
        <w:rPr>
          <w:rFonts w:ascii="Verdana" w:hAnsi="Verdana"/>
          <w:b/>
          <w:bCs/>
          <w:sz w:val="18"/>
          <w:szCs w:val="18"/>
        </w:rPr>
      </w:pPr>
      <w:r w:rsidRPr="005E7E43">
        <w:rPr>
          <w:rFonts w:ascii="Verdana" w:hAnsi="Verdana"/>
          <w:b/>
          <w:bCs/>
          <w:sz w:val="18"/>
          <w:szCs w:val="18"/>
        </w:rPr>
        <w:t>Doorontwikkeling</w:t>
      </w:r>
      <w:r w:rsidRPr="005E7E43" w:rsidR="00A85DA1">
        <w:rPr>
          <w:rFonts w:ascii="Verdana" w:hAnsi="Verdana"/>
          <w:b/>
          <w:bCs/>
          <w:sz w:val="18"/>
          <w:szCs w:val="18"/>
        </w:rPr>
        <w:t xml:space="preserve"> beleidskader</w:t>
      </w:r>
    </w:p>
    <w:p w:rsidRPr="005E7E43" w:rsidR="0044516D" w:rsidP="00B90DB8" w14:paraId="46F35C06" w14:textId="77777777">
      <w:r w:rsidRPr="005E7E43">
        <w:t xml:space="preserve">Het beleidskader is vooralsnog basaal van karakter en creëert een open stelsel van dialoog </w:t>
      </w:r>
      <w:r w:rsidR="00F060D3">
        <w:t>tussen ministers, de koepels en het parlement. Door dit open karakter</w:t>
      </w:r>
      <w:r w:rsidRPr="005E7E43">
        <w:t xml:space="preserve"> is </w:t>
      </w:r>
      <w:r w:rsidR="00F060D3">
        <w:t xml:space="preserve">het </w:t>
      </w:r>
      <w:r w:rsidR="00A276D9">
        <w:t>beleids</w:t>
      </w:r>
      <w:r w:rsidR="00F060D3">
        <w:t xml:space="preserve">kader </w:t>
      </w:r>
      <w:r w:rsidRPr="005E7E43">
        <w:t xml:space="preserve">geschikt voor doorontwikkeling. </w:t>
      </w:r>
      <w:r w:rsidR="00E704A9">
        <w:t>D</w:t>
      </w:r>
      <w:r w:rsidRPr="005E7E43" w:rsidR="00E704A9">
        <w:t xml:space="preserve">e ministers van BZK en </w:t>
      </w:r>
      <w:r w:rsidRPr="005E7E43" w:rsidR="00E704A9">
        <w:t>IenW</w:t>
      </w:r>
      <w:r w:rsidRPr="005E7E43" w:rsidR="00E704A9">
        <w:t xml:space="preserve"> zijn belast met de naleving van het rijksbeleid </w:t>
      </w:r>
      <w:r w:rsidRPr="005E7E43" w:rsidR="00E704A9">
        <w:t>inzake</w:t>
      </w:r>
      <w:r w:rsidRPr="005E7E43" w:rsidR="00E704A9">
        <w:t xml:space="preserve"> de taaktoedeling aan gemeenten en provincies respectievelijk aan de waterschappen en dienen daartoe over een adequaat (wettelijk) instrumentarium te beschikken. </w:t>
      </w:r>
      <w:r w:rsidRPr="005E7E43" w:rsidR="00107A96">
        <w:t xml:space="preserve">Het kabinet heeft </w:t>
      </w:r>
      <w:r w:rsidRPr="005E7E43">
        <w:t xml:space="preserve">een aantal beleidsvoornemens geformuleerd die de effectiviteit van het beleidskader verder kunnen vergroten. </w:t>
      </w:r>
    </w:p>
    <w:p w:rsidRPr="005E7E43" w:rsidR="00B90DB8" w:rsidP="00B90DB8" w14:paraId="011E3FA7" w14:textId="77777777"/>
    <w:p w:rsidRPr="005E7E43" w:rsidR="0044516D" w:rsidP="008E2366" w14:paraId="007CAB9C" w14:textId="77777777">
      <w:pPr>
        <w:spacing w:line="276" w:lineRule="auto"/>
        <w:rPr>
          <w:rFonts w:cstheme="minorHAnsi"/>
          <w:i/>
          <w:iCs/>
        </w:rPr>
      </w:pPr>
      <w:bookmarkStart w:name="_Hlk230259981" w:id="1"/>
      <w:r w:rsidRPr="005E7E43">
        <w:rPr>
          <w:rFonts w:cstheme="minorHAnsi"/>
          <w:i/>
          <w:iCs/>
        </w:rPr>
        <w:t xml:space="preserve">2.1. </w:t>
      </w:r>
      <w:r w:rsidR="00256E18">
        <w:rPr>
          <w:rFonts w:cstheme="minorHAnsi"/>
          <w:i/>
          <w:iCs/>
        </w:rPr>
        <w:tab/>
      </w:r>
      <w:r w:rsidRPr="005E7E43">
        <w:rPr>
          <w:rFonts w:cstheme="minorHAnsi"/>
          <w:i/>
          <w:iCs/>
        </w:rPr>
        <w:t xml:space="preserve">Wettelijke grondslag voor het Beleidskader decentraal en </w:t>
      </w:r>
      <w:r w:rsidR="00256E18">
        <w:rPr>
          <w:rFonts w:cstheme="minorHAnsi"/>
          <w:i/>
          <w:iCs/>
        </w:rPr>
        <w:tab/>
      </w:r>
      <w:r w:rsidRPr="005E7E43">
        <w:rPr>
          <w:rFonts w:cstheme="minorHAnsi"/>
          <w:i/>
          <w:iCs/>
        </w:rPr>
        <w:t>gedeconcentreerd bestuur</w:t>
      </w:r>
    </w:p>
    <w:p w:rsidR="000021D8" w:rsidP="00B90DB8" w14:paraId="49D02D27" w14:textId="77777777">
      <w:pPr>
        <w:spacing w:line="276" w:lineRule="auto"/>
        <w:rPr>
          <w:rFonts w:cstheme="minorHAnsi"/>
        </w:rPr>
      </w:pPr>
      <w:r w:rsidRPr="005E7E43">
        <w:rPr>
          <w:rFonts w:cstheme="minorHAnsi"/>
        </w:rPr>
        <w:t>Voor de taaktoedeling aan gemeenten en provincies spreken Provinciewet en Gemeentewet over</w:t>
      </w:r>
      <w:r w:rsidR="00A276D9">
        <w:rPr>
          <w:rFonts w:cstheme="minorHAnsi"/>
        </w:rPr>
        <w:t xml:space="preserve"> het bestaan </w:t>
      </w:r>
      <w:r w:rsidRPr="005E7E43">
        <w:rPr>
          <w:rFonts w:cstheme="minorHAnsi"/>
        </w:rPr>
        <w:t xml:space="preserve">van nationaal decentralisatiebeleid. Daardoor is een deel van het Beleidskader decentraal en gedeconcentreerd bestuur van een basale wettelijke grondslag voorzien. Andere delen </w:t>
      </w:r>
      <w:r w:rsidR="00256E18">
        <w:rPr>
          <w:rFonts w:cstheme="minorHAnsi"/>
        </w:rPr>
        <w:t>-</w:t>
      </w:r>
      <w:r w:rsidRPr="005E7E43">
        <w:rPr>
          <w:rFonts w:cstheme="minorHAnsi"/>
        </w:rPr>
        <w:t xml:space="preserve">zoals </w:t>
      </w:r>
      <w:r w:rsidR="006F30A4">
        <w:rPr>
          <w:rFonts w:cstheme="minorHAnsi"/>
        </w:rPr>
        <w:t>bijvoorbeeld</w:t>
      </w:r>
      <w:r w:rsidRPr="005E7E43" w:rsidR="006F30A4">
        <w:rPr>
          <w:rFonts w:cstheme="minorHAnsi"/>
        </w:rPr>
        <w:t xml:space="preserve"> </w:t>
      </w:r>
      <w:r w:rsidRPr="005E7E43">
        <w:rPr>
          <w:rFonts w:cstheme="minorHAnsi"/>
        </w:rPr>
        <w:t>de bewaking van de organieke posities</w:t>
      </w:r>
      <w:r w:rsidR="00FF7786">
        <w:rPr>
          <w:rFonts w:cstheme="minorHAnsi"/>
        </w:rPr>
        <w:t xml:space="preserve"> en </w:t>
      </w:r>
      <w:r w:rsidRPr="005E7E43">
        <w:rPr>
          <w:rFonts w:cstheme="minorHAnsi"/>
        </w:rPr>
        <w:t>de regiovorming</w:t>
      </w:r>
      <w:r w:rsidR="00FF7786">
        <w:rPr>
          <w:rFonts w:cstheme="minorHAnsi"/>
        </w:rPr>
        <w:t xml:space="preserve"> </w:t>
      </w:r>
      <w:r w:rsidR="00256E18">
        <w:rPr>
          <w:rFonts w:cstheme="minorHAnsi"/>
        </w:rPr>
        <w:t>-</w:t>
      </w:r>
      <w:r w:rsidRPr="005E7E43">
        <w:rPr>
          <w:rFonts w:cstheme="minorHAnsi"/>
        </w:rPr>
        <w:t xml:space="preserve"> </w:t>
      </w:r>
      <w:r w:rsidR="00A276D9">
        <w:rPr>
          <w:rFonts w:cstheme="minorHAnsi"/>
        </w:rPr>
        <w:t>kennen geen vergelijkbare grondslag in bestaande wetten</w:t>
      </w:r>
      <w:r w:rsidRPr="005E7E43">
        <w:rPr>
          <w:rFonts w:cstheme="minorHAnsi"/>
        </w:rPr>
        <w:t xml:space="preserve">. </w:t>
      </w:r>
      <w:r w:rsidRPr="005E7E43" w:rsidR="00B90DB8">
        <w:rPr>
          <w:rFonts w:cstheme="minorHAnsi"/>
        </w:rPr>
        <w:t>Na inwerkingtreding van het beleidskader decentraal en gedeconcentreerd bestuur zal het kabinet de werking ervan monitoren en evalueren. Op basis</w:t>
      </w:r>
      <w:r w:rsidR="00871122">
        <w:rPr>
          <w:rFonts w:cstheme="minorHAnsi"/>
        </w:rPr>
        <w:t xml:space="preserve"> daarvan</w:t>
      </w:r>
      <w:r w:rsidRPr="005E7E43" w:rsidR="00B90DB8">
        <w:rPr>
          <w:rFonts w:cstheme="minorHAnsi"/>
        </w:rPr>
        <w:t xml:space="preserve"> </w:t>
      </w:r>
      <w:r w:rsidR="00E704A9">
        <w:rPr>
          <w:rFonts w:cstheme="minorHAnsi"/>
        </w:rPr>
        <w:t>beziet</w:t>
      </w:r>
      <w:r w:rsidRPr="005E7E43" w:rsidR="00B90DB8">
        <w:rPr>
          <w:rFonts w:cstheme="minorHAnsi"/>
        </w:rPr>
        <w:t xml:space="preserve"> het kabinet of een wettelijke verankering van het beleidskader wenselijk en proportioneel is.</w:t>
      </w:r>
    </w:p>
    <w:p w:rsidRPr="005E7E43" w:rsidR="00B90DB8" w:rsidP="00B90DB8" w14:paraId="52612052" w14:textId="77777777">
      <w:pPr>
        <w:spacing w:line="276" w:lineRule="auto"/>
        <w:rPr>
          <w:rFonts w:cstheme="minorHAnsi"/>
        </w:rPr>
      </w:pPr>
    </w:p>
    <w:p w:rsidRPr="005E7E43" w:rsidR="00A85DA1" w:rsidP="00A85DA1" w14:paraId="7321D1A3" w14:textId="77777777">
      <w:pPr>
        <w:pStyle w:val="ListParagraph"/>
        <w:numPr>
          <w:ilvl w:val="1"/>
          <w:numId w:val="5"/>
        </w:numPr>
        <w:spacing w:after="0" w:line="276" w:lineRule="auto"/>
        <w:rPr>
          <w:rFonts w:ascii="Verdana" w:hAnsi="Verdana" w:cstheme="minorHAnsi"/>
          <w:sz w:val="18"/>
          <w:szCs w:val="18"/>
        </w:rPr>
      </w:pPr>
      <w:r w:rsidRPr="005E7E43">
        <w:rPr>
          <w:rFonts w:ascii="Verdana" w:hAnsi="Verdana" w:cstheme="minorHAnsi"/>
          <w:i/>
          <w:iCs/>
          <w:sz w:val="18"/>
          <w:szCs w:val="18"/>
        </w:rPr>
        <w:t xml:space="preserve"> </w:t>
      </w:r>
      <w:r w:rsidR="009720DF">
        <w:rPr>
          <w:rFonts w:ascii="Verdana" w:hAnsi="Verdana" w:cstheme="minorHAnsi"/>
          <w:i/>
          <w:iCs/>
          <w:sz w:val="18"/>
          <w:szCs w:val="18"/>
        </w:rPr>
        <w:t>Effectief bestuurlijk-juridisch instrumentarium</w:t>
      </w:r>
      <w:r w:rsidR="00F6153F">
        <w:rPr>
          <w:rFonts w:ascii="Verdana" w:hAnsi="Verdana" w:cstheme="minorHAnsi"/>
          <w:i/>
          <w:iCs/>
          <w:sz w:val="18"/>
          <w:szCs w:val="18"/>
        </w:rPr>
        <w:t xml:space="preserve"> verplichte en semi-verplichte </w:t>
      </w:r>
      <w:r w:rsidRPr="005E7E43" w:rsidR="00491DF3">
        <w:rPr>
          <w:rFonts w:ascii="Verdana" w:hAnsi="Verdana" w:cstheme="minorHAnsi"/>
          <w:i/>
          <w:iCs/>
          <w:sz w:val="18"/>
          <w:szCs w:val="18"/>
        </w:rPr>
        <w:t>regionale samenwerking</w:t>
      </w:r>
    </w:p>
    <w:p w:rsidR="0044516D" w:rsidP="00A85DA1" w14:paraId="737450F9" w14:textId="77777777">
      <w:pPr>
        <w:spacing w:line="276" w:lineRule="auto"/>
        <w:rPr>
          <w:rFonts w:cstheme="minorHAnsi"/>
        </w:rPr>
      </w:pPr>
      <w:r w:rsidRPr="005E7E43">
        <w:rPr>
          <w:rFonts w:cstheme="minorHAnsi"/>
        </w:rPr>
        <w:t>Het is van groot belang dat decentrale overheden voldoende ruimte houden om vrijwillige samenwerking aan te gaan</w:t>
      </w:r>
      <w:r w:rsidR="00852326">
        <w:rPr>
          <w:rFonts w:cstheme="minorHAnsi"/>
        </w:rPr>
        <w:t xml:space="preserve"> om de maatschappelijke opgaven van deze tijd aan te pakken</w:t>
      </w:r>
      <w:r w:rsidRPr="005E7E43">
        <w:rPr>
          <w:rFonts w:cstheme="minorHAnsi"/>
        </w:rPr>
        <w:t xml:space="preserve">. Het kabinet heeft zorgen over de toename van het aantal verplichte -door het rijk opgelegde- samenwerkingsverbanden en andere semi-verplichte regionale bestuursvormen, omdat de stapeling van taken zonder beleidsruimte op dit niveau leidt tot een uitholling van de lokale democratie en de democratische legitimatie van overheidsoptreden. Onder semi-verplichte samenwerking verstaat het kabinet de vele </w:t>
      </w:r>
      <w:r w:rsidRPr="005E7E43">
        <w:rPr>
          <w:rFonts w:cstheme="minorHAnsi"/>
        </w:rPr>
        <w:t>landsdekkende</w:t>
      </w:r>
      <w:r w:rsidRPr="005E7E43">
        <w:rPr>
          <w:rFonts w:cstheme="minorHAnsi"/>
        </w:rPr>
        <w:t xml:space="preserve"> </w:t>
      </w:r>
      <w:r w:rsidR="00E704A9">
        <w:rPr>
          <w:rFonts w:cstheme="minorHAnsi"/>
        </w:rPr>
        <w:t>s</w:t>
      </w:r>
      <w:r w:rsidRPr="005E7E43">
        <w:rPr>
          <w:rFonts w:cstheme="minorHAnsi"/>
        </w:rPr>
        <w:t xml:space="preserve">amenwerkingsverbanden, waarbij het Rijk het takenpakket bepaalt en gemeenten bepalen met wie ze samenwerken en in welke vorm. In die gevallen </w:t>
      </w:r>
      <w:r w:rsidRPr="005E7E43">
        <w:rPr>
          <w:rFonts w:cstheme="minorHAnsi"/>
        </w:rPr>
        <w:t xml:space="preserve">moet aan de hand van het beleidskader worden afgewogen of de taak daar wel past of beter elders kan worden belegd. </w:t>
      </w:r>
    </w:p>
    <w:p w:rsidRPr="005E7E43" w:rsidR="00350D94" w:rsidP="00A85DA1" w14:paraId="50535CEA" w14:textId="77777777">
      <w:pPr>
        <w:spacing w:line="276" w:lineRule="auto"/>
        <w:rPr>
          <w:rFonts w:cstheme="minorHAnsi"/>
        </w:rPr>
      </w:pPr>
    </w:p>
    <w:p w:rsidR="0030712F" w:rsidP="00A85DA1" w14:paraId="29204B9C" w14:textId="77777777">
      <w:pPr>
        <w:spacing w:line="276" w:lineRule="auto"/>
        <w:rPr>
          <w:rFonts w:cstheme="minorHAnsi"/>
        </w:rPr>
      </w:pPr>
      <w:r>
        <w:rPr>
          <w:rFonts w:cstheme="minorHAnsi"/>
        </w:rPr>
        <w:t>Om</w:t>
      </w:r>
      <w:r w:rsidR="00F6153F">
        <w:rPr>
          <w:rFonts w:cstheme="minorHAnsi"/>
        </w:rPr>
        <w:t xml:space="preserve"> </w:t>
      </w:r>
      <w:r>
        <w:rPr>
          <w:rFonts w:cstheme="minorHAnsi"/>
        </w:rPr>
        <w:t>als minister van BZK te beschikken over een effectief bestuurlijk-juridisch instrumentarium wordt</w:t>
      </w:r>
      <w:r w:rsidR="009720DF">
        <w:rPr>
          <w:rFonts w:cstheme="minorHAnsi"/>
        </w:rPr>
        <w:t xml:space="preserve"> </w:t>
      </w:r>
      <w:r w:rsidR="00F6153F">
        <w:rPr>
          <w:rFonts w:cstheme="minorHAnsi"/>
        </w:rPr>
        <w:t xml:space="preserve">ten eerste </w:t>
      </w:r>
      <w:r w:rsidRPr="005E7E43" w:rsidR="0044516D">
        <w:rPr>
          <w:rFonts w:cstheme="minorHAnsi"/>
        </w:rPr>
        <w:t>de wenselijkheid onderzocht van een specifieke wettelijke regie- en ordeningsbevoegdheid voor de minister van BZK</w:t>
      </w:r>
      <w:r w:rsidR="006B6CFD">
        <w:rPr>
          <w:rFonts w:cstheme="minorHAnsi"/>
        </w:rPr>
        <w:t xml:space="preserve"> voor het regionaal bestuur</w:t>
      </w:r>
      <w:r w:rsidRPr="005E7E43" w:rsidR="0044516D">
        <w:rPr>
          <w:rFonts w:cstheme="minorHAnsi"/>
        </w:rPr>
        <w:t xml:space="preserve">. </w:t>
      </w:r>
      <w:r w:rsidR="002F1C70">
        <w:rPr>
          <w:rFonts w:cstheme="minorHAnsi"/>
        </w:rPr>
        <w:t>Ook wordt</w:t>
      </w:r>
      <w:r w:rsidRPr="005E7E43" w:rsidR="0044516D">
        <w:rPr>
          <w:rFonts w:cstheme="minorHAnsi"/>
        </w:rPr>
        <w:t xml:space="preserve"> verkend of en zo ja hoe de rol van provincies ten aanzien van de bestuurlijke samenhang en regiovorming kan worden verduidelijkt. </w:t>
      </w:r>
      <w:r w:rsidRPr="005E7E43" w:rsidR="00491DF3">
        <w:rPr>
          <w:rFonts w:cstheme="minorHAnsi"/>
        </w:rPr>
        <w:t xml:space="preserve">Mede in reactie op </w:t>
      </w:r>
      <w:r w:rsidR="00CF6B14">
        <w:rPr>
          <w:rFonts w:cstheme="minorHAnsi"/>
        </w:rPr>
        <w:t>een</w:t>
      </w:r>
      <w:r w:rsidRPr="005E7E43" w:rsidR="00491DF3">
        <w:rPr>
          <w:rFonts w:cstheme="minorHAnsi"/>
        </w:rPr>
        <w:t xml:space="preserve"> advies van de Raad van</w:t>
      </w:r>
      <w:r w:rsidR="00546D08">
        <w:rPr>
          <w:rFonts w:cstheme="minorHAnsi"/>
        </w:rPr>
        <w:t xml:space="preserve"> State</w:t>
      </w:r>
      <w:r w:rsidRPr="005E7E43" w:rsidR="00491DF3">
        <w:rPr>
          <w:rFonts w:cstheme="minorHAnsi"/>
        </w:rPr>
        <w:t xml:space="preserve"> </w:t>
      </w:r>
      <w:r w:rsidR="00E704A9">
        <w:rPr>
          <w:rFonts w:cstheme="minorHAnsi"/>
        </w:rPr>
        <w:t>zal worden verkend in hoeverre</w:t>
      </w:r>
      <w:r w:rsidRPr="005E7E43" w:rsidR="00491DF3">
        <w:rPr>
          <w:rFonts w:cstheme="minorHAnsi"/>
        </w:rPr>
        <w:t xml:space="preserve"> </w:t>
      </w:r>
      <w:r w:rsidRPr="005E7E43" w:rsidR="00491DF3">
        <w:rPr>
          <w:rFonts w:cstheme="minorHAnsi"/>
        </w:rPr>
        <w:t>reeds</w:t>
      </w:r>
      <w:r w:rsidRPr="005E7E43" w:rsidR="00491DF3">
        <w:rPr>
          <w:rFonts w:cstheme="minorHAnsi"/>
        </w:rPr>
        <w:t xml:space="preserve"> bestaande mogelijkheden voor wettelijke taakdifferentiatie moeten worden aangevuld of gewijzigd</w:t>
      </w:r>
      <w:r w:rsidR="00CF6B14">
        <w:rPr>
          <w:rFonts w:cstheme="minorHAnsi"/>
        </w:rPr>
        <w:t>.</w:t>
      </w:r>
      <w:r w:rsidRPr="005E7E43" w:rsidR="00491DF3">
        <w:t xml:space="preserve"> </w:t>
      </w:r>
      <w:r w:rsidR="00546D08">
        <w:t>O</w:t>
      </w:r>
      <w:r w:rsidR="00CF6B14">
        <w:rPr>
          <w:rFonts w:cstheme="minorHAnsi"/>
        </w:rPr>
        <w:t>ok</w:t>
      </w:r>
      <w:r w:rsidR="00546D08">
        <w:rPr>
          <w:rFonts w:cstheme="minorHAnsi"/>
        </w:rPr>
        <w:t xml:space="preserve"> wordt</w:t>
      </w:r>
      <w:r w:rsidR="00CF6B14">
        <w:rPr>
          <w:rFonts w:cstheme="minorHAnsi"/>
        </w:rPr>
        <w:t xml:space="preserve"> </w:t>
      </w:r>
      <w:r w:rsidRPr="005E7E43" w:rsidR="00491DF3">
        <w:rPr>
          <w:rFonts w:cstheme="minorHAnsi"/>
        </w:rPr>
        <w:t>de mogelijkheid</w:t>
      </w:r>
      <w:r w:rsidR="00CF6B14">
        <w:rPr>
          <w:rFonts w:cstheme="minorHAnsi"/>
        </w:rPr>
        <w:t xml:space="preserve"> bekeken</w:t>
      </w:r>
      <w:r w:rsidRPr="005E7E43" w:rsidR="00491DF3">
        <w:rPr>
          <w:rFonts w:cstheme="minorHAnsi"/>
        </w:rPr>
        <w:t xml:space="preserve"> om </w:t>
      </w:r>
      <w:r w:rsidR="00546D08">
        <w:rPr>
          <w:rFonts w:cstheme="minorHAnsi"/>
        </w:rPr>
        <w:t>een</w:t>
      </w:r>
      <w:r w:rsidRPr="005E7E43" w:rsidR="00491DF3">
        <w:rPr>
          <w:rFonts w:cstheme="minorHAnsi"/>
        </w:rPr>
        <w:t xml:space="preserve"> centrumgemeente bij medebewind taken te laten uitvoeren voor andere gemeenten.</w:t>
      </w:r>
      <w:r w:rsidRPr="00CF6B14" w:rsidR="00CF6B14">
        <w:rPr>
          <w:rStyle w:val="FootnoteReference"/>
          <w:rFonts w:cstheme="minorHAnsi"/>
        </w:rPr>
        <w:t xml:space="preserve"> </w:t>
      </w:r>
      <w:r>
        <w:rPr>
          <w:rStyle w:val="FootnoteReference"/>
          <w:rFonts w:cstheme="minorHAnsi"/>
        </w:rPr>
        <w:footnoteReference w:id="6"/>
      </w:r>
      <w:r w:rsidRPr="005E7E43" w:rsidR="00CF6B14">
        <w:rPr>
          <w:rFonts w:cstheme="minorHAnsi"/>
        </w:rPr>
        <w:t xml:space="preserve"> </w:t>
      </w:r>
      <w:r w:rsidRPr="005E7E43" w:rsidR="00491DF3">
        <w:rPr>
          <w:rFonts w:cstheme="minorHAnsi"/>
        </w:rPr>
        <w:t xml:space="preserve">Dit zou als voordeel kunnen hebben dat er minder vormen van regionaal bestuur hoeven te worden opgericht. Taakdifferentiatie kan mogelijk een alternatief zijn voor verlengd lokaal bestuur, bijvoorbeeld voor specifieke taken waar vooral grote gemeenten mee worden geconfronteerd. </w:t>
      </w:r>
      <w:r w:rsidR="006E024F">
        <w:rPr>
          <w:rFonts w:cstheme="minorHAnsi"/>
        </w:rPr>
        <w:t>Deze voornemens</w:t>
      </w:r>
      <w:r w:rsidRPr="006E024F" w:rsidR="006E024F">
        <w:rPr>
          <w:rFonts w:cstheme="minorHAnsi"/>
        </w:rPr>
        <w:t xml:space="preserve"> vergen nadere uitwerking</w:t>
      </w:r>
      <w:r w:rsidR="006E024F">
        <w:rPr>
          <w:rFonts w:cstheme="minorHAnsi"/>
        </w:rPr>
        <w:t xml:space="preserve"> en ik zal uw Kamer daarover medio </w:t>
      </w:r>
      <w:r w:rsidRPr="006E024F" w:rsidR="006E024F">
        <w:rPr>
          <w:rFonts w:cstheme="minorHAnsi"/>
        </w:rPr>
        <w:t>2027</w:t>
      </w:r>
      <w:r w:rsidR="006E024F">
        <w:rPr>
          <w:rFonts w:cstheme="minorHAnsi"/>
        </w:rPr>
        <w:t xml:space="preserve"> nader</w:t>
      </w:r>
      <w:r w:rsidRPr="006E024F" w:rsidR="006E024F">
        <w:rPr>
          <w:rFonts w:cstheme="minorHAnsi"/>
        </w:rPr>
        <w:t xml:space="preserve"> informeren.</w:t>
      </w:r>
    </w:p>
    <w:p w:rsidR="006E024F" w:rsidP="00A85DA1" w14:paraId="570167E7" w14:textId="77777777">
      <w:pPr>
        <w:spacing w:line="276" w:lineRule="auto"/>
        <w:rPr>
          <w:rFonts w:cstheme="minorHAnsi"/>
        </w:rPr>
      </w:pPr>
    </w:p>
    <w:p w:rsidRPr="007342B3" w:rsidR="0030712F" w:rsidP="00A85DA1" w14:paraId="6BFBE6A7" w14:textId="77777777">
      <w:pPr>
        <w:spacing w:line="276" w:lineRule="auto"/>
        <w:rPr>
          <w:rFonts w:cstheme="minorHAnsi"/>
          <w:i/>
          <w:iCs/>
        </w:rPr>
      </w:pPr>
      <w:r w:rsidRPr="007342B3">
        <w:rPr>
          <w:rFonts w:cstheme="minorHAnsi"/>
          <w:i/>
          <w:iCs/>
        </w:rPr>
        <w:t xml:space="preserve">2.3 </w:t>
      </w:r>
      <w:r w:rsidR="00C56A8A">
        <w:rPr>
          <w:rFonts w:cstheme="minorHAnsi"/>
          <w:i/>
          <w:iCs/>
        </w:rPr>
        <w:t>Verkenning</w:t>
      </w:r>
      <w:r w:rsidRPr="007342B3">
        <w:rPr>
          <w:rFonts w:cstheme="minorHAnsi"/>
          <w:i/>
          <w:iCs/>
        </w:rPr>
        <w:t xml:space="preserve"> naar autonomie en medebewind</w:t>
      </w:r>
    </w:p>
    <w:p w:rsidR="0030712F" w:rsidP="00A85DA1" w14:paraId="39CC776D" w14:textId="77777777">
      <w:pPr>
        <w:spacing w:line="276" w:lineRule="auto"/>
        <w:rPr>
          <w:rFonts w:cstheme="minorHAnsi"/>
        </w:rPr>
      </w:pPr>
      <w:r>
        <w:rPr>
          <w:rFonts w:cstheme="minorHAnsi"/>
        </w:rPr>
        <w:t>E</w:t>
      </w:r>
      <w:r w:rsidRPr="0030712F">
        <w:rPr>
          <w:rFonts w:cstheme="minorHAnsi"/>
        </w:rPr>
        <w:t>en substantiële autonome ruimte voor provincies en gemeenten</w:t>
      </w:r>
      <w:r>
        <w:rPr>
          <w:rFonts w:cstheme="minorHAnsi"/>
        </w:rPr>
        <w:t xml:space="preserve"> is van groot belang voor het goed functioneren van onze gedecentraliseerde eenheidsstaat</w:t>
      </w:r>
      <w:r w:rsidR="00C5525A">
        <w:rPr>
          <w:rFonts w:cstheme="minorHAnsi"/>
        </w:rPr>
        <w:t xml:space="preserve">. </w:t>
      </w:r>
      <w:r w:rsidR="00637E8A">
        <w:rPr>
          <w:rFonts w:cstheme="minorHAnsi"/>
        </w:rPr>
        <w:t>Die autonomie van provincies en gemeenten veronderstelt in de Nederlandse context een aanzienlijke mate van vrijheid zelf taken op te pakken, daar regels over te stellen en bestuur over te voeren</w:t>
      </w:r>
      <w:r w:rsidRPr="0030712F">
        <w:rPr>
          <w:rFonts w:cstheme="minorHAnsi"/>
        </w:rPr>
        <w:t>.</w:t>
      </w:r>
      <w:r w:rsidR="00637E8A">
        <w:rPr>
          <w:rFonts w:cstheme="minorHAnsi"/>
        </w:rPr>
        <w:t xml:space="preserve"> En dit veronderstelt ook voldoende vrij besteedbare middelen om hier daadwerkelijk invulling aan te kunnen geven. Dit ligt besloten in onze Grondwet en d</w:t>
      </w:r>
      <w:r>
        <w:rPr>
          <w:rFonts w:cstheme="minorHAnsi"/>
        </w:rPr>
        <w:t xml:space="preserve">e organieke wetten bevatten daarvoor </w:t>
      </w:r>
      <w:r w:rsidR="00637E8A">
        <w:rPr>
          <w:rFonts w:cstheme="minorHAnsi"/>
        </w:rPr>
        <w:t xml:space="preserve">enkele </w:t>
      </w:r>
      <w:r>
        <w:rPr>
          <w:rFonts w:cstheme="minorHAnsi"/>
        </w:rPr>
        <w:t>waarborgen. In het rapport van Elzinga staan enkele aanbevelingen om betere wettelijke waarborgen in het leven te roepen.</w:t>
      </w:r>
      <w:r w:rsidRPr="00803ECF" w:rsidR="00803ECF">
        <w:rPr>
          <w:rFonts w:cstheme="minorHAnsi"/>
        </w:rPr>
        <w:t xml:space="preserve"> </w:t>
      </w:r>
      <w:r w:rsidR="00803ECF">
        <w:rPr>
          <w:rFonts w:cstheme="minorHAnsi"/>
        </w:rPr>
        <w:t>Zo w</w:t>
      </w:r>
      <w:r w:rsidRPr="0030712F" w:rsidR="00803ECF">
        <w:rPr>
          <w:rFonts w:cstheme="minorHAnsi"/>
        </w:rPr>
        <w:t>ordt</w:t>
      </w:r>
      <w:r w:rsidR="00803ECF">
        <w:rPr>
          <w:rFonts w:cstheme="minorHAnsi"/>
        </w:rPr>
        <w:t xml:space="preserve"> er</w:t>
      </w:r>
      <w:r w:rsidRPr="0030712F" w:rsidR="00803ECF">
        <w:rPr>
          <w:rFonts w:cstheme="minorHAnsi"/>
        </w:rPr>
        <w:t xml:space="preserve"> ten aanzien van het medebewind niet of nauwelijks onderscheid gemaakt tussen het zogenaamde mechanische medebewind – dat zijn uitvoeringsverplichtingen voor provincie en gemeente die nauwelijks enige beleidsvrijheid bevatten – en het wat meer vrije medebewind.</w:t>
      </w:r>
    </w:p>
    <w:p w:rsidR="0030712F" w:rsidP="00A85DA1" w14:paraId="740E53A8" w14:textId="77777777">
      <w:pPr>
        <w:spacing w:line="276" w:lineRule="auto"/>
        <w:rPr>
          <w:rFonts w:cstheme="minorHAnsi"/>
        </w:rPr>
      </w:pPr>
    </w:p>
    <w:p w:rsidR="0030712F" w:rsidP="00A85DA1" w14:paraId="64AC43AC" w14:textId="77777777">
      <w:pPr>
        <w:spacing w:line="276" w:lineRule="auto"/>
        <w:rPr>
          <w:rFonts w:cstheme="minorHAnsi"/>
        </w:rPr>
      </w:pPr>
      <w:r w:rsidRPr="0030712F">
        <w:rPr>
          <w:rFonts w:cstheme="minorHAnsi"/>
        </w:rPr>
        <w:t>De praktijk van de afgelopen jaren laat zien dat de ruimte voor decentrale overheden om vorm en inhoud te geven aan hun klassiek-autonome taak scherp is afgenomen. Deels komt dat doordat zaken aan de autonome ruimte zijn onttrokken. Maar ook binnen medebewindstaken is de ruimte voor lokale beleidskeuzes soms afgenomen door handelen van de wetgever of door rechterlijke uitspraken. Daardoor is het decentrale bestuursstelsel als geheel onder druk komen te staan.</w:t>
      </w:r>
      <w:r w:rsidRPr="00803ECF" w:rsidR="00803ECF">
        <w:rPr>
          <w:rFonts w:cstheme="minorHAnsi"/>
        </w:rPr>
        <w:t xml:space="preserve"> </w:t>
      </w:r>
    </w:p>
    <w:p w:rsidR="0030712F" w:rsidP="00A85DA1" w14:paraId="3FAD1033" w14:textId="77777777">
      <w:pPr>
        <w:spacing w:line="276" w:lineRule="auto"/>
        <w:rPr>
          <w:rFonts w:cstheme="minorHAnsi"/>
        </w:rPr>
      </w:pPr>
    </w:p>
    <w:p w:rsidR="00271284" w:rsidP="00A85DA1" w14:paraId="6BD9402D" w14:textId="77777777">
      <w:pPr>
        <w:spacing w:line="276" w:lineRule="auto"/>
        <w:rPr>
          <w:rFonts w:cstheme="minorHAnsi"/>
        </w:rPr>
      </w:pPr>
      <w:bookmarkStart w:name="_Hlk230764272" w:id="2"/>
      <w:r w:rsidRPr="005E7E43">
        <w:rPr>
          <w:rFonts w:cstheme="minorHAnsi"/>
        </w:rPr>
        <w:t xml:space="preserve">In de kabinetsreactie op de ROB-adviezen “Afrekenen met disbalans” en “Meters maken met medebewind” is een verkenning aangekondigd naar hoe en op welk aggregatieniveau monitoring van taken, middelen en uitgaven beter vormgegeven </w:t>
      </w:r>
    </w:p>
    <w:p w:rsidR="00271284" w:rsidP="00A85DA1" w14:paraId="2F4450C4" w14:textId="77777777">
      <w:pPr>
        <w:spacing w:line="276" w:lineRule="auto"/>
        <w:rPr>
          <w:rFonts w:cstheme="minorHAnsi"/>
        </w:rPr>
      </w:pPr>
    </w:p>
    <w:p w:rsidR="00271284" w:rsidP="00A85DA1" w14:paraId="792F20EF" w14:textId="77777777">
      <w:pPr>
        <w:spacing w:line="276" w:lineRule="auto"/>
        <w:rPr>
          <w:rFonts w:cstheme="minorHAnsi"/>
        </w:rPr>
      </w:pPr>
    </w:p>
    <w:p w:rsidR="00271284" w:rsidP="00A85DA1" w14:paraId="08C3CA13" w14:textId="77777777">
      <w:pPr>
        <w:spacing w:line="276" w:lineRule="auto"/>
        <w:rPr>
          <w:rFonts w:cstheme="minorHAnsi"/>
        </w:rPr>
      </w:pPr>
    </w:p>
    <w:p w:rsidR="0030712F" w:rsidP="00A85DA1" w14:paraId="6D5351E3" w14:textId="200F5F32">
      <w:pPr>
        <w:spacing w:line="276" w:lineRule="auto"/>
        <w:rPr>
          <w:rFonts w:cstheme="minorHAnsi"/>
        </w:rPr>
      </w:pPr>
      <w:r w:rsidRPr="005E7E43">
        <w:rPr>
          <w:rFonts w:cstheme="minorHAnsi"/>
        </w:rPr>
        <w:t>kan</w:t>
      </w:r>
      <w:r w:rsidRPr="005E7E43">
        <w:rPr>
          <w:rFonts w:cstheme="minorHAnsi"/>
        </w:rPr>
        <w:t xml:space="preserve"> worden.</w:t>
      </w:r>
      <w:r>
        <w:rPr>
          <w:rStyle w:val="FootnoteReference"/>
          <w:rFonts w:cstheme="minorHAnsi"/>
        </w:rPr>
        <w:footnoteReference w:id="7"/>
      </w:r>
      <w:r w:rsidRPr="005E7E43">
        <w:rPr>
          <w:rFonts w:cstheme="minorHAnsi"/>
        </w:rPr>
        <w:t xml:space="preserve"> Daarmee kan het gesprek over disbalans op bestaande taken optimaal worden gefaciliteerd en ondersteund. De verkenning is inmiddels gestart. De verkenning wordt begeleid door een stuurgroep waaraan naast de fondsbeheerders VNG en IPO deelnemen. Het streven is om uw Kamer in de zomer van 2026 te informeren.</w:t>
      </w:r>
      <w:bookmarkEnd w:id="2"/>
    </w:p>
    <w:p w:rsidRPr="005E7E43" w:rsidR="00491DF3" w:rsidP="00A85DA1" w14:paraId="307957BE" w14:textId="77777777">
      <w:pPr>
        <w:spacing w:line="276" w:lineRule="auto"/>
        <w:rPr>
          <w:rFonts w:cstheme="minorHAnsi"/>
        </w:rPr>
      </w:pPr>
    </w:p>
    <w:bookmarkEnd w:id="1"/>
    <w:p w:rsidRPr="005E7E43" w:rsidR="008506E5" w:rsidP="008506E5" w14:paraId="3A27EB9E" w14:textId="77777777">
      <w:pPr>
        <w:pStyle w:val="ListParagraph"/>
        <w:numPr>
          <w:ilvl w:val="0"/>
          <w:numId w:val="5"/>
        </w:numPr>
        <w:rPr>
          <w:rFonts w:ascii="Verdana" w:hAnsi="Verdana"/>
          <w:b/>
          <w:bCs/>
          <w:sz w:val="18"/>
          <w:szCs w:val="18"/>
        </w:rPr>
      </w:pPr>
      <w:r w:rsidRPr="005E7E43">
        <w:rPr>
          <w:rFonts w:ascii="Verdana" w:hAnsi="Verdana"/>
          <w:b/>
          <w:bCs/>
          <w:sz w:val="18"/>
          <w:szCs w:val="18"/>
        </w:rPr>
        <w:t>Invoering en i</w:t>
      </w:r>
      <w:r w:rsidRPr="005E7E43">
        <w:rPr>
          <w:rFonts w:ascii="Verdana" w:hAnsi="Verdana"/>
          <w:b/>
          <w:bCs/>
          <w:sz w:val="18"/>
          <w:szCs w:val="18"/>
        </w:rPr>
        <w:t>mplementatie</w:t>
      </w:r>
      <w:r w:rsidRPr="005E7E43">
        <w:rPr>
          <w:rFonts w:ascii="Verdana" w:hAnsi="Verdana"/>
          <w:b/>
          <w:bCs/>
          <w:sz w:val="18"/>
          <w:szCs w:val="18"/>
        </w:rPr>
        <w:t xml:space="preserve"> </w:t>
      </w:r>
    </w:p>
    <w:p w:rsidRPr="005E7E43" w:rsidR="007A7F7D" w:rsidP="007A7F7D" w14:paraId="2886CCD7" w14:textId="77777777">
      <w:r w:rsidRPr="005E7E43">
        <w:t>Het kabinet gaat</w:t>
      </w:r>
      <w:r w:rsidRPr="005E7E43" w:rsidR="008506E5">
        <w:t xml:space="preserve"> de komende periode </w:t>
      </w:r>
      <w:r w:rsidRPr="005E7E43" w:rsidR="00953BAE">
        <w:t>werk maken van</w:t>
      </w:r>
      <w:r w:rsidRPr="005E7E43" w:rsidR="008506E5">
        <w:t xml:space="preserve"> de toepassing van het beleidskader bij nieuwe wetsvoorstellen</w:t>
      </w:r>
      <w:r w:rsidRPr="005E7E43" w:rsidR="00953BAE">
        <w:t xml:space="preserve"> voor taaktoedeling aan het decentraal en gedeconcentreerd bestuur</w:t>
      </w:r>
      <w:r w:rsidRPr="005E7E43" w:rsidR="008506E5">
        <w:t>.</w:t>
      </w:r>
      <w:r w:rsidRPr="005E7E43" w:rsidR="00BB6214">
        <w:t xml:space="preserve"> Daartoe ga ik proactief het beleidskader onder de aandacht brengen bij de verschillende</w:t>
      </w:r>
      <w:r w:rsidRPr="005E7E43" w:rsidR="004534EA">
        <w:t xml:space="preserve"> </w:t>
      </w:r>
      <w:r w:rsidRPr="005E7E43" w:rsidR="00B44C54">
        <w:t xml:space="preserve">onderdelen van de </w:t>
      </w:r>
      <w:r w:rsidRPr="005E7E43" w:rsidR="005F1A6D">
        <w:t>r</w:t>
      </w:r>
      <w:r w:rsidRPr="005E7E43" w:rsidR="00B44C54">
        <w:t>ijksoverheid</w:t>
      </w:r>
      <w:r w:rsidRPr="005E7E43" w:rsidR="00BB6214">
        <w:t xml:space="preserve">. </w:t>
      </w:r>
      <w:r w:rsidRPr="005E7E43" w:rsidR="009E428A">
        <w:t>De komende tijd wordt bezien of, en zo ja hoe, het beleidskader onderdeel kan vormen van het Beleidskompas, waarbij de gebruiksvriendelijkheid van het Beleidskompas in overweging zal worden genomen.</w:t>
      </w:r>
      <w:r>
        <w:rPr>
          <w:rStyle w:val="FootnoteReference"/>
        </w:rPr>
        <w:footnoteReference w:id="8"/>
      </w:r>
      <w:r w:rsidRPr="005E7E43" w:rsidR="009E428A">
        <w:t xml:space="preserve"> </w:t>
      </w:r>
      <w:r w:rsidRPr="005E7E43" w:rsidR="008506E5">
        <w:t xml:space="preserve">Ook </w:t>
      </w:r>
      <w:r w:rsidRPr="005E7E43" w:rsidR="00FF1019">
        <w:t xml:space="preserve">acht ik het van groot belang om </w:t>
      </w:r>
      <w:r w:rsidRPr="005E7E43" w:rsidR="008506E5">
        <w:t xml:space="preserve">met de koepels in gesprek </w:t>
      </w:r>
      <w:r w:rsidRPr="005E7E43" w:rsidR="00FF1019">
        <w:t xml:space="preserve">te blijven </w:t>
      </w:r>
      <w:r w:rsidRPr="005E7E43" w:rsidR="00BB6214">
        <w:t>o</w:t>
      </w:r>
      <w:r w:rsidRPr="005E7E43" w:rsidR="00D21ED6">
        <w:t>ver het belang van een goede</w:t>
      </w:r>
      <w:r w:rsidRPr="005E7E43" w:rsidR="00BB6214">
        <w:t xml:space="preserve"> samenwerking bij het proces van taaktoedeling</w:t>
      </w:r>
      <w:r w:rsidRPr="005E7E43" w:rsidR="00D21ED6">
        <w:t xml:space="preserve"> en ieders rol daarbij</w:t>
      </w:r>
      <w:r w:rsidRPr="005E7E43" w:rsidR="00BB6214">
        <w:t>.</w:t>
      </w:r>
      <w:r w:rsidRPr="005E7E43" w:rsidR="002361C4">
        <w:t xml:space="preserve"> </w:t>
      </w:r>
      <w:r w:rsidR="006E024F">
        <w:t xml:space="preserve">Het voornemen is bovendien om het </w:t>
      </w:r>
      <w:r w:rsidRPr="006E024F" w:rsidR="006E024F">
        <w:t>beleidskader</w:t>
      </w:r>
      <w:r w:rsidR="006E024F">
        <w:t xml:space="preserve"> </w:t>
      </w:r>
      <w:r w:rsidRPr="006E024F" w:rsidR="006E024F">
        <w:t>elke vier jaar te evalueren en eventueel aan te passen. Hierover wordt uw Kamer te zijner tijd ook geïnformeerd.</w:t>
      </w:r>
    </w:p>
    <w:p w:rsidRPr="005E7E43" w:rsidR="007A7F7D" w:rsidP="007A7F7D" w14:paraId="566D0FAC" w14:textId="77777777"/>
    <w:p w:rsidRPr="005E7E43" w:rsidR="007A7F7D" w:rsidP="007A7F7D" w14:paraId="30FF22D6" w14:textId="77777777">
      <w:r w:rsidRPr="005E7E43">
        <w:t xml:space="preserve">De koepels zijn ook om die reden in het najaar van 2025 op uitnodiging van mijn ambtsvoorganger </w:t>
      </w:r>
      <w:r w:rsidRPr="005E7E43" w:rsidR="00D26FA5">
        <w:t xml:space="preserve">gevraagd om te komen met </w:t>
      </w:r>
      <w:r w:rsidRPr="005E7E43">
        <w:t xml:space="preserve">een bestuurlijke reactie over het concept-beleidskader. </w:t>
      </w:r>
      <w:r w:rsidRPr="005E7E43" w:rsidR="00D26FA5">
        <w:t>Op basis van die reactie</w:t>
      </w:r>
      <w:r w:rsidRPr="005E7E43" w:rsidR="0044516D">
        <w:t>s</w:t>
      </w:r>
      <w:r w:rsidRPr="005E7E43" w:rsidR="00D26FA5">
        <w:t xml:space="preserve"> heb ik ge</w:t>
      </w:r>
      <w:r w:rsidRPr="005E7E43">
        <w:t>constateer</w:t>
      </w:r>
      <w:r w:rsidRPr="005E7E43" w:rsidR="00D26FA5">
        <w:t>d</w:t>
      </w:r>
      <w:r w:rsidRPr="005E7E43">
        <w:t xml:space="preserve"> dat </w:t>
      </w:r>
      <w:r w:rsidRPr="005E7E43" w:rsidR="00D26FA5">
        <w:t xml:space="preserve">zij overwegend </w:t>
      </w:r>
      <w:r w:rsidRPr="005E7E43">
        <w:t xml:space="preserve">positief zijn over dit beleidskader en het doel en de noodzaak ervan onderschrijven. Als bijlage bij deze brief vindt u mijn nadere reflectie op de </w:t>
      </w:r>
      <w:r w:rsidRPr="005E7E43" w:rsidR="00D26FA5">
        <w:t xml:space="preserve">verschillende bestuurlijke </w:t>
      </w:r>
      <w:r w:rsidRPr="005E7E43">
        <w:t>reacties.</w:t>
      </w:r>
    </w:p>
    <w:p w:rsidRPr="005E7E43" w:rsidR="008506E5" w:rsidP="008506E5" w14:paraId="46E82E0E" w14:textId="77777777"/>
    <w:p w:rsidR="00271284" w:rsidP="008506E5" w14:paraId="31D77FF0" w14:textId="77777777">
      <w:r w:rsidRPr="005E7E43">
        <w:t xml:space="preserve">Op 27 mei </w:t>
      </w:r>
      <w:r w:rsidR="009050A2">
        <w:t>2025</w:t>
      </w:r>
      <w:r w:rsidRPr="005E7E43" w:rsidR="008506E5">
        <w:t xml:space="preserve"> is een motie-Van </w:t>
      </w:r>
      <w:r w:rsidRPr="005E7E43" w:rsidR="008506E5">
        <w:t>Waveren</w:t>
      </w:r>
      <w:r w:rsidRPr="005E7E43" w:rsidR="008506E5">
        <w:t xml:space="preserve"> aangenomen.</w:t>
      </w:r>
      <w:r>
        <w:rPr>
          <w:rStyle w:val="FootnoteReference"/>
        </w:rPr>
        <w:footnoteReference w:id="9"/>
      </w:r>
      <w:r w:rsidRPr="005E7E43" w:rsidR="008506E5">
        <w:t xml:space="preserve"> De motie verzoekt de regering het mogelijk te maken dat het beleidskader ook wordt gebruikt voor bestaande taken, </w:t>
      </w:r>
      <w:r w:rsidRPr="005E7E43" w:rsidR="008506E5">
        <w:t>indien</w:t>
      </w:r>
      <w:r w:rsidRPr="005E7E43" w:rsidR="008506E5">
        <w:t xml:space="preserve"> daar</w:t>
      </w:r>
      <w:r w:rsidRPr="005E7E43" w:rsidR="00E51765">
        <w:t>voor</w:t>
      </w:r>
      <w:r w:rsidRPr="005E7E43" w:rsidR="008506E5">
        <w:t xml:space="preserve"> aanleiding </w:t>
      </w:r>
      <w:r w:rsidRPr="005E7E43" w:rsidR="00E51765">
        <w:t>bestaat</w:t>
      </w:r>
      <w:r w:rsidRPr="005E7E43" w:rsidR="008506E5">
        <w:t xml:space="preserve">. </w:t>
      </w:r>
      <w:r w:rsidRPr="005E7E43" w:rsidR="00460437">
        <w:t>O</w:t>
      </w:r>
      <w:r w:rsidRPr="005E7E43" w:rsidR="008506E5">
        <w:t xml:space="preserve">mdat het beleidskader is gebaseerd op bestaande wettelijke kaders, </w:t>
      </w:r>
      <w:r w:rsidRPr="005E7E43" w:rsidR="00BB6214">
        <w:t>is het beleidskader in beginsel toepasbaar voor bestaande taken</w:t>
      </w:r>
      <w:r w:rsidRPr="005E7E43" w:rsidR="008506E5">
        <w:t xml:space="preserve">. Het kabinet zal </w:t>
      </w:r>
      <w:r w:rsidRPr="005E7E43" w:rsidR="00B44C54">
        <w:t xml:space="preserve">in beginsel </w:t>
      </w:r>
      <w:r w:rsidRPr="005E7E43" w:rsidR="008506E5">
        <w:t>niet bestaande taken toetsen aan het beleidskader, tenzij b</w:t>
      </w:r>
      <w:r w:rsidRPr="005E7E43" w:rsidR="00460437">
        <w:t xml:space="preserve">ijvoorbeeld </w:t>
      </w:r>
      <w:r w:rsidRPr="005E7E43" w:rsidR="008506E5">
        <w:t>een wetsevaluatie of een politieke afspraak</w:t>
      </w:r>
      <w:r w:rsidRPr="005E7E43" w:rsidR="00B44C54">
        <w:t xml:space="preserve"> daartoe aanleiding geeft</w:t>
      </w:r>
      <w:r w:rsidRPr="005E7E43" w:rsidR="008506E5">
        <w:t>.</w:t>
      </w:r>
    </w:p>
    <w:p w:rsidR="00271284" w:rsidP="008506E5" w14:paraId="36B722DD" w14:textId="77777777"/>
    <w:p w:rsidR="00271284" w:rsidP="008506E5" w14:paraId="52BDE6B9" w14:textId="77777777"/>
    <w:p w:rsidR="00271284" w:rsidP="008506E5" w14:paraId="430CB4F4" w14:textId="77777777"/>
    <w:p w:rsidR="00271284" w:rsidP="008506E5" w14:paraId="2352FA5E" w14:textId="77777777"/>
    <w:p w:rsidRPr="005E7E43" w:rsidR="008506E5" w:rsidP="008506E5" w14:paraId="543B9F68" w14:textId="5986CC28">
      <w:r w:rsidRPr="005E7E43">
        <w:t xml:space="preserve">Aangezien </w:t>
      </w:r>
      <w:r w:rsidRPr="005E7E43">
        <w:t xml:space="preserve">het beleidskader </w:t>
      </w:r>
      <w:r w:rsidR="00F21F0E">
        <w:t>is gebaseerd op</w:t>
      </w:r>
      <w:r w:rsidRPr="005E7E43" w:rsidR="002361C4">
        <w:t xml:space="preserve"> de huidige </w:t>
      </w:r>
      <w:r w:rsidRPr="005E7E43">
        <w:t>wettelijke kaders</w:t>
      </w:r>
      <w:r w:rsidRPr="005E7E43" w:rsidR="00955107">
        <w:t xml:space="preserve"> kan</w:t>
      </w:r>
      <w:r w:rsidRPr="005E7E43" w:rsidR="009F612A">
        <w:t xml:space="preserve"> het ook dienstbaar</w:t>
      </w:r>
      <w:r w:rsidRPr="005E7E43" w:rsidR="00955107">
        <w:t xml:space="preserve"> zijn</w:t>
      </w:r>
      <w:r w:rsidRPr="005E7E43" w:rsidR="009F612A">
        <w:t xml:space="preserve"> b</w:t>
      </w:r>
      <w:r w:rsidRPr="005E7E43">
        <w:t>ij</w:t>
      </w:r>
      <w:r w:rsidRPr="005E7E43" w:rsidR="00460437">
        <w:t xml:space="preserve"> </w:t>
      </w:r>
      <w:r w:rsidRPr="005E7E43">
        <w:t>(</w:t>
      </w:r>
      <w:r w:rsidRPr="005E7E43" w:rsidR="00460437">
        <w:t>de voorbereidingen voor</w:t>
      </w:r>
      <w:r w:rsidRPr="005E7E43">
        <w:t>)</w:t>
      </w:r>
      <w:r w:rsidRPr="005E7E43" w:rsidR="00460437">
        <w:t xml:space="preserve"> het opstellen van verkiezingsprogramma’s,</w:t>
      </w:r>
      <w:r w:rsidRPr="005E7E43" w:rsidR="00BB6214">
        <w:t xml:space="preserve"> regeerprogramma,</w:t>
      </w:r>
      <w:r w:rsidRPr="005E7E43">
        <w:t xml:space="preserve"> initiatief</w:t>
      </w:r>
      <w:r w:rsidRPr="005E7E43" w:rsidR="00BB6214">
        <w:t xml:space="preserve">nota’s en </w:t>
      </w:r>
      <w:r w:rsidRPr="005E7E43">
        <w:t xml:space="preserve">wetsvoorstellen </w:t>
      </w:r>
      <w:r w:rsidRPr="005E7E43" w:rsidR="002361C4">
        <w:t>en amendementen</w:t>
      </w:r>
      <w:r w:rsidRPr="005E7E43" w:rsidR="00DC79F1">
        <w:t>, die naar aanleiding van bestaande taken kunnen worden opgesteld</w:t>
      </w:r>
      <w:r w:rsidRPr="005E7E43">
        <w:t xml:space="preserve">. </w:t>
      </w:r>
    </w:p>
    <w:p w:rsidRPr="005E7E43" w:rsidR="008506E5" w:rsidP="008506E5" w14:paraId="0E5F4E32" w14:textId="77777777"/>
    <w:p w:rsidRPr="005E7E43" w:rsidR="002F6197" w:rsidP="00271284" w14:paraId="6855BB65" w14:textId="298D7CCC">
      <w:pPr>
        <w:spacing w:line="240" w:lineRule="auto"/>
      </w:pPr>
      <w:r w:rsidRPr="005E7E43">
        <w:t>De minister van Binnenlandse Zaken en Koninkrijksrelaties</w:t>
      </w:r>
      <w:r w:rsidRPr="005E7E43" w:rsidR="008506E5">
        <w:t>,</w:t>
      </w:r>
    </w:p>
    <w:p w:rsidRPr="005E7E43" w:rsidR="002B2423" w:rsidP="002F6197" w14:paraId="3C03132B" w14:textId="77777777"/>
    <w:p w:rsidRPr="005E7E43" w:rsidR="002B2423" w:rsidP="002F6197" w14:paraId="5D032DAA" w14:textId="77777777"/>
    <w:p w:rsidRPr="005E7E43" w:rsidR="00BD6C29" w:rsidP="002F6197" w14:paraId="5DFBB2D0" w14:textId="77777777"/>
    <w:p w:rsidRPr="005E7E43" w:rsidR="002B2423" w:rsidP="002F6197" w14:paraId="1C07D086" w14:textId="77777777"/>
    <w:p w:rsidRPr="005E7E43" w:rsidR="002B2423" w:rsidP="002F6197" w14:paraId="72D75AED" w14:textId="77777777"/>
    <w:p w:rsidRPr="005E7E43" w:rsidR="00F51B12" w14:paraId="4AC8236B" w14:textId="77777777">
      <w:r w:rsidRPr="005E7E43">
        <w:t>Pieter</w:t>
      </w:r>
      <w:r w:rsidRPr="005E7E43" w:rsidR="002B2423">
        <w:t xml:space="preserve"> Heerma</w:t>
      </w:r>
      <w:r w:rsidRPr="005E7E43" w:rsidR="002F6197">
        <w:br/>
      </w:r>
    </w:p>
    <w:p w:rsidRPr="005E7E43" w:rsidR="00F51B12" w14:paraId="7B039A4E" w14:textId="77777777"/>
    <w:p w:rsidRPr="005E7E43" w:rsidR="00F51B12" w14:paraId="5443ABC1" w14:textId="77777777"/>
    <w:p w:rsidRPr="005E7E43" w:rsidR="00F51B12" w14:paraId="4320EA0C" w14:textId="77777777"/>
    <w:p w:rsidRPr="005E7E43" w:rsidR="00F51B12" w14:paraId="60BFAD84" w14:textId="77777777"/>
    <w:p w:rsidRPr="005E7E43" w:rsidR="00F51B12" w14:paraId="34709505" w14:textId="77777777"/>
    <w:sectPr>
      <w:headerReference w:type="default" r:id="rId7"/>
      <w:footerReference w:type="default" r:id="rId8"/>
      <w:headerReference w:type="first" r:id="rId9"/>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1B12" w14:paraId="6291D35F"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31E97" w14:paraId="493EE3DF" w14:textId="77777777">
      <w:pPr>
        <w:spacing w:line="240" w:lineRule="auto"/>
      </w:pPr>
      <w:r>
        <w:separator/>
      </w:r>
    </w:p>
  </w:footnote>
  <w:footnote w:type="continuationSeparator" w:id="1">
    <w:p w:rsidR="00931E97" w14:paraId="28BA6CF6" w14:textId="77777777">
      <w:pPr>
        <w:spacing w:line="240" w:lineRule="auto"/>
      </w:pPr>
      <w:r>
        <w:continuationSeparator/>
      </w:r>
    </w:p>
  </w:footnote>
  <w:footnote w:id="2">
    <w:p w:rsidR="002F6197" w:rsidRPr="0052582A" w:rsidP="002F6197" w14:paraId="7DD4FC54" w14:textId="77777777">
      <w:pPr>
        <w:pStyle w:val="FootnoteText"/>
        <w:rPr>
          <w:rFonts w:ascii="Verdana" w:hAnsi="Verdana"/>
          <w:sz w:val="16"/>
          <w:szCs w:val="16"/>
        </w:rPr>
      </w:pPr>
      <w:r w:rsidRPr="0052582A">
        <w:rPr>
          <w:rStyle w:val="FootnoteReference"/>
          <w:rFonts w:ascii="Verdana" w:hAnsi="Verdana"/>
          <w:sz w:val="16"/>
          <w:szCs w:val="16"/>
        </w:rPr>
        <w:footnoteRef/>
      </w:r>
      <w:r w:rsidRPr="0052582A">
        <w:rPr>
          <w:rFonts w:ascii="Verdana" w:hAnsi="Verdana"/>
          <w:sz w:val="16"/>
          <w:szCs w:val="16"/>
        </w:rPr>
        <w:t xml:space="preserve"> Hiermee geef ik uitvoering aan de aanbevelingen uit het rapport “</w:t>
      </w:r>
      <w:r w:rsidR="00256E18">
        <w:rPr>
          <w:rFonts w:ascii="Verdana" w:hAnsi="Verdana"/>
          <w:sz w:val="16"/>
          <w:szCs w:val="16"/>
        </w:rPr>
        <w:t>N</w:t>
      </w:r>
      <w:r w:rsidRPr="0052582A">
        <w:rPr>
          <w:rFonts w:ascii="Verdana" w:hAnsi="Verdana"/>
          <w:sz w:val="16"/>
          <w:szCs w:val="16"/>
        </w:rPr>
        <w:t>aar nieuwe vormen van decentraal bestuur” dat in opdracht van mijn ministerie is geschreven door em. prof. dr. D.J. Elzinga, en dat door mijn ambtsvoorganger destijds aan uw Kamer is aangeboden</w:t>
      </w:r>
      <w:r w:rsidR="00F148D1">
        <w:rPr>
          <w:rFonts w:ascii="Verdana" w:hAnsi="Verdana"/>
          <w:sz w:val="16"/>
          <w:szCs w:val="16"/>
        </w:rPr>
        <w:t xml:space="preserve">: Kamerstukken II, vergaderjaar 2021-22, </w:t>
      </w:r>
      <w:r w:rsidRPr="00F148D1" w:rsidR="00F148D1">
        <w:rPr>
          <w:rFonts w:ascii="Verdana" w:hAnsi="Verdana"/>
          <w:sz w:val="16"/>
          <w:szCs w:val="16"/>
        </w:rPr>
        <w:t>35925-VII</w:t>
      </w:r>
      <w:r w:rsidR="00F148D1">
        <w:rPr>
          <w:rFonts w:ascii="Verdana" w:hAnsi="Verdana"/>
          <w:sz w:val="16"/>
          <w:szCs w:val="16"/>
        </w:rPr>
        <w:t xml:space="preserve">, nr. </w:t>
      </w:r>
      <w:r w:rsidRPr="00F148D1" w:rsidR="00F148D1">
        <w:rPr>
          <w:rFonts w:ascii="Verdana" w:hAnsi="Verdana"/>
          <w:sz w:val="16"/>
          <w:szCs w:val="16"/>
        </w:rPr>
        <w:t>136</w:t>
      </w:r>
      <w:r w:rsidR="00F148D1">
        <w:rPr>
          <w:rFonts w:ascii="Verdana" w:hAnsi="Verdana"/>
          <w:sz w:val="16"/>
          <w:szCs w:val="16"/>
        </w:rPr>
        <w:t>.</w:t>
      </w:r>
    </w:p>
  </w:footnote>
  <w:footnote w:id="3">
    <w:p w:rsidR="00A227D9" w:rsidRPr="0052582A" w:rsidP="00A227D9" w14:paraId="6EE12C02" w14:textId="77777777">
      <w:pPr>
        <w:pStyle w:val="FootnoteText"/>
        <w:rPr>
          <w:rFonts w:ascii="Verdana" w:hAnsi="Verdana"/>
          <w:sz w:val="16"/>
          <w:szCs w:val="16"/>
        </w:rPr>
      </w:pPr>
      <w:r w:rsidRPr="0052582A">
        <w:rPr>
          <w:rStyle w:val="FootnoteReference"/>
          <w:rFonts w:ascii="Verdana" w:hAnsi="Verdana"/>
          <w:sz w:val="16"/>
          <w:szCs w:val="16"/>
        </w:rPr>
        <w:footnoteRef/>
      </w:r>
      <w:r w:rsidRPr="0052582A">
        <w:rPr>
          <w:rFonts w:ascii="Verdana" w:hAnsi="Verdana"/>
          <w:sz w:val="16"/>
          <w:szCs w:val="16"/>
        </w:rPr>
        <w:t xml:space="preserve"> Kamerstukken II 2024–2025, 33 047, nr. 40.</w:t>
      </w:r>
    </w:p>
  </w:footnote>
  <w:footnote w:id="4">
    <w:p w:rsidR="00B91B7A" w:rsidRPr="0052582A" w14:paraId="4F622E8E" w14:textId="77777777">
      <w:pPr>
        <w:pStyle w:val="FootnoteText"/>
        <w:rPr>
          <w:rFonts w:ascii="Verdana" w:hAnsi="Verdana"/>
          <w:sz w:val="16"/>
          <w:szCs w:val="16"/>
        </w:rPr>
      </w:pPr>
      <w:r w:rsidRPr="0052582A">
        <w:rPr>
          <w:rStyle w:val="FootnoteReference"/>
          <w:rFonts w:ascii="Verdana" w:hAnsi="Verdana"/>
          <w:sz w:val="16"/>
          <w:szCs w:val="16"/>
        </w:rPr>
        <w:footnoteRef/>
      </w:r>
      <w:r w:rsidRPr="0052582A">
        <w:rPr>
          <w:rFonts w:ascii="Verdana" w:hAnsi="Verdana"/>
          <w:sz w:val="16"/>
          <w:szCs w:val="16"/>
        </w:rPr>
        <w:t xml:space="preserve"> Gemeenten werken in gemiddeld 42 samenwerkingsverbanden</w:t>
      </w:r>
      <w:r w:rsidRPr="0052582A" w:rsidR="008B4CA0">
        <w:rPr>
          <w:rFonts w:ascii="Verdana" w:hAnsi="Verdana"/>
          <w:sz w:val="16"/>
          <w:szCs w:val="16"/>
        </w:rPr>
        <w:t xml:space="preserve"> samen</w:t>
      </w:r>
      <w:r w:rsidRPr="0052582A">
        <w:rPr>
          <w:rFonts w:ascii="Verdana" w:hAnsi="Verdana"/>
          <w:sz w:val="16"/>
          <w:szCs w:val="16"/>
        </w:rPr>
        <w:t>.</w:t>
      </w:r>
    </w:p>
  </w:footnote>
  <w:footnote w:id="5">
    <w:p w:rsidR="00C1591F" w:rsidRPr="00C1591F" w14:paraId="04A0D1BC" w14:textId="77777777">
      <w:pPr>
        <w:pStyle w:val="FootnoteText"/>
        <w:rPr>
          <w:rFonts w:ascii="Verdana" w:hAnsi="Verdana"/>
          <w:sz w:val="16"/>
          <w:szCs w:val="16"/>
        </w:rPr>
      </w:pPr>
      <w:r w:rsidRPr="00C1591F">
        <w:rPr>
          <w:rStyle w:val="FootnoteReference"/>
          <w:rFonts w:ascii="Verdana" w:hAnsi="Verdana"/>
          <w:sz w:val="16"/>
          <w:szCs w:val="16"/>
        </w:rPr>
        <w:footnoteRef/>
      </w:r>
      <w:r w:rsidRPr="00C1591F">
        <w:rPr>
          <w:rFonts w:ascii="Verdana" w:hAnsi="Verdana"/>
          <w:sz w:val="16"/>
          <w:szCs w:val="16"/>
        </w:rPr>
        <w:t xml:space="preserve"> Zie ook het proefschrift van dr. R.J.M.H de Greef, </w:t>
      </w:r>
      <w:r w:rsidRPr="00C1591F">
        <w:rPr>
          <w:rFonts w:ascii="Verdana" w:hAnsi="Verdana"/>
          <w:i/>
          <w:iCs/>
          <w:sz w:val="16"/>
          <w:szCs w:val="16"/>
        </w:rPr>
        <w:t>Democratische gemeenschappelijke regelingen</w:t>
      </w:r>
      <w:r w:rsidRPr="00C1591F">
        <w:rPr>
          <w:rFonts w:ascii="Verdana" w:hAnsi="Verdana"/>
          <w:sz w:val="16"/>
          <w:szCs w:val="16"/>
        </w:rPr>
        <w:t>, 2026</w:t>
      </w:r>
      <w:r w:rsidR="005F1F67">
        <w:rPr>
          <w:rFonts w:ascii="Verdana" w:hAnsi="Verdana"/>
          <w:sz w:val="16"/>
          <w:szCs w:val="16"/>
        </w:rPr>
        <w:t>.</w:t>
      </w:r>
    </w:p>
  </w:footnote>
  <w:footnote w:id="6">
    <w:p w:rsidR="00CF6B14" w:rsidRPr="004D455D" w:rsidP="00CF6B14" w14:paraId="289ACC1A" w14:textId="77777777">
      <w:pPr>
        <w:pStyle w:val="FootnoteText"/>
        <w:rPr>
          <w:rFonts w:ascii="Verdana" w:hAnsi="Verdana"/>
          <w:sz w:val="16"/>
          <w:szCs w:val="16"/>
        </w:rPr>
      </w:pPr>
      <w:r w:rsidRPr="004D455D">
        <w:rPr>
          <w:rStyle w:val="FootnoteReference"/>
          <w:rFonts w:ascii="Verdana" w:hAnsi="Verdana"/>
          <w:sz w:val="16"/>
          <w:szCs w:val="16"/>
        </w:rPr>
        <w:footnoteRef/>
      </w:r>
      <w:r w:rsidRPr="004D455D">
        <w:rPr>
          <w:rFonts w:ascii="Verdana" w:hAnsi="Verdana"/>
          <w:sz w:val="16"/>
          <w:szCs w:val="16"/>
        </w:rPr>
        <w:t xml:space="preserve"> Raad van State (2021). Voorlichting over interbestuurlijke verhoudingen.</w:t>
      </w:r>
    </w:p>
  </w:footnote>
  <w:footnote w:id="7">
    <w:p w:rsidR="00C56A8A" w14:paraId="5594BAC4" w14:textId="77777777">
      <w:pPr>
        <w:pStyle w:val="FootnoteText"/>
      </w:pPr>
      <w:r>
        <w:rPr>
          <w:rStyle w:val="FootnoteReference"/>
        </w:rPr>
        <w:footnoteRef/>
      </w:r>
      <w:r>
        <w:t xml:space="preserve"> </w:t>
      </w:r>
      <w:r w:rsidRPr="00C56A8A">
        <w:rPr>
          <w:rFonts w:ascii="Verdana" w:hAnsi="Verdana"/>
          <w:sz w:val="16"/>
          <w:szCs w:val="16"/>
        </w:rPr>
        <w:t>Kamerstukken II, 2025-26, 33047, nr. 43.</w:t>
      </w:r>
    </w:p>
  </w:footnote>
  <w:footnote w:id="8">
    <w:p w:rsidR="009E428A" w:rsidRPr="00107A96" w14:paraId="45CDC952" w14:textId="77777777">
      <w:pPr>
        <w:pStyle w:val="FootnoteText"/>
        <w:rPr>
          <w:rFonts w:ascii="Verdana" w:hAnsi="Verdana"/>
          <w:sz w:val="16"/>
          <w:szCs w:val="16"/>
        </w:rPr>
      </w:pPr>
      <w:r w:rsidRPr="00107A96">
        <w:rPr>
          <w:rStyle w:val="FootnoteReference"/>
          <w:rFonts w:ascii="Verdana" w:hAnsi="Verdana"/>
          <w:sz w:val="16"/>
          <w:szCs w:val="16"/>
        </w:rPr>
        <w:footnoteRef/>
      </w:r>
      <w:r w:rsidRPr="00107A96">
        <w:rPr>
          <w:rFonts w:ascii="Verdana" w:hAnsi="Verdana"/>
          <w:sz w:val="16"/>
          <w:szCs w:val="16"/>
        </w:rPr>
        <w:t xml:space="preserve"> Op 14 februari 2025 heeft de Staatssecretaris Rechtsbescherming aan het parlement een brief gezonden met de kabinetsreactie op het WODC-rapport over het gebruik van het Beleidskompas binnen de rijksoverheid (Kamerstukken II 2024/25, 29362, nr. 372), waarin aangegeven wordt dat het gebruik van het Beleidskompas nog geen vanzelfsprekendheid is en het van belang blijft om hierin stappen te zetten.</w:t>
      </w:r>
    </w:p>
  </w:footnote>
  <w:footnote w:id="9">
    <w:p w:rsidR="00953BAE" w:rsidRPr="00233212" w14:paraId="02B119A6" w14:textId="77777777">
      <w:pPr>
        <w:pStyle w:val="FootnoteText"/>
        <w:rPr>
          <w:rFonts w:ascii="Verdana" w:hAnsi="Verdana"/>
          <w:sz w:val="16"/>
          <w:szCs w:val="16"/>
        </w:rPr>
      </w:pPr>
      <w:r w:rsidRPr="00233212">
        <w:rPr>
          <w:rStyle w:val="FootnoteReference"/>
          <w:rFonts w:ascii="Verdana" w:hAnsi="Verdana"/>
          <w:sz w:val="16"/>
          <w:szCs w:val="16"/>
        </w:rPr>
        <w:footnoteRef/>
      </w:r>
      <w:r w:rsidRPr="00233212">
        <w:rPr>
          <w:rFonts w:ascii="Verdana" w:hAnsi="Verdana"/>
          <w:sz w:val="16"/>
          <w:szCs w:val="16"/>
        </w:rPr>
        <w:t xml:space="preserve"> Kamerstukken II, 2024-25, 33047, nr. 38.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1B12" w14:paraId="11488027"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5E3FC9"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5E3FC9" w14:paraId="0C089628"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F51B12" w:rsidRPr="00897E1B" w14:textId="77777777">
                          <w:pPr>
                            <w:pStyle w:val="Referentiegegevensbold"/>
                            <w:rPr>
                              <w:lang w:val="de-DE"/>
                            </w:rPr>
                          </w:pPr>
                          <w:r w:rsidRPr="00897E1B">
                            <w:rPr>
                              <w:lang w:val="de-DE"/>
                            </w:rPr>
                            <w:t>DGOBDR</w:t>
                          </w:r>
                        </w:p>
                        <w:p w:rsidR="00F51B12" w:rsidRPr="00897E1B" w14:textId="77777777">
                          <w:pPr>
                            <w:pStyle w:val="Referentiegegevens"/>
                            <w:rPr>
                              <w:lang w:val="de-DE"/>
                            </w:rPr>
                          </w:pPr>
                          <w:r w:rsidRPr="00897E1B">
                            <w:rPr>
                              <w:lang w:val="de-DE"/>
                            </w:rPr>
                            <w:t>DenB</w:t>
                          </w:r>
                        </w:p>
                        <w:p w:rsidR="00F51B12" w:rsidRPr="00897E1B" w14:textId="77777777">
                          <w:pPr>
                            <w:pStyle w:val="Referentiegegevens"/>
                            <w:rPr>
                              <w:lang w:val="de-DE"/>
                            </w:rPr>
                          </w:pPr>
                          <w:r w:rsidRPr="00897E1B">
                            <w:rPr>
                              <w:lang w:val="de-DE"/>
                            </w:rPr>
                            <w:t>IOB</w:t>
                          </w:r>
                        </w:p>
                        <w:p w:rsidR="00F51B12" w:rsidRPr="00897E1B" w14:textId="77777777">
                          <w:pPr>
                            <w:pStyle w:val="WitregelW2"/>
                            <w:rPr>
                              <w:lang w:val="de-DE"/>
                            </w:rPr>
                          </w:pPr>
                        </w:p>
                        <w:p w:rsidR="00F51B12" w:rsidRPr="00897E1B" w14:textId="77777777">
                          <w:pPr>
                            <w:pStyle w:val="Referentiegegevensbold"/>
                            <w:rPr>
                              <w:lang w:val="de-DE"/>
                            </w:rPr>
                          </w:pPr>
                          <w:r w:rsidRPr="00897E1B">
                            <w:rPr>
                              <w:lang w:val="de-DE"/>
                            </w:rPr>
                            <w:t>Datum</w:t>
                          </w:r>
                        </w:p>
                        <w:p w:rsidR="00F51B12" w:rsidRPr="00897E1B" w14:textId="77777777">
                          <w:pPr>
                            <w:pStyle w:val="Referentiegegevens"/>
                            <w:rPr>
                              <w:lang w:val="de-DE"/>
                            </w:rPr>
                          </w:pPr>
                        </w:p>
                        <w:p w:rsidR="00F51B12" w:rsidRPr="00897E1B" w14:textId="77777777">
                          <w:pPr>
                            <w:pStyle w:val="WitregelW1"/>
                            <w:rPr>
                              <w:lang w:val="de-DE"/>
                            </w:rPr>
                          </w:pPr>
                        </w:p>
                        <w:p w:rsidR="00F51B12" w14:textId="77777777">
                          <w:pPr>
                            <w:pStyle w:val="Referentiegegevensbold"/>
                          </w:pPr>
                          <w:r>
                            <w:t>Onze referentie</w:t>
                          </w:r>
                        </w:p>
                        <w:p w:rsidR="009B5F0A" w14:textId="77777777">
                          <w:pPr>
                            <w:pStyle w:val="Referentiegegevens"/>
                          </w:pPr>
                          <w:r>
                            <w:fldChar w:fldCharType="begin"/>
                          </w:r>
                          <w:r>
                            <w:instrText xml:space="preserve"> DOCPROPERTY  "Kenmerk"  \* MERGEFORMAT </w:instrText>
                          </w:r>
                          <w:r>
                            <w:fldChar w:fldCharType="separate"/>
                          </w:r>
                          <w:r w:rsidR="00271284">
                            <w:t>2026-0000305007</w:t>
                          </w:r>
                          <w:r w:rsidR="00271284">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F51B12" w:rsidRPr="00897E1B" w14:paraId="6CB977A2" w14:textId="77777777">
                    <w:pPr>
                      <w:pStyle w:val="Referentiegegevensbold"/>
                      <w:rPr>
                        <w:lang w:val="de-DE"/>
                      </w:rPr>
                    </w:pPr>
                    <w:r w:rsidRPr="00897E1B">
                      <w:rPr>
                        <w:lang w:val="de-DE"/>
                      </w:rPr>
                      <w:t>DGOBDR</w:t>
                    </w:r>
                  </w:p>
                  <w:p w:rsidR="00F51B12" w:rsidRPr="00897E1B" w14:paraId="222F8534" w14:textId="77777777">
                    <w:pPr>
                      <w:pStyle w:val="Referentiegegevens"/>
                      <w:rPr>
                        <w:lang w:val="de-DE"/>
                      </w:rPr>
                    </w:pPr>
                    <w:r w:rsidRPr="00897E1B">
                      <w:rPr>
                        <w:lang w:val="de-DE"/>
                      </w:rPr>
                      <w:t>DenB</w:t>
                    </w:r>
                  </w:p>
                  <w:p w:rsidR="00F51B12" w:rsidRPr="00897E1B" w14:paraId="1415DF67" w14:textId="77777777">
                    <w:pPr>
                      <w:pStyle w:val="Referentiegegevens"/>
                      <w:rPr>
                        <w:lang w:val="de-DE"/>
                      </w:rPr>
                    </w:pPr>
                    <w:r w:rsidRPr="00897E1B">
                      <w:rPr>
                        <w:lang w:val="de-DE"/>
                      </w:rPr>
                      <w:t>IOB</w:t>
                    </w:r>
                  </w:p>
                  <w:p w:rsidR="00F51B12" w:rsidRPr="00897E1B" w14:paraId="26283F25" w14:textId="77777777">
                    <w:pPr>
                      <w:pStyle w:val="WitregelW2"/>
                      <w:rPr>
                        <w:lang w:val="de-DE"/>
                      </w:rPr>
                    </w:pPr>
                  </w:p>
                  <w:p w:rsidR="00F51B12" w:rsidRPr="00897E1B" w14:paraId="710B4847" w14:textId="77777777">
                    <w:pPr>
                      <w:pStyle w:val="Referentiegegevensbold"/>
                      <w:rPr>
                        <w:lang w:val="de-DE"/>
                      </w:rPr>
                    </w:pPr>
                    <w:r w:rsidRPr="00897E1B">
                      <w:rPr>
                        <w:lang w:val="de-DE"/>
                      </w:rPr>
                      <w:t>Datum</w:t>
                    </w:r>
                  </w:p>
                  <w:p w:rsidR="00F51B12" w:rsidRPr="00897E1B" w14:paraId="58E0C3D4" w14:textId="77777777">
                    <w:pPr>
                      <w:pStyle w:val="Referentiegegevens"/>
                      <w:rPr>
                        <w:lang w:val="de-DE"/>
                      </w:rPr>
                    </w:pPr>
                  </w:p>
                  <w:p w:rsidR="00F51B12" w:rsidRPr="00897E1B" w14:paraId="41C5758E" w14:textId="77777777">
                    <w:pPr>
                      <w:pStyle w:val="WitregelW1"/>
                      <w:rPr>
                        <w:lang w:val="de-DE"/>
                      </w:rPr>
                    </w:pPr>
                  </w:p>
                  <w:p w:rsidR="00F51B12" w14:paraId="4F3BA4BF" w14:textId="77777777">
                    <w:pPr>
                      <w:pStyle w:val="Referentiegegevensbold"/>
                    </w:pPr>
                    <w:r>
                      <w:t>Onze referentie</w:t>
                    </w:r>
                  </w:p>
                  <w:p w:rsidR="009B5F0A" w14:paraId="3E2C1D43" w14:textId="77777777">
                    <w:pPr>
                      <w:pStyle w:val="Referentiegegevens"/>
                    </w:pPr>
                    <w:r>
                      <w:fldChar w:fldCharType="begin"/>
                    </w:r>
                    <w:r>
                      <w:instrText xml:space="preserve"> DOCPROPERTY  "Kenmerk"  \* MERGEFORMAT </w:instrText>
                    </w:r>
                    <w:r>
                      <w:fldChar w:fldCharType="separate"/>
                    </w:r>
                    <w:r w:rsidR="00271284">
                      <w:t>2026-0000305007</w:t>
                    </w:r>
                    <w:r w:rsidR="00271284">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5E3FC9"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5E3FC9" w14:paraId="5B514603"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E871A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E871AF" w14:paraId="5A517A0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1B12" w14:paraId="74556D89"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F51B12" w14:textId="77777777">
                          <w:pPr>
                            <w:spacing w:line="240" w:lineRule="auto"/>
                          </w:pPr>
                          <w:r>
                            <w:rPr>
                              <w:noProof/>
                            </w:rPr>
                            <w:drawing>
                              <wp:inline distT="0" distB="0" distL="0" distR="0">
                                <wp:extent cx="467995" cy="1583865"/>
                                <wp:effectExtent l="0" t="0" r="0" b="0"/>
                                <wp:docPr id="75436558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75436558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F51B12" w14:paraId="035A13F8"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F51B12" w14:textId="77777777">
                          <w:pPr>
                            <w:spacing w:line="240" w:lineRule="auto"/>
                          </w:pPr>
                          <w:r>
                            <w:rPr>
                              <w:noProof/>
                            </w:rPr>
                            <w:drawing>
                              <wp:inline distT="0" distB="0" distL="0" distR="0">
                                <wp:extent cx="2339975" cy="1582834"/>
                                <wp:effectExtent l="0" t="0" r="0" b="0"/>
                                <wp:docPr id="616600040"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616600040"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F51B12" w14:paraId="2FBA35A2"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51B12"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F51B12" w14:paraId="7347B81E"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5E3FC9" w14:textId="77777777">
                          <w:r>
                            <w:t xml:space="preserve">Aan de </w:t>
                          </w:r>
                          <w:r w:rsidR="00C259B1">
                            <w:t xml:space="preserve">voorzitter van de </w:t>
                          </w:r>
                          <w:r>
                            <w:t>Tweede Kamer der Staten-Generaal</w:t>
                          </w:r>
                        </w:p>
                        <w:p w:rsidR="00C259B1" w:rsidP="00C259B1" w14:textId="77777777">
                          <w:r>
                            <w:t>Postbus 20018</w:t>
                          </w:r>
                        </w:p>
                        <w:p w:rsidR="002F6197" w:rsidP="00C259B1"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5E3FC9" w14:paraId="474683E7" w14:textId="77777777">
                    <w:r>
                      <w:t xml:space="preserve">Aan de </w:t>
                    </w:r>
                    <w:r w:rsidR="00C259B1">
                      <w:t xml:space="preserve">voorzitter van de </w:t>
                    </w:r>
                    <w:r>
                      <w:t>Tweede Kamer der Staten-Generaal</w:t>
                    </w:r>
                  </w:p>
                  <w:p w:rsidR="00C259B1" w:rsidP="00C259B1" w14:paraId="773EFCB2" w14:textId="77777777">
                    <w:r>
                      <w:t>Postbus 20018</w:t>
                    </w:r>
                  </w:p>
                  <w:p w:rsidR="002F6197" w:rsidP="00C259B1" w14:paraId="46713951"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1005840</wp:posOffset>
              </wp:positionH>
              <wp:positionV relativeFrom="paragraph">
                <wp:posOffset>3352800</wp:posOffset>
              </wp:positionV>
              <wp:extent cx="4787900" cy="43434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434340"/>
                      </a:xfrm>
                      <a:prstGeom prst="rect">
                        <a:avLst/>
                      </a:prstGeom>
                      <a:noFill/>
                    </wps:spPr>
                    <wps:txbx>
                      <w:txbxContent>
                        <w:tbl>
                          <w:tblPr>
                            <w:tblW w:w="0" w:type="auto"/>
                            <w:tblInd w:w="-120" w:type="dxa"/>
                            <w:tblLayout w:type="fixed"/>
                            <w:tblLook w:val="07E0"/>
                          </w:tblPr>
                          <w:tblGrid>
                            <w:gridCol w:w="1140"/>
                            <w:gridCol w:w="5918"/>
                          </w:tblGrid>
                          <w:tr w14:paraId="367675DD" w14:textId="77777777">
                            <w:tblPrEx>
                              <w:tblW w:w="0" w:type="auto"/>
                              <w:tblInd w:w="-120" w:type="dxa"/>
                              <w:tblLayout w:type="fixed"/>
                              <w:tblLook w:val="07E0"/>
                            </w:tblPrEx>
                            <w:trPr>
                              <w:trHeight w:val="240"/>
                            </w:trPr>
                            <w:tc>
                              <w:tcPr>
                                <w:tcW w:w="1140" w:type="dxa"/>
                              </w:tcPr>
                              <w:p w:rsidR="00F51B12" w14:textId="77777777">
                                <w:r>
                                  <w:t>Datum</w:t>
                                </w:r>
                              </w:p>
                            </w:tc>
                            <w:tc>
                              <w:tcPr>
                                <w:tcW w:w="5918" w:type="dxa"/>
                              </w:tcPr>
                              <w:p w:rsidR="00F51B12" w14:textId="691CADE4">
                                <w:r>
                                  <w:t>3 juli 2026</w:t>
                                </w:r>
                              </w:p>
                            </w:tc>
                          </w:tr>
                          <w:tr w14:paraId="3D9E7362" w14:textId="77777777">
                            <w:tblPrEx>
                              <w:tblW w:w="0" w:type="auto"/>
                              <w:tblInd w:w="-120" w:type="dxa"/>
                              <w:tblLayout w:type="fixed"/>
                              <w:tblLook w:val="07E0"/>
                            </w:tblPrEx>
                            <w:trPr>
                              <w:trHeight w:val="240"/>
                            </w:trPr>
                            <w:tc>
                              <w:tcPr>
                                <w:tcW w:w="1140" w:type="dxa"/>
                              </w:tcPr>
                              <w:p w:rsidR="00F51B12" w14:textId="77777777">
                                <w:r>
                                  <w:t>Betreft</w:t>
                                </w:r>
                              </w:p>
                            </w:tc>
                            <w:tc>
                              <w:tcPr>
                                <w:tcW w:w="5918" w:type="dxa"/>
                              </w:tcPr>
                              <w:p w:rsidR="00F51B12" w14:textId="77777777">
                                <w:bookmarkStart w:id="3" w:name="_Hlk233983802"/>
                                <w:r>
                                  <w:t>Beleidskader decentraal en gedeconcentreerd bestuur</w:t>
                                </w:r>
                                <w:bookmarkEnd w:id="3"/>
                              </w:p>
                            </w:tc>
                          </w:tr>
                        </w:tbl>
                        <w:p w:rsidR="005E3FC9"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34.2pt;margin-top:264pt;margin-left:79.2pt;mso-height-percent:0;mso-height-relative:margin;mso-position-horizontal-relative:page;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367675DC" w14:textId="77777777">
                      <w:tblPrEx>
                        <w:tblW w:w="0" w:type="auto"/>
                        <w:tblInd w:w="-120" w:type="dxa"/>
                        <w:tblLayout w:type="fixed"/>
                        <w:tblLook w:val="07E0"/>
                      </w:tblPrEx>
                      <w:trPr>
                        <w:trHeight w:val="240"/>
                      </w:trPr>
                      <w:tc>
                        <w:tcPr>
                          <w:tcW w:w="1140" w:type="dxa"/>
                        </w:tcPr>
                        <w:p w:rsidR="00F51B12" w14:paraId="15017465" w14:textId="77777777">
                          <w:r>
                            <w:t>Datum</w:t>
                          </w:r>
                        </w:p>
                      </w:tc>
                      <w:tc>
                        <w:tcPr>
                          <w:tcW w:w="5918" w:type="dxa"/>
                        </w:tcPr>
                        <w:p w:rsidR="00F51B12" w14:paraId="73DB130B" w14:textId="691CADE4">
                          <w:r>
                            <w:t>3 juli 2026</w:t>
                          </w:r>
                        </w:p>
                      </w:tc>
                    </w:tr>
                    <w:tr w14:paraId="3D9E7361" w14:textId="77777777">
                      <w:tblPrEx>
                        <w:tblW w:w="0" w:type="auto"/>
                        <w:tblInd w:w="-120" w:type="dxa"/>
                        <w:tblLayout w:type="fixed"/>
                        <w:tblLook w:val="07E0"/>
                      </w:tblPrEx>
                      <w:trPr>
                        <w:trHeight w:val="240"/>
                      </w:trPr>
                      <w:tc>
                        <w:tcPr>
                          <w:tcW w:w="1140" w:type="dxa"/>
                        </w:tcPr>
                        <w:p w:rsidR="00F51B12" w14:paraId="79944785" w14:textId="77777777">
                          <w:r>
                            <w:t>Betreft</w:t>
                          </w:r>
                        </w:p>
                      </w:tc>
                      <w:tc>
                        <w:tcPr>
                          <w:tcW w:w="5918" w:type="dxa"/>
                        </w:tcPr>
                        <w:p w:rsidR="00F51B12" w14:paraId="4888A7E9" w14:textId="77777777">
                          <w:bookmarkStart w:id="3" w:name="_Hlk233983802"/>
                          <w:r>
                            <w:t>Beleidskader decentraal en gedeconcentreerd bestuur</w:t>
                          </w:r>
                          <w:bookmarkEnd w:id="3"/>
                        </w:p>
                      </w:tc>
                    </w:tr>
                  </w:tbl>
                  <w:p w:rsidR="005E3FC9" w14:paraId="02BD32FF"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F51B12" w:rsidRPr="00897E1B" w14:textId="77777777">
                          <w:pPr>
                            <w:pStyle w:val="Referentiegegevensbold"/>
                            <w:rPr>
                              <w:lang w:val="de-DE"/>
                            </w:rPr>
                          </w:pPr>
                          <w:r w:rsidRPr="00897E1B">
                            <w:rPr>
                              <w:lang w:val="de-DE"/>
                            </w:rPr>
                            <w:t>DGOBDR</w:t>
                          </w:r>
                        </w:p>
                        <w:p w:rsidR="00F51B12" w:rsidRPr="00897E1B" w14:textId="77777777">
                          <w:pPr>
                            <w:pStyle w:val="Referentiegegevens"/>
                            <w:rPr>
                              <w:lang w:val="de-DE"/>
                            </w:rPr>
                          </w:pPr>
                          <w:r w:rsidRPr="00897E1B">
                            <w:rPr>
                              <w:lang w:val="de-DE"/>
                            </w:rPr>
                            <w:t>DenB</w:t>
                          </w:r>
                        </w:p>
                        <w:p w:rsidR="00F51B12" w:rsidRPr="00897E1B" w14:textId="77777777">
                          <w:pPr>
                            <w:pStyle w:val="Referentiegegevens"/>
                            <w:rPr>
                              <w:lang w:val="de-DE"/>
                            </w:rPr>
                          </w:pPr>
                          <w:r w:rsidRPr="00897E1B">
                            <w:rPr>
                              <w:lang w:val="de-DE"/>
                            </w:rPr>
                            <w:t>IOB</w:t>
                          </w:r>
                        </w:p>
                        <w:p w:rsidR="00F51B12" w:rsidRPr="00897E1B" w14:textId="77777777">
                          <w:pPr>
                            <w:pStyle w:val="WitregelW1"/>
                            <w:rPr>
                              <w:lang w:val="de-DE"/>
                            </w:rPr>
                          </w:pPr>
                        </w:p>
                        <w:p w:rsidR="00F51B12" w:rsidRPr="00897E1B" w14:textId="77777777">
                          <w:pPr>
                            <w:pStyle w:val="Referentiegegevens"/>
                            <w:rPr>
                              <w:lang w:val="de-DE"/>
                            </w:rPr>
                          </w:pPr>
                          <w:r w:rsidRPr="00897E1B">
                            <w:rPr>
                              <w:lang w:val="de-DE"/>
                            </w:rPr>
                            <w:t>Turfmarkt 147</w:t>
                          </w:r>
                        </w:p>
                        <w:p w:rsidR="00F51B12" w:rsidRPr="00897E1B" w14:textId="77777777">
                          <w:pPr>
                            <w:pStyle w:val="Referentiegegevens"/>
                            <w:rPr>
                              <w:lang w:val="de-DE"/>
                            </w:rPr>
                          </w:pPr>
                          <w:r w:rsidRPr="00897E1B">
                            <w:rPr>
                              <w:lang w:val="de-DE"/>
                            </w:rPr>
                            <w:t>2511 DP Den Haag</w:t>
                          </w:r>
                        </w:p>
                        <w:p w:rsidR="00F51B12" w14:textId="77777777">
                          <w:pPr>
                            <w:pStyle w:val="Referentiegegevens"/>
                          </w:pPr>
                          <w:r>
                            <w:t>Postbus 20011</w:t>
                          </w:r>
                        </w:p>
                        <w:p w:rsidR="00F51B12" w14:textId="77777777">
                          <w:pPr>
                            <w:pStyle w:val="Referentiegegevens"/>
                          </w:pPr>
                          <w:r>
                            <w:t>2500 EA  Den Haag</w:t>
                          </w:r>
                        </w:p>
                        <w:p w:rsidR="00F51B12" w14:textId="77777777">
                          <w:pPr>
                            <w:pStyle w:val="WitregelW1"/>
                          </w:pPr>
                        </w:p>
                        <w:p w:rsidR="00F51B12" w14:textId="77777777">
                          <w:pPr>
                            <w:pStyle w:val="Referentiegegevensbold"/>
                          </w:pPr>
                          <w:r>
                            <w:t>Onze referentie</w:t>
                          </w:r>
                        </w:p>
                        <w:bookmarkStart w:id="4" w:name="_Hlk233983825"/>
                        <w:p w:rsidR="009B5F0A" w14:textId="77777777">
                          <w:pPr>
                            <w:pStyle w:val="Referentiegegevens"/>
                          </w:pPr>
                          <w:r>
                            <w:fldChar w:fldCharType="begin"/>
                          </w:r>
                          <w:r>
                            <w:instrText xml:space="preserve"> DOCPROPERTY  "Kenmerk"  \* MERGEFORMAT </w:instrText>
                          </w:r>
                          <w:r>
                            <w:fldChar w:fldCharType="separate"/>
                          </w:r>
                          <w:r w:rsidR="00271284">
                            <w:t>2026-0000305007</w:t>
                          </w:r>
                          <w:r>
                            <w:fldChar w:fldCharType="end"/>
                          </w:r>
                        </w:p>
                        <w:bookmarkEnd w:id="4"/>
                        <w:p w:rsidR="00F51B12" w14:textId="77777777">
                          <w:pPr>
                            <w:pStyle w:val="WitregelW1"/>
                          </w:pPr>
                        </w:p>
                        <w:p w:rsidR="00F51B12"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F51B12" w:rsidRPr="00897E1B" w14:paraId="30129392" w14:textId="77777777">
                    <w:pPr>
                      <w:pStyle w:val="Referentiegegevensbold"/>
                      <w:rPr>
                        <w:lang w:val="de-DE"/>
                      </w:rPr>
                    </w:pPr>
                    <w:r w:rsidRPr="00897E1B">
                      <w:rPr>
                        <w:lang w:val="de-DE"/>
                      </w:rPr>
                      <w:t>DGOBDR</w:t>
                    </w:r>
                  </w:p>
                  <w:p w:rsidR="00F51B12" w:rsidRPr="00897E1B" w14:paraId="53B40D1F" w14:textId="77777777">
                    <w:pPr>
                      <w:pStyle w:val="Referentiegegevens"/>
                      <w:rPr>
                        <w:lang w:val="de-DE"/>
                      </w:rPr>
                    </w:pPr>
                    <w:r w:rsidRPr="00897E1B">
                      <w:rPr>
                        <w:lang w:val="de-DE"/>
                      </w:rPr>
                      <w:t>DenB</w:t>
                    </w:r>
                  </w:p>
                  <w:p w:rsidR="00F51B12" w:rsidRPr="00897E1B" w14:paraId="3D684A3C" w14:textId="77777777">
                    <w:pPr>
                      <w:pStyle w:val="Referentiegegevens"/>
                      <w:rPr>
                        <w:lang w:val="de-DE"/>
                      </w:rPr>
                    </w:pPr>
                    <w:r w:rsidRPr="00897E1B">
                      <w:rPr>
                        <w:lang w:val="de-DE"/>
                      </w:rPr>
                      <w:t>IOB</w:t>
                    </w:r>
                  </w:p>
                  <w:p w:rsidR="00F51B12" w:rsidRPr="00897E1B" w14:paraId="64F4AFD2" w14:textId="77777777">
                    <w:pPr>
                      <w:pStyle w:val="WitregelW1"/>
                      <w:rPr>
                        <w:lang w:val="de-DE"/>
                      </w:rPr>
                    </w:pPr>
                  </w:p>
                  <w:p w:rsidR="00F51B12" w:rsidRPr="00897E1B" w14:paraId="1A09E4D5" w14:textId="77777777">
                    <w:pPr>
                      <w:pStyle w:val="Referentiegegevens"/>
                      <w:rPr>
                        <w:lang w:val="de-DE"/>
                      </w:rPr>
                    </w:pPr>
                    <w:r w:rsidRPr="00897E1B">
                      <w:rPr>
                        <w:lang w:val="de-DE"/>
                      </w:rPr>
                      <w:t>Turfmarkt 147</w:t>
                    </w:r>
                  </w:p>
                  <w:p w:rsidR="00F51B12" w:rsidRPr="00897E1B" w14:paraId="089C752E" w14:textId="77777777">
                    <w:pPr>
                      <w:pStyle w:val="Referentiegegevens"/>
                      <w:rPr>
                        <w:lang w:val="de-DE"/>
                      </w:rPr>
                    </w:pPr>
                    <w:r w:rsidRPr="00897E1B">
                      <w:rPr>
                        <w:lang w:val="de-DE"/>
                      </w:rPr>
                      <w:t>2511 DP Den Haag</w:t>
                    </w:r>
                  </w:p>
                  <w:p w:rsidR="00F51B12" w14:paraId="75482938" w14:textId="77777777">
                    <w:pPr>
                      <w:pStyle w:val="Referentiegegevens"/>
                    </w:pPr>
                    <w:r>
                      <w:t>Postbus 20011</w:t>
                    </w:r>
                  </w:p>
                  <w:p w:rsidR="00F51B12" w14:paraId="6C623C6E" w14:textId="77777777">
                    <w:pPr>
                      <w:pStyle w:val="Referentiegegevens"/>
                    </w:pPr>
                    <w:r>
                      <w:t>2500 EA  Den Haag</w:t>
                    </w:r>
                  </w:p>
                  <w:p w:rsidR="00F51B12" w14:paraId="0FB5482B" w14:textId="77777777">
                    <w:pPr>
                      <w:pStyle w:val="WitregelW1"/>
                    </w:pPr>
                  </w:p>
                  <w:p w:rsidR="00F51B12" w14:paraId="389E4501" w14:textId="77777777">
                    <w:pPr>
                      <w:pStyle w:val="Referentiegegevensbold"/>
                    </w:pPr>
                    <w:r>
                      <w:t>Onze referentie</w:t>
                    </w:r>
                  </w:p>
                  <w:bookmarkStart w:id="4" w:name="_Hlk233983825"/>
                  <w:p w:rsidR="009B5F0A" w14:paraId="2ACA17B9" w14:textId="77777777">
                    <w:pPr>
                      <w:pStyle w:val="Referentiegegevens"/>
                    </w:pPr>
                    <w:r>
                      <w:fldChar w:fldCharType="begin"/>
                    </w:r>
                    <w:r>
                      <w:instrText xml:space="preserve"> DOCPROPERTY  "Kenmerk"  \* MERGEFORMAT </w:instrText>
                    </w:r>
                    <w:r>
                      <w:fldChar w:fldCharType="separate"/>
                    </w:r>
                    <w:r w:rsidR="00271284">
                      <w:t>2026-0000305007</w:t>
                    </w:r>
                    <w:r>
                      <w:fldChar w:fldCharType="end"/>
                    </w:r>
                  </w:p>
                  <w:bookmarkEnd w:id="4"/>
                  <w:p w:rsidR="00F51B12" w14:paraId="25FCDE50" w14:textId="77777777">
                    <w:pPr>
                      <w:pStyle w:val="WitregelW1"/>
                    </w:pPr>
                  </w:p>
                  <w:p w:rsidR="00F51B12" w14:paraId="70E96F30"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E871A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E871AF" w14:paraId="3D61775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5E3FC9"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5E3FC9" w14:paraId="29E0ADA7"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09493D4"/>
    <w:multiLevelType w:val="multilevel"/>
    <w:tmpl w:val="31A681EE"/>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067A2FD1"/>
    <w:multiLevelType w:val="hybridMultilevel"/>
    <w:tmpl w:val="47A4ACF8"/>
    <w:lvl w:ilvl="0">
      <w:start w:val="1"/>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FF727E6"/>
    <w:multiLevelType w:val="hybridMultilevel"/>
    <w:tmpl w:val="6BE4AA14"/>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355B33A7"/>
    <w:multiLevelType w:val="multilevel"/>
    <w:tmpl w:val="7A326C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3B2B2DD2"/>
    <w:multiLevelType w:val="hybridMultilevel"/>
    <w:tmpl w:val="571AEE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DD5381B"/>
    <w:multiLevelType w:val="multilevel"/>
    <w:tmpl w:val="815E5B93"/>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nsid w:val="59A845CA"/>
    <w:multiLevelType w:val="multilevel"/>
    <w:tmpl w:val="07B61DC4"/>
    <w:lvl w:ilvl="0">
      <w:start w:val="1"/>
      <w:numFmt w:val="decimal"/>
      <w:lvlText w:val="%1."/>
      <w:lvlJc w:val="left"/>
      <w:pPr>
        <w:ind w:left="72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5D303C18"/>
    <w:multiLevelType w:val="hybridMultilevel"/>
    <w:tmpl w:val="2780B322"/>
    <w:lvl w:ilvl="0">
      <w:start w:val="1"/>
      <w:numFmt w:val="bullet"/>
      <w:lvlText w:val=""/>
      <w:lvlJc w:val="left"/>
      <w:pPr>
        <w:ind w:left="708" w:hanging="708"/>
      </w:pPr>
      <w:rPr>
        <w:rFonts w:ascii="Symbol" w:hAnsi="Symbol" w:hint="default"/>
        <w:b w:val="0"/>
        <w:bCs w:val="0"/>
      </w:rPr>
    </w:lvl>
    <w:lvl w:ilvl="1" w:tentative="1">
      <w:start w:val="1"/>
      <w:numFmt w:val="lowerLetter"/>
      <w:lvlText w:val="%2."/>
      <w:lvlJc w:val="left"/>
      <w:pPr>
        <w:ind w:left="-338" w:hanging="360"/>
      </w:pPr>
    </w:lvl>
    <w:lvl w:ilvl="2" w:tentative="1">
      <w:start w:val="1"/>
      <w:numFmt w:val="lowerRoman"/>
      <w:lvlText w:val="%3."/>
      <w:lvlJc w:val="right"/>
      <w:pPr>
        <w:ind w:left="382" w:hanging="180"/>
      </w:pPr>
    </w:lvl>
    <w:lvl w:ilvl="3" w:tentative="1">
      <w:start w:val="1"/>
      <w:numFmt w:val="decimal"/>
      <w:lvlText w:val="%4."/>
      <w:lvlJc w:val="left"/>
      <w:pPr>
        <w:ind w:left="1102" w:hanging="360"/>
      </w:pPr>
    </w:lvl>
    <w:lvl w:ilvl="4" w:tentative="1">
      <w:start w:val="1"/>
      <w:numFmt w:val="lowerLetter"/>
      <w:lvlText w:val="%5."/>
      <w:lvlJc w:val="left"/>
      <w:pPr>
        <w:ind w:left="1822" w:hanging="360"/>
      </w:pPr>
    </w:lvl>
    <w:lvl w:ilvl="5" w:tentative="1">
      <w:start w:val="1"/>
      <w:numFmt w:val="lowerRoman"/>
      <w:lvlText w:val="%6."/>
      <w:lvlJc w:val="right"/>
      <w:pPr>
        <w:ind w:left="2542" w:hanging="180"/>
      </w:pPr>
    </w:lvl>
    <w:lvl w:ilvl="6" w:tentative="1">
      <w:start w:val="1"/>
      <w:numFmt w:val="decimal"/>
      <w:lvlText w:val="%7."/>
      <w:lvlJc w:val="left"/>
      <w:pPr>
        <w:ind w:left="3262" w:hanging="360"/>
      </w:pPr>
    </w:lvl>
    <w:lvl w:ilvl="7" w:tentative="1">
      <w:start w:val="1"/>
      <w:numFmt w:val="lowerLetter"/>
      <w:lvlText w:val="%8."/>
      <w:lvlJc w:val="left"/>
      <w:pPr>
        <w:ind w:left="3982" w:hanging="360"/>
      </w:pPr>
    </w:lvl>
    <w:lvl w:ilvl="8" w:tentative="1">
      <w:start w:val="1"/>
      <w:numFmt w:val="lowerRoman"/>
      <w:lvlText w:val="%9."/>
      <w:lvlJc w:val="right"/>
      <w:pPr>
        <w:ind w:left="4702" w:hanging="180"/>
      </w:pPr>
    </w:lvl>
  </w:abstractNum>
  <w:abstractNum w:abstractNumId="8">
    <w:nsid w:val="5F27315C"/>
    <w:multiLevelType w:val="hybridMultilevel"/>
    <w:tmpl w:val="10169CDA"/>
    <w:lvl w:ilvl="0">
      <w:start w:val="1"/>
      <w:numFmt w:val="decimal"/>
      <w:lvlText w:val="%1."/>
      <w:lvlJc w:val="left"/>
      <w:pPr>
        <w:ind w:left="708" w:hanging="708"/>
      </w:pPr>
      <w:rPr>
        <w:rFonts w:hint="default"/>
        <w:b w:val="0"/>
        <w:bCs w:val="0"/>
      </w:rPr>
    </w:lvl>
    <w:lvl w:ilvl="1" w:tentative="1">
      <w:start w:val="1"/>
      <w:numFmt w:val="lowerLetter"/>
      <w:lvlText w:val="%2."/>
      <w:lvlJc w:val="left"/>
      <w:pPr>
        <w:ind w:left="-338" w:hanging="360"/>
      </w:pPr>
    </w:lvl>
    <w:lvl w:ilvl="2" w:tentative="1">
      <w:start w:val="1"/>
      <w:numFmt w:val="lowerRoman"/>
      <w:lvlText w:val="%3."/>
      <w:lvlJc w:val="right"/>
      <w:pPr>
        <w:ind w:left="382" w:hanging="180"/>
      </w:pPr>
    </w:lvl>
    <w:lvl w:ilvl="3" w:tentative="1">
      <w:start w:val="1"/>
      <w:numFmt w:val="decimal"/>
      <w:lvlText w:val="%4."/>
      <w:lvlJc w:val="left"/>
      <w:pPr>
        <w:ind w:left="1102" w:hanging="360"/>
      </w:pPr>
    </w:lvl>
    <w:lvl w:ilvl="4" w:tentative="1">
      <w:start w:val="1"/>
      <w:numFmt w:val="lowerLetter"/>
      <w:lvlText w:val="%5."/>
      <w:lvlJc w:val="left"/>
      <w:pPr>
        <w:ind w:left="1822" w:hanging="360"/>
      </w:pPr>
    </w:lvl>
    <w:lvl w:ilvl="5" w:tentative="1">
      <w:start w:val="1"/>
      <w:numFmt w:val="lowerRoman"/>
      <w:lvlText w:val="%6."/>
      <w:lvlJc w:val="right"/>
      <w:pPr>
        <w:ind w:left="2542" w:hanging="180"/>
      </w:pPr>
    </w:lvl>
    <w:lvl w:ilvl="6" w:tentative="1">
      <w:start w:val="1"/>
      <w:numFmt w:val="decimal"/>
      <w:lvlText w:val="%7."/>
      <w:lvlJc w:val="left"/>
      <w:pPr>
        <w:ind w:left="3262" w:hanging="360"/>
      </w:pPr>
    </w:lvl>
    <w:lvl w:ilvl="7" w:tentative="1">
      <w:start w:val="1"/>
      <w:numFmt w:val="lowerLetter"/>
      <w:lvlText w:val="%8."/>
      <w:lvlJc w:val="left"/>
      <w:pPr>
        <w:ind w:left="3982" w:hanging="360"/>
      </w:pPr>
    </w:lvl>
    <w:lvl w:ilvl="8" w:tentative="1">
      <w:start w:val="1"/>
      <w:numFmt w:val="lowerRoman"/>
      <w:lvlText w:val="%9."/>
      <w:lvlJc w:val="right"/>
      <w:pPr>
        <w:ind w:left="4702" w:hanging="180"/>
      </w:pPr>
    </w:lvl>
  </w:abstractNum>
  <w:abstractNum w:abstractNumId="9">
    <w:nsid w:val="72BA0F72"/>
    <w:multiLevelType w:val="multilevel"/>
    <w:tmpl w:val="4420997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0">
    <w:nsid w:val="76AB6137"/>
    <w:multiLevelType w:val="hybridMultilevel"/>
    <w:tmpl w:val="6D30695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775356C4"/>
    <w:multiLevelType w:val="multilevel"/>
    <w:tmpl w:val="D52C2759"/>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16cid:durableId="1865244668">
    <w:abstractNumId w:val="11"/>
  </w:num>
  <w:num w:numId="2" w16cid:durableId="1616327487">
    <w:abstractNumId w:val="9"/>
  </w:num>
  <w:num w:numId="3" w16cid:durableId="1064639008">
    <w:abstractNumId w:val="0"/>
  </w:num>
  <w:num w:numId="4" w16cid:durableId="1969160444">
    <w:abstractNumId w:val="5"/>
  </w:num>
  <w:num w:numId="5" w16cid:durableId="112360040">
    <w:abstractNumId w:val="6"/>
  </w:num>
  <w:num w:numId="6" w16cid:durableId="104077465">
    <w:abstractNumId w:val="4"/>
  </w:num>
  <w:num w:numId="7" w16cid:durableId="1536623087">
    <w:abstractNumId w:val="1"/>
  </w:num>
  <w:num w:numId="8" w16cid:durableId="334848170">
    <w:abstractNumId w:val="2"/>
  </w:num>
  <w:num w:numId="9" w16cid:durableId="996572753">
    <w:abstractNumId w:val="8"/>
  </w:num>
  <w:num w:numId="10" w16cid:durableId="917247707">
    <w:abstractNumId w:val="10"/>
  </w:num>
  <w:num w:numId="11" w16cid:durableId="429662603">
    <w:abstractNumId w:val="7"/>
  </w:num>
  <w:num w:numId="12" w16cid:durableId="14008616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B12"/>
    <w:rsid w:val="000021D8"/>
    <w:rsid w:val="00013E93"/>
    <w:rsid w:val="00016305"/>
    <w:rsid w:val="00020C60"/>
    <w:rsid w:val="00031CFC"/>
    <w:rsid w:val="00062840"/>
    <w:rsid w:val="00081C26"/>
    <w:rsid w:val="00082A59"/>
    <w:rsid w:val="00082FCB"/>
    <w:rsid w:val="00083691"/>
    <w:rsid w:val="000917BD"/>
    <w:rsid w:val="0009393D"/>
    <w:rsid w:val="000B4A89"/>
    <w:rsid w:val="000B61B1"/>
    <w:rsid w:val="000C5EB9"/>
    <w:rsid w:val="000D2DF6"/>
    <w:rsid w:val="000D36B4"/>
    <w:rsid w:val="000F5005"/>
    <w:rsid w:val="000F50D4"/>
    <w:rsid w:val="000F5F7C"/>
    <w:rsid w:val="00106E70"/>
    <w:rsid w:val="001073A0"/>
    <w:rsid w:val="00107A96"/>
    <w:rsid w:val="00127651"/>
    <w:rsid w:val="00162782"/>
    <w:rsid w:val="00171862"/>
    <w:rsid w:val="00187978"/>
    <w:rsid w:val="001A186B"/>
    <w:rsid w:val="001A2860"/>
    <w:rsid w:val="001C09EC"/>
    <w:rsid w:val="001D6B8B"/>
    <w:rsid w:val="001E1A3B"/>
    <w:rsid w:val="001E2F3F"/>
    <w:rsid w:val="001E51F9"/>
    <w:rsid w:val="001F4411"/>
    <w:rsid w:val="0020011D"/>
    <w:rsid w:val="0022031E"/>
    <w:rsid w:val="0022385B"/>
    <w:rsid w:val="00223F30"/>
    <w:rsid w:val="00233212"/>
    <w:rsid w:val="002361C4"/>
    <w:rsid w:val="00245431"/>
    <w:rsid w:val="00255283"/>
    <w:rsid w:val="00255AF1"/>
    <w:rsid w:val="00256616"/>
    <w:rsid w:val="00256E18"/>
    <w:rsid w:val="00271284"/>
    <w:rsid w:val="00274821"/>
    <w:rsid w:val="00276C65"/>
    <w:rsid w:val="002A3A8D"/>
    <w:rsid w:val="002A692F"/>
    <w:rsid w:val="002B1934"/>
    <w:rsid w:val="002B2423"/>
    <w:rsid w:val="002C7E4D"/>
    <w:rsid w:val="002D3FD1"/>
    <w:rsid w:val="002E1D8B"/>
    <w:rsid w:val="002E4C54"/>
    <w:rsid w:val="002E4D91"/>
    <w:rsid w:val="002F1C70"/>
    <w:rsid w:val="002F6197"/>
    <w:rsid w:val="0030712F"/>
    <w:rsid w:val="003257E1"/>
    <w:rsid w:val="00327B5B"/>
    <w:rsid w:val="003427A6"/>
    <w:rsid w:val="003455DE"/>
    <w:rsid w:val="00350D94"/>
    <w:rsid w:val="003524E7"/>
    <w:rsid w:val="00352EBA"/>
    <w:rsid w:val="00362013"/>
    <w:rsid w:val="0036261E"/>
    <w:rsid w:val="003715E9"/>
    <w:rsid w:val="00386D8F"/>
    <w:rsid w:val="003A0639"/>
    <w:rsid w:val="003A4CD9"/>
    <w:rsid w:val="003B637B"/>
    <w:rsid w:val="003D1E25"/>
    <w:rsid w:val="003F0BB7"/>
    <w:rsid w:val="003F258F"/>
    <w:rsid w:val="00400C99"/>
    <w:rsid w:val="004034B8"/>
    <w:rsid w:val="00404298"/>
    <w:rsid w:val="00405A2B"/>
    <w:rsid w:val="0040667C"/>
    <w:rsid w:val="00430B1F"/>
    <w:rsid w:val="0044179E"/>
    <w:rsid w:val="0044516D"/>
    <w:rsid w:val="004534EA"/>
    <w:rsid w:val="00460437"/>
    <w:rsid w:val="00475691"/>
    <w:rsid w:val="00483263"/>
    <w:rsid w:val="00491DF3"/>
    <w:rsid w:val="00493638"/>
    <w:rsid w:val="00496B51"/>
    <w:rsid w:val="00497EAA"/>
    <w:rsid w:val="004A04A4"/>
    <w:rsid w:val="004A605C"/>
    <w:rsid w:val="004A67C1"/>
    <w:rsid w:val="004B0704"/>
    <w:rsid w:val="004B0C75"/>
    <w:rsid w:val="004D455D"/>
    <w:rsid w:val="004E0684"/>
    <w:rsid w:val="004F6F66"/>
    <w:rsid w:val="00504419"/>
    <w:rsid w:val="00504F44"/>
    <w:rsid w:val="00505305"/>
    <w:rsid w:val="00512541"/>
    <w:rsid w:val="00512D22"/>
    <w:rsid w:val="00512EA8"/>
    <w:rsid w:val="0052582A"/>
    <w:rsid w:val="00527DE2"/>
    <w:rsid w:val="00545426"/>
    <w:rsid w:val="00546D08"/>
    <w:rsid w:val="00550B00"/>
    <w:rsid w:val="005522B8"/>
    <w:rsid w:val="005700D1"/>
    <w:rsid w:val="00573771"/>
    <w:rsid w:val="005825F0"/>
    <w:rsid w:val="00585A6E"/>
    <w:rsid w:val="005A5DDB"/>
    <w:rsid w:val="005B18FF"/>
    <w:rsid w:val="005D0B78"/>
    <w:rsid w:val="005E0CD5"/>
    <w:rsid w:val="005E3FC9"/>
    <w:rsid w:val="005E6FAE"/>
    <w:rsid w:val="005E7E43"/>
    <w:rsid w:val="005F1A6D"/>
    <w:rsid w:val="005F1F67"/>
    <w:rsid w:val="005F28F4"/>
    <w:rsid w:val="00606576"/>
    <w:rsid w:val="00637793"/>
    <w:rsid w:val="00637E8A"/>
    <w:rsid w:val="006521A9"/>
    <w:rsid w:val="006544DA"/>
    <w:rsid w:val="006624B7"/>
    <w:rsid w:val="0067616E"/>
    <w:rsid w:val="006824FB"/>
    <w:rsid w:val="00696A0D"/>
    <w:rsid w:val="006A3553"/>
    <w:rsid w:val="006B4BD3"/>
    <w:rsid w:val="006B6CFD"/>
    <w:rsid w:val="006C0048"/>
    <w:rsid w:val="006C2E8B"/>
    <w:rsid w:val="006C384E"/>
    <w:rsid w:val="006D37F1"/>
    <w:rsid w:val="006E024F"/>
    <w:rsid w:val="006F30A4"/>
    <w:rsid w:val="0070106C"/>
    <w:rsid w:val="00702BEE"/>
    <w:rsid w:val="007076C3"/>
    <w:rsid w:val="00720C4A"/>
    <w:rsid w:val="00722EFE"/>
    <w:rsid w:val="007342B3"/>
    <w:rsid w:val="00736298"/>
    <w:rsid w:val="0077390E"/>
    <w:rsid w:val="00793F8E"/>
    <w:rsid w:val="007943E0"/>
    <w:rsid w:val="00797962"/>
    <w:rsid w:val="007A78D1"/>
    <w:rsid w:val="007A7F7D"/>
    <w:rsid w:val="007B0A01"/>
    <w:rsid w:val="007B6AD2"/>
    <w:rsid w:val="007C7078"/>
    <w:rsid w:val="007D010B"/>
    <w:rsid w:val="007E0B15"/>
    <w:rsid w:val="007E1A87"/>
    <w:rsid w:val="007E4EA2"/>
    <w:rsid w:val="007E7F90"/>
    <w:rsid w:val="007F031A"/>
    <w:rsid w:val="007F480C"/>
    <w:rsid w:val="007F4DB8"/>
    <w:rsid w:val="00803ECF"/>
    <w:rsid w:val="0080453E"/>
    <w:rsid w:val="00804B59"/>
    <w:rsid w:val="008218D3"/>
    <w:rsid w:val="008235F4"/>
    <w:rsid w:val="00826E6F"/>
    <w:rsid w:val="0083346F"/>
    <w:rsid w:val="008467B7"/>
    <w:rsid w:val="008506E5"/>
    <w:rsid w:val="00852326"/>
    <w:rsid w:val="008523C0"/>
    <w:rsid w:val="008527A1"/>
    <w:rsid w:val="00853950"/>
    <w:rsid w:val="0086015A"/>
    <w:rsid w:val="00860BDA"/>
    <w:rsid w:val="00865A78"/>
    <w:rsid w:val="008707F1"/>
    <w:rsid w:val="00871122"/>
    <w:rsid w:val="0087227A"/>
    <w:rsid w:val="00884711"/>
    <w:rsid w:val="00897E1B"/>
    <w:rsid w:val="008A0D2B"/>
    <w:rsid w:val="008B4CA0"/>
    <w:rsid w:val="008E2366"/>
    <w:rsid w:val="009007B9"/>
    <w:rsid w:val="00901147"/>
    <w:rsid w:val="009050A2"/>
    <w:rsid w:val="00907BB8"/>
    <w:rsid w:val="0091306F"/>
    <w:rsid w:val="0091530F"/>
    <w:rsid w:val="00926913"/>
    <w:rsid w:val="00931E97"/>
    <w:rsid w:val="00940E29"/>
    <w:rsid w:val="00946DC4"/>
    <w:rsid w:val="00953BAE"/>
    <w:rsid w:val="00953BB5"/>
    <w:rsid w:val="00955107"/>
    <w:rsid w:val="009702AE"/>
    <w:rsid w:val="009720DF"/>
    <w:rsid w:val="009838CE"/>
    <w:rsid w:val="00983BD2"/>
    <w:rsid w:val="00991E52"/>
    <w:rsid w:val="00992045"/>
    <w:rsid w:val="009A53A1"/>
    <w:rsid w:val="009A7AE9"/>
    <w:rsid w:val="009B5F0A"/>
    <w:rsid w:val="009B6E16"/>
    <w:rsid w:val="009C5F33"/>
    <w:rsid w:val="009D68CA"/>
    <w:rsid w:val="009E428A"/>
    <w:rsid w:val="009E63D0"/>
    <w:rsid w:val="009F0B03"/>
    <w:rsid w:val="009F2846"/>
    <w:rsid w:val="009F612A"/>
    <w:rsid w:val="00A13630"/>
    <w:rsid w:val="00A227D9"/>
    <w:rsid w:val="00A246F1"/>
    <w:rsid w:val="00A276D9"/>
    <w:rsid w:val="00A349A1"/>
    <w:rsid w:val="00A50350"/>
    <w:rsid w:val="00A724C3"/>
    <w:rsid w:val="00A75B25"/>
    <w:rsid w:val="00A81702"/>
    <w:rsid w:val="00A85DA1"/>
    <w:rsid w:val="00A93262"/>
    <w:rsid w:val="00A93C3D"/>
    <w:rsid w:val="00A94F0F"/>
    <w:rsid w:val="00A973FA"/>
    <w:rsid w:val="00AA2E27"/>
    <w:rsid w:val="00AB067F"/>
    <w:rsid w:val="00AB0C8A"/>
    <w:rsid w:val="00AD42A3"/>
    <w:rsid w:val="00AF20E9"/>
    <w:rsid w:val="00B0112C"/>
    <w:rsid w:val="00B2316A"/>
    <w:rsid w:val="00B31319"/>
    <w:rsid w:val="00B33F8F"/>
    <w:rsid w:val="00B37E03"/>
    <w:rsid w:val="00B43774"/>
    <w:rsid w:val="00B44C54"/>
    <w:rsid w:val="00B52DB2"/>
    <w:rsid w:val="00B53367"/>
    <w:rsid w:val="00B5420A"/>
    <w:rsid w:val="00B5708D"/>
    <w:rsid w:val="00B70F4A"/>
    <w:rsid w:val="00B8316A"/>
    <w:rsid w:val="00B90DB8"/>
    <w:rsid w:val="00B91B7A"/>
    <w:rsid w:val="00B94935"/>
    <w:rsid w:val="00BB160B"/>
    <w:rsid w:val="00BB459E"/>
    <w:rsid w:val="00BB6214"/>
    <w:rsid w:val="00BD1BC9"/>
    <w:rsid w:val="00BD6C29"/>
    <w:rsid w:val="00BE3EC1"/>
    <w:rsid w:val="00BE46BB"/>
    <w:rsid w:val="00C03528"/>
    <w:rsid w:val="00C1591F"/>
    <w:rsid w:val="00C240B7"/>
    <w:rsid w:val="00C24994"/>
    <w:rsid w:val="00C259B1"/>
    <w:rsid w:val="00C354A1"/>
    <w:rsid w:val="00C37B23"/>
    <w:rsid w:val="00C404D4"/>
    <w:rsid w:val="00C5011B"/>
    <w:rsid w:val="00C50CF2"/>
    <w:rsid w:val="00C519A0"/>
    <w:rsid w:val="00C5525A"/>
    <w:rsid w:val="00C56A8A"/>
    <w:rsid w:val="00C57A6B"/>
    <w:rsid w:val="00C848A3"/>
    <w:rsid w:val="00C87877"/>
    <w:rsid w:val="00C947DD"/>
    <w:rsid w:val="00C96FDF"/>
    <w:rsid w:val="00CA7B74"/>
    <w:rsid w:val="00CB622E"/>
    <w:rsid w:val="00CC6A93"/>
    <w:rsid w:val="00CF66A2"/>
    <w:rsid w:val="00CF6B14"/>
    <w:rsid w:val="00D032AC"/>
    <w:rsid w:val="00D21ED6"/>
    <w:rsid w:val="00D26FA5"/>
    <w:rsid w:val="00D31E5B"/>
    <w:rsid w:val="00D446E4"/>
    <w:rsid w:val="00D46B95"/>
    <w:rsid w:val="00D6344F"/>
    <w:rsid w:val="00D64897"/>
    <w:rsid w:val="00D864C2"/>
    <w:rsid w:val="00D86C23"/>
    <w:rsid w:val="00D92408"/>
    <w:rsid w:val="00D94F24"/>
    <w:rsid w:val="00D95DDF"/>
    <w:rsid w:val="00DA433F"/>
    <w:rsid w:val="00DB5627"/>
    <w:rsid w:val="00DC17BA"/>
    <w:rsid w:val="00DC6016"/>
    <w:rsid w:val="00DC79F1"/>
    <w:rsid w:val="00DD10AB"/>
    <w:rsid w:val="00DD1BB4"/>
    <w:rsid w:val="00DE0766"/>
    <w:rsid w:val="00DE10C4"/>
    <w:rsid w:val="00DE3742"/>
    <w:rsid w:val="00DE3B54"/>
    <w:rsid w:val="00E016EB"/>
    <w:rsid w:val="00E156DC"/>
    <w:rsid w:val="00E22C4C"/>
    <w:rsid w:val="00E24E5E"/>
    <w:rsid w:val="00E3376F"/>
    <w:rsid w:val="00E40090"/>
    <w:rsid w:val="00E43360"/>
    <w:rsid w:val="00E462C8"/>
    <w:rsid w:val="00E472E3"/>
    <w:rsid w:val="00E51765"/>
    <w:rsid w:val="00E620A9"/>
    <w:rsid w:val="00E658F8"/>
    <w:rsid w:val="00E704A9"/>
    <w:rsid w:val="00E81362"/>
    <w:rsid w:val="00E86477"/>
    <w:rsid w:val="00E871AF"/>
    <w:rsid w:val="00E90862"/>
    <w:rsid w:val="00E950A2"/>
    <w:rsid w:val="00EA33F4"/>
    <w:rsid w:val="00EE02A3"/>
    <w:rsid w:val="00EE2043"/>
    <w:rsid w:val="00EE7702"/>
    <w:rsid w:val="00F0058F"/>
    <w:rsid w:val="00F02F8E"/>
    <w:rsid w:val="00F060D3"/>
    <w:rsid w:val="00F07ED9"/>
    <w:rsid w:val="00F131A7"/>
    <w:rsid w:val="00F1378D"/>
    <w:rsid w:val="00F148D1"/>
    <w:rsid w:val="00F21F0E"/>
    <w:rsid w:val="00F231F4"/>
    <w:rsid w:val="00F23C52"/>
    <w:rsid w:val="00F26DE7"/>
    <w:rsid w:val="00F3216C"/>
    <w:rsid w:val="00F509ED"/>
    <w:rsid w:val="00F51B12"/>
    <w:rsid w:val="00F569AD"/>
    <w:rsid w:val="00F6153F"/>
    <w:rsid w:val="00F66027"/>
    <w:rsid w:val="00F729A6"/>
    <w:rsid w:val="00F85B76"/>
    <w:rsid w:val="00FB0902"/>
    <w:rsid w:val="00FC2335"/>
    <w:rsid w:val="00FD7A54"/>
    <w:rsid w:val="00FE0CF2"/>
    <w:rsid w:val="00FF1019"/>
    <w:rsid w:val="00FF7786"/>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6775D143"/>
  <w15:docId w15:val="{021CA413-97C2-4BA1-8B6D-B8D7A59D9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tabs>
        <w:tab w:val="num" w:pos="360"/>
      </w:tabs>
      <w:ind w:left="0" w:firstLine="0"/>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2F6197"/>
    <w:pPr>
      <w:tabs>
        <w:tab w:val="center" w:pos="4536"/>
        <w:tab w:val="right" w:pos="9072"/>
      </w:tabs>
      <w:spacing w:line="240" w:lineRule="auto"/>
    </w:pPr>
  </w:style>
  <w:style w:type="character" w:customStyle="1" w:styleId="KoptekstChar">
    <w:name w:val="Koptekst Char"/>
    <w:basedOn w:val="DefaultParagraphFont"/>
    <w:link w:val="Header"/>
    <w:uiPriority w:val="99"/>
    <w:rsid w:val="002F6197"/>
    <w:rPr>
      <w:rFonts w:ascii="Verdana" w:hAnsi="Verdana"/>
      <w:color w:val="000000"/>
      <w:sz w:val="18"/>
      <w:szCs w:val="18"/>
    </w:rPr>
  </w:style>
  <w:style w:type="paragraph" w:styleId="Footer">
    <w:name w:val="footer"/>
    <w:basedOn w:val="Normal"/>
    <w:link w:val="VoettekstChar"/>
    <w:uiPriority w:val="99"/>
    <w:unhideWhenUsed/>
    <w:rsid w:val="002F6197"/>
    <w:pPr>
      <w:tabs>
        <w:tab w:val="center" w:pos="4536"/>
        <w:tab w:val="right" w:pos="9072"/>
      </w:tabs>
      <w:spacing w:line="240" w:lineRule="auto"/>
    </w:pPr>
  </w:style>
  <w:style w:type="character" w:customStyle="1" w:styleId="VoettekstChar">
    <w:name w:val="Voettekst Char"/>
    <w:basedOn w:val="DefaultParagraphFont"/>
    <w:link w:val="Footer"/>
    <w:uiPriority w:val="99"/>
    <w:rsid w:val="002F6197"/>
    <w:rPr>
      <w:rFonts w:ascii="Verdana" w:hAnsi="Verdana"/>
      <w:color w:val="000000"/>
      <w:sz w:val="18"/>
      <w:szCs w:val="18"/>
    </w:rPr>
  </w:style>
  <w:style w:type="paragraph" w:styleId="ListParagraph">
    <w:name w:val="List Paragraph"/>
    <w:basedOn w:val="Normal"/>
    <w:uiPriority w:val="34"/>
    <w:qFormat/>
    <w:rsid w:val="002F6197"/>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paragraph" w:styleId="FootnoteText">
    <w:name w:val="footnote text"/>
    <w:basedOn w:val="Normal"/>
    <w:link w:val="VoetnoottekstChar"/>
    <w:uiPriority w:val="99"/>
    <w:unhideWhenUsed/>
    <w:rsid w:val="002F6197"/>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DefaultParagraphFont"/>
    <w:link w:val="FootnoteText"/>
    <w:uiPriority w:val="99"/>
    <w:rsid w:val="002F6197"/>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2F6197"/>
    <w:rPr>
      <w:vertAlign w:val="superscript"/>
    </w:rPr>
  </w:style>
  <w:style w:type="character" w:styleId="UnresolvedMention">
    <w:name w:val="Unresolved Mention"/>
    <w:basedOn w:val="DefaultParagraphFont"/>
    <w:uiPriority w:val="99"/>
    <w:semiHidden/>
    <w:unhideWhenUsed/>
    <w:rsid w:val="00D94F24"/>
    <w:rPr>
      <w:color w:val="605E5C"/>
      <w:shd w:val="clear" w:color="auto" w:fill="E1DFDD"/>
    </w:rPr>
  </w:style>
  <w:style w:type="paragraph" w:styleId="Revision">
    <w:name w:val="Revision"/>
    <w:hidden/>
    <w:uiPriority w:val="99"/>
    <w:semiHidden/>
    <w:rsid w:val="00992045"/>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9E63D0"/>
    <w:rPr>
      <w:sz w:val="16"/>
      <w:szCs w:val="16"/>
    </w:rPr>
  </w:style>
  <w:style w:type="paragraph" w:styleId="CommentText">
    <w:name w:val="annotation text"/>
    <w:basedOn w:val="Normal"/>
    <w:link w:val="TekstopmerkingChar"/>
    <w:uiPriority w:val="99"/>
    <w:unhideWhenUsed/>
    <w:rsid w:val="009E63D0"/>
    <w:pPr>
      <w:spacing w:line="240" w:lineRule="auto"/>
    </w:pPr>
    <w:rPr>
      <w:sz w:val="20"/>
      <w:szCs w:val="20"/>
    </w:rPr>
  </w:style>
  <w:style w:type="character" w:customStyle="1" w:styleId="TekstopmerkingChar">
    <w:name w:val="Tekst opmerking Char"/>
    <w:basedOn w:val="DefaultParagraphFont"/>
    <w:link w:val="CommentText"/>
    <w:uiPriority w:val="99"/>
    <w:rsid w:val="009E63D0"/>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9E63D0"/>
    <w:rPr>
      <w:b/>
      <w:bCs/>
    </w:rPr>
  </w:style>
  <w:style w:type="character" w:customStyle="1" w:styleId="OnderwerpvanopmerkingChar">
    <w:name w:val="Onderwerp van opmerking Char"/>
    <w:basedOn w:val="TekstopmerkingChar"/>
    <w:link w:val="CommentSubject"/>
    <w:uiPriority w:val="99"/>
    <w:semiHidden/>
    <w:rsid w:val="009E63D0"/>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footer" Target="footer1.xml" Id="rId8" /><Relationship Type="http://schemas.openxmlformats.org/officeDocument/2006/relationships/header" Target="header2.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2124</ap:Words>
  <ap:Characters>11688</ap:Characters>
  <ap:DocSecurity>0</ap:DocSecurity>
  <ap:Lines>97</ap:Lines>
  <ap:Paragraphs>27</ap:Paragraphs>
  <ap:ScaleCrop>false</ap:ScaleCrop>
  <ap:HeadingPairs>
    <vt:vector baseType="variant" size="2">
      <vt:variant>
        <vt:lpstr>Titel</vt:lpstr>
      </vt:variant>
      <vt:variant>
        <vt:i4>1</vt:i4>
      </vt:variant>
    </vt:vector>
  </ap:HeadingPairs>
  <ap:TitlesOfParts>
    <vt:vector baseType="lpstr" size="1">
      <vt:lpstr>Brief - Beleidskader decentraal en gedeconcentreerd bestuur</vt:lpstr>
    </vt:vector>
  </ap:TitlesOfParts>
  <ap:LinksUpToDate>false</ap:LinksUpToDate>
  <ap:CharactersWithSpaces>13785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2026-07-03T13:11:00.0000000Z</dcterms:created>
  <dcterms:modified xsi:type="dcterms:W3CDTF">2026-07-03T13:11:00.0000000Z</dcterms:modified>
  <dc:creator/>
  <lastModifiedBy/>
  <dc:description>------------------------</dc:description>
  <dc:subject/>
  <keywords/>
  <version/>
  <category/>
</coreProperties>
</file>