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C8B" w:rsidP="00096C8B" w:rsidRDefault="00096C8B" w14:paraId="75FB5F3A" w14:textId="77777777">
      <w:r>
        <w:t>Geachte voorzitter,</w:t>
      </w:r>
    </w:p>
    <w:p w:rsidR="00096C8B" w:rsidP="00096C8B" w:rsidRDefault="00096C8B" w14:paraId="47812630" w14:textId="77777777"/>
    <w:p w:rsidR="00096C8B" w:rsidP="00096C8B" w:rsidRDefault="00096C8B" w14:paraId="40A2CB7D" w14:textId="77777777">
      <w:pPr>
        <w:spacing w:line="240" w:lineRule="exact"/>
        <w:rPr>
          <w:i/>
          <w:iCs/>
        </w:rPr>
      </w:pPr>
      <w:proofErr w:type="spellStart"/>
      <w:r>
        <w:t>TenneT</w:t>
      </w:r>
      <w:proofErr w:type="spellEnd"/>
      <w:r>
        <w:t xml:space="preserve"> Duitsland, dochter van staatsdeelneming </w:t>
      </w:r>
      <w:proofErr w:type="spellStart"/>
      <w:r>
        <w:t>TenneT</w:t>
      </w:r>
      <w:proofErr w:type="spellEnd"/>
      <w:r>
        <w:t xml:space="preserve"> Holding (hierna: </w:t>
      </w:r>
      <w:proofErr w:type="spellStart"/>
      <w:r>
        <w:t>TenneT</w:t>
      </w:r>
      <w:proofErr w:type="spellEnd"/>
      <w:r>
        <w:t xml:space="preserve">), beheert een groot deel van het Duitse elektriciteitsnet op land en op zee. Als gevolg van een omvangrijke investeringsagenda vanwege de energietransitie had </w:t>
      </w:r>
      <w:proofErr w:type="spellStart"/>
      <w:r>
        <w:t>TenneT</w:t>
      </w:r>
      <w:proofErr w:type="spellEnd"/>
      <w:r>
        <w:t xml:space="preserve"> Duitsland een grote kapitaalbehoefte. Op 24 september 2025 heb ik u geïnformeerd dat drie private investeerders, </w:t>
      </w:r>
      <w:proofErr w:type="spellStart"/>
      <w:r>
        <w:t>Norges</w:t>
      </w:r>
      <w:proofErr w:type="spellEnd"/>
      <w:r>
        <w:t xml:space="preserve"> Bank Investment Management (de beheerder van het Noorse staatsoliefonds), APG (een Nederlandse pensioenuitvoerder) en het Singaporese staatsinvesteringsfonds GIC deze kapitaalbehoefte invullen.</w:t>
      </w:r>
      <w:r>
        <w:rPr>
          <w:rStyle w:val="Voetnootmarkering"/>
        </w:rPr>
        <w:footnoteReference w:id="1"/>
      </w:r>
      <w:r>
        <w:t xml:space="preserve"> Vervolgens heb ik u op 3 februari 2026 geïnformeerd dat </w:t>
      </w:r>
      <w:proofErr w:type="spellStart"/>
      <w:r>
        <w:t>TenneT</w:t>
      </w:r>
      <w:proofErr w:type="spellEnd"/>
      <w:r>
        <w:t>, de Nederlandse staat en de drie private investeerders met de Duitse staat</w:t>
      </w:r>
      <w:r>
        <w:rPr>
          <w:rStyle w:val="Voetnootmarkering"/>
        </w:rPr>
        <w:footnoteReference w:id="2"/>
      </w:r>
      <w:r>
        <w:t xml:space="preserve"> een onderhandelingsakkoord hebben bereikt over de deelname van de Duitse staat in </w:t>
      </w:r>
      <w:proofErr w:type="spellStart"/>
      <w:r>
        <w:t>TenneT</w:t>
      </w:r>
      <w:proofErr w:type="spellEnd"/>
      <w:r>
        <w:t xml:space="preserve"> Duitsland.</w:t>
      </w:r>
      <w:r>
        <w:rPr>
          <w:rStyle w:val="Voetnootmarkering"/>
        </w:rPr>
        <w:footnoteReference w:id="3"/>
      </w:r>
      <w:r>
        <w:t xml:space="preserve"> Ik heb in deze brief ook aangegeven dat er nog </w:t>
      </w:r>
      <w:r w:rsidRPr="006654FA">
        <w:t xml:space="preserve">aan een aantal opschortende voorwaarden </w:t>
      </w:r>
      <w:r>
        <w:t xml:space="preserve">moest </w:t>
      </w:r>
      <w:r w:rsidRPr="006654FA">
        <w:t>worden voldaan voordat de transactie k</w:t>
      </w:r>
      <w:r>
        <w:t>o</w:t>
      </w:r>
      <w:r w:rsidRPr="006654FA">
        <w:t xml:space="preserve">n worden geïmplementeerd. </w:t>
      </w:r>
      <w:r>
        <w:t>Met deze brief informeer ik u dat aan alle voorwaarden</w:t>
      </w:r>
      <w:r>
        <w:rPr>
          <w:rStyle w:val="Voetnootmarkering"/>
        </w:rPr>
        <w:footnoteReference w:id="4"/>
      </w:r>
      <w:r>
        <w:t xml:space="preserve"> is voldaan en dat hiermee de transactie tussen </w:t>
      </w:r>
      <w:proofErr w:type="spellStart"/>
      <w:r>
        <w:t>TenneT</w:t>
      </w:r>
      <w:proofErr w:type="spellEnd"/>
      <w:r>
        <w:t xml:space="preserve">, de private investeerders en de Duitse staat is afgerond. Daarnaast ga ik kort in op de gevolgen van de transactie voor het aandeelhouderschap van de staat in </w:t>
      </w:r>
      <w:proofErr w:type="spellStart"/>
      <w:r>
        <w:t>TenneT</w:t>
      </w:r>
      <w:proofErr w:type="spellEnd"/>
      <w:r>
        <w:t xml:space="preserve"> Duitsland.</w:t>
      </w:r>
    </w:p>
    <w:p w:rsidR="00096C8B" w:rsidP="00096C8B" w:rsidRDefault="00096C8B" w14:paraId="40656243" w14:textId="77777777"/>
    <w:p w:rsidRPr="003336BE" w:rsidR="00096C8B" w:rsidP="00096C8B" w:rsidRDefault="00096C8B" w14:paraId="0C7774BE" w14:textId="77777777">
      <w:r>
        <w:t xml:space="preserve">Op 9 juni 2026 is de laatste goedkeuring verleend. Naar aanleiding daarvan kon de implementatiedatum van de transactie worden vastgesteld </w:t>
      </w:r>
      <w:r w:rsidRPr="00C71774">
        <w:t>op 3 juli</w:t>
      </w:r>
      <w:r>
        <w:t>. De afgelopen weken zijn de laatste administratieve en juridische handelingen afgerond, waarmee de nieuwe aandeelhoudersstructuur nu een feit is.</w:t>
      </w:r>
      <w:r w:rsidDel="009870F0">
        <w:t xml:space="preserve"> </w:t>
      </w:r>
    </w:p>
    <w:p w:rsidR="00096C8B" w:rsidP="00096C8B" w:rsidRDefault="00096C8B" w14:paraId="5DC64CAD" w14:textId="77777777"/>
    <w:p w:rsidR="00096C8B" w:rsidP="00096C8B" w:rsidRDefault="00096C8B" w14:paraId="1B7876C5" w14:textId="77777777">
      <w:pPr>
        <w:spacing w:line="240" w:lineRule="exact"/>
        <w:rPr>
          <w:i/>
          <w:iCs/>
        </w:rPr>
      </w:pPr>
      <w:r>
        <w:rPr>
          <w:i/>
          <w:iCs/>
        </w:rPr>
        <w:t xml:space="preserve">Nieuwe aandeelhoudersstructuur </w:t>
      </w:r>
    </w:p>
    <w:p w:rsidR="00096C8B" w:rsidP="00096C8B" w:rsidRDefault="00096C8B" w14:paraId="777128F2" w14:textId="77777777">
      <w:r w:rsidRPr="00FD77CC">
        <w:t>Zoals in mijn brief van 24 september</w:t>
      </w:r>
      <w:r w:rsidR="00D476F7">
        <w:t xml:space="preserve"> 2025</w:t>
      </w:r>
      <w:r w:rsidRPr="00FD77CC">
        <w:t xml:space="preserve"> toegelicht </w:t>
      </w:r>
      <w:r>
        <w:t>zijn</w:t>
      </w:r>
      <w:r w:rsidRPr="00FD77CC">
        <w:t xml:space="preserve"> kapitaalstortingen van de private investeerders </w:t>
      </w:r>
      <w:r>
        <w:t xml:space="preserve">in </w:t>
      </w:r>
      <w:proofErr w:type="spellStart"/>
      <w:r>
        <w:t>TenneT</w:t>
      </w:r>
      <w:proofErr w:type="spellEnd"/>
      <w:r>
        <w:t xml:space="preserve"> Duitsland </w:t>
      </w:r>
      <w:r w:rsidRPr="00FD77CC">
        <w:t xml:space="preserve">nodig om de </w:t>
      </w:r>
      <w:r w:rsidRPr="00DD70D0">
        <w:rPr>
          <w:i/>
          <w:iCs/>
        </w:rPr>
        <w:t>credit rating</w:t>
      </w:r>
      <w:r w:rsidRPr="00FD77CC">
        <w:t xml:space="preserve"> van </w:t>
      </w:r>
      <w:proofErr w:type="spellStart"/>
      <w:r w:rsidRPr="00FD77CC">
        <w:t>TenneT</w:t>
      </w:r>
      <w:proofErr w:type="spellEnd"/>
      <w:r w:rsidRPr="00FD77CC">
        <w:t xml:space="preserve"> Duitsland te </w:t>
      </w:r>
      <w:r>
        <w:t xml:space="preserve">verkrijgen en te </w:t>
      </w:r>
      <w:r w:rsidRPr="00FD77CC">
        <w:t xml:space="preserve">behouden. </w:t>
      </w:r>
      <w:r>
        <w:t>De huidige verwachting is dat tot en met 2029 in</w:t>
      </w:r>
      <w:r w:rsidRPr="00FD77CC">
        <w:t xml:space="preserve"> totaal € 8,5 miljard aan kapitaal nodig (de kapitaalbehoefte) </w:t>
      </w:r>
      <w:r>
        <w:t xml:space="preserve">is </w:t>
      </w:r>
      <w:r w:rsidRPr="00FD77CC">
        <w:t>om de financiële ratio’s op peil te houden. De private investeerders hebben</w:t>
      </w:r>
      <w:r>
        <w:t xml:space="preserve"> </w:t>
      </w:r>
      <w:r w:rsidRPr="00FD77CC">
        <w:t xml:space="preserve">toegezegd tot € 9,5 miljard te willen </w:t>
      </w:r>
      <w:r>
        <w:t xml:space="preserve">storten in </w:t>
      </w:r>
      <w:proofErr w:type="spellStart"/>
      <w:r>
        <w:t>TenneT</w:t>
      </w:r>
      <w:proofErr w:type="spellEnd"/>
      <w:r>
        <w:t xml:space="preserve"> Duitsland</w:t>
      </w:r>
      <w:r w:rsidRPr="00FD77CC">
        <w:t>.</w:t>
      </w:r>
      <w:r>
        <w:t xml:space="preserve"> De private investeerders </w:t>
      </w:r>
      <w:proofErr w:type="gramStart"/>
      <w:r>
        <w:lastRenderedPageBreak/>
        <w:t>storten</w:t>
      </w:r>
      <w:proofErr w:type="gramEnd"/>
      <w:r>
        <w:t xml:space="preserve"> het benodigde kapitaal niet in één keer maar in diverse stortingen in de periode tot en met 2029.</w:t>
      </w:r>
      <w:r w:rsidRPr="00FD77CC">
        <w:t xml:space="preserve"> </w:t>
      </w:r>
      <w:r>
        <w:t xml:space="preserve">Het gezamenlijke aandelenbelang van de private investeerders bouwt geleidelijk op tot maximaal 46%. </w:t>
      </w:r>
    </w:p>
    <w:p w:rsidR="00096C8B" w:rsidP="00096C8B" w:rsidRDefault="00096C8B" w14:paraId="4B3CD3C2" w14:textId="77777777"/>
    <w:p w:rsidR="00096C8B" w:rsidP="00096C8B" w:rsidRDefault="00096C8B" w14:paraId="77949F73" w14:textId="77777777">
      <w:r>
        <w:t>D</w:t>
      </w:r>
      <w:r w:rsidRPr="002F2372">
        <w:t xml:space="preserve">e Duitse staat </w:t>
      </w:r>
      <w:r>
        <w:t xml:space="preserve">heeft direct </w:t>
      </w:r>
      <w:r w:rsidRPr="002F2372">
        <w:t xml:space="preserve">25,1% van de </w:t>
      </w:r>
      <w:r>
        <w:t xml:space="preserve">aandelen in </w:t>
      </w:r>
      <w:proofErr w:type="spellStart"/>
      <w:r>
        <w:t>TenneT</w:t>
      </w:r>
      <w:proofErr w:type="spellEnd"/>
      <w:r>
        <w:t xml:space="preserve"> Duitsland verkregen voor </w:t>
      </w:r>
      <w:r w:rsidRPr="002F2372">
        <w:t xml:space="preserve">een bedrag </w:t>
      </w:r>
      <w:r w:rsidRPr="00837109">
        <w:t xml:space="preserve">van </w:t>
      </w:r>
      <w:proofErr w:type="gramStart"/>
      <w:r w:rsidRPr="00837109">
        <w:t>circa</w:t>
      </w:r>
      <w:proofErr w:type="gramEnd"/>
      <w:r w:rsidRPr="00837109">
        <w:t xml:space="preserve"> € 3,3 miljard</w:t>
      </w:r>
      <w:r>
        <w:t xml:space="preserve">. Dit gebeurt via een verkoop van aandelen die </w:t>
      </w:r>
      <w:proofErr w:type="spellStart"/>
      <w:r>
        <w:t>TenneT</w:t>
      </w:r>
      <w:proofErr w:type="spellEnd"/>
      <w:r>
        <w:t xml:space="preserve"> houdt in </w:t>
      </w:r>
      <w:proofErr w:type="spellStart"/>
      <w:r>
        <w:t>TenneT</w:t>
      </w:r>
      <w:proofErr w:type="spellEnd"/>
      <w:r>
        <w:t xml:space="preserve"> Duitsland. Daarna neemt de Duitse staat deel aan vervolgstortingen die de private investeerders doen om de kapitaalbehoefte over tijd in te vullen. Hiermee zal de Duitse staat het aandelenbelang op 25,1% houden en bijdragen aan de financiering van </w:t>
      </w:r>
      <w:proofErr w:type="spellStart"/>
      <w:r>
        <w:t>TenneT</w:t>
      </w:r>
      <w:proofErr w:type="spellEnd"/>
      <w:r>
        <w:t xml:space="preserve">. Afhankelijk van de uiteindelijke kapitaalbehoefte kunnen de vervolgstortingen van de Duitse staat oplopen tot € 2,3 miljard. Daarmee komt het totaal beschikbare kapitaal voor </w:t>
      </w:r>
      <w:proofErr w:type="spellStart"/>
      <w:r>
        <w:t>TenneT</w:t>
      </w:r>
      <w:proofErr w:type="spellEnd"/>
      <w:r>
        <w:t xml:space="preserve"> Duitsland uit op € 11,8 miljard, ten opzichte van een verwachte kapitaalbehoefte van € 8,5 miljard.</w:t>
      </w:r>
    </w:p>
    <w:p w:rsidR="00096C8B" w:rsidP="00096C8B" w:rsidRDefault="00096C8B" w14:paraId="1BB60726" w14:textId="77777777"/>
    <w:p w:rsidR="00096C8B" w:rsidP="00096C8B" w:rsidRDefault="00096C8B" w14:paraId="313D06C3" w14:textId="77777777">
      <w:r>
        <w:t xml:space="preserve">Bovenstaande betekent dat de Nederlandse staat via </w:t>
      </w:r>
      <w:proofErr w:type="spellStart"/>
      <w:r>
        <w:t>TenneT</w:t>
      </w:r>
      <w:proofErr w:type="spellEnd"/>
      <w:r>
        <w:t xml:space="preserve"> minimaal 28,9% van de aandelen behoudt, zoals in tabel 1 samengevat.</w:t>
      </w:r>
    </w:p>
    <w:p w:rsidR="00096C8B" w:rsidP="00096C8B" w:rsidRDefault="00096C8B" w14:paraId="0D392509" w14:textId="77777777">
      <w:pPr>
        <w:rPr>
          <w:i/>
          <w:iCs/>
        </w:rPr>
      </w:pPr>
    </w:p>
    <w:p w:rsidRPr="00283F39" w:rsidR="00096C8B" w:rsidP="00D476F7" w:rsidRDefault="00096C8B" w14:paraId="644E749A" w14:textId="77777777">
      <w:pPr>
        <w:spacing w:after="60"/>
        <w:rPr>
          <w:b/>
          <w:bCs/>
          <w:sz w:val="16"/>
          <w:szCs w:val="16"/>
        </w:rPr>
      </w:pPr>
      <w:r w:rsidRPr="00283F39">
        <w:rPr>
          <w:b/>
          <w:bCs/>
          <w:sz w:val="16"/>
          <w:szCs w:val="16"/>
        </w:rPr>
        <w:t xml:space="preserve">Tabel 1. Aandeelhoudersstructuur </w:t>
      </w:r>
      <w:proofErr w:type="spellStart"/>
      <w:r w:rsidRPr="00283F39">
        <w:rPr>
          <w:b/>
          <w:bCs/>
          <w:sz w:val="16"/>
          <w:szCs w:val="16"/>
        </w:rPr>
        <w:t>TenneT</w:t>
      </w:r>
      <w:proofErr w:type="spellEnd"/>
      <w:r w:rsidRPr="00283F39">
        <w:rPr>
          <w:b/>
          <w:bCs/>
          <w:sz w:val="16"/>
          <w:szCs w:val="16"/>
        </w:rPr>
        <w:t xml:space="preserve"> Duitsland</w:t>
      </w:r>
    </w:p>
    <w:tbl>
      <w:tblPr>
        <w:tblStyle w:val="Tabelraster"/>
        <w:tblW w:w="7652" w:type="dxa"/>
        <w:tblInd w:w="-2" w:type="dxa"/>
        <w:tblLook w:val="04A0" w:firstRow="1" w:lastRow="0" w:firstColumn="1" w:lastColumn="0" w:noHBand="0" w:noVBand="1"/>
      </w:tblPr>
      <w:tblGrid>
        <w:gridCol w:w="2549"/>
        <w:gridCol w:w="1417"/>
        <w:gridCol w:w="3686"/>
      </w:tblGrid>
      <w:tr w:rsidRPr="00661049" w:rsidR="00096C8B" w:rsidTr="00D476F7" w14:paraId="6FBA2D9D" w14:textId="77777777">
        <w:tc>
          <w:tcPr>
            <w:tcW w:w="2549" w:type="dxa"/>
            <w:hideMark/>
          </w:tcPr>
          <w:p w:rsidRPr="00661049" w:rsidR="00096C8B" w:rsidP="00D476F7" w:rsidRDefault="00096C8B" w14:paraId="30DC29D6" w14:textId="77777777">
            <w:pPr>
              <w:spacing w:before="2" w:after="2"/>
              <w:ind w:left="57"/>
              <w:rPr>
                <w:color w:val="auto"/>
                <w:sz w:val="16"/>
                <w:szCs w:val="16"/>
              </w:rPr>
            </w:pPr>
            <w:r w:rsidRPr="00661049">
              <w:rPr>
                <w:b/>
                <w:bCs/>
                <w:color w:val="auto"/>
                <w:sz w:val="16"/>
                <w:szCs w:val="16"/>
              </w:rPr>
              <w:t>Aandeelhouder</w:t>
            </w:r>
          </w:p>
        </w:tc>
        <w:tc>
          <w:tcPr>
            <w:tcW w:w="1417" w:type="dxa"/>
            <w:hideMark/>
          </w:tcPr>
          <w:p w:rsidRPr="00661049" w:rsidR="00096C8B" w:rsidP="00D476F7" w:rsidRDefault="00096C8B" w14:paraId="093DD42E" w14:textId="77777777">
            <w:pPr>
              <w:spacing w:before="2" w:after="2"/>
              <w:ind w:left="57"/>
              <w:rPr>
                <w:color w:val="auto"/>
                <w:sz w:val="16"/>
                <w:szCs w:val="16"/>
              </w:rPr>
            </w:pPr>
            <w:r w:rsidRPr="00661049">
              <w:rPr>
                <w:b/>
                <w:bCs/>
                <w:color w:val="auto"/>
                <w:sz w:val="16"/>
                <w:szCs w:val="16"/>
              </w:rPr>
              <w:t>Belang</w:t>
            </w:r>
          </w:p>
        </w:tc>
        <w:tc>
          <w:tcPr>
            <w:tcW w:w="3686" w:type="dxa"/>
            <w:hideMark/>
          </w:tcPr>
          <w:p w:rsidRPr="00661049" w:rsidR="00096C8B" w:rsidP="00D476F7" w:rsidRDefault="00096C8B" w14:paraId="2401AF98" w14:textId="77777777">
            <w:pPr>
              <w:spacing w:before="2" w:after="2"/>
              <w:ind w:left="57"/>
              <w:rPr>
                <w:color w:val="auto"/>
                <w:sz w:val="16"/>
                <w:szCs w:val="16"/>
              </w:rPr>
            </w:pPr>
            <w:r w:rsidRPr="00661049">
              <w:rPr>
                <w:b/>
                <w:bCs/>
                <w:color w:val="auto"/>
                <w:sz w:val="16"/>
                <w:szCs w:val="16"/>
              </w:rPr>
              <w:t>Bedrag</w:t>
            </w:r>
          </w:p>
        </w:tc>
      </w:tr>
      <w:tr w:rsidRPr="00661049" w:rsidR="00096C8B" w:rsidTr="00D476F7" w14:paraId="79A27E35" w14:textId="77777777">
        <w:tc>
          <w:tcPr>
            <w:tcW w:w="2549" w:type="dxa"/>
            <w:hideMark/>
          </w:tcPr>
          <w:p w:rsidRPr="00661049" w:rsidR="00096C8B" w:rsidP="00D476F7" w:rsidRDefault="00096C8B" w14:paraId="5474C03E" w14:textId="77777777">
            <w:pPr>
              <w:spacing w:before="2" w:after="2"/>
              <w:ind w:left="57"/>
              <w:rPr>
                <w:sz w:val="16"/>
                <w:szCs w:val="16"/>
              </w:rPr>
            </w:pPr>
            <w:proofErr w:type="spellStart"/>
            <w:r w:rsidRPr="00661049">
              <w:rPr>
                <w:sz w:val="16"/>
                <w:szCs w:val="16"/>
              </w:rPr>
              <w:t>TenneT</w:t>
            </w:r>
            <w:proofErr w:type="spellEnd"/>
            <w:r w:rsidRPr="00661049">
              <w:rPr>
                <w:sz w:val="16"/>
                <w:szCs w:val="16"/>
              </w:rPr>
              <w:t xml:space="preserve"> (Nederlandse staat)</w:t>
            </w:r>
          </w:p>
        </w:tc>
        <w:tc>
          <w:tcPr>
            <w:tcW w:w="1417" w:type="dxa"/>
            <w:hideMark/>
          </w:tcPr>
          <w:p w:rsidRPr="00661049" w:rsidR="00096C8B" w:rsidP="00D476F7" w:rsidRDefault="00096C8B" w14:paraId="1DFFED0E" w14:textId="77777777">
            <w:pPr>
              <w:spacing w:before="2" w:after="2"/>
              <w:ind w:left="57"/>
              <w:rPr>
                <w:sz w:val="16"/>
                <w:szCs w:val="16"/>
              </w:rPr>
            </w:pPr>
            <w:proofErr w:type="gramStart"/>
            <w:r w:rsidRPr="00661049">
              <w:rPr>
                <w:sz w:val="16"/>
                <w:szCs w:val="16"/>
              </w:rPr>
              <w:t>minimaal</w:t>
            </w:r>
            <w:proofErr w:type="gramEnd"/>
            <w:r w:rsidRPr="00661049">
              <w:rPr>
                <w:sz w:val="16"/>
                <w:szCs w:val="16"/>
              </w:rPr>
              <w:t xml:space="preserve"> 28,9%</w:t>
            </w:r>
          </w:p>
        </w:tc>
        <w:tc>
          <w:tcPr>
            <w:tcW w:w="3686" w:type="dxa"/>
            <w:hideMark/>
          </w:tcPr>
          <w:p w:rsidRPr="00661049" w:rsidR="00096C8B" w:rsidP="00D476F7" w:rsidRDefault="00096C8B" w14:paraId="7E360674" w14:textId="77777777">
            <w:pPr>
              <w:spacing w:before="2" w:after="2"/>
              <w:ind w:left="57"/>
              <w:rPr>
                <w:sz w:val="16"/>
                <w:szCs w:val="16"/>
              </w:rPr>
            </w:pPr>
            <w:r w:rsidRPr="00661049">
              <w:rPr>
                <w:sz w:val="16"/>
                <w:szCs w:val="16"/>
              </w:rPr>
              <w:t>—</w:t>
            </w:r>
          </w:p>
        </w:tc>
      </w:tr>
      <w:tr w:rsidRPr="00661049" w:rsidR="00096C8B" w:rsidTr="00D476F7" w14:paraId="67EE1EAF" w14:textId="77777777">
        <w:tc>
          <w:tcPr>
            <w:tcW w:w="2549" w:type="dxa"/>
            <w:hideMark/>
          </w:tcPr>
          <w:p w:rsidRPr="00661049" w:rsidR="00096C8B" w:rsidP="00D476F7" w:rsidRDefault="00096C8B" w14:paraId="69D0B103" w14:textId="77777777">
            <w:pPr>
              <w:spacing w:before="2" w:after="2"/>
              <w:ind w:left="57"/>
              <w:rPr>
                <w:sz w:val="16"/>
                <w:szCs w:val="16"/>
              </w:rPr>
            </w:pPr>
            <w:proofErr w:type="spellStart"/>
            <w:r w:rsidRPr="00661049">
              <w:rPr>
                <w:sz w:val="16"/>
                <w:szCs w:val="16"/>
              </w:rPr>
              <w:t>KfW</w:t>
            </w:r>
            <w:proofErr w:type="spellEnd"/>
            <w:r w:rsidRPr="00661049">
              <w:rPr>
                <w:sz w:val="16"/>
                <w:szCs w:val="16"/>
              </w:rPr>
              <w:t xml:space="preserve"> </w:t>
            </w:r>
            <w:r>
              <w:rPr>
                <w:sz w:val="16"/>
                <w:szCs w:val="16"/>
              </w:rPr>
              <w:t>(</w:t>
            </w:r>
            <w:r w:rsidRPr="00661049">
              <w:rPr>
                <w:sz w:val="16"/>
                <w:szCs w:val="16"/>
              </w:rPr>
              <w:t>Duitse staat</w:t>
            </w:r>
            <w:r>
              <w:rPr>
                <w:sz w:val="16"/>
                <w:szCs w:val="16"/>
              </w:rPr>
              <w:t>)</w:t>
            </w:r>
          </w:p>
        </w:tc>
        <w:tc>
          <w:tcPr>
            <w:tcW w:w="1417" w:type="dxa"/>
            <w:hideMark/>
          </w:tcPr>
          <w:p w:rsidRPr="00661049" w:rsidR="00096C8B" w:rsidP="00D476F7" w:rsidRDefault="00096C8B" w14:paraId="0623A060" w14:textId="77777777">
            <w:pPr>
              <w:spacing w:before="2" w:after="2"/>
              <w:ind w:left="57"/>
              <w:rPr>
                <w:sz w:val="16"/>
                <w:szCs w:val="16"/>
              </w:rPr>
            </w:pPr>
            <w:r w:rsidRPr="00661049">
              <w:rPr>
                <w:sz w:val="16"/>
                <w:szCs w:val="16"/>
              </w:rPr>
              <w:t>25,1%</w:t>
            </w:r>
          </w:p>
        </w:tc>
        <w:tc>
          <w:tcPr>
            <w:tcW w:w="3686" w:type="dxa"/>
            <w:hideMark/>
          </w:tcPr>
          <w:p w:rsidRPr="00BF0709" w:rsidR="00096C8B" w:rsidP="00D476F7" w:rsidRDefault="00096C8B" w14:paraId="1FCC4603" w14:textId="77777777">
            <w:pPr>
              <w:spacing w:before="2" w:after="2"/>
              <w:ind w:left="57"/>
              <w:rPr>
                <w:sz w:val="16"/>
                <w:szCs w:val="16"/>
              </w:rPr>
            </w:pPr>
            <w:r w:rsidRPr="00837109">
              <w:rPr>
                <w:sz w:val="16"/>
                <w:szCs w:val="16"/>
              </w:rPr>
              <w:t>ca. € 3,3 miljard</w:t>
            </w:r>
            <w:r w:rsidRPr="00BF0709">
              <w:rPr>
                <w:sz w:val="16"/>
                <w:szCs w:val="16"/>
              </w:rPr>
              <w:t xml:space="preserve"> </w:t>
            </w:r>
          </w:p>
          <w:p w:rsidRPr="00BF0709" w:rsidR="00096C8B" w:rsidP="00D476F7" w:rsidRDefault="00096C8B" w14:paraId="7AA6B156" w14:textId="77777777">
            <w:pPr>
              <w:spacing w:before="2" w:after="2"/>
              <w:ind w:left="57"/>
              <w:rPr>
                <w:sz w:val="16"/>
                <w:szCs w:val="16"/>
              </w:rPr>
            </w:pPr>
            <w:r w:rsidRPr="00BF0709">
              <w:rPr>
                <w:sz w:val="16"/>
                <w:szCs w:val="16"/>
              </w:rPr>
              <w:t>+ maximaal € 2,3 miljard vervolgstortingen</w:t>
            </w:r>
          </w:p>
        </w:tc>
      </w:tr>
      <w:tr w:rsidRPr="00661049" w:rsidR="00096C8B" w:rsidTr="00D476F7" w14:paraId="2A38F7B9" w14:textId="77777777">
        <w:tc>
          <w:tcPr>
            <w:tcW w:w="2549" w:type="dxa"/>
            <w:hideMark/>
          </w:tcPr>
          <w:p w:rsidRPr="00661049" w:rsidR="00096C8B" w:rsidP="00D476F7" w:rsidRDefault="00096C8B" w14:paraId="351C15E3" w14:textId="77777777">
            <w:pPr>
              <w:spacing w:before="2" w:after="2"/>
              <w:ind w:left="57"/>
              <w:rPr>
                <w:sz w:val="16"/>
                <w:szCs w:val="16"/>
              </w:rPr>
            </w:pPr>
            <w:r w:rsidRPr="00661049">
              <w:rPr>
                <w:sz w:val="16"/>
                <w:szCs w:val="16"/>
              </w:rPr>
              <w:t>APG, NBIM, GIC (gezamenlijk)</w:t>
            </w:r>
          </w:p>
        </w:tc>
        <w:tc>
          <w:tcPr>
            <w:tcW w:w="1417" w:type="dxa"/>
            <w:hideMark/>
          </w:tcPr>
          <w:p w:rsidRPr="00661049" w:rsidR="00096C8B" w:rsidP="00D476F7" w:rsidRDefault="00096C8B" w14:paraId="1180780A" w14:textId="77777777">
            <w:pPr>
              <w:spacing w:before="2" w:after="2"/>
              <w:ind w:left="57"/>
              <w:rPr>
                <w:sz w:val="16"/>
                <w:szCs w:val="16"/>
              </w:rPr>
            </w:pPr>
            <w:proofErr w:type="gramStart"/>
            <w:r w:rsidRPr="00661049">
              <w:rPr>
                <w:sz w:val="16"/>
                <w:szCs w:val="16"/>
              </w:rPr>
              <w:t>maximaal</w:t>
            </w:r>
            <w:proofErr w:type="gramEnd"/>
            <w:r w:rsidRPr="00661049">
              <w:rPr>
                <w:sz w:val="16"/>
                <w:szCs w:val="16"/>
              </w:rPr>
              <w:t xml:space="preserve"> 46%</w:t>
            </w:r>
          </w:p>
        </w:tc>
        <w:tc>
          <w:tcPr>
            <w:tcW w:w="3686" w:type="dxa"/>
            <w:hideMark/>
          </w:tcPr>
          <w:p w:rsidRPr="00783984" w:rsidR="00096C8B" w:rsidP="00D476F7" w:rsidRDefault="00096C8B" w14:paraId="0889D18E" w14:textId="77777777">
            <w:pPr>
              <w:spacing w:before="2" w:after="2"/>
              <w:ind w:left="57"/>
              <w:rPr>
                <w:sz w:val="16"/>
                <w:szCs w:val="16"/>
                <w:lang w:val="de-DE"/>
              </w:rPr>
            </w:pPr>
            <w:proofErr w:type="spellStart"/>
            <w:r w:rsidRPr="00783984">
              <w:rPr>
                <w:sz w:val="16"/>
                <w:szCs w:val="16"/>
                <w:lang w:val="de-DE"/>
              </w:rPr>
              <w:t>max</w:t>
            </w:r>
            <w:r>
              <w:rPr>
                <w:sz w:val="16"/>
                <w:szCs w:val="16"/>
                <w:lang w:val="de-DE"/>
              </w:rPr>
              <w:t>imaal</w:t>
            </w:r>
            <w:proofErr w:type="spellEnd"/>
            <w:r w:rsidRPr="00783984">
              <w:rPr>
                <w:sz w:val="16"/>
                <w:szCs w:val="16"/>
                <w:lang w:val="de-DE"/>
              </w:rPr>
              <w:t xml:space="preserve"> € 9,5 </w:t>
            </w:r>
            <w:proofErr w:type="spellStart"/>
            <w:r w:rsidRPr="00783984">
              <w:rPr>
                <w:sz w:val="16"/>
                <w:szCs w:val="16"/>
                <w:lang w:val="de-DE"/>
              </w:rPr>
              <w:t>m</w:t>
            </w:r>
            <w:r>
              <w:rPr>
                <w:sz w:val="16"/>
                <w:szCs w:val="16"/>
                <w:lang w:val="de-DE"/>
              </w:rPr>
              <w:t>iljard</w:t>
            </w:r>
            <w:proofErr w:type="spellEnd"/>
          </w:p>
        </w:tc>
      </w:tr>
    </w:tbl>
    <w:p w:rsidR="00096C8B" w:rsidP="00096C8B" w:rsidRDefault="00096C8B" w14:paraId="66844474" w14:textId="77777777"/>
    <w:p w:rsidRPr="00783984" w:rsidR="00096C8B" w:rsidP="00096C8B" w:rsidRDefault="00096C8B" w14:paraId="7B430495" w14:textId="77777777">
      <w:pPr>
        <w:rPr>
          <w:i/>
          <w:iCs/>
        </w:rPr>
      </w:pPr>
      <w:r>
        <w:rPr>
          <w:i/>
          <w:iCs/>
        </w:rPr>
        <w:t xml:space="preserve">Financiële </w:t>
      </w:r>
      <w:r w:rsidR="00D476F7">
        <w:rPr>
          <w:i/>
          <w:iCs/>
        </w:rPr>
        <w:t>risico’s</w:t>
      </w:r>
      <w:r w:rsidRPr="00B753BF">
        <w:rPr>
          <w:i/>
          <w:iCs/>
        </w:rPr>
        <w:t xml:space="preserve"> Nederlandse staat</w:t>
      </w:r>
    </w:p>
    <w:p w:rsidR="00096C8B" w:rsidP="00096C8B" w:rsidRDefault="00096C8B" w14:paraId="5513BE4A" w14:textId="77777777">
      <w:pPr>
        <w:spacing w:line="240" w:lineRule="exact"/>
      </w:pPr>
      <w:r w:rsidRPr="00B753BF">
        <w:t xml:space="preserve">Door de transactie neemt de risicoblootstelling van de Nederlandse staat ten aanzien van </w:t>
      </w:r>
      <w:proofErr w:type="spellStart"/>
      <w:r w:rsidRPr="00B753BF">
        <w:t>TenneT</w:t>
      </w:r>
      <w:proofErr w:type="spellEnd"/>
      <w:r w:rsidRPr="00B753BF">
        <w:t xml:space="preserve"> Duitsland substantieel af</w:t>
      </w:r>
      <w:r>
        <w:t>:</w:t>
      </w:r>
      <w:r w:rsidRPr="006848FD">
        <w:t xml:space="preserve"> </w:t>
      </w:r>
    </w:p>
    <w:p w:rsidR="00096C8B" w:rsidP="00096C8B" w:rsidRDefault="00096C8B" w14:paraId="717807F4" w14:textId="77777777">
      <w:pPr>
        <w:pStyle w:val="Lijstalinea"/>
        <w:numPr>
          <w:ilvl w:val="0"/>
          <w:numId w:val="8"/>
        </w:numPr>
        <w:spacing w:line="240" w:lineRule="exact"/>
      </w:pPr>
      <w:proofErr w:type="spellStart"/>
      <w:r>
        <w:t>TenneT</w:t>
      </w:r>
      <w:proofErr w:type="spellEnd"/>
      <w:r>
        <w:t xml:space="preserve"> Duitsland kan dankzij de transactie zelfstandig geld lenen op de kapitaalmarkt. Dit betekent ook dat de bestaande lening van </w:t>
      </w:r>
      <w:proofErr w:type="spellStart"/>
      <w:r>
        <w:t>TenneT</w:t>
      </w:r>
      <w:proofErr w:type="spellEnd"/>
      <w:r>
        <w:t xml:space="preserve"> Nederland aan </w:t>
      </w:r>
      <w:proofErr w:type="spellStart"/>
      <w:r>
        <w:t>TenneT</w:t>
      </w:r>
      <w:proofErr w:type="spellEnd"/>
      <w:r>
        <w:t xml:space="preserve"> Duitsland in de periode 2030-2035 kan worden afgelost.</w:t>
      </w:r>
    </w:p>
    <w:p w:rsidR="00096C8B" w:rsidP="00096C8B" w:rsidRDefault="00096C8B" w14:paraId="24D60B23" w14:textId="77777777">
      <w:pPr>
        <w:pStyle w:val="Lijstalinea"/>
        <w:numPr>
          <w:ilvl w:val="0"/>
          <w:numId w:val="8"/>
        </w:numPr>
        <w:spacing w:line="240" w:lineRule="exact"/>
      </w:pPr>
      <w:r>
        <w:t>Het</w:t>
      </w:r>
      <w:r w:rsidRPr="006848FD">
        <w:t xml:space="preserve"> door </w:t>
      </w:r>
      <w:r>
        <w:t xml:space="preserve">de </w:t>
      </w:r>
      <w:r w:rsidRPr="006848FD">
        <w:t xml:space="preserve">private investeerders en de Duitse staat toegezegde kapitaal van € 11,8 miljard </w:t>
      </w:r>
      <w:r>
        <w:t xml:space="preserve">ligt </w:t>
      </w:r>
      <w:proofErr w:type="gramStart"/>
      <w:r w:rsidRPr="00837109">
        <w:t>circa</w:t>
      </w:r>
      <w:proofErr w:type="gramEnd"/>
      <w:r w:rsidRPr="00837109">
        <w:t xml:space="preserve"> € 3,3 miljard</w:t>
      </w:r>
      <w:r w:rsidRPr="006848FD">
        <w:t xml:space="preserve"> boven </w:t>
      </w:r>
      <w:r>
        <w:t xml:space="preserve">de momenteel ingeschatte eigen vermogensbehoefte van </w:t>
      </w:r>
      <w:proofErr w:type="spellStart"/>
      <w:r>
        <w:t>TenneT</w:t>
      </w:r>
      <w:proofErr w:type="spellEnd"/>
      <w:r>
        <w:t xml:space="preserve"> Duitsland</w:t>
      </w:r>
      <w:r w:rsidRPr="006848FD">
        <w:t>. Zolang de geraamde kapitaalbehoefte van € 8,5 miljard niet stijgt tot boven de € 11,8 miljard</w:t>
      </w:r>
      <w:r>
        <w:t xml:space="preserve">, kan </w:t>
      </w:r>
      <w:proofErr w:type="spellStart"/>
      <w:r>
        <w:t>TenneT</w:t>
      </w:r>
      <w:proofErr w:type="spellEnd"/>
      <w:r>
        <w:t xml:space="preserve"> Duitsland zich dus zelfstandig blijven financieren.</w:t>
      </w:r>
    </w:p>
    <w:p w:rsidR="00096C8B" w:rsidP="00096C8B" w:rsidRDefault="00096C8B" w14:paraId="4275FBFB" w14:textId="77777777">
      <w:pPr>
        <w:pStyle w:val="Lijstalinea"/>
        <w:numPr>
          <w:ilvl w:val="0"/>
          <w:numId w:val="8"/>
        </w:numPr>
        <w:spacing w:line="240" w:lineRule="exact"/>
      </w:pPr>
      <w:r>
        <w:t>Er</w:t>
      </w:r>
      <w:r w:rsidRPr="009852A3">
        <w:t xml:space="preserve"> is contractueel vastgelegd dat </w:t>
      </w:r>
      <w:r>
        <w:t>mocht de eigen vermogens</w:t>
      </w:r>
      <w:r w:rsidRPr="009852A3">
        <w:t xml:space="preserve">behoefte </w:t>
      </w:r>
      <w:r>
        <w:t xml:space="preserve">tegen de verwachting in toch hoger uitvallen, </w:t>
      </w:r>
      <w:r w:rsidRPr="009852A3">
        <w:t xml:space="preserve">alle aandeelhouders, waaronder </w:t>
      </w:r>
      <w:proofErr w:type="spellStart"/>
      <w:r w:rsidRPr="009852A3">
        <w:t>TenneT</w:t>
      </w:r>
      <w:proofErr w:type="spellEnd"/>
      <w:r w:rsidRPr="009852A3">
        <w:t xml:space="preserve">, de </w:t>
      </w:r>
      <w:r w:rsidRPr="009852A3">
        <w:rPr>
          <w:i/>
          <w:iCs/>
        </w:rPr>
        <w:t xml:space="preserve">optie </w:t>
      </w:r>
      <w:r w:rsidRPr="009852A3">
        <w:t>hebben om naar rato bij te storten en hun huidige belang te handhaven.</w:t>
      </w:r>
      <w:r>
        <w:t xml:space="preserve"> Geen van de aandeelhouders is hiertoe verplicht. Door deelname van de drie private investeerders en de Duitse staat zijn er nu meerdere aandeelhouders die zich verantwoordelijk voelen voor de financiële stabiliteit van </w:t>
      </w:r>
      <w:proofErr w:type="spellStart"/>
      <w:r>
        <w:t>TenneT</w:t>
      </w:r>
      <w:proofErr w:type="spellEnd"/>
      <w:r>
        <w:t xml:space="preserve"> Duitsland</w:t>
      </w:r>
      <w:r w:rsidR="00D476F7">
        <w:t>. H</w:t>
      </w:r>
      <w:r>
        <w:t xml:space="preserve">ierdoor wordt de rol van de Nederlandse staat als </w:t>
      </w:r>
      <w:proofErr w:type="spellStart"/>
      <w:r w:rsidRPr="009852A3">
        <w:rPr>
          <w:i/>
          <w:iCs/>
        </w:rPr>
        <w:t>lender</w:t>
      </w:r>
      <w:proofErr w:type="spellEnd"/>
      <w:r w:rsidRPr="009852A3">
        <w:rPr>
          <w:i/>
          <w:iCs/>
        </w:rPr>
        <w:t xml:space="preserve"> of last resort</w:t>
      </w:r>
      <w:r>
        <w:t xml:space="preserve"> verkleind. </w:t>
      </w:r>
    </w:p>
    <w:p w:rsidR="00096C8B" w:rsidP="00096C8B" w:rsidRDefault="00096C8B" w14:paraId="4350A3DA" w14:textId="77777777">
      <w:pPr>
        <w:spacing w:line="240" w:lineRule="exact"/>
      </w:pPr>
    </w:p>
    <w:p w:rsidR="00096C8B" w:rsidP="00096C8B" w:rsidRDefault="00096C8B" w14:paraId="07AAA99B" w14:textId="77777777">
      <w:pPr>
        <w:spacing w:line="240" w:lineRule="exact"/>
        <w:rPr>
          <w:i/>
          <w:iCs/>
        </w:rPr>
      </w:pPr>
      <w:r>
        <w:t>D</w:t>
      </w:r>
      <w:r w:rsidRPr="00FD15EF">
        <w:t xml:space="preserve">e </w:t>
      </w:r>
      <w:r>
        <w:t xml:space="preserve">implementatie van de transactie heeft ook directe </w:t>
      </w:r>
      <w:r w:rsidRPr="00FD15EF">
        <w:t>positieve financiële en budgettaire effecten voor de Nederlandse staat</w:t>
      </w:r>
      <w:r>
        <w:t xml:space="preserve">. Een aantal van deze effecten zijn al bij de Voorjaarsnota 2026 verwerkt en een aantal zullen bij de Miljoenennota </w:t>
      </w:r>
      <w:r>
        <w:lastRenderedPageBreak/>
        <w:t xml:space="preserve">2027 worden verwerkt, zoals hieronder toegelicht. </w:t>
      </w:r>
      <w:r w:rsidRPr="000D6416">
        <w:t xml:space="preserve">Tabel </w:t>
      </w:r>
      <w:r>
        <w:t>2</w:t>
      </w:r>
      <w:r w:rsidRPr="000D6416">
        <w:t xml:space="preserve"> bevat een overzicht van alle reserveringen voor </w:t>
      </w:r>
      <w:proofErr w:type="spellStart"/>
      <w:r w:rsidRPr="000D6416">
        <w:t>TenneT</w:t>
      </w:r>
      <w:proofErr w:type="spellEnd"/>
      <w:r w:rsidRPr="000D6416">
        <w:t xml:space="preserve"> Duitsland die </w:t>
      </w:r>
      <w:r w:rsidR="00BA5426">
        <w:t>bij</w:t>
      </w:r>
      <w:r w:rsidRPr="000D6416">
        <w:t xml:space="preserve"> de </w:t>
      </w:r>
      <w:r>
        <w:t>Voorjaarsnota</w:t>
      </w:r>
      <w:r w:rsidRPr="000D6416">
        <w:t xml:space="preserve"> </w:t>
      </w:r>
      <w:r>
        <w:t xml:space="preserve">2026 </w:t>
      </w:r>
      <w:r w:rsidRPr="000D6416">
        <w:t xml:space="preserve">zijn opgenomen. </w:t>
      </w:r>
    </w:p>
    <w:p w:rsidR="00096C8B" w:rsidP="00096C8B" w:rsidRDefault="00096C8B" w14:paraId="393956C2" w14:textId="77777777">
      <w:pPr>
        <w:spacing w:line="240" w:lineRule="exact"/>
        <w:rPr>
          <w:i/>
          <w:iCs/>
        </w:rPr>
      </w:pPr>
    </w:p>
    <w:p w:rsidRPr="00283F39" w:rsidR="00BA5426" w:rsidP="00096C8B" w:rsidRDefault="00096C8B" w14:paraId="67C213D6" w14:textId="77777777">
      <w:pPr>
        <w:spacing w:line="240" w:lineRule="exact"/>
        <w:rPr>
          <w:b/>
          <w:bCs/>
          <w:sz w:val="16"/>
          <w:szCs w:val="16"/>
        </w:rPr>
      </w:pPr>
      <w:r w:rsidRPr="00283F39">
        <w:rPr>
          <w:b/>
          <w:bCs/>
          <w:sz w:val="16"/>
          <w:szCs w:val="16"/>
        </w:rPr>
        <w:t xml:space="preserve">Tabel 2. Overzicht financiering </w:t>
      </w:r>
      <w:proofErr w:type="spellStart"/>
      <w:r w:rsidRPr="00283F39">
        <w:rPr>
          <w:b/>
          <w:bCs/>
          <w:sz w:val="16"/>
          <w:szCs w:val="16"/>
        </w:rPr>
        <w:t>TenneT</w:t>
      </w:r>
      <w:proofErr w:type="spellEnd"/>
      <w:r w:rsidRPr="00283F39">
        <w:rPr>
          <w:b/>
          <w:bCs/>
          <w:sz w:val="16"/>
          <w:szCs w:val="16"/>
        </w:rPr>
        <w:t xml:space="preserve"> Duitsland </w:t>
      </w:r>
      <w:r w:rsidRPr="00283F39" w:rsidR="00BA5426">
        <w:rPr>
          <w:b/>
          <w:bCs/>
          <w:sz w:val="16"/>
          <w:szCs w:val="16"/>
        </w:rPr>
        <w:t>bij</w:t>
      </w:r>
      <w:r w:rsidRPr="00283F39">
        <w:rPr>
          <w:b/>
          <w:bCs/>
          <w:sz w:val="16"/>
          <w:szCs w:val="16"/>
        </w:rPr>
        <w:t xml:space="preserve"> de Voorjaarsnota 2026</w:t>
      </w:r>
      <w:r w:rsidRPr="00283F39" w:rsidR="00BA5426">
        <w:rPr>
          <w:b/>
          <w:bCs/>
          <w:sz w:val="16"/>
          <w:szCs w:val="16"/>
        </w:rPr>
        <w:t xml:space="preserve"> </w:t>
      </w:r>
    </w:p>
    <w:p w:rsidRPr="00283F39" w:rsidR="00096C8B" w:rsidP="00096C8B" w:rsidRDefault="00BA5426" w14:paraId="1B7FDDE6" w14:textId="77777777">
      <w:pPr>
        <w:spacing w:line="240" w:lineRule="exact"/>
        <w:rPr>
          <w:b/>
          <w:bCs/>
          <w:sz w:val="16"/>
          <w:szCs w:val="16"/>
        </w:rPr>
      </w:pPr>
      <w:r w:rsidRPr="00283F39">
        <w:rPr>
          <w:b/>
          <w:bCs/>
          <w:sz w:val="16"/>
          <w:szCs w:val="16"/>
        </w:rPr>
        <w:t>(Eerste suppletoire begroting)</w:t>
      </w:r>
    </w:p>
    <w:tbl>
      <w:tblPr>
        <w:tblStyle w:val="Tabelraster1"/>
        <w:tblW w:w="8445" w:type="dxa"/>
        <w:tblInd w:w="-5" w:type="dxa"/>
        <w:tblLayout w:type="fixed"/>
        <w:tblLook w:val="04A0" w:firstRow="1" w:lastRow="0" w:firstColumn="1" w:lastColumn="0" w:noHBand="0" w:noVBand="1"/>
      </w:tblPr>
      <w:tblGrid>
        <w:gridCol w:w="1558"/>
        <w:gridCol w:w="710"/>
        <w:gridCol w:w="848"/>
        <w:gridCol w:w="853"/>
        <w:gridCol w:w="743"/>
        <w:gridCol w:w="744"/>
        <w:gridCol w:w="743"/>
        <w:gridCol w:w="747"/>
        <w:gridCol w:w="446"/>
        <w:gridCol w:w="1053"/>
      </w:tblGrid>
      <w:tr w:rsidRPr="000D6416" w:rsidR="00096C8B" w:rsidTr="00571787" w14:paraId="20FAE17F" w14:textId="77777777">
        <w:trPr>
          <w:gridAfter w:val="1"/>
          <w:cnfStyle w:val="100000000000" w:firstRow="1" w:lastRow="0" w:firstColumn="0" w:lastColumn="0" w:oddVBand="0" w:evenVBand="0" w:oddHBand="0" w:evenHBand="0" w:firstRowFirstColumn="0" w:firstRowLastColumn="0" w:lastRowFirstColumn="0" w:lastRowLastColumn="0"/>
          <w:wAfter w:w="1053" w:type="dxa"/>
          <w:trHeight w:val="261"/>
        </w:trPr>
        <w:tc>
          <w:tcPr>
            <w:tcW w:w="1558" w:type="dxa"/>
            <w:vMerge w:val="restart"/>
            <w:tcBorders>
              <w:top w:val="single" w:color="000000" w:sz="4" w:space="0"/>
              <w:left w:val="single" w:color="000000" w:sz="4" w:space="0"/>
              <w:bottom w:val="single" w:color="000000" w:sz="4" w:space="0"/>
              <w:right w:val="single" w:color="000000" w:sz="4" w:space="0"/>
            </w:tcBorders>
            <w:vAlign w:val="center"/>
            <w:hideMark/>
          </w:tcPr>
          <w:p w:rsidRPr="000D6416" w:rsidR="00096C8B" w:rsidP="00571787" w:rsidRDefault="00096C8B" w14:paraId="13707C47" w14:textId="77777777">
            <w:pPr>
              <w:spacing w:line="240" w:lineRule="exact"/>
              <w:jc w:val="center"/>
              <w:rPr>
                <w:sz w:val="14"/>
                <w:szCs w:val="14"/>
              </w:rPr>
            </w:pPr>
            <w:bookmarkStart w:name="_Hlk231980203" w:id="0"/>
            <w:r w:rsidRPr="000D6416">
              <w:rPr>
                <w:sz w:val="14"/>
                <w:szCs w:val="14"/>
              </w:rPr>
              <w:t>€ mld.</w:t>
            </w:r>
          </w:p>
        </w:tc>
        <w:tc>
          <w:tcPr>
            <w:tcW w:w="2411" w:type="dxa"/>
            <w:gridSpan w:val="3"/>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5D5C5A5A" w14:textId="77777777">
            <w:pPr>
              <w:spacing w:line="240" w:lineRule="exact"/>
              <w:jc w:val="center"/>
              <w:rPr>
                <w:sz w:val="14"/>
                <w:szCs w:val="14"/>
              </w:rPr>
            </w:pPr>
            <w:r w:rsidRPr="000D6416">
              <w:rPr>
                <w:sz w:val="14"/>
                <w:szCs w:val="14"/>
              </w:rPr>
              <w:t>Relevant voor</w:t>
            </w:r>
          </w:p>
        </w:tc>
        <w:tc>
          <w:tcPr>
            <w:tcW w:w="743" w:type="dxa"/>
            <w:vMerge w:val="restart"/>
            <w:tcBorders>
              <w:top w:val="single" w:color="000000" w:sz="4" w:space="0"/>
              <w:left w:val="single" w:color="000000" w:sz="4" w:space="0"/>
              <w:bottom w:val="single" w:color="000000" w:sz="4" w:space="0"/>
              <w:right w:val="single" w:color="000000" w:sz="4" w:space="0"/>
            </w:tcBorders>
            <w:vAlign w:val="center"/>
            <w:hideMark/>
          </w:tcPr>
          <w:p w:rsidRPr="000D6416" w:rsidR="00096C8B" w:rsidP="00571787" w:rsidRDefault="00096C8B" w14:paraId="3B030F21" w14:textId="77777777">
            <w:pPr>
              <w:spacing w:line="240" w:lineRule="exact"/>
              <w:jc w:val="center"/>
              <w:rPr>
                <w:sz w:val="14"/>
                <w:szCs w:val="14"/>
              </w:rPr>
            </w:pPr>
            <w:r w:rsidRPr="000D6416">
              <w:rPr>
                <w:sz w:val="14"/>
                <w:szCs w:val="14"/>
              </w:rPr>
              <w:t>202</w:t>
            </w:r>
            <w:r>
              <w:rPr>
                <w:sz w:val="14"/>
                <w:szCs w:val="14"/>
              </w:rPr>
              <w:t>6</w:t>
            </w:r>
          </w:p>
        </w:tc>
        <w:tc>
          <w:tcPr>
            <w:tcW w:w="744" w:type="dxa"/>
            <w:vMerge w:val="restart"/>
            <w:tcBorders>
              <w:top w:val="single" w:color="000000" w:sz="4" w:space="0"/>
              <w:left w:val="single" w:color="000000" w:sz="4" w:space="0"/>
              <w:bottom w:val="single" w:color="000000" w:sz="4" w:space="0"/>
              <w:right w:val="single" w:color="000000" w:sz="4" w:space="0"/>
            </w:tcBorders>
            <w:vAlign w:val="center"/>
            <w:hideMark/>
          </w:tcPr>
          <w:p w:rsidRPr="000D6416" w:rsidR="00096C8B" w:rsidP="00571787" w:rsidRDefault="00096C8B" w14:paraId="7F68360F" w14:textId="77777777">
            <w:pPr>
              <w:spacing w:line="240" w:lineRule="exact"/>
              <w:jc w:val="center"/>
              <w:rPr>
                <w:sz w:val="14"/>
                <w:szCs w:val="14"/>
              </w:rPr>
            </w:pPr>
            <w:r w:rsidRPr="000D6416">
              <w:rPr>
                <w:sz w:val="14"/>
                <w:szCs w:val="14"/>
              </w:rPr>
              <w:t>202</w:t>
            </w:r>
            <w:r>
              <w:rPr>
                <w:sz w:val="14"/>
                <w:szCs w:val="14"/>
              </w:rPr>
              <w:t>7</w:t>
            </w:r>
          </w:p>
        </w:tc>
        <w:tc>
          <w:tcPr>
            <w:tcW w:w="743" w:type="dxa"/>
            <w:vMerge w:val="restart"/>
            <w:tcBorders>
              <w:top w:val="single" w:color="000000" w:sz="4" w:space="0"/>
              <w:left w:val="single" w:color="000000" w:sz="4" w:space="0"/>
              <w:bottom w:val="single" w:color="000000" w:sz="4" w:space="0"/>
              <w:right w:val="single" w:color="000000" w:sz="4" w:space="0"/>
            </w:tcBorders>
            <w:vAlign w:val="center"/>
            <w:hideMark/>
          </w:tcPr>
          <w:p w:rsidRPr="000D6416" w:rsidR="00096C8B" w:rsidP="00571787" w:rsidRDefault="00096C8B" w14:paraId="5BEECBD1" w14:textId="77777777">
            <w:pPr>
              <w:spacing w:line="240" w:lineRule="exact"/>
              <w:jc w:val="center"/>
              <w:rPr>
                <w:sz w:val="14"/>
                <w:szCs w:val="14"/>
              </w:rPr>
            </w:pPr>
            <w:r w:rsidRPr="000D6416">
              <w:rPr>
                <w:sz w:val="14"/>
                <w:szCs w:val="14"/>
              </w:rPr>
              <w:t>202</w:t>
            </w:r>
            <w:r>
              <w:rPr>
                <w:sz w:val="14"/>
                <w:szCs w:val="14"/>
              </w:rPr>
              <w:t>8</w:t>
            </w:r>
          </w:p>
        </w:tc>
        <w:tc>
          <w:tcPr>
            <w:tcW w:w="747" w:type="dxa"/>
            <w:vMerge w:val="restart"/>
            <w:tcBorders>
              <w:top w:val="single" w:color="000000" w:sz="4" w:space="0"/>
              <w:left w:val="single" w:color="000000" w:sz="4" w:space="0"/>
              <w:bottom w:val="single" w:color="000000" w:sz="4" w:space="0"/>
              <w:right w:val="single" w:color="000000" w:sz="4" w:space="0"/>
            </w:tcBorders>
            <w:vAlign w:val="center"/>
            <w:hideMark/>
          </w:tcPr>
          <w:p w:rsidRPr="000D6416" w:rsidR="00096C8B" w:rsidP="00571787" w:rsidRDefault="00096C8B" w14:paraId="730E0031" w14:textId="77777777">
            <w:pPr>
              <w:spacing w:line="240" w:lineRule="exact"/>
              <w:jc w:val="center"/>
              <w:rPr>
                <w:sz w:val="14"/>
                <w:szCs w:val="14"/>
              </w:rPr>
            </w:pPr>
            <w:r w:rsidRPr="000D6416">
              <w:rPr>
                <w:sz w:val="14"/>
                <w:szCs w:val="14"/>
              </w:rPr>
              <w:t>202</w:t>
            </w:r>
            <w:r>
              <w:rPr>
                <w:sz w:val="14"/>
                <w:szCs w:val="14"/>
              </w:rPr>
              <w:t>9</w:t>
            </w:r>
          </w:p>
        </w:tc>
        <w:tc>
          <w:tcPr>
            <w:tcW w:w="446" w:type="dxa"/>
            <w:vMerge w:val="restart"/>
            <w:tcBorders>
              <w:top w:val="nil"/>
              <w:left w:val="single" w:color="000000" w:sz="4" w:space="0"/>
              <w:bottom w:val="nil"/>
              <w:right w:val="nil"/>
            </w:tcBorders>
            <w:vAlign w:val="center"/>
          </w:tcPr>
          <w:p w:rsidRPr="000D6416" w:rsidR="00096C8B" w:rsidP="00571787" w:rsidRDefault="00096C8B" w14:paraId="7B2A4DE2" w14:textId="77777777">
            <w:pPr>
              <w:spacing w:line="240" w:lineRule="exact"/>
              <w:jc w:val="center"/>
              <w:rPr>
                <w:sz w:val="14"/>
                <w:szCs w:val="14"/>
              </w:rPr>
            </w:pPr>
          </w:p>
        </w:tc>
      </w:tr>
      <w:tr w:rsidRPr="000D6416" w:rsidR="00096C8B" w:rsidTr="00BA5426" w14:paraId="0D57B925" w14:textId="77777777">
        <w:trPr>
          <w:gridAfter w:val="1"/>
          <w:wAfter w:w="1053" w:type="dxa"/>
          <w:trHeight w:val="261"/>
        </w:trPr>
        <w:tc>
          <w:tcPr>
            <w:tcW w:w="1558" w:type="dxa"/>
            <w:vMerge/>
            <w:tcBorders>
              <w:top w:val="single" w:color="000000" w:sz="4" w:space="0"/>
              <w:left w:val="single" w:color="000000" w:sz="4" w:space="0"/>
              <w:bottom w:val="single" w:color="000000" w:sz="4" w:space="0"/>
              <w:right w:val="single" w:color="000000" w:sz="4" w:space="0"/>
            </w:tcBorders>
            <w:vAlign w:val="center"/>
            <w:hideMark/>
          </w:tcPr>
          <w:p w:rsidRPr="000D6416" w:rsidR="00096C8B" w:rsidP="00571787" w:rsidRDefault="00096C8B" w14:paraId="53A98B7E" w14:textId="77777777">
            <w:pPr>
              <w:spacing w:line="240" w:lineRule="auto"/>
              <w:rPr>
                <w:sz w:val="14"/>
                <w:szCs w:val="14"/>
              </w:rPr>
            </w:pPr>
          </w:p>
        </w:tc>
        <w:tc>
          <w:tcPr>
            <w:tcW w:w="710"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2A59501E" w14:textId="77777777">
            <w:pPr>
              <w:spacing w:line="240" w:lineRule="exact"/>
              <w:ind w:left="57" w:right="57"/>
              <w:jc w:val="center"/>
              <w:rPr>
                <w:sz w:val="14"/>
                <w:szCs w:val="14"/>
              </w:rPr>
            </w:pPr>
            <w:r w:rsidRPr="000D6416">
              <w:rPr>
                <w:sz w:val="14"/>
                <w:szCs w:val="14"/>
              </w:rPr>
              <w:t>EMU-saldo</w:t>
            </w:r>
          </w:p>
        </w:tc>
        <w:tc>
          <w:tcPr>
            <w:tcW w:w="848"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3F636597" w14:textId="77777777">
            <w:pPr>
              <w:spacing w:line="240" w:lineRule="exact"/>
              <w:ind w:left="57" w:right="57"/>
              <w:jc w:val="center"/>
              <w:rPr>
                <w:sz w:val="14"/>
                <w:szCs w:val="14"/>
              </w:rPr>
            </w:pPr>
            <w:r w:rsidRPr="000D6416">
              <w:rPr>
                <w:sz w:val="14"/>
                <w:szCs w:val="14"/>
              </w:rPr>
              <w:t>Uitgaven kader</w:t>
            </w:r>
          </w:p>
        </w:tc>
        <w:tc>
          <w:tcPr>
            <w:tcW w:w="853"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633D31C3" w14:textId="77777777">
            <w:pPr>
              <w:spacing w:line="240" w:lineRule="exact"/>
              <w:ind w:left="57" w:right="57"/>
              <w:jc w:val="center"/>
              <w:rPr>
                <w:sz w:val="14"/>
                <w:szCs w:val="14"/>
              </w:rPr>
            </w:pPr>
            <w:r w:rsidRPr="000D6416">
              <w:rPr>
                <w:sz w:val="14"/>
                <w:szCs w:val="14"/>
              </w:rPr>
              <w:t>EMU-schuld</w:t>
            </w:r>
          </w:p>
        </w:tc>
        <w:tc>
          <w:tcPr>
            <w:tcW w:w="743" w:type="dxa"/>
            <w:vMerge/>
            <w:tcBorders>
              <w:top w:val="single" w:color="000000" w:sz="4" w:space="0"/>
              <w:left w:val="single" w:color="000000" w:sz="4" w:space="0"/>
              <w:bottom w:val="single" w:color="000000" w:sz="4" w:space="0"/>
              <w:right w:val="single" w:color="000000" w:sz="4" w:space="0"/>
            </w:tcBorders>
            <w:vAlign w:val="center"/>
            <w:hideMark/>
          </w:tcPr>
          <w:p w:rsidRPr="000D6416" w:rsidR="00096C8B" w:rsidP="00571787" w:rsidRDefault="00096C8B" w14:paraId="3DAAF2DC" w14:textId="77777777">
            <w:pPr>
              <w:spacing w:line="240" w:lineRule="auto"/>
              <w:rPr>
                <w:sz w:val="14"/>
                <w:szCs w:val="14"/>
              </w:rPr>
            </w:pPr>
          </w:p>
        </w:tc>
        <w:tc>
          <w:tcPr>
            <w:tcW w:w="744" w:type="dxa"/>
            <w:vMerge/>
            <w:tcBorders>
              <w:top w:val="single" w:color="000000" w:sz="4" w:space="0"/>
              <w:left w:val="single" w:color="000000" w:sz="4" w:space="0"/>
              <w:bottom w:val="single" w:color="000000" w:sz="4" w:space="0"/>
              <w:right w:val="single" w:color="000000" w:sz="4" w:space="0"/>
            </w:tcBorders>
            <w:vAlign w:val="center"/>
            <w:hideMark/>
          </w:tcPr>
          <w:p w:rsidRPr="000D6416" w:rsidR="00096C8B" w:rsidP="00571787" w:rsidRDefault="00096C8B" w14:paraId="6233C6C6" w14:textId="77777777">
            <w:pPr>
              <w:spacing w:line="240" w:lineRule="auto"/>
              <w:rPr>
                <w:sz w:val="14"/>
                <w:szCs w:val="14"/>
              </w:rPr>
            </w:pPr>
          </w:p>
        </w:tc>
        <w:tc>
          <w:tcPr>
            <w:tcW w:w="743" w:type="dxa"/>
            <w:vMerge/>
            <w:tcBorders>
              <w:top w:val="single" w:color="000000" w:sz="4" w:space="0"/>
              <w:left w:val="single" w:color="000000" w:sz="4" w:space="0"/>
              <w:bottom w:val="single" w:color="000000" w:sz="4" w:space="0"/>
              <w:right w:val="single" w:color="000000" w:sz="4" w:space="0"/>
            </w:tcBorders>
            <w:vAlign w:val="center"/>
            <w:hideMark/>
          </w:tcPr>
          <w:p w:rsidRPr="000D6416" w:rsidR="00096C8B" w:rsidP="00571787" w:rsidRDefault="00096C8B" w14:paraId="775D867F" w14:textId="77777777">
            <w:pPr>
              <w:spacing w:line="240" w:lineRule="auto"/>
              <w:rPr>
                <w:sz w:val="14"/>
                <w:szCs w:val="14"/>
              </w:rPr>
            </w:pPr>
          </w:p>
        </w:tc>
        <w:tc>
          <w:tcPr>
            <w:tcW w:w="747" w:type="dxa"/>
            <w:vMerge/>
            <w:tcBorders>
              <w:top w:val="single" w:color="000000" w:sz="4" w:space="0"/>
              <w:left w:val="single" w:color="000000" w:sz="4" w:space="0"/>
              <w:bottom w:val="single" w:color="000000" w:sz="4" w:space="0"/>
              <w:right w:val="single" w:color="000000" w:sz="4" w:space="0"/>
            </w:tcBorders>
            <w:vAlign w:val="center"/>
            <w:hideMark/>
          </w:tcPr>
          <w:p w:rsidRPr="000D6416" w:rsidR="00096C8B" w:rsidP="00571787" w:rsidRDefault="00096C8B" w14:paraId="59FDBDE8" w14:textId="77777777">
            <w:pPr>
              <w:spacing w:line="240" w:lineRule="auto"/>
              <w:rPr>
                <w:sz w:val="14"/>
                <w:szCs w:val="14"/>
              </w:rPr>
            </w:pPr>
          </w:p>
        </w:tc>
        <w:tc>
          <w:tcPr>
            <w:tcW w:w="446" w:type="dxa"/>
            <w:vMerge/>
            <w:tcBorders>
              <w:top w:val="nil"/>
              <w:left w:val="single" w:color="000000" w:sz="4" w:space="0"/>
              <w:bottom w:val="nil"/>
              <w:right w:val="nil"/>
            </w:tcBorders>
            <w:vAlign w:val="center"/>
            <w:hideMark/>
          </w:tcPr>
          <w:p w:rsidRPr="000D6416" w:rsidR="00096C8B" w:rsidP="00571787" w:rsidRDefault="00096C8B" w14:paraId="766B4C36" w14:textId="77777777">
            <w:pPr>
              <w:spacing w:line="240" w:lineRule="auto"/>
              <w:rPr>
                <w:sz w:val="14"/>
                <w:szCs w:val="14"/>
              </w:rPr>
            </w:pPr>
          </w:p>
        </w:tc>
      </w:tr>
      <w:tr w:rsidRPr="000D6416" w:rsidR="00096C8B" w:rsidTr="00571787" w14:paraId="722CE107" w14:textId="77777777">
        <w:trPr>
          <w:trHeight w:val="261"/>
        </w:trPr>
        <w:tc>
          <w:tcPr>
            <w:tcW w:w="6946" w:type="dxa"/>
            <w:gridSpan w:val="8"/>
            <w:tcBorders>
              <w:top w:val="nil"/>
              <w:left w:val="single" w:color="000000" w:sz="4" w:space="0"/>
              <w:bottom w:val="nil"/>
              <w:right w:val="single" w:color="auto" w:sz="4" w:space="0"/>
            </w:tcBorders>
            <w:hideMark/>
          </w:tcPr>
          <w:p w:rsidRPr="000D6416" w:rsidR="00096C8B" w:rsidP="00571787" w:rsidRDefault="00096C8B" w14:paraId="796667ED" w14:textId="77777777">
            <w:pPr>
              <w:spacing w:line="240" w:lineRule="exact"/>
              <w:ind w:left="57"/>
              <w:rPr>
                <w:sz w:val="14"/>
                <w:szCs w:val="14"/>
              </w:rPr>
            </w:pPr>
            <w:r w:rsidRPr="000D6416">
              <w:rPr>
                <w:b/>
                <w:bCs/>
                <w:sz w:val="14"/>
                <w:szCs w:val="14"/>
              </w:rPr>
              <w:t>Tijdelijke financiering</w:t>
            </w:r>
          </w:p>
        </w:tc>
        <w:tc>
          <w:tcPr>
            <w:tcW w:w="1499" w:type="dxa"/>
            <w:gridSpan w:val="2"/>
            <w:tcBorders>
              <w:top w:val="nil"/>
              <w:left w:val="single" w:color="auto" w:sz="4" w:space="0"/>
              <w:bottom w:val="nil"/>
              <w:right w:val="nil"/>
            </w:tcBorders>
          </w:tcPr>
          <w:p w:rsidRPr="000D6416" w:rsidR="00096C8B" w:rsidP="00571787" w:rsidRDefault="00096C8B" w14:paraId="68ADE4BC" w14:textId="77777777">
            <w:pPr>
              <w:spacing w:line="240" w:lineRule="exact"/>
              <w:rPr>
                <w:sz w:val="14"/>
                <w:szCs w:val="14"/>
              </w:rPr>
            </w:pPr>
          </w:p>
        </w:tc>
      </w:tr>
      <w:tr w:rsidRPr="000D6416" w:rsidR="00096C8B" w:rsidTr="00BA5426" w14:paraId="150DC45B" w14:textId="77777777">
        <w:trPr>
          <w:gridAfter w:val="1"/>
          <w:wAfter w:w="1053" w:type="dxa"/>
          <w:trHeight w:val="249"/>
        </w:trPr>
        <w:tc>
          <w:tcPr>
            <w:tcW w:w="1558" w:type="dxa"/>
            <w:tcBorders>
              <w:top w:val="single" w:color="000000" w:sz="4" w:space="0"/>
              <w:left w:val="single" w:color="000000" w:sz="4" w:space="0"/>
              <w:bottom w:val="single" w:color="000000" w:sz="4" w:space="0"/>
              <w:right w:val="single" w:color="000000" w:sz="4" w:space="0"/>
            </w:tcBorders>
          </w:tcPr>
          <w:p w:rsidRPr="000D6416" w:rsidR="00096C8B" w:rsidP="00571787" w:rsidRDefault="00096C8B" w14:paraId="3EC1B67D" w14:textId="77777777">
            <w:pPr>
              <w:spacing w:line="240" w:lineRule="exact"/>
              <w:ind w:left="57"/>
              <w:rPr>
                <w:sz w:val="14"/>
                <w:szCs w:val="14"/>
              </w:rPr>
            </w:pPr>
            <w:r>
              <w:rPr>
                <w:sz w:val="14"/>
                <w:szCs w:val="14"/>
              </w:rPr>
              <w:t>Openstaande lening</w:t>
            </w:r>
          </w:p>
        </w:tc>
        <w:tc>
          <w:tcPr>
            <w:tcW w:w="710" w:type="dxa"/>
            <w:tcBorders>
              <w:top w:val="single" w:color="000000" w:sz="4" w:space="0"/>
              <w:left w:val="single" w:color="000000" w:sz="4" w:space="0"/>
              <w:bottom w:val="single" w:color="000000" w:sz="4" w:space="0"/>
              <w:right w:val="single" w:color="000000" w:sz="4" w:space="0"/>
            </w:tcBorders>
          </w:tcPr>
          <w:p w:rsidRPr="000D6416" w:rsidR="00096C8B" w:rsidP="00571787" w:rsidRDefault="00096C8B" w14:paraId="2882B772" w14:textId="77777777">
            <w:pPr>
              <w:spacing w:line="240" w:lineRule="exact"/>
              <w:ind w:left="57"/>
              <w:rPr>
                <w:sz w:val="14"/>
                <w:szCs w:val="14"/>
              </w:rPr>
            </w:pPr>
            <w:r>
              <w:rPr>
                <w:sz w:val="14"/>
                <w:szCs w:val="14"/>
              </w:rPr>
              <w:t>Nee</w:t>
            </w:r>
          </w:p>
        </w:tc>
        <w:tc>
          <w:tcPr>
            <w:tcW w:w="848" w:type="dxa"/>
            <w:tcBorders>
              <w:top w:val="single" w:color="000000" w:sz="4" w:space="0"/>
              <w:left w:val="single" w:color="000000" w:sz="4" w:space="0"/>
              <w:bottom w:val="single" w:color="000000" w:sz="4" w:space="0"/>
              <w:right w:val="single" w:color="000000" w:sz="4" w:space="0"/>
            </w:tcBorders>
          </w:tcPr>
          <w:p w:rsidRPr="000D6416" w:rsidR="00096C8B" w:rsidP="00571787" w:rsidRDefault="00096C8B" w14:paraId="39C468AE" w14:textId="77777777">
            <w:pPr>
              <w:spacing w:line="240" w:lineRule="exact"/>
              <w:ind w:left="57"/>
              <w:rPr>
                <w:sz w:val="14"/>
                <w:szCs w:val="14"/>
              </w:rPr>
            </w:pPr>
            <w:r>
              <w:rPr>
                <w:sz w:val="14"/>
                <w:szCs w:val="14"/>
              </w:rPr>
              <w:t>Nee</w:t>
            </w:r>
          </w:p>
        </w:tc>
        <w:tc>
          <w:tcPr>
            <w:tcW w:w="853" w:type="dxa"/>
            <w:tcBorders>
              <w:top w:val="single" w:color="000000" w:sz="4" w:space="0"/>
              <w:left w:val="single" w:color="000000" w:sz="4" w:space="0"/>
              <w:bottom w:val="single" w:color="000000" w:sz="4" w:space="0"/>
              <w:right w:val="single" w:color="000000" w:sz="4" w:space="0"/>
            </w:tcBorders>
          </w:tcPr>
          <w:p w:rsidRPr="000D6416" w:rsidR="00096C8B" w:rsidP="00571787" w:rsidRDefault="00096C8B" w14:paraId="3EF0B400" w14:textId="77777777">
            <w:pPr>
              <w:spacing w:line="240" w:lineRule="exact"/>
              <w:ind w:left="57"/>
              <w:rPr>
                <w:sz w:val="14"/>
                <w:szCs w:val="14"/>
              </w:rPr>
            </w:pPr>
            <w:r>
              <w:rPr>
                <w:sz w:val="14"/>
                <w:szCs w:val="14"/>
              </w:rPr>
              <w:t>Ja</w:t>
            </w:r>
          </w:p>
        </w:tc>
        <w:tc>
          <w:tcPr>
            <w:tcW w:w="743" w:type="dxa"/>
            <w:tcBorders>
              <w:top w:val="single" w:color="000000" w:sz="4" w:space="0"/>
              <w:left w:val="single" w:color="000000" w:sz="4" w:space="0"/>
              <w:bottom w:val="single" w:color="000000" w:sz="4" w:space="0"/>
              <w:right w:val="single" w:color="000000" w:sz="4" w:space="0"/>
            </w:tcBorders>
          </w:tcPr>
          <w:p w:rsidRPr="000D6416" w:rsidR="00096C8B" w:rsidP="00571787" w:rsidRDefault="00096C8B" w14:paraId="33364735" w14:textId="77777777">
            <w:pPr>
              <w:spacing w:line="240" w:lineRule="exact"/>
              <w:ind w:left="57"/>
              <w:rPr>
                <w:sz w:val="14"/>
                <w:szCs w:val="14"/>
              </w:rPr>
            </w:pPr>
            <w:r>
              <w:rPr>
                <w:sz w:val="14"/>
                <w:szCs w:val="14"/>
              </w:rPr>
              <w:t>€ 21,7</w:t>
            </w:r>
          </w:p>
        </w:tc>
        <w:tc>
          <w:tcPr>
            <w:tcW w:w="744" w:type="dxa"/>
            <w:tcBorders>
              <w:top w:val="single" w:color="000000" w:sz="4" w:space="0"/>
              <w:left w:val="single" w:color="000000" w:sz="4" w:space="0"/>
              <w:bottom w:val="single" w:color="000000" w:sz="4" w:space="0"/>
              <w:right w:val="single" w:color="000000" w:sz="4" w:space="0"/>
            </w:tcBorders>
          </w:tcPr>
          <w:p w:rsidR="00096C8B" w:rsidP="00571787" w:rsidRDefault="00096C8B" w14:paraId="4456829D" w14:textId="77777777">
            <w:pPr>
              <w:spacing w:line="240" w:lineRule="exact"/>
              <w:ind w:left="57"/>
              <w:rPr>
                <w:sz w:val="14"/>
                <w:szCs w:val="14"/>
              </w:rPr>
            </w:pPr>
            <w:r>
              <w:rPr>
                <w:sz w:val="14"/>
                <w:szCs w:val="14"/>
              </w:rPr>
              <w:t>€ 21,7</w:t>
            </w:r>
          </w:p>
        </w:tc>
        <w:tc>
          <w:tcPr>
            <w:tcW w:w="743" w:type="dxa"/>
            <w:tcBorders>
              <w:top w:val="single" w:color="000000" w:sz="4" w:space="0"/>
              <w:left w:val="single" w:color="000000" w:sz="4" w:space="0"/>
              <w:bottom w:val="single" w:color="000000" w:sz="4" w:space="0"/>
              <w:right w:val="single" w:color="000000" w:sz="4" w:space="0"/>
            </w:tcBorders>
          </w:tcPr>
          <w:p w:rsidR="00096C8B" w:rsidP="00571787" w:rsidRDefault="00096C8B" w14:paraId="45DD8A04" w14:textId="77777777">
            <w:pPr>
              <w:spacing w:line="240" w:lineRule="exact"/>
              <w:ind w:left="57"/>
              <w:rPr>
                <w:sz w:val="14"/>
                <w:szCs w:val="14"/>
              </w:rPr>
            </w:pPr>
            <w:r>
              <w:rPr>
                <w:sz w:val="14"/>
                <w:szCs w:val="14"/>
              </w:rPr>
              <w:t>€ 21,7</w:t>
            </w:r>
          </w:p>
        </w:tc>
        <w:tc>
          <w:tcPr>
            <w:tcW w:w="747" w:type="dxa"/>
            <w:tcBorders>
              <w:top w:val="single" w:color="000000" w:sz="4" w:space="0"/>
              <w:left w:val="single" w:color="000000" w:sz="4" w:space="0"/>
              <w:bottom w:val="single" w:color="000000" w:sz="4" w:space="0"/>
              <w:right w:val="single" w:color="000000" w:sz="4" w:space="0"/>
            </w:tcBorders>
          </w:tcPr>
          <w:p w:rsidR="00096C8B" w:rsidP="00571787" w:rsidRDefault="00096C8B" w14:paraId="5F049225" w14:textId="77777777">
            <w:pPr>
              <w:spacing w:line="240" w:lineRule="exact"/>
              <w:ind w:left="57"/>
              <w:rPr>
                <w:sz w:val="14"/>
                <w:szCs w:val="14"/>
              </w:rPr>
            </w:pPr>
            <w:r>
              <w:rPr>
                <w:sz w:val="14"/>
                <w:szCs w:val="14"/>
              </w:rPr>
              <w:t>€ 20,2</w:t>
            </w:r>
          </w:p>
        </w:tc>
        <w:tc>
          <w:tcPr>
            <w:tcW w:w="446" w:type="dxa"/>
            <w:tcBorders>
              <w:top w:val="nil"/>
              <w:left w:val="single" w:color="auto" w:sz="4" w:space="0"/>
              <w:bottom w:val="nil"/>
              <w:right w:val="nil"/>
            </w:tcBorders>
          </w:tcPr>
          <w:p w:rsidRPr="000D6416" w:rsidR="00096C8B" w:rsidP="00571787" w:rsidRDefault="00096C8B" w14:paraId="4D677559" w14:textId="77777777">
            <w:pPr>
              <w:spacing w:line="240" w:lineRule="exact"/>
              <w:ind w:left="57"/>
              <w:jc w:val="center"/>
              <w:rPr>
                <w:sz w:val="14"/>
                <w:szCs w:val="14"/>
              </w:rPr>
            </w:pPr>
          </w:p>
        </w:tc>
      </w:tr>
      <w:tr w:rsidRPr="000D6416" w:rsidR="00096C8B" w:rsidTr="00BA5426" w14:paraId="57E99B54" w14:textId="77777777">
        <w:trPr>
          <w:gridAfter w:val="1"/>
          <w:wAfter w:w="1053" w:type="dxa"/>
          <w:trHeight w:val="249"/>
        </w:trPr>
        <w:tc>
          <w:tcPr>
            <w:tcW w:w="1558"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4C32958C" w14:textId="77777777">
            <w:pPr>
              <w:spacing w:line="240" w:lineRule="exact"/>
              <w:ind w:left="57"/>
              <w:rPr>
                <w:sz w:val="14"/>
                <w:szCs w:val="14"/>
              </w:rPr>
            </w:pPr>
            <w:r w:rsidRPr="000D6416">
              <w:rPr>
                <w:sz w:val="14"/>
                <w:szCs w:val="14"/>
              </w:rPr>
              <w:t>Leningsfaciliteit</w:t>
            </w:r>
            <w:r w:rsidR="00283F39">
              <w:rPr>
                <w:sz w:val="14"/>
                <w:szCs w:val="14"/>
              </w:rPr>
              <w:t>*</w:t>
            </w:r>
          </w:p>
        </w:tc>
        <w:tc>
          <w:tcPr>
            <w:tcW w:w="710"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4BA0086E" w14:textId="77777777">
            <w:pPr>
              <w:spacing w:line="240" w:lineRule="exact"/>
              <w:ind w:left="57"/>
              <w:rPr>
                <w:sz w:val="14"/>
                <w:szCs w:val="14"/>
              </w:rPr>
            </w:pPr>
            <w:r w:rsidRPr="000D6416">
              <w:rPr>
                <w:sz w:val="14"/>
                <w:szCs w:val="14"/>
              </w:rPr>
              <w:t>Nee</w:t>
            </w:r>
          </w:p>
        </w:tc>
        <w:tc>
          <w:tcPr>
            <w:tcW w:w="848"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5570455E" w14:textId="77777777">
            <w:pPr>
              <w:spacing w:line="240" w:lineRule="exact"/>
              <w:ind w:left="57"/>
              <w:rPr>
                <w:sz w:val="14"/>
                <w:szCs w:val="14"/>
              </w:rPr>
            </w:pPr>
            <w:r w:rsidRPr="000D6416">
              <w:rPr>
                <w:sz w:val="14"/>
                <w:szCs w:val="14"/>
              </w:rPr>
              <w:t>Nee</w:t>
            </w:r>
          </w:p>
        </w:tc>
        <w:tc>
          <w:tcPr>
            <w:tcW w:w="853"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4F220615" w14:textId="77777777">
            <w:pPr>
              <w:spacing w:line="240" w:lineRule="exact"/>
              <w:ind w:left="57"/>
              <w:rPr>
                <w:sz w:val="14"/>
                <w:szCs w:val="14"/>
              </w:rPr>
            </w:pPr>
            <w:r w:rsidRPr="000D6416">
              <w:rPr>
                <w:sz w:val="14"/>
                <w:szCs w:val="14"/>
              </w:rPr>
              <w:t>Ja</w:t>
            </w:r>
          </w:p>
        </w:tc>
        <w:tc>
          <w:tcPr>
            <w:tcW w:w="743"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675032C9" w14:textId="77777777">
            <w:pPr>
              <w:spacing w:line="240" w:lineRule="exact"/>
              <w:ind w:left="57"/>
              <w:rPr>
                <w:sz w:val="14"/>
                <w:szCs w:val="14"/>
              </w:rPr>
            </w:pPr>
            <w:r w:rsidRPr="000D6416">
              <w:rPr>
                <w:sz w:val="14"/>
                <w:szCs w:val="14"/>
              </w:rPr>
              <w:t xml:space="preserve">€ </w:t>
            </w:r>
            <w:r w:rsidR="00BA5426">
              <w:rPr>
                <w:sz w:val="14"/>
                <w:szCs w:val="14"/>
              </w:rPr>
              <w:t>11,0</w:t>
            </w:r>
          </w:p>
        </w:tc>
        <w:tc>
          <w:tcPr>
            <w:tcW w:w="744"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0AB93D16" w14:textId="77777777">
            <w:pPr>
              <w:spacing w:line="240" w:lineRule="exact"/>
              <w:ind w:left="57"/>
              <w:rPr>
                <w:sz w:val="14"/>
                <w:szCs w:val="14"/>
              </w:rPr>
            </w:pPr>
            <w:r>
              <w:rPr>
                <w:sz w:val="14"/>
                <w:szCs w:val="14"/>
              </w:rPr>
              <w:t xml:space="preserve">     -</w:t>
            </w:r>
          </w:p>
        </w:tc>
        <w:tc>
          <w:tcPr>
            <w:tcW w:w="743"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7F693653" w14:textId="77777777">
            <w:pPr>
              <w:spacing w:line="240" w:lineRule="exact"/>
              <w:ind w:left="57"/>
              <w:rPr>
                <w:sz w:val="14"/>
                <w:szCs w:val="14"/>
              </w:rPr>
            </w:pPr>
            <w:r>
              <w:rPr>
                <w:sz w:val="14"/>
                <w:szCs w:val="14"/>
              </w:rPr>
              <w:t xml:space="preserve">     </w:t>
            </w:r>
            <w:r w:rsidRPr="000D6416">
              <w:rPr>
                <w:sz w:val="14"/>
                <w:szCs w:val="14"/>
              </w:rPr>
              <w:t>-</w:t>
            </w:r>
          </w:p>
        </w:tc>
        <w:tc>
          <w:tcPr>
            <w:tcW w:w="747"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02561D58" w14:textId="77777777">
            <w:pPr>
              <w:spacing w:line="240" w:lineRule="exact"/>
              <w:ind w:left="57"/>
              <w:rPr>
                <w:sz w:val="14"/>
                <w:szCs w:val="14"/>
              </w:rPr>
            </w:pPr>
            <w:r>
              <w:rPr>
                <w:sz w:val="14"/>
                <w:szCs w:val="14"/>
              </w:rPr>
              <w:t xml:space="preserve">     -</w:t>
            </w:r>
          </w:p>
        </w:tc>
        <w:tc>
          <w:tcPr>
            <w:tcW w:w="446" w:type="dxa"/>
            <w:vMerge w:val="restart"/>
            <w:tcBorders>
              <w:top w:val="nil"/>
              <w:left w:val="single" w:color="auto" w:sz="4" w:space="0"/>
              <w:bottom w:val="nil"/>
              <w:right w:val="nil"/>
            </w:tcBorders>
          </w:tcPr>
          <w:p w:rsidRPr="000D6416" w:rsidR="00096C8B" w:rsidP="00571787" w:rsidRDefault="00096C8B" w14:paraId="3CB070F1" w14:textId="77777777">
            <w:pPr>
              <w:spacing w:line="240" w:lineRule="exact"/>
              <w:ind w:left="57"/>
              <w:jc w:val="center"/>
              <w:rPr>
                <w:sz w:val="14"/>
                <w:szCs w:val="14"/>
              </w:rPr>
            </w:pPr>
          </w:p>
        </w:tc>
      </w:tr>
      <w:tr w:rsidRPr="000D6416" w:rsidR="00096C8B" w:rsidTr="00BA5426" w14:paraId="366E5DB9" w14:textId="77777777">
        <w:trPr>
          <w:gridAfter w:val="1"/>
          <w:wAfter w:w="1053" w:type="dxa"/>
          <w:trHeight w:val="247"/>
        </w:trPr>
        <w:tc>
          <w:tcPr>
            <w:tcW w:w="1558"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37F8C4D3" w14:textId="77777777">
            <w:pPr>
              <w:spacing w:line="240" w:lineRule="exact"/>
              <w:ind w:left="57"/>
              <w:rPr>
                <w:sz w:val="14"/>
                <w:szCs w:val="14"/>
              </w:rPr>
            </w:pPr>
            <w:proofErr w:type="gramStart"/>
            <w:r w:rsidRPr="000D6416">
              <w:rPr>
                <w:sz w:val="14"/>
                <w:szCs w:val="14"/>
              </w:rPr>
              <w:t>Rente inkomsten</w:t>
            </w:r>
            <w:proofErr w:type="gramEnd"/>
            <w:r w:rsidR="00AF3A95">
              <w:rPr>
                <w:sz w:val="14"/>
                <w:szCs w:val="14"/>
              </w:rPr>
              <w:t>*</w:t>
            </w:r>
          </w:p>
        </w:tc>
        <w:tc>
          <w:tcPr>
            <w:tcW w:w="710"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5DA3AE4A" w14:textId="77777777">
            <w:pPr>
              <w:spacing w:line="240" w:lineRule="exact"/>
              <w:ind w:left="57"/>
              <w:rPr>
                <w:sz w:val="14"/>
                <w:szCs w:val="14"/>
              </w:rPr>
            </w:pPr>
            <w:r w:rsidRPr="000D6416">
              <w:rPr>
                <w:sz w:val="14"/>
                <w:szCs w:val="14"/>
              </w:rPr>
              <w:t>Ja</w:t>
            </w:r>
          </w:p>
        </w:tc>
        <w:tc>
          <w:tcPr>
            <w:tcW w:w="848"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6B622C57" w14:textId="77777777">
            <w:pPr>
              <w:spacing w:line="240" w:lineRule="exact"/>
              <w:ind w:left="57"/>
              <w:rPr>
                <w:sz w:val="14"/>
                <w:szCs w:val="14"/>
              </w:rPr>
            </w:pPr>
            <w:r w:rsidRPr="000D6416">
              <w:rPr>
                <w:sz w:val="14"/>
                <w:szCs w:val="14"/>
              </w:rPr>
              <w:t>Nee</w:t>
            </w:r>
          </w:p>
        </w:tc>
        <w:tc>
          <w:tcPr>
            <w:tcW w:w="853"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304BEF2E" w14:textId="77777777">
            <w:pPr>
              <w:spacing w:line="240" w:lineRule="exact"/>
              <w:ind w:left="57"/>
              <w:rPr>
                <w:sz w:val="14"/>
                <w:szCs w:val="14"/>
              </w:rPr>
            </w:pPr>
            <w:r w:rsidRPr="000D6416">
              <w:rPr>
                <w:sz w:val="14"/>
                <w:szCs w:val="14"/>
              </w:rPr>
              <w:t>Ja</w:t>
            </w:r>
          </w:p>
        </w:tc>
        <w:tc>
          <w:tcPr>
            <w:tcW w:w="743" w:type="dxa"/>
            <w:tcBorders>
              <w:top w:val="single" w:color="000000" w:sz="4" w:space="0"/>
              <w:left w:val="single" w:color="000000" w:sz="4" w:space="0"/>
              <w:bottom w:val="single" w:color="000000" w:sz="4" w:space="0"/>
              <w:right w:val="single" w:color="000000" w:sz="4" w:space="0"/>
            </w:tcBorders>
            <w:hideMark/>
          </w:tcPr>
          <w:p w:rsidRPr="00BD0206" w:rsidR="00096C8B" w:rsidP="00571787" w:rsidRDefault="00096C8B" w14:paraId="6C238F00" w14:textId="77777777">
            <w:pPr>
              <w:spacing w:line="240" w:lineRule="exact"/>
              <w:ind w:left="57"/>
              <w:rPr>
                <w:sz w:val="14"/>
                <w:szCs w:val="14"/>
              </w:rPr>
            </w:pPr>
            <w:r w:rsidRPr="00BD0206">
              <w:rPr>
                <w:sz w:val="14"/>
                <w:szCs w:val="14"/>
              </w:rPr>
              <w:t>€ 1,0</w:t>
            </w:r>
          </w:p>
        </w:tc>
        <w:tc>
          <w:tcPr>
            <w:tcW w:w="744" w:type="dxa"/>
            <w:tcBorders>
              <w:top w:val="single" w:color="000000" w:sz="4" w:space="0"/>
              <w:left w:val="single" w:color="000000" w:sz="4" w:space="0"/>
              <w:bottom w:val="single" w:color="000000" w:sz="4" w:space="0"/>
              <w:right w:val="single" w:color="000000" w:sz="4" w:space="0"/>
            </w:tcBorders>
            <w:hideMark/>
          </w:tcPr>
          <w:p w:rsidRPr="00BD0206" w:rsidR="00096C8B" w:rsidP="00571787" w:rsidRDefault="00096C8B" w14:paraId="2B31E44B" w14:textId="77777777">
            <w:pPr>
              <w:spacing w:line="240" w:lineRule="exact"/>
              <w:ind w:left="57"/>
              <w:rPr>
                <w:sz w:val="14"/>
                <w:szCs w:val="14"/>
              </w:rPr>
            </w:pPr>
            <w:r w:rsidRPr="00BD0206">
              <w:rPr>
                <w:sz w:val="14"/>
                <w:szCs w:val="14"/>
              </w:rPr>
              <w:t>€ 1,2</w:t>
            </w:r>
          </w:p>
        </w:tc>
        <w:tc>
          <w:tcPr>
            <w:tcW w:w="743" w:type="dxa"/>
            <w:tcBorders>
              <w:top w:val="single" w:color="000000" w:sz="4" w:space="0"/>
              <w:left w:val="single" w:color="000000" w:sz="4" w:space="0"/>
              <w:bottom w:val="single" w:color="000000" w:sz="4" w:space="0"/>
              <w:right w:val="single" w:color="000000" w:sz="4" w:space="0"/>
            </w:tcBorders>
            <w:hideMark/>
          </w:tcPr>
          <w:p w:rsidRPr="00BD0206" w:rsidR="00096C8B" w:rsidP="00571787" w:rsidRDefault="00096C8B" w14:paraId="340FDD4D" w14:textId="77777777">
            <w:pPr>
              <w:spacing w:line="240" w:lineRule="exact"/>
              <w:ind w:left="57"/>
              <w:rPr>
                <w:sz w:val="14"/>
                <w:szCs w:val="14"/>
              </w:rPr>
            </w:pPr>
            <w:r w:rsidRPr="00BD0206">
              <w:rPr>
                <w:sz w:val="14"/>
                <w:szCs w:val="14"/>
              </w:rPr>
              <w:t>€ 1,2</w:t>
            </w:r>
          </w:p>
        </w:tc>
        <w:tc>
          <w:tcPr>
            <w:tcW w:w="747" w:type="dxa"/>
            <w:tcBorders>
              <w:top w:val="single" w:color="000000" w:sz="4" w:space="0"/>
              <w:left w:val="single" w:color="000000" w:sz="4" w:space="0"/>
              <w:bottom w:val="single" w:color="000000" w:sz="4" w:space="0"/>
              <w:right w:val="single" w:color="000000" w:sz="4" w:space="0"/>
            </w:tcBorders>
            <w:hideMark/>
          </w:tcPr>
          <w:p w:rsidRPr="00BD0206" w:rsidR="00096C8B" w:rsidP="00571787" w:rsidRDefault="00096C8B" w14:paraId="5FA99475" w14:textId="77777777">
            <w:pPr>
              <w:spacing w:line="240" w:lineRule="exact"/>
              <w:ind w:left="57"/>
              <w:rPr>
                <w:sz w:val="14"/>
                <w:szCs w:val="14"/>
              </w:rPr>
            </w:pPr>
            <w:r w:rsidRPr="00BD0206">
              <w:rPr>
                <w:sz w:val="14"/>
                <w:szCs w:val="14"/>
              </w:rPr>
              <w:t>€ 1,2</w:t>
            </w:r>
          </w:p>
        </w:tc>
        <w:tc>
          <w:tcPr>
            <w:tcW w:w="446" w:type="dxa"/>
            <w:vMerge/>
            <w:tcBorders>
              <w:top w:val="nil"/>
              <w:left w:val="single" w:color="auto" w:sz="4" w:space="0"/>
              <w:bottom w:val="nil"/>
              <w:right w:val="nil"/>
            </w:tcBorders>
            <w:vAlign w:val="center"/>
            <w:hideMark/>
          </w:tcPr>
          <w:p w:rsidRPr="000D6416" w:rsidR="00096C8B" w:rsidP="00571787" w:rsidRDefault="00096C8B" w14:paraId="07B14345" w14:textId="77777777">
            <w:pPr>
              <w:spacing w:line="240" w:lineRule="auto"/>
              <w:rPr>
                <w:sz w:val="14"/>
                <w:szCs w:val="14"/>
              </w:rPr>
            </w:pPr>
          </w:p>
        </w:tc>
      </w:tr>
      <w:tr w:rsidRPr="000D6416" w:rsidR="00096C8B" w:rsidTr="00571787" w14:paraId="1630A997" w14:textId="77777777">
        <w:trPr>
          <w:gridAfter w:val="2"/>
          <w:wAfter w:w="1499" w:type="dxa"/>
          <w:trHeight w:val="247"/>
        </w:trPr>
        <w:tc>
          <w:tcPr>
            <w:tcW w:w="6946" w:type="dxa"/>
            <w:gridSpan w:val="8"/>
            <w:tcBorders>
              <w:top w:val="single" w:color="000000" w:sz="4" w:space="0"/>
              <w:left w:val="single" w:color="000000" w:sz="4" w:space="0"/>
              <w:bottom w:val="single" w:color="000000" w:sz="4" w:space="0"/>
              <w:right w:val="single" w:color="000000" w:sz="4" w:space="0"/>
            </w:tcBorders>
          </w:tcPr>
          <w:p w:rsidRPr="000D6416" w:rsidR="00096C8B" w:rsidP="00571787" w:rsidRDefault="00096C8B" w14:paraId="430E49C4" w14:textId="77777777">
            <w:pPr>
              <w:spacing w:line="240" w:lineRule="exact"/>
              <w:ind w:left="57"/>
              <w:rPr>
                <w:b/>
                <w:bCs/>
                <w:sz w:val="14"/>
                <w:szCs w:val="14"/>
              </w:rPr>
            </w:pPr>
          </w:p>
        </w:tc>
      </w:tr>
      <w:tr w:rsidRPr="000D6416" w:rsidR="00096C8B" w:rsidTr="00571787" w14:paraId="2685F65D" w14:textId="77777777">
        <w:trPr>
          <w:gridAfter w:val="2"/>
          <w:wAfter w:w="1499" w:type="dxa"/>
          <w:trHeight w:val="247"/>
        </w:trPr>
        <w:tc>
          <w:tcPr>
            <w:tcW w:w="6946" w:type="dxa"/>
            <w:gridSpan w:val="8"/>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63E6C0F9" w14:textId="77777777">
            <w:pPr>
              <w:spacing w:line="240" w:lineRule="exact"/>
              <w:ind w:left="57"/>
              <w:rPr>
                <w:sz w:val="14"/>
                <w:szCs w:val="14"/>
              </w:rPr>
            </w:pPr>
            <w:proofErr w:type="spellStart"/>
            <w:r w:rsidRPr="000D6416">
              <w:rPr>
                <w:b/>
                <w:bCs/>
                <w:sz w:val="14"/>
                <w:szCs w:val="14"/>
              </w:rPr>
              <w:t>TenneT</w:t>
            </w:r>
            <w:proofErr w:type="spellEnd"/>
            <w:r w:rsidRPr="000D6416">
              <w:rPr>
                <w:b/>
                <w:bCs/>
                <w:sz w:val="14"/>
                <w:szCs w:val="14"/>
              </w:rPr>
              <w:t xml:space="preserve"> Duitsland: </w:t>
            </w:r>
            <w:r w:rsidRPr="000D6416">
              <w:rPr>
                <w:b/>
                <w:bCs/>
                <w:i/>
                <w:iCs/>
                <w:sz w:val="14"/>
                <w:szCs w:val="14"/>
              </w:rPr>
              <w:t xml:space="preserve">last resort </w:t>
            </w:r>
            <w:r w:rsidRPr="000D6416">
              <w:rPr>
                <w:b/>
                <w:bCs/>
                <w:sz w:val="14"/>
                <w:szCs w:val="14"/>
              </w:rPr>
              <w:t>maatregel</w:t>
            </w:r>
          </w:p>
        </w:tc>
      </w:tr>
      <w:tr w:rsidRPr="000D6416" w:rsidR="00096C8B" w:rsidTr="00BA5426" w14:paraId="478C833E" w14:textId="77777777">
        <w:trPr>
          <w:gridAfter w:val="2"/>
          <w:wAfter w:w="1499" w:type="dxa"/>
          <w:trHeight w:val="247"/>
        </w:trPr>
        <w:tc>
          <w:tcPr>
            <w:tcW w:w="1558"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7C490275" w14:textId="77777777">
            <w:pPr>
              <w:spacing w:line="240" w:lineRule="exact"/>
              <w:ind w:left="57"/>
              <w:rPr>
                <w:sz w:val="14"/>
                <w:szCs w:val="14"/>
              </w:rPr>
            </w:pPr>
            <w:r w:rsidRPr="000D6416">
              <w:rPr>
                <w:sz w:val="14"/>
                <w:szCs w:val="14"/>
              </w:rPr>
              <w:t>Kapitaalstorting</w:t>
            </w:r>
            <w:r w:rsidR="00283F39">
              <w:rPr>
                <w:sz w:val="14"/>
                <w:szCs w:val="14"/>
              </w:rPr>
              <w:t>*</w:t>
            </w:r>
            <w:r w:rsidRPr="000D6416">
              <w:rPr>
                <w:sz w:val="14"/>
                <w:szCs w:val="14"/>
              </w:rPr>
              <w:t xml:space="preserve"> </w:t>
            </w:r>
          </w:p>
        </w:tc>
        <w:tc>
          <w:tcPr>
            <w:tcW w:w="710"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17F036F2" w14:textId="77777777">
            <w:pPr>
              <w:spacing w:line="240" w:lineRule="exact"/>
              <w:ind w:left="57"/>
              <w:rPr>
                <w:sz w:val="14"/>
                <w:szCs w:val="14"/>
              </w:rPr>
            </w:pPr>
            <w:r w:rsidRPr="000D6416">
              <w:rPr>
                <w:sz w:val="14"/>
                <w:szCs w:val="14"/>
              </w:rPr>
              <w:t>Nee</w:t>
            </w:r>
          </w:p>
        </w:tc>
        <w:tc>
          <w:tcPr>
            <w:tcW w:w="848"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75789FE0" w14:textId="77777777">
            <w:pPr>
              <w:spacing w:line="240" w:lineRule="exact"/>
              <w:ind w:left="57"/>
              <w:rPr>
                <w:sz w:val="14"/>
                <w:szCs w:val="14"/>
              </w:rPr>
            </w:pPr>
            <w:r w:rsidRPr="000D6416">
              <w:rPr>
                <w:sz w:val="14"/>
                <w:szCs w:val="14"/>
              </w:rPr>
              <w:t>Nee</w:t>
            </w:r>
          </w:p>
        </w:tc>
        <w:tc>
          <w:tcPr>
            <w:tcW w:w="853"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2F9A5CE5" w14:textId="77777777">
            <w:pPr>
              <w:spacing w:line="240" w:lineRule="exact"/>
              <w:ind w:left="57"/>
              <w:rPr>
                <w:sz w:val="14"/>
                <w:szCs w:val="14"/>
              </w:rPr>
            </w:pPr>
            <w:r w:rsidRPr="000D6416">
              <w:rPr>
                <w:sz w:val="14"/>
                <w:szCs w:val="14"/>
              </w:rPr>
              <w:t>Ja</w:t>
            </w:r>
          </w:p>
        </w:tc>
        <w:tc>
          <w:tcPr>
            <w:tcW w:w="743"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4FEA953B" w14:textId="77777777">
            <w:pPr>
              <w:spacing w:line="240" w:lineRule="exact"/>
              <w:ind w:left="57"/>
              <w:rPr>
                <w:sz w:val="14"/>
                <w:szCs w:val="14"/>
              </w:rPr>
            </w:pPr>
            <w:r>
              <w:rPr>
                <w:sz w:val="14"/>
                <w:szCs w:val="14"/>
              </w:rPr>
              <w:t xml:space="preserve">    - </w:t>
            </w:r>
          </w:p>
        </w:tc>
        <w:tc>
          <w:tcPr>
            <w:tcW w:w="744"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756BE2AE" w14:textId="77777777">
            <w:pPr>
              <w:spacing w:line="240" w:lineRule="exact"/>
              <w:ind w:left="57"/>
              <w:rPr>
                <w:sz w:val="14"/>
                <w:szCs w:val="14"/>
              </w:rPr>
            </w:pPr>
            <w:r w:rsidRPr="000D6416">
              <w:rPr>
                <w:sz w:val="14"/>
                <w:szCs w:val="14"/>
              </w:rPr>
              <w:t>€ 2,15</w:t>
            </w:r>
          </w:p>
        </w:tc>
        <w:tc>
          <w:tcPr>
            <w:tcW w:w="743"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46E41CC7" w14:textId="77777777">
            <w:pPr>
              <w:spacing w:line="240" w:lineRule="exact"/>
              <w:ind w:left="57"/>
              <w:jc w:val="center"/>
              <w:rPr>
                <w:sz w:val="14"/>
                <w:szCs w:val="14"/>
              </w:rPr>
            </w:pPr>
            <w:r w:rsidRPr="000D6416">
              <w:rPr>
                <w:sz w:val="14"/>
                <w:szCs w:val="14"/>
              </w:rPr>
              <w:t>€ 2,15</w:t>
            </w:r>
          </w:p>
        </w:tc>
        <w:tc>
          <w:tcPr>
            <w:tcW w:w="747" w:type="dxa"/>
            <w:tcBorders>
              <w:top w:val="single" w:color="000000" w:sz="4" w:space="0"/>
              <w:left w:val="single" w:color="000000" w:sz="4" w:space="0"/>
              <w:bottom w:val="single" w:color="000000" w:sz="4" w:space="0"/>
              <w:right w:val="single" w:color="000000" w:sz="4" w:space="0"/>
            </w:tcBorders>
            <w:hideMark/>
          </w:tcPr>
          <w:p w:rsidRPr="000D6416" w:rsidR="00096C8B" w:rsidP="00571787" w:rsidRDefault="00096C8B" w14:paraId="3830E9F7" w14:textId="77777777">
            <w:pPr>
              <w:spacing w:line="240" w:lineRule="exact"/>
              <w:rPr>
                <w:sz w:val="14"/>
                <w:szCs w:val="14"/>
              </w:rPr>
            </w:pPr>
            <w:r>
              <w:rPr>
                <w:sz w:val="14"/>
                <w:szCs w:val="14"/>
              </w:rPr>
              <w:t xml:space="preserve">      -</w:t>
            </w:r>
          </w:p>
        </w:tc>
      </w:tr>
    </w:tbl>
    <w:bookmarkEnd w:id="0"/>
    <w:p w:rsidRPr="00283F39" w:rsidR="00096C8B" w:rsidP="00283F39" w:rsidRDefault="00283F39" w14:paraId="7493CB8B" w14:textId="77777777">
      <w:pPr>
        <w:spacing w:line="240" w:lineRule="auto"/>
        <w:rPr>
          <w:i/>
          <w:iCs/>
          <w:sz w:val="12"/>
          <w:szCs w:val="12"/>
        </w:rPr>
      </w:pPr>
      <w:r w:rsidRPr="00283F39">
        <w:rPr>
          <w:i/>
          <w:iCs/>
          <w:sz w:val="14"/>
          <w:szCs w:val="14"/>
        </w:rPr>
        <w:t xml:space="preserve">*Bij de Miljoenennota 2027 zullen als gevolg van de definitieve implementatie van de transactie de leningsfaciliteit van € 11 miljard </w:t>
      </w:r>
      <w:r w:rsidRPr="00283F39">
        <w:rPr>
          <w:rFonts w:eastAsia="Calibri" w:cs="Arial"/>
          <w:i/>
          <w:iCs/>
          <w:sz w:val="14"/>
          <w:szCs w:val="14"/>
        </w:rPr>
        <w:t xml:space="preserve">en de resterende reservering van € 4,3 miljard voor kapitaalstortingen in </w:t>
      </w:r>
      <w:proofErr w:type="spellStart"/>
      <w:r w:rsidRPr="00283F39">
        <w:rPr>
          <w:rFonts w:eastAsia="Calibri" w:cs="Arial"/>
          <w:i/>
          <w:iCs/>
          <w:sz w:val="14"/>
          <w:szCs w:val="14"/>
        </w:rPr>
        <w:t>TenneT</w:t>
      </w:r>
      <w:proofErr w:type="spellEnd"/>
      <w:r w:rsidRPr="00283F39">
        <w:rPr>
          <w:rFonts w:eastAsia="Calibri" w:cs="Arial"/>
          <w:i/>
          <w:iCs/>
          <w:sz w:val="14"/>
          <w:szCs w:val="14"/>
        </w:rPr>
        <w:t xml:space="preserve"> Duitsland </w:t>
      </w:r>
      <w:r w:rsidRPr="00283F39">
        <w:rPr>
          <w:i/>
          <w:iCs/>
          <w:sz w:val="14"/>
          <w:szCs w:val="14"/>
        </w:rPr>
        <w:t>vrijvallen.</w:t>
      </w:r>
      <w:r w:rsidRPr="00AF3A95" w:rsidR="00AF3A95">
        <w:rPr>
          <w:i/>
          <w:iCs/>
          <w:sz w:val="14"/>
          <w:szCs w:val="14"/>
        </w:rPr>
        <w:t xml:space="preserve"> </w:t>
      </w:r>
      <w:r w:rsidR="00AF3A95">
        <w:rPr>
          <w:i/>
          <w:iCs/>
          <w:sz w:val="14"/>
          <w:szCs w:val="14"/>
        </w:rPr>
        <w:t xml:space="preserve">Ook zullen de toekomstige </w:t>
      </w:r>
      <w:proofErr w:type="gramStart"/>
      <w:r w:rsidR="00AF3A95">
        <w:rPr>
          <w:i/>
          <w:iCs/>
          <w:sz w:val="14"/>
          <w:szCs w:val="14"/>
        </w:rPr>
        <w:t>rente inkomsten</w:t>
      </w:r>
      <w:proofErr w:type="gramEnd"/>
      <w:r w:rsidR="00AF3A95">
        <w:rPr>
          <w:i/>
          <w:iCs/>
          <w:sz w:val="14"/>
          <w:szCs w:val="14"/>
        </w:rPr>
        <w:t xml:space="preserve"> hierdoor lager uitvallen.</w:t>
      </w:r>
    </w:p>
    <w:p w:rsidR="00283F39" w:rsidP="00096C8B" w:rsidRDefault="00283F39" w14:paraId="64F49485" w14:textId="77777777">
      <w:pPr>
        <w:spacing w:line="240" w:lineRule="exact"/>
      </w:pPr>
    </w:p>
    <w:p w:rsidR="00096C8B" w:rsidP="00096C8B" w:rsidRDefault="00096C8B" w14:paraId="15F2AA6E" w14:textId="77777777">
      <w:pPr>
        <w:spacing w:line="240" w:lineRule="exact"/>
      </w:pPr>
      <w:r>
        <w:t xml:space="preserve">Zoals toegelicht in mijn brief van 3 februari zijn bij de Voorjaarsnota 2026 </w:t>
      </w:r>
      <w:proofErr w:type="gramStart"/>
      <w:r>
        <w:t>reeds</w:t>
      </w:r>
      <w:proofErr w:type="gramEnd"/>
      <w:r>
        <w:t xml:space="preserve"> de volgende wijzigingen verwerkt:</w:t>
      </w:r>
    </w:p>
    <w:p w:rsidRPr="00994FFA" w:rsidR="00096C8B" w:rsidP="00096C8B" w:rsidRDefault="00096C8B" w14:paraId="1980F7F5" w14:textId="77777777">
      <w:pPr>
        <w:numPr>
          <w:ilvl w:val="0"/>
          <w:numId w:val="9"/>
        </w:numPr>
        <w:autoSpaceDN/>
        <w:spacing w:line="256" w:lineRule="auto"/>
        <w:contextualSpacing/>
        <w:textAlignment w:val="auto"/>
        <w:rPr>
          <w:rFonts w:eastAsia="Calibri" w:cs="Arial"/>
          <w:color w:val="auto"/>
        </w:rPr>
      </w:pPr>
      <w:r>
        <w:t xml:space="preserve">De deelname van de Duitse staat levert </w:t>
      </w:r>
      <w:r w:rsidRPr="00FD15EF">
        <w:t xml:space="preserve">in 2026 een niet-saldo relevante opbrengst op </w:t>
      </w:r>
      <w:r>
        <w:t xml:space="preserve">van ca. </w:t>
      </w:r>
      <w:r w:rsidRPr="00837109">
        <w:t>€ 3,3 miljard</w:t>
      </w:r>
      <w:r>
        <w:t xml:space="preserve"> </w:t>
      </w:r>
      <w:r w:rsidRPr="00FD15EF">
        <w:t xml:space="preserve">en bij een gelijkblijvende kapitaalbehoefte wordt uiterlijk in 2029 nogmaals </w:t>
      </w:r>
      <w:proofErr w:type="gramStart"/>
      <w:r w:rsidRPr="00FD15EF">
        <w:t>circa</w:t>
      </w:r>
      <w:proofErr w:type="gramEnd"/>
      <w:r w:rsidRPr="00FD15EF">
        <w:t xml:space="preserve"> € 1,5 miljard aan opbrengsten gerealiseerd. </w:t>
      </w:r>
      <w:r>
        <w:t xml:space="preserve">Met de opbrengsten door de deelname van de Duitse staat in </w:t>
      </w:r>
      <w:proofErr w:type="spellStart"/>
      <w:r>
        <w:t>TenneT</w:t>
      </w:r>
      <w:proofErr w:type="spellEnd"/>
      <w:r>
        <w:t xml:space="preserve"> Duitsland gaat </w:t>
      </w:r>
      <w:proofErr w:type="spellStart"/>
      <w:r>
        <w:t>TenneT</w:t>
      </w:r>
      <w:proofErr w:type="spellEnd"/>
      <w:r>
        <w:t xml:space="preserve"> een gedeelte van de aandeelhouderslening aflossen die de Nederlandse staat aan </w:t>
      </w:r>
      <w:proofErr w:type="spellStart"/>
      <w:r>
        <w:t>TenneT</w:t>
      </w:r>
      <w:proofErr w:type="spellEnd"/>
      <w:r>
        <w:t xml:space="preserve"> heeft verstrekt. Dit is in lijn met het eerste toetsingskader</w:t>
      </w:r>
      <w:r>
        <w:rPr>
          <w:rStyle w:val="Voetnootmarkering"/>
        </w:rPr>
        <w:footnoteReference w:id="5"/>
      </w:r>
      <w:r>
        <w:t xml:space="preserve"> van de lening, waarbij werd aangegeven dat opbrengsten van een verkoop aan de Duitse staat worden gebruikt voor aflossing van de lening. Na deze aflossingen blijft er naar verwachting nog ca. € 20,2 miljard aan lening uitstaan, die </w:t>
      </w:r>
      <w:proofErr w:type="spellStart"/>
      <w:r>
        <w:t>TenneT</w:t>
      </w:r>
      <w:proofErr w:type="spellEnd"/>
      <w:r>
        <w:t xml:space="preserve"> zal afbetalen tussen 2030 en 2039. </w:t>
      </w:r>
    </w:p>
    <w:p w:rsidRPr="00A51CD9" w:rsidR="00096C8B" w:rsidP="00096C8B" w:rsidRDefault="00096C8B" w14:paraId="03B53C1D" w14:textId="77777777">
      <w:pPr>
        <w:numPr>
          <w:ilvl w:val="0"/>
          <w:numId w:val="9"/>
        </w:numPr>
        <w:autoSpaceDN/>
        <w:spacing w:line="256" w:lineRule="auto"/>
        <w:contextualSpacing/>
        <w:textAlignment w:val="auto"/>
        <w:rPr>
          <w:rFonts w:eastAsia="Calibri" w:cs="Arial"/>
          <w:color w:val="auto"/>
        </w:rPr>
      </w:pPr>
      <w:r>
        <w:t>De aflossing leidt tot een negatief saldo-effect doordat de rentontvangsten op de lening dalen (</w:t>
      </w:r>
      <w:r w:rsidRPr="00C336B8">
        <w:t>ca. € 127 mln. per jaar</w:t>
      </w:r>
      <w:r>
        <w:t>).</w:t>
      </w:r>
      <w:r>
        <w:rPr>
          <w:rStyle w:val="Voetnootmarkering"/>
        </w:rPr>
        <w:footnoteReference w:id="6"/>
      </w:r>
    </w:p>
    <w:p w:rsidR="00096C8B" w:rsidP="00096C8B" w:rsidRDefault="00096C8B" w14:paraId="5ACFCA4C" w14:textId="77777777">
      <w:pPr>
        <w:spacing w:line="240" w:lineRule="exact"/>
      </w:pPr>
    </w:p>
    <w:p w:rsidR="00096C8B" w:rsidP="00096C8B" w:rsidRDefault="00096C8B" w14:paraId="7090B46D" w14:textId="77777777">
      <w:pPr>
        <w:spacing w:line="240" w:lineRule="exact"/>
      </w:pPr>
      <w:r>
        <w:t>Bij de Miljoenennota 2027 zullen als gevolg van de definitieve implementatie van de transactie de volgende aanvullende wijzigingen worden doorgevoerd:</w:t>
      </w:r>
    </w:p>
    <w:p w:rsidRPr="00EB1F85" w:rsidR="00096C8B" w:rsidP="00096C8B" w:rsidRDefault="00096C8B" w14:paraId="7A66AC3C" w14:textId="77777777">
      <w:pPr>
        <w:numPr>
          <w:ilvl w:val="0"/>
          <w:numId w:val="9"/>
        </w:numPr>
        <w:autoSpaceDN/>
        <w:spacing w:line="256" w:lineRule="auto"/>
        <w:contextualSpacing/>
        <w:textAlignment w:val="auto"/>
        <w:rPr>
          <w:rFonts w:eastAsia="Calibri" w:cs="Arial"/>
          <w:color w:val="auto"/>
        </w:rPr>
      </w:pPr>
      <w:r>
        <w:t xml:space="preserve">Door de implementatie van de transactie en de inwerkingtreding van de instellingsgarantie voor </w:t>
      </w:r>
      <w:proofErr w:type="spellStart"/>
      <w:r>
        <w:t>TenneT</w:t>
      </w:r>
      <w:proofErr w:type="spellEnd"/>
      <w:r>
        <w:t xml:space="preserve"> Nederland is de verwachting dat </w:t>
      </w:r>
      <w:proofErr w:type="spellStart"/>
      <w:r>
        <w:t>TenneT</w:t>
      </w:r>
      <w:proofErr w:type="spellEnd"/>
      <w:r>
        <w:t xml:space="preserve"> geen behoefte meer heeft aan financiering vanuit de staat. Daarom zal het ongebruikte deel van de leningsfaciliteit van € </w:t>
      </w:r>
      <w:r w:rsidR="00BA5426">
        <w:t>11</w:t>
      </w:r>
      <w:r>
        <w:t xml:space="preserve"> miljard vrijvallen. </w:t>
      </w:r>
    </w:p>
    <w:p w:rsidRPr="00EB1F85" w:rsidR="00AF3A95" w:rsidP="00AF3A95" w:rsidRDefault="00AF3A95" w14:paraId="4FEA76B4" w14:textId="77777777">
      <w:pPr>
        <w:numPr>
          <w:ilvl w:val="0"/>
          <w:numId w:val="9"/>
        </w:numPr>
        <w:autoSpaceDN/>
        <w:spacing w:line="256" w:lineRule="auto"/>
        <w:contextualSpacing/>
        <w:textAlignment w:val="auto"/>
        <w:rPr>
          <w:rFonts w:eastAsia="Calibri" w:cs="Arial"/>
          <w:color w:val="auto"/>
        </w:rPr>
      </w:pPr>
      <w:bookmarkStart w:name="_Hlk232171363" w:id="1"/>
      <w:r>
        <w:t xml:space="preserve">Daardoor worden de toekomstige renteontvangsten aanvullend met ca. € </w:t>
      </w:r>
      <w:r w:rsidR="00E53EB1">
        <w:t>404</w:t>
      </w:r>
      <w:r>
        <w:t xml:space="preserve"> miljoen per jaar naar beneden bijgesteld</w:t>
      </w:r>
      <w:r w:rsidR="000510FA">
        <w:t xml:space="preserve"> totdat de lening is afgelost</w:t>
      </w:r>
      <w:r>
        <w:t>.</w:t>
      </w:r>
      <w:r>
        <w:rPr>
          <w:vertAlign w:val="superscript"/>
        </w:rPr>
        <w:t>6</w:t>
      </w:r>
    </w:p>
    <w:bookmarkEnd w:id="1"/>
    <w:p w:rsidRPr="008B7070" w:rsidR="008B7070" w:rsidP="00096C8B" w:rsidRDefault="00096C8B" w14:paraId="70D8A96F" w14:textId="77777777">
      <w:pPr>
        <w:numPr>
          <w:ilvl w:val="0"/>
          <w:numId w:val="9"/>
        </w:numPr>
        <w:autoSpaceDN/>
        <w:spacing w:line="256" w:lineRule="auto"/>
        <w:contextualSpacing/>
        <w:textAlignment w:val="auto"/>
        <w:rPr>
          <w:rFonts w:eastAsia="Calibri" w:cs="Arial"/>
          <w:color w:val="auto"/>
        </w:rPr>
      </w:pPr>
      <w:r>
        <w:rPr>
          <w:rFonts w:eastAsia="Calibri" w:cs="Arial"/>
        </w:rPr>
        <w:t xml:space="preserve">De resterende reservering van € 4,3 miljard voor kapitaalstortingen in </w:t>
      </w:r>
      <w:proofErr w:type="spellStart"/>
      <w:r>
        <w:rPr>
          <w:rFonts w:eastAsia="Calibri" w:cs="Arial"/>
        </w:rPr>
        <w:t>TenneT</w:t>
      </w:r>
      <w:proofErr w:type="spellEnd"/>
      <w:r>
        <w:rPr>
          <w:rFonts w:eastAsia="Calibri" w:cs="Arial"/>
        </w:rPr>
        <w:t xml:space="preserve"> Duitsland zal komen te vervallen. </w:t>
      </w:r>
    </w:p>
    <w:p w:rsidRPr="00AF3A95" w:rsidR="00C23DF0" w:rsidP="008B7070" w:rsidRDefault="00096C8B" w14:paraId="42E9038E" w14:textId="77777777">
      <w:pPr>
        <w:autoSpaceDN/>
        <w:spacing w:line="256" w:lineRule="auto"/>
        <w:contextualSpacing/>
        <w:textAlignment w:val="auto"/>
        <w:rPr>
          <w:rFonts w:eastAsia="Calibri" w:cs="Arial"/>
          <w:color w:val="auto"/>
        </w:rPr>
      </w:pPr>
      <w:r>
        <w:rPr>
          <w:rFonts w:eastAsia="Calibri" w:cs="Arial"/>
        </w:rPr>
        <w:lastRenderedPageBreak/>
        <w:t>Zowel de leningsfaciliteit als de reservering voor kapitaalstortingen zijn niet-saldorelevant en een vrijval levert geen budgettaire ruimte op.</w:t>
      </w:r>
      <w:r w:rsidR="008B7070">
        <w:rPr>
          <w:rFonts w:eastAsia="Calibri" w:cs="Arial"/>
        </w:rPr>
        <w:t xml:space="preserve"> De lagere renteontvangsten zijn wel saldorelevant.</w:t>
      </w:r>
    </w:p>
    <w:p w:rsidR="00C23DF0" w:rsidP="00096C8B" w:rsidRDefault="00C23DF0" w14:paraId="003A3EB9" w14:textId="77777777">
      <w:pPr>
        <w:rPr>
          <w:i/>
          <w:iCs/>
        </w:rPr>
      </w:pPr>
    </w:p>
    <w:p w:rsidRPr="00DB0F4D" w:rsidR="00096C8B" w:rsidP="00096C8B" w:rsidRDefault="00096C8B" w14:paraId="5584F468" w14:textId="77777777">
      <w:pPr>
        <w:rPr>
          <w:i/>
          <w:iCs/>
        </w:rPr>
      </w:pPr>
      <w:r>
        <w:rPr>
          <w:i/>
          <w:iCs/>
        </w:rPr>
        <w:t>Toekomstige rol aandeelhouder Nederlandse staat</w:t>
      </w:r>
    </w:p>
    <w:p w:rsidRPr="00DB0F4D" w:rsidR="00096C8B" w:rsidP="00096C8B" w:rsidRDefault="00096C8B" w14:paraId="68A11245" w14:textId="77777777">
      <w:proofErr w:type="spellStart"/>
      <w:r w:rsidRPr="00DB0F4D">
        <w:t>TenneT</w:t>
      </w:r>
      <w:proofErr w:type="spellEnd"/>
      <w:r w:rsidRPr="00DB0F4D">
        <w:t xml:space="preserve"> blijft de grootste aandeelhouder van </w:t>
      </w:r>
      <w:proofErr w:type="spellStart"/>
      <w:r w:rsidRPr="00DB0F4D">
        <w:t>TenneT</w:t>
      </w:r>
      <w:proofErr w:type="spellEnd"/>
      <w:r w:rsidRPr="00DB0F4D">
        <w:t xml:space="preserve"> Duitsland</w:t>
      </w:r>
      <w:r>
        <w:t xml:space="preserve"> en </w:t>
      </w:r>
      <w:r w:rsidRPr="00DB0F4D">
        <w:t xml:space="preserve">beschikt over vetorechten </w:t>
      </w:r>
      <w:r w:rsidR="00D476F7">
        <w:t>onder andere</w:t>
      </w:r>
      <w:r w:rsidRPr="00DB0F4D">
        <w:t xml:space="preserve"> de volgende beslissingen:</w:t>
      </w:r>
    </w:p>
    <w:p w:rsidRPr="00DB0F4D" w:rsidR="00096C8B" w:rsidP="00096C8B" w:rsidRDefault="00096C8B" w14:paraId="0646DD27" w14:textId="77777777">
      <w:pPr>
        <w:numPr>
          <w:ilvl w:val="0"/>
          <w:numId w:val="6"/>
        </w:numPr>
      </w:pPr>
      <w:proofErr w:type="gramStart"/>
      <w:r w:rsidRPr="00DB0F4D">
        <w:t>goedkeuring</w:t>
      </w:r>
      <w:proofErr w:type="gramEnd"/>
      <w:r w:rsidRPr="00DB0F4D">
        <w:t xml:space="preserve"> van het businessplan van </w:t>
      </w:r>
      <w:proofErr w:type="spellStart"/>
      <w:r w:rsidRPr="00DB0F4D">
        <w:t>TenneT</w:t>
      </w:r>
      <w:proofErr w:type="spellEnd"/>
      <w:r w:rsidRPr="00DB0F4D">
        <w:t xml:space="preserve"> Duitsland;</w:t>
      </w:r>
    </w:p>
    <w:p w:rsidRPr="00DB0F4D" w:rsidR="00096C8B" w:rsidP="00096C8B" w:rsidRDefault="00096C8B" w14:paraId="679ECCD9" w14:textId="77777777">
      <w:pPr>
        <w:numPr>
          <w:ilvl w:val="0"/>
          <w:numId w:val="6"/>
        </w:numPr>
      </w:pPr>
      <w:proofErr w:type="gramStart"/>
      <w:r w:rsidRPr="00DB0F4D">
        <w:t>benoeming</w:t>
      </w:r>
      <w:proofErr w:type="gramEnd"/>
      <w:r w:rsidRPr="00DB0F4D">
        <w:t xml:space="preserve"> en ontslag van bestuurders;</w:t>
      </w:r>
    </w:p>
    <w:p w:rsidR="00096C8B" w:rsidP="00096C8B" w:rsidRDefault="00096C8B" w14:paraId="52259D10" w14:textId="77777777">
      <w:pPr>
        <w:numPr>
          <w:ilvl w:val="0"/>
          <w:numId w:val="6"/>
        </w:numPr>
      </w:pPr>
      <w:proofErr w:type="gramStart"/>
      <w:r w:rsidRPr="00DB0F4D">
        <w:t>materiële</w:t>
      </w:r>
      <w:proofErr w:type="gramEnd"/>
      <w:r w:rsidRPr="00DB0F4D">
        <w:t xml:space="preserve"> wijzigingen in de strategie of de financieringsstructuur.</w:t>
      </w:r>
    </w:p>
    <w:p w:rsidR="00096C8B" w:rsidP="00096C8B" w:rsidRDefault="00096C8B" w14:paraId="08074ECD" w14:textId="77777777">
      <w:r>
        <w:t xml:space="preserve">Zolang </w:t>
      </w:r>
      <w:proofErr w:type="spellStart"/>
      <w:r>
        <w:t>TenneT</w:t>
      </w:r>
      <w:proofErr w:type="spellEnd"/>
      <w:r>
        <w:t xml:space="preserve"> meer dan 25% van de aandelen bezit, blijven deze vetorechten behouden. </w:t>
      </w:r>
    </w:p>
    <w:p w:rsidR="00096C8B" w:rsidP="00096C8B" w:rsidRDefault="00096C8B" w14:paraId="1B66B5BD" w14:textId="77777777"/>
    <w:p w:rsidR="00096C8B" w:rsidP="00096C8B" w:rsidRDefault="00096C8B" w14:paraId="4E56CE07" w14:textId="77777777">
      <w:r>
        <w:t xml:space="preserve">De staat is indirect – via </w:t>
      </w:r>
      <w:proofErr w:type="spellStart"/>
      <w:r>
        <w:t>TenneT</w:t>
      </w:r>
      <w:proofErr w:type="spellEnd"/>
      <w:r>
        <w:t xml:space="preserve">– aandeelhouder van </w:t>
      </w:r>
      <w:proofErr w:type="spellStart"/>
      <w:r>
        <w:t>TenneT</w:t>
      </w:r>
      <w:proofErr w:type="spellEnd"/>
      <w:r>
        <w:t xml:space="preserve"> Duitsland. Als indirecte aandeelhouder zal ik blijven sturen op de controle van </w:t>
      </w:r>
      <w:proofErr w:type="spellStart"/>
      <w:r>
        <w:t>TenneT</w:t>
      </w:r>
      <w:proofErr w:type="spellEnd"/>
      <w:r>
        <w:t xml:space="preserve"> Duitsland over haar investeringsagenda en op het behoudt van synergiën met </w:t>
      </w:r>
      <w:proofErr w:type="spellStart"/>
      <w:r>
        <w:t>TenneT</w:t>
      </w:r>
      <w:proofErr w:type="spellEnd"/>
      <w:r>
        <w:t xml:space="preserve"> Nederland, zodat het indirecte aandeelhouderschap zoveel mogelijk bijdraagt aan de Nederlandse publieke belangen. </w:t>
      </w:r>
      <w:proofErr w:type="spellStart"/>
      <w:r w:rsidRPr="000B1209">
        <w:t>TenneT</w:t>
      </w:r>
      <w:proofErr w:type="spellEnd"/>
      <w:r w:rsidRPr="000B1209">
        <w:t xml:space="preserve"> Nederland en Duitsland blijven bijvoorbeeld nauw samenwerken bij de ontwikkeling van het net op zee, op het gebied van innovatie en bij de gezamenlijke inkoop van technische onderdelen. Ook zijn er overeenkomsten aangegaan om dienstverlening voor bepaalde tijd door te zetten volgend op de splitsing van de operationele onderdelen</w:t>
      </w:r>
      <w:r>
        <w:t xml:space="preserve"> die </w:t>
      </w:r>
      <w:r w:rsidRPr="000B1209">
        <w:t>in 2025 is ingezet. Dat zorgt ervoor dat kennis behouden blijft en middelen efficiënt worden ingezet.</w:t>
      </w:r>
    </w:p>
    <w:p w:rsidR="00096C8B" w:rsidP="00096C8B" w:rsidRDefault="00096C8B" w14:paraId="732ACF7C" w14:textId="77777777"/>
    <w:p w:rsidR="00096C8B" w:rsidP="00096C8B" w:rsidRDefault="00096C8B" w14:paraId="4C66CC4B" w14:textId="77777777">
      <w:pPr>
        <w:rPr>
          <w:i/>
          <w:iCs/>
        </w:rPr>
      </w:pPr>
      <w:r>
        <w:rPr>
          <w:i/>
          <w:iCs/>
        </w:rPr>
        <w:t>Conclusie</w:t>
      </w:r>
    </w:p>
    <w:p w:rsidRPr="001F3CE0" w:rsidR="00096C8B" w:rsidP="00096C8B" w:rsidRDefault="00096C8B" w14:paraId="1EB84A04" w14:textId="77777777">
      <w:pPr>
        <w:textAlignment w:val="auto"/>
      </w:pPr>
      <w:r w:rsidRPr="000D6416">
        <w:t xml:space="preserve">Het </w:t>
      </w:r>
      <w:r>
        <w:t xml:space="preserve">vorige </w:t>
      </w:r>
      <w:r w:rsidRPr="000D6416">
        <w:t>kabinet heeft in eerder</w:t>
      </w:r>
      <w:r>
        <w:t>e</w:t>
      </w:r>
      <w:r w:rsidRPr="000D6416">
        <w:t xml:space="preserve"> brieven gedeeld dat het een deelname van private investeerders in </w:t>
      </w:r>
      <w:proofErr w:type="spellStart"/>
      <w:r w:rsidRPr="000D6416">
        <w:t>TenneT</w:t>
      </w:r>
      <w:proofErr w:type="spellEnd"/>
      <w:r w:rsidRPr="000D6416">
        <w:t xml:space="preserve"> Duitsland als de beste structurele oplossing voor de Duitse kapitaalbehoefte</w:t>
      </w:r>
      <w:r>
        <w:t xml:space="preserve"> zag</w:t>
      </w:r>
      <w:r w:rsidRPr="000D6416">
        <w:t xml:space="preserve">. </w:t>
      </w:r>
      <w:r>
        <w:t xml:space="preserve">In dit kader is er meerdere jaren gezocht naar een oplossing voor de kapitaalbehoefte van </w:t>
      </w:r>
      <w:proofErr w:type="spellStart"/>
      <w:r>
        <w:t>TenneT</w:t>
      </w:r>
      <w:proofErr w:type="spellEnd"/>
      <w:r>
        <w:t xml:space="preserve"> Duitslan</w:t>
      </w:r>
      <w:r w:rsidR="00D476F7">
        <w:t>d. Ik</w:t>
      </w:r>
      <w:r>
        <w:t xml:space="preserve"> ben erg verheugd dat de oplossing met het afronden van deze transactie gevonden is. De implementatie van de transactie zorgt ervoor dat er geen </w:t>
      </w:r>
      <w:r w:rsidRPr="000D6416">
        <w:t xml:space="preserve">Nederlands belastinggeld </w:t>
      </w:r>
      <w:r>
        <w:t xml:space="preserve">wordt gebruikt </w:t>
      </w:r>
      <w:r w:rsidRPr="000D6416">
        <w:t xml:space="preserve">voor de activiteiten van </w:t>
      </w:r>
      <w:proofErr w:type="spellStart"/>
      <w:r w:rsidRPr="000D6416">
        <w:t>TenneT</w:t>
      </w:r>
      <w:proofErr w:type="spellEnd"/>
      <w:r w:rsidRPr="000D6416">
        <w:t xml:space="preserve"> Duitsland</w:t>
      </w:r>
      <w:r>
        <w:t xml:space="preserve">, in plaats daarvan worden er opbrengsten gegenereerd voor de schatkist. Tegelijkertijd blijft </w:t>
      </w:r>
      <w:r w:rsidRPr="000D6416">
        <w:t xml:space="preserve">de bijdrage aan het </w:t>
      </w:r>
      <w:r>
        <w:t xml:space="preserve">Nederlandse </w:t>
      </w:r>
      <w:r w:rsidRPr="000D6416">
        <w:t xml:space="preserve">publieke belang voor een groot gedeelte behouden omdat </w:t>
      </w:r>
      <w:proofErr w:type="spellStart"/>
      <w:r w:rsidRPr="000D6416">
        <w:t>TenneT</w:t>
      </w:r>
      <w:proofErr w:type="spellEnd"/>
      <w:r w:rsidRPr="000D6416">
        <w:t xml:space="preserve"> voorlopig de grootste aandeelhouder van </w:t>
      </w:r>
      <w:proofErr w:type="spellStart"/>
      <w:r w:rsidRPr="000D6416">
        <w:t>TenneT</w:t>
      </w:r>
      <w:proofErr w:type="spellEnd"/>
      <w:r w:rsidRPr="000D6416">
        <w:t xml:space="preserve"> Duitsland zal blijven en daarmee zeggenschap in </w:t>
      </w:r>
      <w:proofErr w:type="spellStart"/>
      <w:r w:rsidRPr="000D6416">
        <w:t>TenneT</w:t>
      </w:r>
      <w:proofErr w:type="spellEnd"/>
      <w:r w:rsidRPr="000D6416">
        <w:t xml:space="preserve"> Duitsland zal behouden. </w:t>
      </w:r>
    </w:p>
    <w:p w:rsidR="00096C8B" w:rsidP="00096C8B" w:rsidRDefault="00096C8B" w14:paraId="1EFC3D18" w14:textId="77777777"/>
    <w:p w:rsidR="00096C8B" w:rsidP="00096C8B" w:rsidRDefault="00096C8B" w14:paraId="4DC079B1" w14:textId="77777777">
      <w:pPr>
        <w:pStyle w:val="WitregelW1bodytekst"/>
      </w:pPr>
    </w:p>
    <w:p w:rsidR="00096C8B" w:rsidP="00096C8B" w:rsidRDefault="00096C8B" w14:paraId="6C094913" w14:textId="77777777">
      <w:r>
        <w:t>Hoogachtend,</w:t>
      </w:r>
    </w:p>
    <w:p w:rsidR="00096C8B" w:rsidP="00096C8B" w:rsidRDefault="00096C8B" w14:paraId="3B454C92" w14:textId="77777777"/>
    <w:p w:rsidR="00096C8B" w:rsidP="00096C8B" w:rsidRDefault="00D476F7" w14:paraId="6C9761D1" w14:textId="77777777">
      <w:proofErr w:type="gramStart"/>
      <w:r>
        <w:t>d</w:t>
      </w:r>
      <w:r w:rsidR="00096C8B">
        <w:t>e</w:t>
      </w:r>
      <w:proofErr w:type="gramEnd"/>
      <w:r w:rsidR="00096C8B">
        <w:t xml:space="preserve"> minister van Financiën</w:t>
      </w:r>
      <w:r w:rsidR="00096C8B">
        <w:rPr>
          <w:i/>
        </w:rPr>
        <w:t>,</w:t>
      </w:r>
    </w:p>
    <w:p w:rsidR="00096C8B" w:rsidP="00096C8B" w:rsidRDefault="00096C8B" w14:paraId="06907488" w14:textId="77777777"/>
    <w:p w:rsidR="00096C8B" w:rsidP="00096C8B" w:rsidRDefault="00096C8B" w14:paraId="6ED34491" w14:textId="77777777"/>
    <w:p w:rsidR="00096C8B" w:rsidP="00096C8B" w:rsidRDefault="00096C8B" w14:paraId="39FA7399" w14:textId="77777777"/>
    <w:p w:rsidR="00096C8B" w:rsidP="00096C8B" w:rsidRDefault="00096C8B" w14:paraId="58319769" w14:textId="77777777"/>
    <w:p w:rsidR="00096C8B" w:rsidP="00096C8B" w:rsidRDefault="00096C8B" w14:paraId="018A8764" w14:textId="77777777">
      <w:r>
        <w:t>E. Heinen</w:t>
      </w:r>
    </w:p>
    <w:p w:rsidR="00096C8B" w:rsidP="00096C8B" w:rsidRDefault="00096C8B" w14:paraId="3A78BE8D" w14:textId="77777777"/>
    <w:p w:rsidRPr="00096C8B" w:rsidR="004D697C" w:rsidP="00096C8B" w:rsidRDefault="004D697C" w14:paraId="4532FC0B" w14:textId="77777777"/>
    <w:sectPr w:rsidRPr="00096C8B" w:rsidR="004D697C">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137B" w14:textId="77777777" w:rsidR="00D81F0F" w:rsidRDefault="00D81F0F">
      <w:pPr>
        <w:spacing w:line="240" w:lineRule="auto"/>
      </w:pPr>
      <w:r>
        <w:separator/>
      </w:r>
    </w:p>
  </w:endnote>
  <w:endnote w:type="continuationSeparator" w:id="0">
    <w:p w14:paraId="1A16885B" w14:textId="77777777" w:rsidR="00D81F0F" w:rsidRDefault="00D81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53AD" w14:textId="77777777" w:rsidR="004D697C" w:rsidRDefault="004D697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6310" w14:textId="77777777" w:rsidR="00D81F0F" w:rsidRDefault="00D81F0F">
      <w:pPr>
        <w:spacing w:line="240" w:lineRule="auto"/>
      </w:pPr>
      <w:r>
        <w:separator/>
      </w:r>
    </w:p>
  </w:footnote>
  <w:footnote w:type="continuationSeparator" w:id="0">
    <w:p w14:paraId="624E82CF" w14:textId="77777777" w:rsidR="00D81F0F" w:rsidRDefault="00D81F0F">
      <w:pPr>
        <w:spacing w:line="240" w:lineRule="auto"/>
      </w:pPr>
      <w:r>
        <w:continuationSeparator/>
      </w:r>
    </w:p>
  </w:footnote>
  <w:footnote w:id="1">
    <w:p w14:paraId="4E87A4EC" w14:textId="77777777" w:rsidR="00096C8B" w:rsidRPr="004F4675" w:rsidRDefault="00096C8B" w:rsidP="00096C8B">
      <w:pPr>
        <w:pStyle w:val="Voetnoottekst"/>
        <w:rPr>
          <w:sz w:val="14"/>
          <w:szCs w:val="14"/>
        </w:rPr>
      </w:pPr>
      <w:r w:rsidRPr="004F4675">
        <w:rPr>
          <w:rStyle w:val="Voetnootmarkering"/>
          <w:sz w:val="14"/>
          <w:szCs w:val="14"/>
        </w:rPr>
        <w:footnoteRef/>
      </w:r>
      <w:r w:rsidRPr="004F4675">
        <w:rPr>
          <w:sz w:val="14"/>
          <w:szCs w:val="14"/>
        </w:rPr>
        <w:t xml:space="preserve"> Kamerstukken II 2025-2026, 28 165, nr. 466.</w:t>
      </w:r>
    </w:p>
  </w:footnote>
  <w:footnote w:id="2">
    <w:p w14:paraId="44CEC43B" w14:textId="77777777" w:rsidR="00096C8B" w:rsidRPr="004F4675" w:rsidRDefault="00096C8B" w:rsidP="00096C8B">
      <w:pPr>
        <w:pStyle w:val="Voetnoottekst"/>
        <w:rPr>
          <w:sz w:val="14"/>
          <w:szCs w:val="14"/>
        </w:rPr>
      </w:pPr>
      <w:r w:rsidRPr="004F4675">
        <w:rPr>
          <w:rStyle w:val="Voetnootmarkering"/>
          <w:sz w:val="14"/>
          <w:szCs w:val="14"/>
        </w:rPr>
        <w:footnoteRef/>
      </w:r>
      <w:r w:rsidRPr="004F4675">
        <w:rPr>
          <w:sz w:val="14"/>
          <w:szCs w:val="14"/>
        </w:rPr>
        <w:t xml:space="preserve"> De Duitse staat zal via haar nationale investeringsbank </w:t>
      </w:r>
      <w:proofErr w:type="spellStart"/>
      <w:r w:rsidRPr="004F4675">
        <w:rPr>
          <w:sz w:val="14"/>
          <w:szCs w:val="14"/>
        </w:rPr>
        <w:t>Kreditanstalt</w:t>
      </w:r>
      <w:proofErr w:type="spellEnd"/>
      <w:r w:rsidRPr="004F4675">
        <w:rPr>
          <w:sz w:val="14"/>
          <w:szCs w:val="14"/>
        </w:rPr>
        <w:t xml:space="preserve"> </w:t>
      </w:r>
      <w:proofErr w:type="spellStart"/>
      <w:r w:rsidRPr="004F4675">
        <w:rPr>
          <w:sz w:val="14"/>
          <w:szCs w:val="14"/>
        </w:rPr>
        <w:t>für</w:t>
      </w:r>
      <w:proofErr w:type="spellEnd"/>
      <w:r w:rsidRPr="004F4675">
        <w:rPr>
          <w:sz w:val="14"/>
          <w:szCs w:val="14"/>
        </w:rPr>
        <w:t xml:space="preserve"> </w:t>
      </w:r>
      <w:proofErr w:type="spellStart"/>
      <w:r w:rsidRPr="004F4675">
        <w:rPr>
          <w:sz w:val="14"/>
          <w:szCs w:val="14"/>
        </w:rPr>
        <w:t>Wiederaufbau</w:t>
      </w:r>
      <w:proofErr w:type="spellEnd"/>
      <w:r w:rsidRPr="004F4675">
        <w:rPr>
          <w:sz w:val="14"/>
          <w:szCs w:val="14"/>
        </w:rPr>
        <w:t xml:space="preserve"> (</w:t>
      </w:r>
      <w:proofErr w:type="spellStart"/>
      <w:r w:rsidRPr="004F4675">
        <w:rPr>
          <w:sz w:val="14"/>
          <w:szCs w:val="14"/>
        </w:rPr>
        <w:t>KfW</w:t>
      </w:r>
      <w:proofErr w:type="spellEnd"/>
      <w:r w:rsidRPr="004F4675">
        <w:rPr>
          <w:sz w:val="14"/>
          <w:szCs w:val="14"/>
        </w:rPr>
        <w:t xml:space="preserve">) aandeelhouder in </w:t>
      </w:r>
      <w:proofErr w:type="spellStart"/>
      <w:r w:rsidRPr="004F4675">
        <w:rPr>
          <w:sz w:val="14"/>
          <w:szCs w:val="14"/>
        </w:rPr>
        <w:t>TenneT</w:t>
      </w:r>
      <w:proofErr w:type="spellEnd"/>
      <w:r w:rsidRPr="004F4675">
        <w:rPr>
          <w:sz w:val="14"/>
          <w:szCs w:val="14"/>
        </w:rPr>
        <w:t xml:space="preserve"> Duitsland worden.</w:t>
      </w:r>
    </w:p>
  </w:footnote>
  <w:footnote w:id="3">
    <w:p w14:paraId="4B4AE4BF" w14:textId="77777777" w:rsidR="00096C8B" w:rsidRDefault="00096C8B" w:rsidP="00096C8B">
      <w:pPr>
        <w:pStyle w:val="Voetnoottekst"/>
      </w:pPr>
      <w:r w:rsidRPr="004F4675">
        <w:rPr>
          <w:rStyle w:val="Voetnootmarkering"/>
          <w:sz w:val="14"/>
          <w:szCs w:val="14"/>
        </w:rPr>
        <w:footnoteRef/>
      </w:r>
      <w:r w:rsidRPr="004F4675">
        <w:rPr>
          <w:sz w:val="14"/>
          <w:szCs w:val="14"/>
        </w:rPr>
        <w:t xml:space="preserve"> Kamerstukken II 2025-2026, 28 165, nr. 470.</w:t>
      </w:r>
    </w:p>
  </w:footnote>
  <w:footnote w:id="4">
    <w:p w14:paraId="13366103" w14:textId="77777777" w:rsidR="00096C8B" w:rsidRPr="00A51CD9" w:rsidRDefault="00096C8B" w:rsidP="00096C8B">
      <w:pPr>
        <w:pStyle w:val="Voetnoottekst"/>
        <w:rPr>
          <w:sz w:val="14"/>
          <w:szCs w:val="14"/>
        </w:rPr>
      </w:pPr>
      <w:r w:rsidRPr="00A51CD9">
        <w:rPr>
          <w:rStyle w:val="Voetnootmarkering"/>
          <w:sz w:val="14"/>
          <w:szCs w:val="14"/>
        </w:rPr>
        <w:footnoteRef/>
      </w:r>
      <w:r w:rsidRPr="00A51CD9">
        <w:rPr>
          <w:sz w:val="14"/>
          <w:szCs w:val="14"/>
        </w:rPr>
        <w:t xml:space="preserve"> Dit betreffen de mededingingsrechtelijke goedkeuring, de goedkeuring op grond van de Europese </w:t>
      </w:r>
      <w:proofErr w:type="spellStart"/>
      <w:r w:rsidRPr="00A51CD9">
        <w:rPr>
          <w:sz w:val="14"/>
          <w:szCs w:val="14"/>
        </w:rPr>
        <w:t>Foreign</w:t>
      </w:r>
      <w:proofErr w:type="spellEnd"/>
      <w:r w:rsidRPr="00A51CD9">
        <w:rPr>
          <w:sz w:val="14"/>
          <w:szCs w:val="14"/>
        </w:rPr>
        <w:t xml:space="preserve"> Subsidies </w:t>
      </w:r>
      <w:proofErr w:type="spellStart"/>
      <w:r w:rsidRPr="00A51CD9">
        <w:rPr>
          <w:sz w:val="14"/>
          <w:szCs w:val="14"/>
        </w:rPr>
        <w:t>Regulation</w:t>
      </w:r>
      <w:proofErr w:type="spellEnd"/>
      <w:r w:rsidRPr="00A51CD9">
        <w:rPr>
          <w:sz w:val="14"/>
          <w:szCs w:val="14"/>
        </w:rPr>
        <w:t xml:space="preserve"> (FSR), de goedkeuring in het kader van de Duitse </w:t>
      </w:r>
      <w:proofErr w:type="spellStart"/>
      <w:r w:rsidRPr="00A51CD9">
        <w:rPr>
          <w:sz w:val="14"/>
          <w:szCs w:val="14"/>
        </w:rPr>
        <w:t>Foreign</w:t>
      </w:r>
      <w:proofErr w:type="spellEnd"/>
      <w:r w:rsidRPr="00A51CD9">
        <w:rPr>
          <w:sz w:val="14"/>
          <w:szCs w:val="14"/>
        </w:rPr>
        <w:t xml:space="preserve"> Direct Investment (FDI) screening en de goedkeuring van de Duitse energietoezichthouder </w:t>
      </w:r>
      <w:proofErr w:type="spellStart"/>
      <w:r w:rsidRPr="00A51CD9">
        <w:rPr>
          <w:i/>
          <w:iCs/>
          <w:sz w:val="14"/>
          <w:szCs w:val="14"/>
        </w:rPr>
        <w:t>Bundesnetzagentur</w:t>
      </w:r>
      <w:proofErr w:type="spellEnd"/>
      <w:r w:rsidRPr="00A51CD9">
        <w:rPr>
          <w:i/>
          <w:iCs/>
          <w:sz w:val="14"/>
          <w:szCs w:val="14"/>
        </w:rPr>
        <w:t xml:space="preserve"> </w:t>
      </w:r>
      <w:r w:rsidRPr="00A51CD9">
        <w:rPr>
          <w:sz w:val="14"/>
          <w:szCs w:val="14"/>
        </w:rPr>
        <w:t xml:space="preserve">in het kader van het gesplitste eigendomsmodel van </w:t>
      </w:r>
      <w:proofErr w:type="spellStart"/>
      <w:r w:rsidRPr="00A51CD9">
        <w:rPr>
          <w:sz w:val="14"/>
          <w:szCs w:val="14"/>
        </w:rPr>
        <w:t>TenneT</w:t>
      </w:r>
      <w:proofErr w:type="spellEnd"/>
      <w:r w:rsidRPr="00A51CD9">
        <w:rPr>
          <w:sz w:val="14"/>
          <w:szCs w:val="14"/>
        </w:rPr>
        <w:t xml:space="preserve"> Duitsland (‘</w:t>
      </w:r>
      <w:proofErr w:type="spellStart"/>
      <w:r w:rsidRPr="00A51CD9">
        <w:rPr>
          <w:i/>
          <w:iCs/>
          <w:sz w:val="14"/>
          <w:szCs w:val="14"/>
        </w:rPr>
        <w:t>Unbundling</w:t>
      </w:r>
      <w:proofErr w:type="spellEnd"/>
      <w:r w:rsidRPr="00A51CD9">
        <w:rPr>
          <w:sz w:val="14"/>
          <w:szCs w:val="14"/>
        </w:rPr>
        <w:t>’).</w:t>
      </w:r>
    </w:p>
  </w:footnote>
  <w:footnote w:id="5">
    <w:p w14:paraId="2834599A" w14:textId="77777777" w:rsidR="00096C8B" w:rsidRPr="004A2336" w:rsidRDefault="00096C8B" w:rsidP="00096C8B">
      <w:pPr>
        <w:pStyle w:val="Voetnoottekst"/>
        <w:rPr>
          <w:sz w:val="14"/>
          <w:szCs w:val="14"/>
        </w:rPr>
      </w:pPr>
      <w:r w:rsidRPr="0048389B">
        <w:rPr>
          <w:rStyle w:val="Voetnootmarkering"/>
          <w:sz w:val="14"/>
          <w:szCs w:val="14"/>
        </w:rPr>
        <w:footnoteRef/>
      </w:r>
      <w:r w:rsidRPr="0048389B">
        <w:rPr>
          <w:sz w:val="14"/>
          <w:szCs w:val="14"/>
        </w:rPr>
        <w:t xml:space="preserve"> </w:t>
      </w:r>
      <w:r w:rsidRPr="004A2336">
        <w:rPr>
          <w:sz w:val="14"/>
          <w:szCs w:val="14"/>
        </w:rPr>
        <w:t xml:space="preserve">Kamerstukken II 2023-2024, 36 487, nr. 3. </w:t>
      </w:r>
    </w:p>
  </w:footnote>
  <w:footnote w:id="6">
    <w:p w14:paraId="7B5E348B" w14:textId="77777777" w:rsidR="00096C8B" w:rsidRDefault="00096C8B" w:rsidP="00096C8B">
      <w:pPr>
        <w:pStyle w:val="Voetnoottekst"/>
      </w:pPr>
      <w:r w:rsidRPr="00994FFA">
        <w:rPr>
          <w:rStyle w:val="Voetnootmarkering"/>
          <w:sz w:val="14"/>
          <w:szCs w:val="14"/>
        </w:rPr>
        <w:footnoteRef/>
      </w:r>
      <w:r w:rsidRPr="00994FFA">
        <w:rPr>
          <w:sz w:val="14"/>
          <w:szCs w:val="14"/>
        </w:rPr>
        <w:t xml:space="preserve"> Daartegenover staat dat de Nederlandse staat voor deze lening zelf geen schuld hoeft op te halen, waardoor </w:t>
      </w:r>
      <w:r w:rsidR="00AF3A95">
        <w:rPr>
          <w:sz w:val="14"/>
          <w:szCs w:val="14"/>
        </w:rPr>
        <w:t>ook</w:t>
      </w:r>
      <w:r w:rsidRPr="00994FFA">
        <w:rPr>
          <w:sz w:val="14"/>
          <w:szCs w:val="14"/>
        </w:rPr>
        <w:t xml:space="preserve"> rentekosten op de staatsschuld bespaard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2BEA" w14:textId="77777777" w:rsidR="004D697C" w:rsidRDefault="001F3CE0">
    <w:r>
      <w:rPr>
        <w:noProof/>
      </w:rPr>
      <mc:AlternateContent>
        <mc:Choice Requires="wps">
          <w:drawing>
            <wp:anchor distT="0" distB="0" distL="0" distR="0" simplePos="0" relativeHeight="251652096" behindDoc="0" locked="1" layoutInCell="1" allowOverlap="1" wp14:anchorId="045539B4" wp14:editId="5493661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2D9CA77" w14:textId="77777777" w:rsidR="001F3CE0" w:rsidRDefault="001F3CE0"/>
                      </w:txbxContent>
                    </wps:txbx>
                    <wps:bodyPr vert="horz" wrap="square" lIns="0" tIns="0" rIns="0" bIns="0" anchor="t" anchorCtr="0"/>
                  </wps:wsp>
                </a:graphicData>
              </a:graphic>
            </wp:anchor>
          </w:drawing>
        </mc:Choice>
        <mc:Fallback>
          <w:pict>
            <v:shapetype w14:anchorId="045539B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2D9CA77" w14:textId="77777777" w:rsidR="001F3CE0" w:rsidRDefault="001F3CE0"/>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5BF4C14" wp14:editId="06D6740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67DBAF" w14:textId="77777777" w:rsidR="004D697C" w:rsidRDefault="001F3CE0">
                          <w:pPr>
                            <w:pStyle w:val="Referentiegegevensbold"/>
                          </w:pPr>
                          <w:r>
                            <w:t>Datum</w:t>
                          </w:r>
                        </w:p>
                        <w:p w14:paraId="7E63BCDC" w14:textId="77777777" w:rsidR="004D697C" w:rsidRDefault="004D697C">
                          <w:pPr>
                            <w:pStyle w:val="Referentiegegevens"/>
                          </w:pPr>
                        </w:p>
                        <w:p w14:paraId="53514087" w14:textId="77777777" w:rsidR="004D697C" w:rsidRDefault="004D697C">
                          <w:pPr>
                            <w:pStyle w:val="WitregelW1"/>
                          </w:pPr>
                        </w:p>
                        <w:p w14:paraId="6F255794" w14:textId="77777777" w:rsidR="004D697C" w:rsidRDefault="001F3CE0">
                          <w:pPr>
                            <w:pStyle w:val="Referentiegegevensbold"/>
                          </w:pPr>
                          <w:r>
                            <w:t>Onze referentie</w:t>
                          </w:r>
                        </w:p>
                        <w:p w14:paraId="069DAF1F" w14:textId="05964C4C" w:rsidR="00325A0C" w:rsidRDefault="00837109">
                          <w:pPr>
                            <w:pStyle w:val="Referentiegegevens"/>
                          </w:pPr>
                          <w:fldSimple w:instr=" DOCPROPERTY  &quot;Kenmerk&quot;  \* MERGEFORMAT ">
                            <w:r w:rsidR="00CC5698">
                              <w:t>2026-0000253377</w:t>
                            </w:r>
                          </w:fldSimple>
                        </w:p>
                      </w:txbxContent>
                    </wps:txbx>
                    <wps:bodyPr vert="horz" wrap="square" lIns="0" tIns="0" rIns="0" bIns="0" anchor="t" anchorCtr="0"/>
                  </wps:wsp>
                </a:graphicData>
              </a:graphic>
            </wp:anchor>
          </w:drawing>
        </mc:Choice>
        <mc:Fallback>
          <w:pict>
            <v:shape w14:anchorId="35BF4C14"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F67DBAF" w14:textId="77777777" w:rsidR="004D697C" w:rsidRDefault="001F3CE0">
                    <w:pPr>
                      <w:pStyle w:val="Referentiegegevensbold"/>
                    </w:pPr>
                    <w:r>
                      <w:t>Datum</w:t>
                    </w:r>
                  </w:p>
                  <w:p w14:paraId="7E63BCDC" w14:textId="77777777" w:rsidR="004D697C" w:rsidRDefault="004D697C">
                    <w:pPr>
                      <w:pStyle w:val="Referentiegegevens"/>
                    </w:pPr>
                  </w:p>
                  <w:p w14:paraId="53514087" w14:textId="77777777" w:rsidR="004D697C" w:rsidRDefault="004D697C">
                    <w:pPr>
                      <w:pStyle w:val="WitregelW1"/>
                    </w:pPr>
                  </w:p>
                  <w:p w14:paraId="6F255794" w14:textId="77777777" w:rsidR="004D697C" w:rsidRDefault="001F3CE0">
                    <w:pPr>
                      <w:pStyle w:val="Referentiegegevensbold"/>
                    </w:pPr>
                    <w:r>
                      <w:t>Onze referentie</w:t>
                    </w:r>
                  </w:p>
                  <w:p w14:paraId="069DAF1F" w14:textId="05964C4C" w:rsidR="00325A0C" w:rsidRDefault="00837109">
                    <w:pPr>
                      <w:pStyle w:val="Referentiegegevens"/>
                    </w:pPr>
                    <w:fldSimple w:instr=" DOCPROPERTY  &quot;Kenmerk&quot;  \* MERGEFORMAT ">
                      <w:r w:rsidR="00CC5698">
                        <w:t>2026-0000253377</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C2F204A" wp14:editId="66F6A39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3F7B0E" w14:textId="77777777" w:rsidR="001F3CE0" w:rsidRDefault="001F3CE0"/>
                      </w:txbxContent>
                    </wps:txbx>
                    <wps:bodyPr vert="horz" wrap="square" lIns="0" tIns="0" rIns="0" bIns="0" anchor="t" anchorCtr="0"/>
                  </wps:wsp>
                </a:graphicData>
              </a:graphic>
            </wp:anchor>
          </w:drawing>
        </mc:Choice>
        <mc:Fallback>
          <w:pict>
            <v:shape w14:anchorId="6C2F204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13F7B0E" w14:textId="77777777" w:rsidR="001F3CE0" w:rsidRDefault="001F3CE0"/>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EEF3A5E" wp14:editId="5A9EDF7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D78B44" w14:textId="77777777" w:rsidR="00325A0C" w:rsidRDefault="00CC569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EEF3A5E"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5D78B44" w14:textId="77777777" w:rsidR="00325A0C" w:rsidRDefault="00CC569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2428" w14:textId="77777777" w:rsidR="004D697C" w:rsidRDefault="001F3CE0">
    <w:pPr>
      <w:spacing w:after="6377" w:line="14" w:lineRule="exact"/>
    </w:pPr>
    <w:r>
      <w:rPr>
        <w:noProof/>
      </w:rPr>
      <mc:AlternateContent>
        <mc:Choice Requires="wps">
          <w:drawing>
            <wp:anchor distT="0" distB="0" distL="0" distR="0" simplePos="0" relativeHeight="251656192" behindDoc="0" locked="1" layoutInCell="1" allowOverlap="1" wp14:anchorId="1BEEF434" wp14:editId="391B35E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32B911" w14:textId="77777777" w:rsidR="004D697C" w:rsidRDefault="001F3CE0">
                          <w:pPr>
                            <w:spacing w:line="240" w:lineRule="auto"/>
                          </w:pPr>
                          <w:r>
                            <w:rPr>
                              <w:noProof/>
                            </w:rPr>
                            <w:drawing>
                              <wp:inline distT="0" distB="0" distL="0" distR="0" wp14:anchorId="7A0A2C0D" wp14:editId="7348E6F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EEF434"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F32B911" w14:textId="77777777" w:rsidR="004D697C" w:rsidRDefault="001F3CE0">
                    <w:pPr>
                      <w:spacing w:line="240" w:lineRule="auto"/>
                    </w:pPr>
                    <w:r>
                      <w:rPr>
                        <w:noProof/>
                      </w:rPr>
                      <w:drawing>
                        <wp:inline distT="0" distB="0" distL="0" distR="0" wp14:anchorId="7A0A2C0D" wp14:editId="7348E6F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3F08010" wp14:editId="1C6DE42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437BE1" w14:textId="77777777" w:rsidR="004D697C" w:rsidRDefault="001F3CE0">
                          <w:pPr>
                            <w:spacing w:line="240" w:lineRule="auto"/>
                          </w:pPr>
                          <w:r>
                            <w:rPr>
                              <w:noProof/>
                            </w:rPr>
                            <w:drawing>
                              <wp:inline distT="0" distB="0" distL="0" distR="0" wp14:anchorId="4ED2198D" wp14:editId="6D2B257D">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F08010"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E437BE1" w14:textId="77777777" w:rsidR="004D697C" w:rsidRDefault="001F3CE0">
                    <w:pPr>
                      <w:spacing w:line="240" w:lineRule="auto"/>
                    </w:pPr>
                    <w:r>
                      <w:rPr>
                        <w:noProof/>
                      </w:rPr>
                      <w:drawing>
                        <wp:inline distT="0" distB="0" distL="0" distR="0" wp14:anchorId="4ED2198D" wp14:editId="6D2B257D">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ED61C5C" wp14:editId="370AC2C0">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839DC1" w14:textId="77777777" w:rsidR="004D697C" w:rsidRDefault="001F3CE0">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3ED61C5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E839DC1" w14:textId="77777777" w:rsidR="004D697C" w:rsidRDefault="001F3CE0">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2DE049C" wp14:editId="0A63ABBE">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423147" w14:textId="77777777" w:rsidR="005F4426" w:rsidRDefault="005F4426">
                          <w:r w:rsidRPr="005F4426">
                            <w:t>Voorzitter van de Tweede Kamer der Staten-Generaal</w:t>
                          </w:r>
                        </w:p>
                        <w:p w14:paraId="5D694310" w14:textId="77777777" w:rsidR="005F4426" w:rsidRDefault="005F4426">
                          <w:r w:rsidRPr="005F4426">
                            <w:t xml:space="preserve">Postbus 20018 </w:t>
                          </w:r>
                        </w:p>
                        <w:p w14:paraId="2A3EA796" w14:textId="77777777" w:rsidR="004D697C" w:rsidRDefault="005F4426">
                          <w:r w:rsidRPr="005F4426">
                            <w:t xml:space="preserve">2500 EA </w:t>
                          </w:r>
                          <w:r>
                            <w:t xml:space="preserve"> </w:t>
                          </w:r>
                          <w:r w:rsidRPr="005F4426">
                            <w:t>DEN HAAG</w:t>
                          </w:r>
                        </w:p>
                      </w:txbxContent>
                    </wps:txbx>
                    <wps:bodyPr vert="horz" wrap="square" lIns="0" tIns="0" rIns="0" bIns="0" anchor="t" anchorCtr="0"/>
                  </wps:wsp>
                </a:graphicData>
              </a:graphic>
            </wp:anchor>
          </w:drawing>
        </mc:Choice>
        <mc:Fallback>
          <w:pict>
            <v:shape w14:anchorId="32DE049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3423147" w14:textId="77777777" w:rsidR="005F4426" w:rsidRDefault="005F4426">
                    <w:r w:rsidRPr="005F4426">
                      <w:t>Voorzitter van de Tweede Kamer der Staten-Generaal</w:t>
                    </w:r>
                  </w:p>
                  <w:p w14:paraId="5D694310" w14:textId="77777777" w:rsidR="005F4426" w:rsidRDefault="005F4426">
                    <w:r w:rsidRPr="005F4426">
                      <w:t xml:space="preserve">Postbus 20018 </w:t>
                    </w:r>
                  </w:p>
                  <w:p w14:paraId="2A3EA796" w14:textId="77777777" w:rsidR="004D697C" w:rsidRDefault="005F4426">
                    <w:r w:rsidRPr="005F4426">
                      <w:t xml:space="preserve">2500 EA </w:t>
                    </w:r>
                    <w:r>
                      <w:t xml:space="preserve"> </w:t>
                    </w:r>
                    <w:r w:rsidRPr="005F4426">
                      <w:t>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CC04E0C" wp14:editId="687EFAC6">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D697C" w14:paraId="76689F6D" w14:textId="77777777">
                            <w:trPr>
                              <w:trHeight w:val="240"/>
                            </w:trPr>
                            <w:tc>
                              <w:tcPr>
                                <w:tcW w:w="1140" w:type="dxa"/>
                              </w:tcPr>
                              <w:p w14:paraId="39F49C49" w14:textId="77777777" w:rsidR="004D697C" w:rsidRDefault="001F3CE0">
                                <w:r>
                                  <w:t>Datum</w:t>
                                </w:r>
                              </w:p>
                            </w:tc>
                            <w:tc>
                              <w:tcPr>
                                <w:tcW w:w="5918" w:type="dxa"/>
                              </w:tcPr>
                              <w:p w14:paraId="781C72AF" w14:textId="69B2826B" w:rsidR="004D697C" w:rsidRDefault="00CC5698">
                                <w:sdt>
                                  <w:sdtPr>
                                    <w:id w:val="-154988048"/>
                                    <w:date w:fullDate="2026-07-03T00:00:00Z">
                                      <w:dateFormat w:val="d MMMM yyyy"/>
                                      <w:lid w:val="nl"/>
                                      <w:storeMappedDataAs w:val="dateTime"/>
                                      <w:calendar w:val="gregorian"/>
                                    </w:date>
                                  </w:sdtPr>
                                  <w:sdtEndPr/>
                                  <w:sdtContent>
                                    <w:r>
                                      <w:t>3 juli 2026</w:t>
                                    </w:r>
                                  </w:sdtContent>
                                </w:sdt>
                              </w:p>
                            </w:tc>
                          </w:tr>
                          <w:tr w:rsidR="004D697C" w14:paraId="6630047C" w14:textId="77777777">
                            <w:trPr>
                              <w:trHeight w:val="240"/>
                            </w:trPr>
                            <w:tc>
                              <w:tcPr>
                                <w:tcW w:w="1140" w:type="dxa"/>
                              </w:tcPr>
                              <w:p w14:paraId="26B9228B" w14:textId="77777777" w:rsidR="004D697C" w:rsidRDefault="001F3CE0">
                                <w:r>
                                  <w:t>Betreft</w:t>
                                </w:r>
                              </w:p>
                            </w:tc>
                            <w:tc>
                              <w:tcPr>
                                <w:tcW w:w="5918" w:type="dxa"/>
                              </w:tcPr>
                              <w:p w14:paraId="276EF169" w14:textId="77777777" w:rsidR="004D697C" w:rsidRDefault="001F3CE0">
                                <w:r>
                                  <w:t xml:space="preserve">Afronding transactie </w:t>
                                </w:r>
                                <w:proofErr w:type="spellStart"/>
                                <w:r>
                                  <w:t>TenneT</w:t>
                                </w:r>
                                <w:proofErr w:type="spellEnd"/>
                                <w:r>
                                  <w:t xml:space="preserve"> Duitsland</w:t>
                                </w:r>
                              </w:p>
                            </w:tc>
                          </w:tr>
                        </w:tbl>
                        <w:p w14:paraId="5B2903DA" w14:textId="77777777" w:rsidR="001F3CE0" w:rsidRDefault="001F3CE0"/>
                      </w:txbxContent>
                    </wps:txbx>
                    <wps:bodyPr vert="horz" wrap="square" lIns="0" tIns="0" rIns="0" bIns="0" anchor="t" anchorCtr="0"/>
                  </wps:wsp>
                </a:graphicData>
              </a:graphic>
            </wp:anchor>
          </w:drawing>
        </mc:Choice>
        <mc:Fallback>
          <w:pict>
            <v:shape w14:anchorId="2CC04E0C"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D697C" w14:paraId="76689F6D" w14:textId="77777777">
                      <w:trPr>
                        <w:trHeight w:val="240"/>
                      </w:trPr>
                      <w:tc>
                        <w:tcPr>
                          <w:tcW w:w="1140" w:type="dxa"/>
                        </w:tcPr>
                        <w:p w14:paraId="39F49C49" w14:textId="77777777" w:rsidR="004D697C" w:rsidRDefault="001F3CE0">
                          <w:r>
                            <w:t>Datum</w:t>
                          </w:r>
                        </w:p>
                      </w:tc>
                      <w:tc>
                        <w:tcPr>
                          <w:tcW w:w="5918" w:type="dxa"/>
                        </w:tcPr>
                        <w:p w14:paraId="781C72AF" w14:textId="69B2826B" w:rsidR="004D697C" w:rsidRDefault="00CC5698">
                          <w:sdt>
                            <w:sdtPr>
                              <w:id w:val="-154988048"/>
                              <w:date w:fullDate="2026-07-03T00:00:00Z">
                                <w:dateFormat w:val="d MMMM yyyy"/>
                                <w:lid w:val="nl"/>
                                <w:storeMappedDataAs w:val="dateTime"/>
                                <w:calendar w:val="gregorian"/>
                              </w:date>
                            </w:sdtPr>
                            <w:sdtEndPr/>
                            <w:sdtContent>
                              <w:r>
                                <w:t>3 juli 2026</w:t>
                              </w:r>
                            </w:sdtContent>
                          </w:sdt>
                        </w:p>
                      </w:tc>
                    </w:tr>
                    <w:tr w:rsidR="004D697C" w14:paraId="6630047C" w14:textId="77777777">
                      <w:trPr>
                        <w:trHeight w:val="240"/>
                      </w:trPr>
                      <w:tc>
                        <w:tcPr>
                          <w:tcW w:w="1140" w:type="dxa"/>
                        </w:tcPr>
                        <w:p w14:paraId="26B9228B" w14:textId="77777777" w:rsidR="004D697C" w:rsidRDefault="001F3CE0">
                          <w:r>
                            <w:t>Betreft</w:t>
                          </w:r>
                        </w:p>
                      </w:tc>
                      <w:tc>
                        <w:tcPr>
                          <w:tcW w:w="5918" w:type="dxa"/>
                        </w:tcPr>
                        <w:p w14:paraId="276EF169" w14:textId="77777777" w:rsidR="004D697C" w:rsidRDefault="001F3CE0">
                          <w:r>
                            <w:t xml:space="preserve">Afronding transactie </w:t>
                          </w:r>
                          <w:proofErr w:type="spellStart"/>
                          <w:r>
                            <w:t>TenneT</w:t>
                          </w:r>
                          <w:proofErr w:type="spellEnd"/>
                          <w:r>
                            <w:t xml:space="preserve"> Duitsland</w:t>
                          </w:r>
                        </w:p>
                      </w:tc>
                    </w:tr>
                  </w:tbl>
                  <w:p w14:paraId="5B2903DA" w14:textId="77777777" w:rsidR="001F3CE0" w:rsidRDefault="001F3CE0"/>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A6764A7" wp14:editId="1B8D5BF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D347FF" w14:textId="77777777" w:rsidR="004D697C" w:rsidRDefault="001F3CE0">
                          <w:pPr>
                            <w:pStyle w:val="Referentiegegevens"/>
                          </w:pPr>
                          <w:r>
                            <w:t>Korte Voorhout 7</w:t>
                          </w:r>
                        </w:p>
                        <w:p w14:paraId="5F7DDB40" w14:textId="77777777" w:rsidR="004D697C" w:rsidRDefault="001F3CE0">
                          <w:pPr>
                            <w:pStyle w:val="Referentiegegevens"/>
                          </w:pPr>
                          <w:r>
                            <w:t>2511 CW Den Haag</w:t>
                          </w:r>
                        </w:p>
                        <w:p w14:paraId="7A510960" w14:textId="77777777" w:rsidR="004D697C" w:rsidRDefault="001F3CE0">
                          <w:pPr>
                            <w:pStyle w:val="Referentiegegevens"/>
                          </w:pPr>
                          <w:r>
                            <w:t>POSTBUS 20201</w:t>
                          </w:r>
                        </w:p>
                        <w:p w14:paraId="11E1B3FE" w14:textId="77777777" w:rsidR="004D697C" w:rsidRDefault="001F3CE0">
                          <w:pPr>
                            <w:pStyle w:val="Referentiegegevens"/>
                          </w:pPr>
                          <w:r>
                            <w:t>2500 EE  Den Haag</w:t>
                          </w:r>
                        </w:p>
                        <w:p w14:paraId="1AC2E487" w14:textId="77777777" w:rsidR="004D697C" w:rsidRPr="003571ED" w:rsidRDefault="004D697C">
                          <w:pPr>
                            <w:pStyle w:val="WitregelW2"/>
                          </w:pPr>
                        </w:p>
                        <w:p w14:paraId="41C5CCEF" w14:textId="77777777" w:rsidR="004D697C" w:rsidRDefault="001F3CE0">
                          <w:pPr>
                            <w:pStyle w:val="Referentiegegevensbold"/>
                          </w:pPr>
                          <w:r>
                            <w:t>Onze referentie</w:t>
                          </w:r>
                        </w:p>
                        <w:p w14:paraId="5C53C803" w14:textId="1377C33F" w:rsidR="00325A0C" w:rsidRDefault="00837109">
                          <w:pPr>
                            <w:pStyle w:val="Referentiegegevens"/>
                          </w:pPr>
                          <w:fldSimple w:instr=" DOCPROPERTY  &quot;Kenmerk&quot;  \* MERGEFORMAT ">
                            <w:r w:rsidR="00CC5698">
                              <w:t>2026-0000253377</w:t>
                            </w:r>
                          </w:fldSimple>
                        </w:p>
                        <w:p w14:paraId="152CF71B" w14:textId="77777777" w:rsidR="004D697C" w:rsidRDefault="004D697C">
                          <w:pPr>
                            <w:pStyle w:val="WitregelW1"/>
                          </w:pPr>
                        </w:p>
                        <w:p w14:paraId="79107C61" w14:textId="77777777" w:rsidR="004D697C" w:rsidRDefault="004D697C"/>
                      </w:txbxContent>
                    </wps:txbx>
                    <wps:bodyPr vert="horz" wrap="square" lIns="0" tIns="0" rIns="0" bIns="0" anchor="t" anchorCtr="0"/>
                  </wps:wsp>
                </a:graphicData>
              </a:graphic>
            </wp:anchor>
          </w:drawing>
        </mc:Choice>
        <mc:Fallback>
          <w:pict>
            <v:shape w14:anchorId="6A6764A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7D347FF" w14:textId="77777777" w:rsidR="004D697C" w:rsidRDefault="001F3CE0">
                    <w:pPr>
                      <w:pStyle w:val="Referentiegegevens"/>
                    </w:pPr>
                    <w:r>
                      <w:t>Korte Voorhout 7</w:t>
                    </w:r>
                  </w:p>
                  <w:p w14:paraId="5F7DDB40" w14:textId="77777777" w:rsidR="004D697C" w:rsidRDefault="001F3CE0">
                    <w:pPr>
                      <w:pStyle w:val="Referentiegegevens"/>
                    </w:pPr>
                    <w:r>
                      <w:t>2511 CW Den Haag</w:t>
                    </w:r>
                  </w:p>
                  <w:p w14:paraId="7A510960" w14:textId="77777777" w:rsidR="004D697C" w:rsidRDefault="001F3CE0">
                    <w:pPr>
                      <w:pStyle w:val="Referentiegegevens"/>
                    </w:pPr>
                    <w:r>
                      <w:t>POSTBUS 20201</w:t>
                    </w:r>
                  </w:p>
                  <w:p w14:paraId="11E1B3FE" w14:textId="77777777" w:rsidR="004D697C" w:rsidRDefault="001F3CE0">
                    <w:pPr>
                      <w:pStyle w:val="Referentiegegevens"/>
                    </w:pPr>
                    <w:r>
                      <w:t>2500 EE  Den Haag</w:t>
                    </w:r>
                  </w:p>
                  <w:p w14:paraId="1AC2E487" w14:textId="77777777" w:rsidR="004D697C" w:rsidRPr="003571ED" w:rsidRDefault="004D697C">
                    <w:pPr>
                      <w:pStyle w:val="WitregelW2"/>
                    </w:pPr>
                  </w:p>
                  <w:p w14:paraId="41C5CCEF" w14:textId="77777777" w:rsidR="004D697C" w:rsidRDefault="001F3CE0">
                    <w:pPr>
                      <w:pStyle w:val="Referentiegegevensbold"/>
                    </w:pPr>
                    <w:r>
                      <w:t>Onze referentie</w:t>
                    </w:r>
                  </w:p>
                  <w:p w14:paraId="5C53C803" w14:textId="1377C33F" w:rsidR="00325A0C" w:rsidRDefault="00837109">
                    <w:pPr>
                      <w:pStyle w:val="Referentiegegevens"/>
                    </w:pPr>
                    <w:fldSimple w:instr=" DOCPROPERTY  &quot;Kenmerk&quot;  \* MERGEFORMAT ">
                      <w:r w:rsidR="00CC5698">
                        <w:t>2026-0000253377</w:t>
                      </w:r>
                    </w:fldSimple>
                  </w:p>
                  <w:p w14:paraId="152CF71B" w14:textId="77777777" w:rsidR="004D697C" w:rsidRDefault="004D697C">
                    <w:pPr>
                      <w:pStyle w:val="WitregelW1"/>
                    </w:pPr>
                  </w:p>
                  <w:p w14:paraId="79107C61" w14:textId="77777777" w:rsidR="004D697C" w:rsidRDefault="004D697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90F0CBF" wp14:editId="7168BD52">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7370A47" w14:textId="77777777" w:rsidR="00325A0C" w:rsidRDefault="00CC569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0F0CBF"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7370A47" w14:textId="77777777" w:rsidR="00325A0C" w:rsidRDefault="00CC569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A33ECFF" wp14:editId="1517D65F">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BFE568" w14:textId="77777777" w:rsidR="001F3CE0" w:rsidRDefault="001F3CE0"/>
                      </w:txbxContent>
                    </wps:txbx>
                    <wps:bodyPr vert="horz" wrap="square" lIns="0" tIns="0" rIns="0" bIns="0" anchor="t" anchorCtr="0"/>
                  </wps:wsp>
                </a:graphicData>
              </a:graphic>
            </wp:anchor>
          </w:drawing>
        </mc:Choice>
        <mc:Fallback>
          <w:pict>
            <v:shape w14:anchorId="5A33ECFF"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3BFE568" w14:textId="77777777" w:rsidR="001F3CE0" w:rsidRDefault="001F3CE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39969"/>
    <w:multiLevelType w:val="multilevel"/>
    <w:tmpl w:val="A60D30B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EE76671"/>
    <w:multiLevelType w:val="multilevel"/>
    <w:tmpl w:val="A3B378E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4E92C28"/>
    <w:multiLevelType w:val="hybridMultilevel"/>
    <w:tmpl w:val="B3069140"/>
    <w:lvl w:ilvl="0" w:tplc="BDD62A4A">
      <w:start w:val="25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4864BA"/>
    <w:multiLevelType w:val="hybridMultilevel"/>
    <w:tmpl w:val="606CACC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8FF02EA"/>
    <w:multiLevelType w:val="hybridMultilevel"/>
    <w:tmpl w:val="D11A80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D624EA4"/>
    <w:multiLevelType w:val="hybridMultilevel"/>
    <w:tmpl w:val="8392F3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84AF38D"/>
    <w:multiLevelType w:val="multilevel"/>
    <w:tmpl w:val="FBE0A96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8DF4E34"/>
    <w:multiLevelType w:val="multilevel"/>
    <w:tmpl w:val="C1CE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26F88"/>
    <w:multiLevelType w:val="multilevel"/>
    <w:tmpl w:val="1B193A3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98894267">
    <w:abstractNumId w:val="8"/>
  </w:num>
  <w:num w:numId="2" w16cid:durableId="930315981">
    <w:abstractNumId w:val="0"/>
  </w:num>
  <w:num w:numId="3" w16cid:durableId="996303277">
    <w:abstractNumId w:val="1"/>
  </w:num>
  <w:num w:numId="4" w16cid:durableId="2116827685">
    <w:abstractNumId w:val="6"/>
  </w:num>
  <w:num w:numId="5" w16cid:durableId="300769977">
    <w:abstractNumId w:val="5"/>
  </w:num>
  <w:num w:numId="6" w16cid:durableId="616251998">
    <w:abstractNumId w:val="7"/>
  </w:num>
  <w:num w:numId="7" w16cid:durableId="117457651">
    <w:abstractNumId w:val="4"/>
  </w:num>
  <w:num w:numId="8" w16cid:durableId="1725059976">
    <w:abstractNumId w:val="2"/>
  </w:num>
  <w:num w:numId="9" w16cid:durableId="1869637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7C"/>
    <w:rsid w:val="0001115B"/>
    <w:rsid w:val="000510FA"/>
    <w:rsid w:val="00096C8B"/>
    <w:rsid w:val="000A5DD1"/>
    <w:rsid w:val="000D07A1"/>
    <w:rsid w:val="001348D1"/>
    <w:rsid w:val="00153199"/>
    <w:rsid w:val="00155BD7"/>
    <w:rsid w:val="001F3CE0"/>
    <w:rsid w:val="00235042"/>
    <w:rsid w:val="00265A59"/>
    <w:rsid w:val="00283F39"/>
    <w:rsid w:val="002C4E84"/>
    <w:rsid w:val="002D473E"/>
    <w:rsid w:val="002E255D"/>
    <w:rsid w:val="00325A0C"/>
    <w:rsid w:val="00327F35"/>
    <w:rsid w:val="003336BE"/>
    <w:rsid w:val="00353A6B"/>
    <w:rsid w:val="003571ED"/>
    <w:rsid w:val="003606CE"/>
    <w:rsid w:val="003C4A63"/>
    <w:rsid w:val="003C5609"/>
    <w:rsid w:val="0041653F"/>
    <w:rsid w:val="004D697C"/>
    <w:rsid w:val="004F4675"/>
    <w:rsid w:val="005F4426"/>
    <w:rsid w:val="00610455"/>
    <w:rsid w:val="006664CB"/>
    <w:rsid w:val="00683BF4"/>
    <w:rsid w:val="006848FD"/>
    <w:rsid w:val="006E5A09"/>
    <w:rsid w:val="006F5348"/>
    <w:rsid w:val="00783984"/>
    <w:rsid w:val="00830315"/>
    <w:rsid w:val="00837109"/>
    <w:rsid w:val="008B7070"/>
    <w:rsid w:val="00961880"/>
    <w:rsid w:val="009852A3"/>
    <w:rsid w:val="00992622"/>
    <w:rsid w:val="0099468E"/>
    <w:rsid w:val="00995AF5"/>
    <w:rsid w:val="009B1299"/>
    <w:rsid w:val="00A734AF"/>
    <w:rsid w:val="00AC5B97"/>
    <w:rsid w:val="00AF3A95"/>
    <w:rsid w:val="00B1428A"/>
    <w:rsid w:val="00B753BF"/>
    <w:rsid w:val="00BA3B59"/>
    <w:rsid w:val="00BA5426"/>
    <w:rsid w:val="00C23DF0"/>
    <w:rsid w:val="00C336B8"/>
    <w:rsid w:val="00C739DE"/>
    <w:rsid w:val="00C74E77"/>
    <w:rsid w:val="00C77973"/>
    <w:rsid w:val="00CC5698"/>
    <w:rsid w:val="00CD2B0E"/>
    <w:rsid w:val="00D03178"/>
    <w:rsid w:val="00D476F7"/>
    <w:rsid w:val="00D81F0F"/>
    <w:rsid w:val="00D838D2"/>
    <w:rsid w:val="00DB0F4D"/>
    <w:rsid w:val="00DF1C3A"/>
    <w:rsid w:val="00E20ECE"/>
    <w:rsid w:val="00E343A1"/>
    <w:rsid w:val="00E53EB1"/>
    <w:rsid w:val="00E64E06"/>
    <w:rsid w:val="00F44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2A5E7"/>
  <w15:docId w15:val="{124F36D2-7967-47CD-963B-3C8CE8C7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F44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4426"/>
    <w:rPr>
      <w:rFonts w:ascii="Verdana" w:hAnsi="Verdana"/>
      <w:color w:val="000000"/>
      <w:sz w:val="18"/>
      <w:szCs w:val="18"/>
    </w:rPr>
  </w:style>
  <w:style w:type="paragraph" w:styleId="Voettekst">
    <w:name w:val="footer"/>
    <w:basedOn w:val="Standaard"/>
    <w:link w:val="VoettekstChar"/>
    <w:uiPriority w:val="99"/>
    <w:unhideWhenUsed/>
    <w:rsid w:val="005F44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F4426"/>
    <w:rPr>
      <w:rFonts w:ascii="Verdana" w:hAnsi="Verdana"/>
      <w:color w:val="000000"/>
      <w:sz w:val="18"/>
      <w:szCs w:val="18"/>
    </w:rPr>
  </w:style>
  <w:style w:type="paragraph" w:styleId="Voetnoottekst">
    <w:name w:val="footnote text"/>
    <w:aliases w:val="Voetnoottekst Char1 Char,Voetnoottekst Char Char Char,Voetnoottekst Char2 Char Char1 Char,Voetnoottekst Char1 Char Char Char Char,Voetnoottekst Char Char Char Char Char Char,Voetnoottekst Char3 Char Char Char,Voetnoottekst Char2,Char"/>
    <w:basedOn w:val="Standaard"/>
    <w:link w:val="VoetnoottekstChar"/>
    <w:uiPriority w:val="99"/>
    <w:unhideWhenUsed/>
    <w:qFormat/>
    <w:rsid w:val="005F4426"/>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aliases w:val="Voetnoottekst Char1 Char Char,Voetnoottekst Char Char Char Char,Voetnoottekst Char2 Char Char1 Char Char,Voetnoottekst Char1 Char Char Char Char Char,Voetnoottekst Char Char Char Char Char Char Char,Voetnoottekst Char2 Char,Char Char"/>
    <w:basedOn w:val="Standaardalinea-lettertype"/>
    <w:link w:val="Voetnoottekst"/>
    <w:uiPriority w:val="99"/>
    <w:rsid w:val="005F4426"/>
    <w:rPr>
      <w:rFonts w:ascii="Verdana" w:eastAsiaTheme="minorHAnsi" w:hAnsi="Verdana" w:cstheme="minorBidi"/>
      <w:lang w:eastAsia="en-US"/>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5F4426"/>
    <w:rPr>
      <w:vertAlign w:val="superscript"/>
    </w:rPr>
  </w:style>
  <w:style w:type="paragraph" w:styleId="Lijstalinea">
    <w:name w:val="List Paragraph"/>
    <w:basedOn w:val="Standaard"/>
    <w:uiPriority w:val="34"/>
    <w:semiHidden/>
    <w:rsid w:val="003336BE"/>
    <w:pPr>
      <w:ind w:left="720"/>
      <w:contextualSpacing/>
    </w:pPr>
  </w:style>
  <w:style w:type="character" w:styleId="Verwijzingopmerking">
    <w:name w:val="annotation reference"/>
    <w:basedOn w:val="Standaardalinea-lettertype"/>
    <w:uiPriority w:val="99"/>
    <w:semiHidden/>
    <w:unhideWhenUsed/>
    <w:rsid w:val="003336BE"/>
    <w:rPr>
      <w:sz w:val="16"/>
      <w:szCs w:val="16"/>
    </w:rPr>
  </w:style>
  <w:style w:type="paragraph" w:styleId="Tekstopmerking">
    <w:name w:val="annotation text"/>
    <w:basedOn w:val="Standaard"/>
    <w:link w:val="TekstopmerkingChar"/>
    <w:uiPriority w:val="99"/>
    <w:unhideWhenUsed/>
    <w:rsid w:val="003336BE"/>
    <w:pPr>
      <w:spacing w:line="240" w:lineRule="auto"/>
    </w:pPr>
    <w:rPr>
      <w:sz w:val="20"/>
      <w:szCs w:val="20"/>
    </w:rPr>
  </w:style>
  <w:style w:type="character" w:customStyle="1" w:styleId="TekstopmerkingChar">
    <w:name w:val="Tekst opmerking Char"/>
    <w:basedOn w:val="Standaardalinea-lettertype"/>
    <w:link w:val="Tekstopmerking"/>
    <w:uiPriority w:val="99"/>
    <w:rsid w:val="003336B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336BE"/>
    <w:rPr>
      <w:b/>
      <w:bCs/>
    </w:rPr>
  </w:style>
  <w:style w:type="character" w:customStyle="1" w:styleId="OnderwerpvanopmerkingChar">
    <w:name w:val="Onderwerp van opmerking Char"/>
    <w:basedOn w:val="TekstopmerkingChar"/>
    <w:link w:val="Onderwerpvanopmerking"/>
    <w:uiPriority w:val="99"/>
    <w:semiHidden/>
    <w:rsid w:val="003336BE"/>
    <w:rPr>
      <w:rFonts w:ascii="Verdana" w:hAnsi="Verdana"/>
      <w:b/>
      <w:bCs/>
      <w:color w:val="000000"/>
    </w:rPr>
  </w:style>
  <w:style w:type="paragraph" w:styleId="Revisie">
    <w:name w:val="Revision"/>
    <w:hidden/>
    <w:uiPriority w:val="99"/>
    <w:semiHidden/>
    <w:rsid w:val="00E343A1"/>
    <w:pPr>
      <w:autoSpaceDN/>
      <w:textAlignment w:val="auto"/>
    </w:pPr>
    <w:rPr>
      <w:rFonts w:ascii="Verdana" w:hAnsi="Verdana"/>
      <w:color w:val="000000"/>
      <w:sz w:val="18"/>
      <w:szCs w:val="18"/>
    </w:rPr>
  </w:style>
  <w:style w:type="table" w:customStyle="1" w:styleId="Tabelraster1">
    <w:name w:val="Tabelraster1"/>
    <w:next w:val="Tabelraster"/>
    <w:uiPriority w:val="39"/>
    <w:rsid w:val="00096C8B"/>
    <w:pPr>
      <w:textAlignment w:val="auto"/>
    </w:pP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24495">
      <w:bodyDiv w:val="1"/>
      <w:marLeft w:val="0"/>
      <w:marRight w:val="0"/>
      <w:marTop w:val="0"/>
      <w:marBottom w:val="0"/>
      <w:divBdr>
        <w:top w:val="none" w:sz="0" w:space="0" w:color="auto"/>
        <w:left w:val="none" w:sz="0" w:space="0" w:color="auto"/>
        <w:bottom w:val="none" w:sz="0" w:space="0" w:color="auto"/>
        <w:right w:val="none" w:sz="0" w:space="0" w:color="auto"/>
      </w:divBdr>
    </w:div>
    <w:div w:id="602304672">
      <w:bodyDiv w:val="1"/>
      <w:marLeft w:val="0"/>
      <w:marRight w:val="0"/>
      <w:marTop w:val="0"/>
      <w:marBottom w:val="0"/>
      <w:divBdr>
        <w:top w:val="none" w:sz="0" w:space="0" w:color="auto"/>
        <w:left w:val="none" w:sz="0" w:space="0" w:color="auto"/>
        <w:bottom w:val="none" w:sz="0" w:space="0" w:color="auto"/>
        <w:right w:val="none" w:sz="0" w:space="0" w:color="auto"/>
      </w:divBdr>
    </w:div>
    <w:div w:id="604922963">
      <w:bodyDiv w:val="1"/>
      <w:marLeft w:val="0"/>
      <w:marRight w:val="0"/>
      <w:marTop w:val="0"/>
      <w:marBottom w:val="0"/>
      <w:divBdr>
        <w:top w:val="none" w:sz="0" w:space="0" w:color="auto"/>
        <w:left w:val="none" w:sz="0" w:space="0" w:color="auto"/>
        <w:bottom w:val="none" w:sz="0" w:space="0" w:color="auto"/>
        <w:right w:val="none" w:sz="0" w:space="0" w:color="auto"/>
      </w:divBdr>
    </w:div>
    <w:div w:id="700087378">
      <w:bodyDiv w:val="1"/>
      <w:marLeft w:val="0"/>
      <w:marRight w:val="0"/>
      <w:marTop w:val="0"/>
      <w:marBottom w:val="0"/>
      <w:divBdr>
        <w:top w:val="none" w:sz="0" w:space="0" w:color="auto"/>
        <w:left w:val="none" w:sz="0" w:space="0" w:color="auto"/>
        <w:bottom w:val="none" w:sz="0" w:space="0" w:color="auto"/>
        <w:right w:val="none" w:sz="0" w:space="0" w:color="auto"/>
      </w:divBdr>
      <w:divsChild>
        <w:div w:id="1905527216">
          <w:marLeft w:val="0"/>
          <w:marRight w:val="0"/>
          <w:marTop w:val="0"/>
          <w:marBottom w:val="0"/>
          <w:divBdr>
            <w:top w:val="none" w:sz="0" w:space="0" w:color="auto"/>
            <w:left w:val="none" w:sz="0" w:space="0" w:color="auto"/>
            <w:bottom w:val="none" w:sz="0" w:space="0" w:color="auto"/>
            <w:right w:val="none" w:sz="0" w:space="0" w:color="auto"/>
          </w:divBdr>
        </w:div>
      </w:divsChild>
    </w:div>
    <w:div w:id="1130199433">
      <w:bodyDiv w:val="1"/>
      <w:marLeft w:val="0"/>
      <w:marRight w:val="0"/>
      <w:marTop w:val="0"/>
      <w:marBottom w:val="0"/>
      <w:divBdr>
        <w:top w:val="none" w:sz="0" w:space="0" w:color="auto"/>
        <w:left w:val="none" w:sz="0" w:space="0" w:color="auto"/>
        <w:bottom w:val="none" w:sz="0" w:space="0" w:color="auto"/>
        <w:right w:val="none" w:sz="0" w:space="0" w:color="auto"/>
      </w:divBdr>
      <w:divsChild>
        <w:div w:id="761877368">
          <w:marLeft w:val="0"/>
          <w:marRight w:val="0"/>
          <w:marTop w:val="0"/>
          <w:marBottom w:val="0"/>
          <w:divBdr>
            <w:top w:val="none" w:sz="0" w:space="0" w:color="auto"/>
            <w:left w:val="none" w:sz="0" w:space="0" w:color="auto"/>
            <w:bottom w:val="none" w:sz="0" w:space="0" w:color="auto"/>
            <w:right w:val="none" w:sz="0" w:space="0" w:color="auto"/>
          </w:divBdr>
        </w:div>
      </w:divsChild>
    </w:div>
    <w:div w:id="1192453198">
      <w:bodyDiv w:val="1"/>
      <w:marLeft w:val="0"/>
      <w:marRight w:val="0"/>
      <w:marTop w:val="0"/>
      <w:marBottom w:val="0"/>
      <w:divBdr>
        <w:top w:val="none" w:sz="0" w:space="0" w:color="auto"/>
        <w:left w:val="none" w:sz="0" w:space="0" w:color="auto"/>
        <w:bottom w:val="none" w:sz="0" w:space="0" w:color="auto"/>
        <w:right w:val="none" w:sz="0" w:space="0" w:color="auto"/>
      </w:divBdr>
    </w:div>
    <w:div w:id="1194615424">
      <w:bodyDiv w:val="1"/>
      <w:marLeft w:val="0"/>
      <w:marRight w:val="0"/>
      <w:marTop w:val="0"/>
      <w:marBottom w:val="0"/>
      <w:divBdr>
        <w:top w:val="none" w:sz="0" w:space="0" w:color="auto"/>
        <w:left w:val="none" w:sz="0" w:space="0" w:color="auto"/>
        <w:bottom w:val="none" w:sz="0" w:space="0" w:color="auto"/>
        <w:right w:val="none" w:sz="0" w:space="0" w:color="auto"/>
      </w:divBdr>
    </w:div>
    <w:div w:id="1444838761">
      <w:bodyDiv w:val="1"/>
      <w:marLeft w:val="0"/>
      <w:marRight w:val="0"/>
      <w:marTop w:val="0"/>
      <w:marBottom w:val="0"/>
      <w:divBdr>
        <w:top w:val="none" w:sz="0" w:space="0" w:color="auto"/>
        <w:left w:val="none" w:sz="0" w:space="0" w:color="auto"/>
        <w:bottom w:val="none" w:sz="0" w:space="0" w:color="auto"/>
        <w:right w:val="none" w:sz="0" w:space="0" w:color="auto"/>
      </w:divBdr>
    </w:div>
    <w:div w:id="1805462239">
      <w:bodyDiv w:val="1"/>
      <w:marLeft w:val="0"/>
      <w:marRight w:val="0"/>
      <w:marTop w:val="0"/>
      <w:marBottom w:val="0"/>
      <w:divBdr>
        <w:top w:val="none" w:sz="0" w:space="0" w:color="auto"/>
        <w:left w:val="none" w:sz="0" w:space="0" w:color="auto"/>
        <w:bottom w:val="none" w:sz="0" w:space="0" w:color="auto"/>
        <w:right w:val="none" w:sz="0" w:space="0" w:color="auto"/>
      </w:divBdr>
    </w:div>
    <w:div w:id="199401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1526</ap:Words>
  <ap:Characters>8396</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 Afronding transactie TenneT Duitsland</vt:lpstr>
    </vt:vector>
  </ap:TitlesOfParts>
  <ap:LinksUpToDate>false</ap:LinksUpToDate>
  <ap:CharactersWithSpaces>9903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2026-07-03T13:15:00.0000000Z</dcterms:created>
  <dcterms:modified xsi:type="dcterms:W3CDTF">2026-07-03T13:15:00.0000000Z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 juli 2026</vt:lpwstr>
  </property>
  <property fmtid="{D5CDD505-2E9C-101B-9397-08002B2CF9AE}" pid="14" name="Opgesteld door, Naam">
    <vt:lpwstr>G.E. van der Meulen</vt:lpwstr>
  </property>
  <property fmtid="{D5CDD505-2E9C-101B-9397-08002B2CF9AE}" pid="15" name="Opgesteld door, Telefoonnummer">
    <vt:lpwstr/>
  </property>
  <property fmtid="{D5CDD505-2E9C-101B-9397-08002B2CF9AE}" pid="16" name="Kenmerk">
    <vt:lpwstr>2026-0000253377</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Afronding transactie TenneT Duitsland</vt:lpwstr>
  </property>
  <property fmtid="{D5CDD505-2E9C-101B-9397-08002B2CF9AE}" pid="32" name="MSIP_Label_6800fede-0e59-47ad-af95-4e63bbdb932d_Enabled">
    <vt:lpwstr>true</vt:lpwstr>
  </property>
  <property fmtid="{D5CDD505-2E9C-101B-9397-08002B2CF9AE}" pid="33" name="MSIP_Label_6800fede-0e59-47ad-af95-4e63bbdb932d_SetDate">
    <vt:lpwstr>2026-06-09T12:01:14Z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62f81cf2-61cd-4702-9a41-58e6256fecf1</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