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4F22" w:rsidRDefault="003F62C4" w14:paraId="4D397100" w14:textId="77777777">
      <w:r>
        <w:t>Geachte voorzitter,</w:t>
      </w:r>
    </w:p>
    <w:p w:rsidR="00B74F22" w:rsidRDefault="00B74F22" w14:paraId="4D397101" w14:textId="77777777"/>
    <w:p w:rsidR="00D551E0" w:rsidP="00D551E0" w:rsidRDefault="00D551E0" w14:paraId="75FEEF62" w14:textId="3E2F081A">
      <w:r>
        <w:t xml:space="preserve">Mede namens de minister van Justitie en Veiligheid </w:t>
      </w:r>
      <w:r w:rsidR="00442F1A">
        <w:t>informeer ik</w:t>
      </w:r>
      <w:r>
        <w:t xml:space="preserve"> u</w:t>
      </w:r>
      <w:r w:rsidR="00442F1A">
        <w:t>w Kamer</w:t>
      </w:r>
      <w:r>
        <w:t xml:space="preserve"> over een </w:t>
      </w:r>
      <w:r w:rsidRPr="00D551E0">
        <w:t xml:space="preserve">besluit </w:t>
      </w:r>
      <w:r>
        <w:t xml:space="preserve">van </w:t>
      </w:r>
      <w:r w:rsidR="00650AFD">
        <w:t xml:space="preserve">het kabinet over </w:t>
      </w:r>
      <w:r w:rsidRPr="00D551E0">
        <w:t xml:space="preserve">een Nederlands gastlandschap voor de operationele fase van het </w:t>
      </w:r>
      <w:r w:rsidRPr="00650AFD" w:rsidR="00650AFD">
        <w:t>Speciaal Tribunaal voor het Misdrijf Agressie tegen Oekraïne (hierna: STCA of tribunaal)</w:t>
      </w:r>
      <w:r w:rsidR="00650AFD">
        <w:t>.</w:t>
      </w:r>
    </w:p>
    <w:p w:rsidR="00D551E0" w:rsidP="00D551E0" w:rsidRDefault="00D551E0" w14:paraId="39729162" w14:textId="77777777"/>
    <w:p w:rsidR="00D551E0" w:rsidP="00D551E0" w:rsidRDefault="00D551E0" w14:paraId="052044FC" w14:textId="50326C53">
      <w:r>
        <w:t xml:space="preserve">De grootschalige Russische agressieoorlog tegen Oekraïne houdt al meer dan vier jaar aan; een oorlog op het Europese continent waarbij dagelijks op een nauwelijks te bevatten schaal militairen de dood vinden en dagelijks burgerslachtoffers vallen. De Russische agressie en flagrante schendingen van het internationaal recht mogen niet zonder gevolgen blijven. </w:t>
      </w:r>
    </w:p>
    <w:p w:rsidR="00D551E0" w:rsidP="00D551E0" w:rsidRDefault="00D551E0" w14:paraId="4517E16C" w14:textId="77777777"/>
    <w:p w:rsidR="00D551E0" w:rsidP="00D551E0" w:rsidRDefault="00D551E0" w14:paraId="4203354A" w14:textId="0E8A9774">
      <w:r>
        <w:t>Mede op verzoek van de Oekraïense president Zelensky zet Nederland zich in voor het tegengaan van straffeloosheid, als voortrekker in het streven naar gerechtigheid voor Oekraïne. De inspanningen gericht op de totstandbrenging van</w:t>
      </w:r>
      <w:r w:rsidR="00650AFD">
        <w:t xml:space="preserve"> het</w:t>
      </w:r>
      <w:r>
        <w:t xml:space="preserve"> STCA nemen daarin een prominente plaats in. Het tribunaal is van grote betekenis, niet alleen als signaal aan Rusland </w:t>
      </w:r>
      <w:r w:rsidR="00650AFD">
        <w:t xml:space="preserve">– waarvan het leiderschap verantwoordelijk is voor het misdrijf agressie tegen Oekraïne - </w:t>
      </w:r>
      <w:r>
        <w:t>en uit solidariteit met Oekraïne, maar ook als bevestiging van de grondbeginselen van de internationale rechtsorde dat het misdrijf agressie niet onbestraft kan blijven.</w:t>
      </w:r>
    </w:p>
    <w:p w:rsidR="00D551E0" w:rsidP="00D551E0" w:rsidRDefault="00D551E0" w14:paraId="0383DBF1" w14:textId="77777777"/>
    <w:p w:rsidR="00D551E0" w:rsidP="00D551E0" w:rsidRDefault="00D551E0" w14:paraId="10202523" w14:textId="7108E56E">
      <w:r>
        <w:t xml:space="preserve">Bij eerdere brieven </w:t>
      </w:r>
      <w:r w:rsidR="00650AFD">
        <w:t xml:space="preserve">aan uw Kamer </w:t>
      </w:r>
      <w:r>
        <w:t>informeerde ik u</w:t>
      </w:r>
      <w:r w:rsidR="00442F1A">
        <w:t>,</w:t>
      </w:r>
      <w:r>
        <w:t xml:space="preserve"> mede namens de minister van Justitie en Veiligheid</w:t>
      </w:r>
      <w:r w:rsidR="00442F1A">
        <w:t>,</w:t>
      </w:r>
      <w:r>
        <w:t xml:space="preserve"> over de voortgang van de oprichting van het STCA en de Nederlandse rol daarin.</w:t>
      </w:r>
      <w:r>
        <w:rPr>
          <w:rStyle w:val="FootnoteReference"/>
        </w:rPr>
        <w:footnoteReference w:id="1"/>
      </w:r>
      <w:r>
        <w:t xml:space="preserve"> In februari 2023 </w:t>
      </w:r>
      <w:r w:rsidRPr="004672A6">
        <w:t xml:space="preserve">nam het kabinet een principebesluit over de Nederlandse bereidheid tot gastlandschap </w:t>
      </w:r>
      <w:r>
        <w:t xml:space="preserve">hiervoor, </w:t>
      </w:r>
      <w:r w:rsidRPr="004672A6">
        <w:t>mits aan drie voorwaarden is voldaan: (a) brede internationale politieke en financiële steun voor het tribunaal; (b) geen ondermijning van het mandaat en de werkzaamheden van het Internationaal Strafhof; en (c) voldoende capaciteit voor Nederland als gastland, waaronder voldoende financiële dekking en steun van andere staten om het tribunaal te huisvesten en effectief te laten functioneren.</w:t>
      </w:r>
    </w:p>
    <w:p w:rsidR="00D551E0" w:rsidP="00D551E0" w:rsidRDefault="00D551E0" w14:paraId="3C3D6D9B" w14:textId="66E4AA04">
      <w:r w:rsidRPr="004672A6">
        <w:lastRenderedPageBreak/>
        <w:t xml:space="preserve">Op 17 oktober 2025 besloot </w:t>
      </w:r>
      <w:r>
        <w:t>het kabinet</w:t>
      </w:r>
      <w:r w:rsidRPr="004672A6">
        <w:t xml:space="preserve"> gastlandschap aan te bieden voor de initiële fases van het STCA (fase 0 en fase 1), zonder daarmee vooruit te lopen op een besluit over een gastlandaanbod voor de operationele fase (fase 2) van het tribunaal. Als voorwaarde daarbij werd gesteld dat alle kosten voor het tribunaal worden omgeslagen naar de </w:t>
      </w:r>
      <w:r w:rsidR="00E101AF">
        <w:t xml:space="preserve">deelnemende landen. </w:t>
      </w:r>
    </w:p>
    <w:p w:rsidR="00D551E0" w:rsidP="00D551E0" w:rsidRDefault="00D551E0" w14:paraId="6AD01B60" w14:textId="77777777"/>
    <w:p w:rsidR="00D551E0" w:rsidP="00D551E0" w:rsidRDefault="00D551E0" w14:paraId="1BA2AE80" w14:textId="6BD09F91">
      <w:r>
        <w:t xml:space="preserve">Op 15 mei jl. is het uitvoeringsinstrument voor het STCA, het zogenaamde </w:t>
      </w:r>
      <w:r w:rsidRPr="000B5535">
        <w:rPr>
          <w:i/>
          <w:iCs/>
        </w:rPr>
        <w:t>Enlarged Partial Agreement on the Management Commi</w:t>
      </w:r>
      <w:r w:rsidR="00051C86">
        <w:rPr>
          <w:i/>
          <w:iCs/>
        </w:rPr>
        <w:t>t</w:t>
      </w:r>
      <w:r w:rsidRPr="000B5535">
        <w:rPr>
          <w:i/>
          <w:iCs/>
        </w:rPr>
        <w:t xml:space="preserve">tee </w:t>
      </w:r>
      <w:r w:rsidRPr="2691F901">
        <w:t>(</w:t>
      </w:r>
      <w:r w:rsidR="003F62C4">
        <w:t xml:space="preserve">hierna: </w:t>
      </w:r>
      <w:r w:rsidRPr="2691F901">
        <w:t xml:space="preserve">EPA) </w:t>
      </w:r>
      <w:r>
        <w:t xml:space="preserve">voor het agressietribunaal door 36 landen en de EU ondertekend. Bij die gelegenheid kondigde Nederland aan dat een locatie voor het skelettribunaal is geïdentificeerd in de internationale zone van Den Haag, maar dat het met het oog op veiligheid eerst op een later tijdstip mededelingen kan doen over de precieze locatie. </w:t>
      </w:r>
    </w:p>
    <w:p w:rsidR="00D551E0" w:rsidP="00D551E0" w:rsidRDefault="00D551E0" w14:paraId="27D89FBE" w14:textId="77777777"/>
    <w:p w:rsidR="00D551E0" w:rsidP="00D551E0" w:rsidRDefault="00D551E0" w14:paraId="4B0D1A26" w14:textId="354283E0">
      <w:r>
        <w:t xml:space="preserve">In aansluiting op deze eerdere principebesluiten </w:t>
      </w:r>
      <w:r w:rsidRPr="00556E2C" w:rsidR="00556E2C">
        <w:t xml:space="preserve">spreekt </w:t>
      </w:r>
      <w:r w:rsidR="00556E2C">
        <w:t xml:space="preserve">het kabinet, </w:t>
      </w:r>
      <w:r w:rsidRPr="001D1053" w:rsidR="00556E2C">
        <w:t>met inachtneming van de moties die uw Kamer hierover heeft</w:t>
      </w:r>
      <w:r w:rsidR="00556E2C">
        <w:t xml:space="preserve"> aangenomen, </w:t>
      </w:r>
      <w:r w:rsidRPr="00556E2C" w:rsidR="00556E2C">
        <w:t>de bereidheid uit om gastland te zijn voor operationele fase van het tribunaal</w:t>
      </w:r>
      <w:r w:rsidR="00556E2C">
        <w:t>. In het aanbod dat daartoe aan de Raad van Europa en bij het STCA aangesloten landen wordt gedaan</w:t>
      </w:r>
      <w:r w:rsidR="00732AD4">
        <w:t>,</w:t>
      </w:r>
      <w:r w:rsidR="00556E2C">
        <w:t xml:space="preserve"> zijn mogelijke opties geïdentificeerd</w:t>
      </w:r>
      <w:r>
        <w:t xml:space="preserve"> </w:t>
      </w:r>
      <w:r w:rsidR="00385232">
        <w:t xml:space="preserve">met de noodzakelijke </w:t>
      </w:r>
      <w:r>
        <w:t>randvoorwaarden</w:t>
      </w:r>
      <w:r w:rsidR="00385232">
        <w:t xml:space="preserve"> die daarvoor vervuld moeten worden</w:t>
      </w:r>
      <w:r w:rsidR="00556E2C">
        <w:t xml:space="preserve">. </w:t>
      </w:r>
      <w:r w:rsidR="00BE477A">
        <w:t xml:space="preserve">Deze behelzen </w:t>
      </w:r>
      <w:r w:rsidR="00385232">
        <w:t xml:space="preserve">dat alle kosten voor het beheer van het tribunaal over </w:t>
      </w:r>
      <w:r>
        <w:t xml:space="preserve">de deelnemende landen </w:t>
      </w:r>
      <w:r w:rsidR="00385232">
        <w:t xml:space="preserve">aan de overeenkomst worden omgeslagen </w:t>
      </w:r>
      <w:r>
        <w:t>en het borgen van nationale capaciteit voor bewaken en beveiligen.</w:t>
      </w:r>
      <w:r>
        <w:rPr>
          <w:rStyle w:val="FootnoteReference"/>
        </w:rPr>
        <w:footnoteReference w:id="2"/>
      </w:r>
    </w:p>
    <w:p w:rsidR="00D551E0" w:rsidP="00D551E0" w:rsidRDefault="00D551E0" w14:paraId="4B26227C" w14:textId="77777777">
      <w:pPr>
        <w:ind w:left="1"/>
      </w:pPr>
    </w:p>
    <w:p w:rsidR="00D551E0" w:rsidP="00D551E0" w:rsidRDefault="00D551E0" w14:paraId="50B0FFBE" w14:textId="2DF5D62C">
      <w:pPr>
        <w:ind w:left="1"/>
      </w:pPr>
      <w:r>
        <w:t xml:space="preserve">Hoewel er in het traject nog onzekerheden en risico’s liggen besloten, wil Nederland met dit besluit duidelijkheid geven aan de </w:t>
      </w:r>
      <w:r w:rsidRPr="00A53D32">
        <w:t>Raad van Europa</w:t>
      </w:r>
      <w:r>
        <w:t xml:space="preserve">, </w:t>
      </w:r>
      <w:r w:rsidRPr="00A53D32">
        <w:t>Oekraïne</w:t>
      </w:r>
      <w:r>
        <w:t xml:space="preserve"> en andere betrokken spelers</w:t>
      </w:r>
      <w:r w:rsidRPr="00A53D32">
        <w:t xml:space="preserve"> </w:t>
      </w:r>
      <w:r>
        <w:t xml:space="preserve">over mogelijke opties voor een gastlandschap in de operationele fase en de daaraan verbonden kosten. De Raad van Europa heeft indicatieve ramingen nodig om een begroting voor het tribunaal op te stellen, </w:t>
      </w:r>
      <w:r w:rsidRPr="00A53D32">
        <w:t>zodat</w:t>
      </w:r>
      <w:r>
        <w:t xml:space="preserve"> de landen die het bovengenoemde EPA hebben ondertekend, </w:t>
      </w:r>
      <w:r w:rsidRPr="00A53D32">
        <w:t xml:space="preserve">hun </w:t>
      </w:r>
      <w:r>
        <w:t xml:space="preserve">nationale goedkeurings- of </w:t>
      </w:r>
      <w:r w:rsidRPr="00A53D32">
        <w:t xml:space="preserve">parlementaire </w:t>
      </w:r>
      <w:r>
        <w:t>(ratificatie)</w:t>
      </w:r>
      <w:r w:rsidRPr="00A53D32">
        <w:t xml:space="preserve">procedures kunnen </w:t>
      </w:r>
      <w:r>
        <w:t>op</w:t>
      </w:r>
      <w:r w:rsidRPr="00A53D32">
        <w:t>starten</w:t>
      </w:r>
      <w:r>
        <w:t xml:space="preserve"> met het oog op inwerkingtreding daarvan. Het kabinet acht het van groot belang dat momentum in de voorbereidingen behouden blijft, gezien de omvang en ernst van de voortdurende agressie tegen Oekraïne. Tot dusverre zijn er geen</w:t>
      </w:r>
      <w:r w:rsidRPr="00A02ECC">
        <w:t xml:space="preserve"> </w:t>
      </w:r>
      <w:r>
        <w:t>andere landen die bereidheid tot het huisvesten van het tribunaal kenbaar hebben gemaakt.</w:t>
      </w:r>
    </w:p>
    <w:p w:rsidR="00650AFD" w:rsidP="00D551E0" w:rsidRDefault="00650AFD" w14:paraId="02D6115A" w14:textId="77777777">
      <w:pPr>
        <w:ind w:left="1"/>
      </w:pPr>
    </w:p>
    <w:p w:rsidR="00D551E0" w:rsidP="00D551E0" w:rsidRDefault="00D551E0" w14:paraId="314FF0FE" w14:textId="1A73FC57">
      <w:r>
        <w:t>In het Nederlandse aanbod voor het gastlandschap voor de operationele fase blijven de eerdere geformuleerde randvoorwaarden van toepassing. Aangezien gastlandschap van het operationele tribunaal, waarin onderzoek en vervolging van verdachten plaatsvindt, een hoog dreigingsniveau en additionele veiligheidsrisico’s met zich meebreng</w:t>
      </w:r>
      <w:r w:rsidR="00430E4F">
        <w:t>en</w:t>
      </w:r>
      <w:r w:rsidR="00650AFD">
        <w:t>,</w:t>
      </w:r>
      <w:r>
        <w:t xml:space="preserve"> zal nadrukkelijk worden gesteld dat de invulling van de verantwoordelijkheid van het gastland voor veiligheid niet onderhandelbaar is. De beschikbaarheid van </w:t>
      </w:r>
      <w:r w:rsidRPr="004672A6">
        <w:t xml:space="preserve">voldoende capaciteit om als gastland te fungeren </w:t>
      </w:r>
      <w:r>
        <w:t xml:space="preserve">weegt dienaangaande </w:t>
      </w:r>
      <w:r w:rsidRPr="004672A6">
        <w:t>als belangrijke vereiste</w:t>
      </w:r>
      <w:r>
        <w:t xml:space="preserve"> mee</w:t>
      </w:r>
      <w:r w:rsidRPr="004672A6">
        <w:t>, zoals in de Kamerbrief van 28 oktober 2025 is opgenomen. </w:t>
      </w:r>
      <w:r>
        <w:t xml:space="preserve">Additionele randvoorwaarden bij </w:t>
      </w:r>
      <w:r w:rsidRPr="004672A6">
        <w:t>het aanbod</w:t>
      </w:r>
      <w:r>
        <w:t xml:space="preserve"> voor de vervolgfase </w:t>
      </w:r>
      <w:r w:rsidRPr="004672A6">
        <w:t>houden in dat een operationeel tribunaal met volledige modaliteiten</w:t>
      </w:r>
      <w:r>
        <w:t xml:space="preserve">, </w:t>
      </w:r>
      <w:r>
        <w:lastRenderedPageBreak/>
        <w:t>zoals we dat kennen bij eerdere en bestaande hoven en tribunalen,</w:t>
      </w:r>
      <w:r w:rsidRPr="004672A6">
        <w:t xml:space="preserve"> alleen gerealiseerd zou kunnen worden op een </w:t>
      </w:r>
      <w:r>
        <w:t xml:space="preserve">nieuw te bouwen </w:t>
      </w:r>
      <w:r w:rsidRPr="004672A6">
        <w:t>compoundlocatie</w:t>
      </w:r>
      <w:r>
        <w:t>.</w:t>
      </w:r>
      <w:r w:rsidRPr="004672A6">
        <w:t xml:space="preserve"> </w:t>
      </w:r>
      <w:r>
        <w:t>E</w:t>
      </w:r>
      <w:r w:rsidRPr="004672A6">
        <w:t>en operationeel tribunaal in afgeschaalde vorm</w:t>
      </w:r>
      <w:r>
        <w:t xml:space="preserve"> – waarbij Nederland geen mogelijkheid tot detentie aanbiedt - </w:t>
      </w:r>
      <w:r w:rsidRPr="00BB2C5F" w:rsidR="00BB2C5F">
        <w:t>is alleen mogelijk als in ieder geval uitgesloten kan worden dat er gedetineerden naar Nederland zullen komen en in voorkomende gevallen verdachten het proces op andere wijze kunnen bijwonen</w:t>
      </w:r>
      <w:r w:rsidRPr="00BB2C5F">
        <w:t>.</w:t>
      </w:r>
      <w:r>
        <w:t xml:space="preserve"> </w:t>
      </w:r>
    </w:p>
    <w:p w:rsidR="00D551E0" w:rsidP="00D551E0" w:rsidRDefault="00D551E0" w14:paraId="62DD195D" w14:textId="77777777"/>
    <w:p w:rsidRPr="00F94D3D" w:rsidR="00D551E0" w:rsidP="00D551E0" w:rsidRDefault="00D551E0" w14:paraId="6F9853BC" w14:textId="39BA1751">
      <w:r w:rsidRPr="00F94D3D">
        <w:t>De voorkeursoptie</w:t>
      </w:r>
      <w:r w:rsidR="00650AFD">
        <w:t xml:space="preserve"> is</w:t>
      </w:r>
      <w:r w:rsidRPr="00F94D3D">
        <w:t xml:space="preserve">, ook met het oog op tijdpad en financiële haalbaarheid, een operationeel tribunaal in afgeschaalde vorm zonder detentiemogelijkheid in </w:t>
      </w:r>
      <w:r>
        <w:t>Nederland</w:t>
      </w:r>
      <w:r w:rsidRPr="00F94D3D">
        <w:t xml:space="preserve"> waarbij tevens de </w:t>
      </w:r>
      <w:r>
        <w:t xml:space="preserve">gelijktijdige </w:t>
      </w:r>
      <w:r w:rsidRPr="00F94D3D">
        <w:t>aanwezigheid van te beschermen personen</w:t>
      </w:r>
      <w:r>
        <w:t>, waaronder principalen en getuigen,</w:t>
      </w:r>
      <w:r w:rsidRPr="00F94D3D">
        <w:t xml:space="preserve"> in </w:t>
      </w:r>
      <w:r>
        <w:t>Nederland</w:t>
      </w:r>
      <w:r w:rsidRPr="00F94D3D">
        <w:t xml:space="preserve"> zoveel mogelijk wordt beperkt. Deze</w:t>
      </w:r>
      <w:r w:rsidRPr="00F94D3D" w:rsidDel="000F54E0">
        <w:t xml:space="preserve"> optie </w:t>
      </w:r>
      <w:r w:rsidRPr="00F94D3D">
        <w:t>zou kunnen worden ge</w:t>
      </w:r>
      <w:r>
        <w:t>realiseerd</w:t>
      </w:r>
      <w:r w:rsidRPr="00F94D3D">
        <w:t xml:space="preserve"> op </w:t>
      </w:r>
      <w:r w:rsidRPr="00F94D3D" w:rsidDel="000F54E0">
        <w:t xml:space="preserve">een </w:t>
      </w:r>
      <w:r w:rsidRPr="00F94D3D">
        <w:t xml:space="preserve">nieuw </w:t>
      </w:r>
      <w:r w:rsidRPr="00F94D3D" w:rsidDel="000F54E0">
        <w:t>te bouwen</w:t>
      </w:r>
      <w:r w:rsidRPr="00F94D3D">
        <w:t xml:space="preserve"> locatie met mogelijkheid voor woonruimte voor te beschermen personen</w:t>
      </w:r>
      <w:r w:rsidR="00650AFD">
        <w:t>,</w:t>
      </w:r>
      <w:r w:rsidRPr="00F94D3D" w:rsidDel="000F54E0">
        <w:t xml:space="preserve"> of </w:t>
      </w:r>
      <w:r w:rsidRPr="00F94D3D">
        <w:t xml:space="preserve">op een </w:t>
      </w:r>
      <w:r w:rsidRPr="00F94D3D" w:rsidDel="000F54E0">
        <w:t>aan te passen bestaande</w:t>
      </w:r>
      <w:r w:rsidRPr="00F94D3D">
        <w:t xml:space="preserve"> locatie. Verkend dient te worden of de reeds geïdentificeerde locatie voor het skelettribunaal hiervoor geschikt kan worden gemaakt. </w:t>
      </w:r>
    </w:p>
    <w:p w:rsidR="00D551E0" w:rsidP="00D551E0" w:rsidRDefault="00D551E0" w14:paraId="41D14424" w14:textId="77777777"/>
    <w:p w:rsidR="00D551E0" w:rsidP="003F62C4" w:rsidRDefault="00D551E0" w14:paraId="32A56164" w14:textId="38FC515C">
      <w:pPr>
        <w:ind w:left="1"/>
        <w:rPr>
          <w:rFonts w:eastAsia="Times New Roman"/>
        </w:rPr>
      </w:pPr>
      <w:r w:rsidRPr="00F94D3D">
        <w:rPr>
          <w:rFonts w:eastAsia="Times New Roman"/>
        </w:rPr>
        <w:t xml:space="preserve">In het </w:t>
      </w:r>
      <w:r w:rsidR="00650AFD">
        <w:rPr>
          <w:rFonts w:eastAsia="Times New Roman"/>
        </w:rPr>
        <w:t>kabinets</w:t>
      </w:r>
      <w:r w:rsidRPr="00F94D3D">
        <w:rPr>
          <w:rFonts w:eastAsia="Times New Roman"/>
        </w:rPr>
        <w:t xml:space="preserve">besluit van </w:t>
      </w:r>
      <w:r w:rsidR="00650AFD">
        <w:rPr>
          <w:rFonts w:eastAsia="Times New Roman"/>
        </w:rPr>
        <w:t xml:space="preserve">17 </w:t>
      </w:r>
      <w:r w:rsidRPr="00F94D3D">
        <w:rPr>
          <w:rFonts w:eastAsia="Times New Roman"/>
        </w:rPr>
        <w:t xml:space="preserve">oktober 2025 is vastgesteld dat kosten voor het STCA, met inbegrip van bewaking en veiligheidsmaatregelen, dienen te worden omgeslagen over de deelnemende </w:t>
      </w:r>
      <w:r w:rsidR="00E101AF">
        <w:rPr>
          <w:rFonts w:eastAsia="Times New Roman"/>
        </w:rPr>
        <w:t xml:space="preserve">landen </w:t>
      </w:r>
      <w:r w:rsidRPr="00F94D3D">
        <w:rPr>
          <w:rFonts w:eastAsia="Times New Roman"/>
        </w:rPr>
        <w:t xml:space="preserve">en niet structureel ten laste komen van de </w:t>
      </w:r>
      <w:r>
        <w:rPr>
          <w:rFonts w:eastAsia="Times New Roman"/>
        </w:rPr>
        <w:t>rijks</w:t>
      </w:r>
      <w:r w:rsidRPr="00F94D3D">
        <w:rPr>
          <w:rFonts w:eastAsia="Times New Roman"/>
        </w:rPr>
        <w:t>begroting.</w:t>
      </w:r>
      <w:r w:rsidR="00650AFD">
        <w:rPr>
          <w:rFonts w:eastAsia="Times New Roman"/>
        </w:rPr>
        <w:t xml:space="preserve"> </w:t>
      </w:r>
      <w:r w:rsidRPr="00F94D3D">
        <w:rPr>
          <w:rFonts w:eastAsia="Times New Roman"/>
        </w:rPr>
        <w:t xml:space="preserve">In lijn met deze afspraak is de </w:t>
      </w:r>
      <w:r w:rsidR="00B022E6">
        <w:rPr>
          <w:rFonts w:eastAsia="Times New Roman"/>
        </w:rPr>
        <w:t>randvoor</w:t>
      </w:r>
      <w:r w:rsidR="00BF2086">
        <w:rPr>
          <w:rFonts w:eastAsia="Times New Roman"/>
        </w:rPr>
        <w:t>waarde</w:t>
      </w:r>
      <w:r w:rsidRPr="00F94D3D">
        <w:rPr>
          <w:rFonts w:eastAsia="Times New Roman"/>
        </w:rPr>
        <w:t xml:space="preserve"> dat de omslag dekkend is en dat nationale middelen alleen als buffer en vangnet worden ingezet indien en voor zover kosten niet tijdig kunnen worden omgeslagen. Pas wanneer het EPA, het uitvoeringsinstrument voor het STCA, in werking is getreden, kunnen met de R</w:t>
      </w:r>
      <w:r w:rsidR="00051C86">
        <w:rPr>
          <w:rFonts w:eastAsia="Times New Roman"/>
        </w:rPr>
        <w:t>aad van Europa</w:t>
      </w:r>
      <w:r w:rsidRPr="00F94D3D">
        <w:rPr>
          <w:rFonts w:eastAsia="Times New Roman"/>
        </w:rPr>
        <w:t xml:space="preserve"> </w:t>
      </w:r>
      <w:r w:rsidR="00430E4F">
        <w:rPr>
          <w:rFonts w:eastAsia="Times New Roman"/>
        </w:rPr>
        <w:t xml:space="preserve">juridisch </w:t>
      </w:r>
      <w:r w:rsidRPr="00F94D3D">
        <w:rPr>
          <w:rFonts w:eastAsia="Times New Roman"/>
        </w:rPr>
        <w:t xml:space="preserve">bindende afspraken worden gemaakt over de doorbelasting van deze kosten. </w:t>
      </w:r>
      <w:r w:rsidRPr="005E1354">
        <w:rPr>
          <w:rFonts w:eastAsia="Times New Roman"/>
        </w:rPr>
        <w:t>Vanaf dat moment zal Nederland – net als andere aangesloten landen – een jaarlijkse contributie betalen conform de van toepassing zijnde verdeelsleutel van de R</w:t>
      </w:r>
      <w:r w:rsidR="00051C86">
        <w:rPr>
          <w:rFonts w:eastAsia="Times New Roman"/>
        </w:rPr>
        <w:t>aad van Europa</w:t>
      </w:r>
      <w:r w:rsidRPr="005E1354">
        <w:rPr>
          <w:rFonts w:eastAsia="Times New Roman"/>
        </w:rPr>
        <w:t xml:space="preserve">. Voor deze </w:t>
      </w:r>
      <w:r w:rsidRPr="00D551E0">
        <w:rPr>
          <w:rFonts w:eastAsia="Times New Roman"/>
        </w:rPr>
        <w:t xml:space="preserve">contributie is op de begroting </w:t>
      </w:r>
      <w:r w:rsidR="003F62C4">
        <w:rPr>
          <w:rFonts w:eastAsia="Times New Roman"/>
        </w:rPr>
        <w:t xml:space="preserve">van het ministerie van Buitenlandse Zaken </w:t>
      </w:r>
      <w:r w:rsidRPr="00D551E0">
        <w:rPr>
          <w:rFonts w:eastAsia="Times New Roman"/>
        </w:rPr>
        <w:t>een structurele bijdrage van (maximaal) EUR 16 m</w:t>
      </w:r>
      <w:r w:rsidR="00C02E2B">
        <w:rPr>
          <w:rFonts w:eastAsia="Times New Roman"/>
        </w:rPr>
        <w:t>iljoen</w:t>
      </w:r>
      <w:r w:rsidRPr="00D551E0">
        <w:rPr>
          <w:rFonts w:eastAsia="Times New Roman"/>
        </w:rPr>
        <w:t xml:space="preserve"> gereserveerd. </w:t>
      </w:r>
    </w:p>
    <w:p w:rsidRPr="00D551E0" w:rsidR="00D551E0" w:rsidP="00D551E0" w:rsidRDefault="00D551E0" w14:paraId="066CB6E0" w14:textId="77777777">
      <w:pPr>
        <w:rPr>
          <w:rFonts w:eastAsia="Times New Roman"/>
        </w:rPr>
      </w:pPr>
    </w:p>
    <w:p w:rsidR="00B74F22" w:rsidP="00D551E0" w:rsidRDefault="00D551E0" w14:paraId="4D397102" w14:textId="0D96187E">
      <w:r w:rsidRPr="00D551E0">
        <w:rPr>
          <w:rFonts w:eastAsia="Times New Roman"/>
        </w:rPr>
        <w:t>Met dit aanbod en de daarbij behorende randvoorwaarden denkt het kabinet dat verdere stappen gezet kunnen worden op weg naar de verwezenlijking van het tribunaal.</w:t>
      </w:r>
    </w:p>
    <w:p w:rsidR="00B74F22" w:rsidRDefault="00B74F22" w14:paraId="4D397103" w14:textId="77777777"/>
    <w:p w:rsidR="00B74F22" w:rsidP="00442F1A" w:rsidRDefault="00712C34" w14:paraId="4D397104" w14:textId="24A90167">
      <w:pPr>
        <w:tabs>
          <w:tab w:val="left" w:pos="4653"/>
        </w:tabs>
      </w:pPr>
      <w:r>
        <w:t xml:space="preserve">De minister van Buitenlandse Zaken, </w:t>
      </w:r>
      <w:r w:rsidR="00442F1A">
        <w:tab/>
      </w:r>
    </w:p>
    <w:p w:rsidR="00712C34" w:rsidRDefault="00712C34" w14:paraId="3742719E" w14:textId="77777777"/>
    <w:p w:rsidR="00712C34" w:rsidRDefault="00712C34" w14:paraId="244D0AB4" w14:textId="77777777"/>
    <w:p w:rsidR="00B74F22" w:rsidRDefault="00B74F22" w14:paraId="4D397105" w14:textId="77777777"/>
    <w:p w:rsidR="00B74F22" w:rsidRDefault="00B74F22" w14:paraId="4D397106" w14:textId="77777777"/>
    <w:p w:rsidR="00B74F22" w:rsidRDefault="00B74F22" w14:paraId="4D397107" w14:textId="77777777"/>
    <w:p w:rsidR="00B74F22" w:rsidRDefault="003F62C4" w14:paraId="4D397108" w14:textId="77777777">
      <w:r>
        <w:t>T.B.W. Berendsen</w:t>
      </w:r>
    </w:p>
    <w:p w:rsidR="00B74F22" w:rsidRDefault="00B74F22" w14:paraId="4D39710A" w14:textId="77777777"/>
    <w:sectPr w:rsidR="00B74F22">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FA07E" w14:textId="77777777" w:rsidR="000702BA" w:rsidRDefault="000702BA">
      <w:pPr>
        <w:spacing w:line="240" w:lineRule="auto"/>
      </w:pPr>
      <w:r>
        <w:separator/>
      </w:r>
    </w:p>
  </w:endnote>
  <w:endnote w:type="continuationSeparator" w:id="0">
    <w:p w14:paraId="5AC54A1B" w14:textId="77777777" w:rsidR="000702BA" w:rsidRDefault="000702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3B8F" w14:textId="77777777" w:rsidR="00A93695" w:rsidRDefault="00A936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023850"/>
      <w:docPartObj>
        <w:docPartGallery w:val="Page Numbers (Bottom of Page)"/>
        <w:docPartUnique/>
      </w:docPartObj>
    </w:sdtPr>
    <w:sdtContent>
      <w:p w14:paraId="0121377A" w14:textId="4DB4121A" w:rsidR="00A93695" w:rsidRDefault="00A93695">
        <w:pPr>
          <w:pStyle w:val="Footer"/>
          <w:jc w:val="center"/>
        </w:pPr>
        <w:r>
          <w:fldChar w:fldCharType="begin"/>
        </w:r>
        <w:r>
          <w:instrText>PAGE   \* MERGEFORMAT</w:instrText>
        </w:r>
        <w:r>
          <w:fldChar w:fldCharType="separate"/>
        </w:r>
        <w:r>
          <w:t>2</w:t>
        </w:r>
        <w:r>
          <w:fldChar w:fldCharType="end"/>
        </w:r>
      </w:p>
    </w:sdtContent>
  </w:sdt>
  <w:p w14:paraId="0F12B107" w14:textId="77777777" w:rsidR="00301FBE" w:rsidRDefault="00301F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019952"/>
      <w:docPartObj>
        <w:docPartGallery w:val="Page Numbers (Bottom of Page)"/>
        <w:docPartUnique/>
      </w:docPartObj>
    </w:sdtPr>
    <w:sdtContent>
      <w:p w14:paraId="5AD52E9B" w14:textId="102D833F" w:rsidR="00A93695" w:rsidRDefault="00A93695">
        <w:pPr>
          <w:pStyle w:val="Footer"/>
          <w:jc w:val="center"/>
        </w:pPr>
        <w:r>
          <w:fldChar w:fldCharType="begin"/>
        </w:r>
        <w:r>
          <w:instrText>PAGE   \* MERGEFORMAT</w:instrText>
        </w:r>
        <w:r>
          <w:fldChar w:fldCharType="separate"/>
        </w:r>
        <w:r>
          <w:t>2</w:t>
        </w:r>
        <w:r>
          <w:fldChar w:fldCharType="end"/>
        </w:r>
      </w:p>
    </w:sdtContent>
  </w:sdt>
  <w:p w14:paraId="2CDD9249" w14:textId="77777777" w:rsidR="00F67C16" w:rsidRDefault="00F67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7EDEC" w14:textId="77777777" w:rsidR="000702BA" w:rsidRDefault="000702BA">
      <w:pPr>
        <w:spacing w:line="240" w:lineRule="auto"/>
      </w:pPr>
      <w:r>
        <w:separator/>
      </w:r>
    </w:p>
  </w:footnote>
  <w:footnote w:type="continuationSeparator" w:id="0">
    <w:p w14:paraId="42D3976A" w14:textId="77777777" w:rsidR="000702BA" w:rsidRDefault="000702BA">
      <w:pPr>
        <w:spacing w:line="240" w:lineRule="auto"/>
      </w:pPr>
      <w:r>
        <w:continuationSeparator/>
      </w:r>
    </w:p>
  </w:footnote>
  <w:footnote w:id="1">
    <w:p w14:paraId="2AAD022E" w14:textId="77777777" w:rsidR="00442F1A" w:rsidRDefault="00D551E0" w:rsidP="00D551E0">
      <w:pPr>
        <w:pStyle w:val="FootnoteText"/>
        <w:rPr>
          <w:rFonts w:ascii="Verdana" w:hAnsi="Verdana"/>
          <w:sz w:val="16"/>
          <w:szCs w:val="16"/>
        </w:rPr>
      </w:pPr>
      <w:r w:rsidRPr="00442F1A">
        <w:rPr>
          <w:rStyle w:val="FootnoteReference"/>
          <w:rFonts w:ascii="Verdana" w:hAnsi="Verdana"/>
          <w:sz w:val="16"/>
          <w:szCs w:val="16"/>
        </w:rPr>
        <w:footnoteRef/>
      </w:r>
      <w:r w:rsidRPr="00442F1A">
        <w:rPr>
          <w:rFonts w:ascii="Verdana" w:hAnsi="Verdana"/>
          <w:sz w:val="16"/>
          <w:szCs w:val="16"/>
        </w:rPr>
        <w:t xml:space="preserve"> Kamerstukken II 2025-26, 36045, nr. 208, d.d. 24 juli 2025; Kamerstukken II 2025-26,</w:t>
      </w:r>
    </w:p>
    <w:p w14:paraId="34022F95" w14:textId="77777777" w:rsidR="00442F1A" w:rsidRDefault="00D551E0" w:rsidP="00D551E0">
      <w:pPr>
        <w:pStyle w:val="FootnoteText"/>
        <w:rPr>
          <w:rFonts w:ascii="Verdana" w:hAnsi="Verdana"/>
          <w:sz w:val="16"/>
          <w:szCs w:val="16"/>
        </w:rPr>
      </w:pPr>
      <w:r w:rsidRPr="00442F1A">
        <w:rPr>
          <w:rFonts w:ascii="Verdana" w:hAnsi="Verdana"/>
          <w:sz w:val="16"/>
          <w:szCs w:val="16"/>
        </w:rPr>
        <w:t>36045, nr. 240, d.d. 28 oktober 2025, Kamerstukken II 2025-26, 36 045, nr. 266, d.d. 27</w:t>
      </w:r>
    </w:p>
    <w:p w14:paraId="7C9E23F5" w14:textId="159C9B65" w:rsidR="00D551E0" w:rsidRPr="00442F1A" w:rsidRDefault="00D551E0" w:rsidP="00D551E0">
      <w:pPr>
        <w:pStyle w:val="FootnoteText"/>
        <w:rPr>
          <w:rFonts w:ascii="Verdana" w:hAnsi="Verdana"/>
          <w:sz w:val="18"/>
          <w:szCs w:val="18"/>
        </w:rPr>
      </w:pPr>
      <w:r w:rsidRPr="00442F1A">
        <w:rPr>
          <w:rFonts w:ascii="Verdana" w:hAnsi="Verdana"/>
          <w:sz w:val="16"/>
          <w:szCs w:val="16"/>
        </w:rPr>
        <w:t xml:space="preserve">januari 2026; Kamerstukken II 2025-26, 36045, nr. 294, d.d. 15 mei 2026. </w:t>
      </w:r>
    </w:p>
  </w:footnote>
  <w:footnote w:id="2">
    <w:p w14:paraId="71183572" w14:textId="58CBA83D" w:rsidR="00442F1A" w:rsidRDefault="00D551E0" w:rsidP="00D551E0">
      <w:pPr>
        <w:pStyle w:val="FootnoteText"/>
        <w:rPr>
          <w:rFonts w:ascii="Verdana" w:hAnsi="Verdana"/>
          <w:sz w:val="16"/>
          <w:szCs w:val="16"/>
        </w:rPr>
      </w:pPr>
      <w:r w:rsidRPr="00442F1A">
        <w:rPr>
          <w:rStyle w:val="FootnoteReference"/>
          <w:rFonts w:ascii="Verdana" w:hAnsi="Verdana"/>
          <w:sz w:val="16"/>
          <w:szCs w:val="16"/>
        </w:rPr>
        <w:footnoteRef/>
      </w:r>
      <w:r w:rsidRPr="00442F1A">
        <w:rPr>
          <w:rFonts w:ascii="Verdana" w:hAnsi="Verdana"/>
          <w:sz w:val="16"/>
          <w:szCs w:val="16"/>
        </w:rPr>
        <w:t xml:space="preserve"> Kamerstukken II 2022-23, 21 501-20, nr. 1841 (motie Sjoerdsma); Kamerstukken II</w:t>
      </w:r>
    </w:p>
    <w:p w14:paraId="22A91D00" w14:textId="77777777" w:rsidR="00442F1A" w:rsidRDefault="00D551E0" w:rsidP="00442F1A">
      <w:pPr>
        <w:pStyle w:val="FootnoteText"/>
        <w:rPr>
          <w:rFonts w:ascii="Verdana" w:hAnsi="Verdana"/>
          <w:sz w:val="16"/>
          <w:szCs w:val="16"/>
        </w:rPr>
      </w:pPr>
      <w:r w:rsidRPr="00442F1A">
        <w:rPr>
          <w:rFonts w:ascii="Verdana" w:hAnsi="Verdana"/>
          <w:sz w:val="16"/>
          <w:szCs w:val="16"/>
        </w:rPr>
        <w:t>2024-25,</w:t>
      </w:r>
      <w:r w:rsidR="00442F1A">
        <w:rPr>
          <w:rFonts w:ascii="Verdana" w:hAnsi="Verdana"/>
          <w:sz w:val="16"/>
          <w:szCs w:val="16"/>
        </w:rPr>
        <w:t xml:space="preserve"> </w:t>
      </w:r>
      <w:r w:rsidRPr="00442F1A">
        <w:rPr>
          <w:rFonts w:ascii="Verdana" w:hAnsi="Verdana"/>
          <w:sz w:val="16"/>
          <w:szCs w:val="16"/>
        </w:rPr>
        <w:t>21 501-20, nr. 2229 (motie Yeşilgöz-Omtzigt); Kamerstukken II 2025-26, 36 045,</w:t>
      </w:r>
    </w:p>
    <w:p w14:paraId="5E253706" w14:textId="10EB0EF2" w:rsidR="00442F1A" w:rsidRPr="00442F1A" w:rsidRDefault="00D551E0" w:rsidP="00442F1A">
      <w:pPr>
        <w:pStyle w:val="FootnoteText"/>
        <w:ind w:left="0" w:firstLine="0"/>
        <w:rPr>
          <w:rFonts w:ascii="Verdana" w:hAnsi="Verdana"/>
          <w:sz w:val="16"/>
          <w:szCs w:val="16"/>
        </w:rPr>
      </w:pPr>
      <w:r w:rsidRPr="00442F1A">
        <w:rPr>
          <w:rFonts w:ascii="Verdana" w:hAnsi="Verdana"/>
          <w:sz w:val="16"/>
          <w:szCs w:val="16"/>
        </w:rPr>
        <w:t>nr. 225</w:t>
      </w:r>
      <w:r w:rsidR="00442F1A">
        <w:rPr>
          <w:rFonts w:ascii="Verdana" w:hAnsi="Verdana"/>
          <w:sz w:val="16"/>
          <w:szCs w:val="16"/>
        </w:rPr>
        <w:t xml:space="preserve"> </w:t>
      </w:r>
      <w:r w:rsidR="00442F1A" w:rsidRPr="00442F1A">
        <w:rPr>
          <w:rFonts w:ascii="Verdana" w:hAnsi="Verdana"/>
          <w:sz w:val="16"/>
          <w:szCs w:val="16"/>
        </w:rPr>
        <w:t>(motie Paternotte c.s.);</w:t>
      </w:r>
      <w:r w:rsidR="00442F1A">
        <w:rPr>
          <w:rFonts w:ascii="Verdana" w:hAnsi="Verdana"/>
          <w:sz w:val="16"/>
          <w:szCs w:val="16"/>
        </w:rPr>
        <w:t xml:space="preserve"> </w:t>
      </w:r>
      <w:r w:rsidR="00442F1A" w:rsidRPr="00442F1A">
        <w:rPr>
          <w:rFonts w:ascii="Verdana" w:hAnsi="Verdana"/>
          <w:sz w:val="16"/>
          <w:szCs w:val="16"/>
        </w:rPr>
        <w:t xml:space="preserve">Kamerstukken II 2025-26, 36 800-V, nr. 46 (motie Van der Werff c.s.). </w:t>
      </w:r>
    </w:p>
    <w:p w14:paraId="0FCAD5F9" w14:textId="77777777" w:rsidR="00D551E0" w:rsidRDefault="00D551E0" w:rsidP="00D551E0">
      <w:pPr>
        <w:pStyle w:val="FootnoteText"/>
      </w:pPr>
      <w:r>
        <w:t xml:space="preserve">  </w:t>
      </w:r>
    </w:p>
    <w:p w14:paraId="737F6DD9" w14:textId="77777777" w:rsidR="00D551E0" w:rsidRDefault="00D551E0" w:rsidP="00D551E0">
      <w:pPr>
        <w:pStyle w:val="FootnoteText"/>
      </w:pPr>
      <w:r>
        <w:t xml:space="preserve">  </w:t>
      </w:r>
    </w:p>
    <w:p w14:paraId="7AA6071A" w14:textId="77777777" w:rsidR="00D551E0" w:rsidRDefault="00D551E0" w:rsidP="00D551E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6D94" w14:textId="77777777" w:rsidR="00A93695" w:rsidRDefault="00A936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710B" w14:textId="77777777" w:rsidR="00B74F22" w:rsidRDefault="003F62C4">
    <w:r>
      <w:rPr>
        <w:noProof/>
      </w:rPr>
      <mc:AlternateContent>
        <mc:Choice Requires="wps">
          <w:drawing>
            <wp:anchor distT="0" distB="0" distL="0" distR="0" simplePos="0" relativeHeight="251652608" behindDoc="0" locked="1" layoutInCell="1" allowOverlap="1" wp14:anchorId="4D39710F" wp14:editId="07473858">
              <wp:simplePos x="0" y="0"/>
              <wp:positionH relativeFrom="page">
                <wp:posOffset>5920740</wp:posOffset>
              </wp:positionH>
              <wp:positionV relativeFrom="page">
                <wp:posOffset>1965960</wp:posOffset>
              </wp:positionV>
              <wp:extent cx="150114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501140" cy="8009890"/>
                      </a:xfrm>
                      <a:prstGeom prst="rect">
                        <a:avLst/>
                      </a:prstGeom>
                      <a:noFill/>
                    </wps:spPr>
                    <wps:txbx>
                      <w:txbxContent>
                        <w:p w14:paraId="4D39713A" w14:textId="77777777" w:rsidR="00B74F22" w:rsidRDefault="003F62C4">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4D39710F" id="_x0000_t202" coordsize="21600,21600" o:spt="202" path="m,l,21600r21600,l21600,xe">
              <v:stroke joinstyle="miter"/>
              <v:path gradientshapeok="t" o:connecttype="rect"/>
            </v:shapetype>
            <v:shape id="41b1110a-80a4-11ea-b356-6230a4311406" o:spid="_x0000_s1026" type="#_x0000_t202" style="position:absolute;margin-left:466.2pt;margin-top:154.8pt;width:118.2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" filled="f" stroked="f">
              <v:textbox inset="0,0,0,0">
                <w:txbxContent>
                  <w:p w14:paraId="4D39713A" w14:textId="77777777" w:rsidR="00B74F22" w:rsidRDefault="003F62C4">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D397111" wp14:editId="4D397112">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4D39713B" w14:textId="30B78181" w:rsidR="00B74F22" w:rsidRDefault="00B74F22">
                          <w:pPr>
                            <w:pStyle w:val="Rubricering"/>
                          </w:pPr>
                        </w:p>
                      </w:txbxContent>
                    </wps:txbx>
                    <wps:bodyPr vert="horz" wrap="square" lIns="0" tIns="0" rIns="0" bIns="0" anchor="t" anchorCtr="0"/>
                  </wps:wsp>
                </a:graphicData>
              </a:graphic>
            </wp:anchor>
          </w:drawing>
        </mc:Choice>
        <mc:Fallback>
          <w:pict>
            <v:shape w14:anchorId="4D397111"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4D39713B" w14:textId="30B78181" w:rsidR="00B74F22" w:rsidRDefault="00B74F22">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D397113" wp14:editId="4D39711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D397149" w14:textId="77777777" w:rsidR="003F62C4" w:rsidRDefault="003F62C4"/>
                      </w:txbxContent>
                    </wps:txbx>
                    <wps:bodyPr vert="horz" wrap="square" lIns="0" tIns="0" rIns="0" bIns="0" anchor="t" anchorCtr="0"/>
                  </wps:wsp>
                </a:graphicData>
              </a:graphic>
            </wp:anchor>
          </w:drawing>
        </mc:Choice>
        <mc:Fallback>
          <w:pict>
            <v:shape w14:anchorId="4D397113"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4D397149" w14:textId="77777777" w:rsidR="003F62C4" w:rsidRDefault="003F62C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710D" w14:textId="77777777" w:rsidR="00B74F22" w:rsidRDefault="003F62C4">
    <w:pPr>
      <w:spacing w:after="7131" w:line="14" w:lineRule="exact"/>
    </w:pPr>
    <w:r>
      <w:rPr>
        <w:noProof/>
      </w:rPr>
      <mc:AlternateContent>
        <mc:Choice Requires="wps">
          <w:drawing>
            <wp:anchor distT="0" distB="0" distL="0" distR="0" simplePos="0" relativeHeight="251655680" behindDoc="0" locked="1" layoutInCell="1" allowOverlap="1" wp14:anchorId="4D397115" wp14:editId="4D39711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D39713C" w14:textId="77777777" w:rsidR="003F62C4" w:rsidRDefault="003F62C4"/>
                      </w:txbxContent>
                    </wps:txbx>
                    <wps:bodyPr vert="horz" wrap="square" lIns="0" tIns="0" rIns="0" bIns="0" anchor="t" anchorCtr="0"/>
                  </wps:wsp>
                </a:graphicData>
              </a:graphic>
            </wp:anchor>
          </w:drawing>
        </mc:Choice>
        <mc:Fallback>
          <w:pict>
            <v:shapetype w14:anchorId="4D397115"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4D39713C" w14:textId="77777777" w:rsidR="003F62C4" w:rsidRDefault="003F62C4"/>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D397117" wp14:editId="4D39711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D397126" w14:textId="77777777" w:rsidR="00B74F22" w:rsidRDefault="003F62C4">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D397117"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4D397126" w14:textId="77777777" w:rsidR="00B74F22" w:rsidRDefault="003F62C4">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D397119" wp14:editId="4D39711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B74F22" w14:paraId="4D397129" w14:textId="77777777">
                            <w:tc>
                              <w:tcPr>
                                <w:tcW w:w="678" w:type="dxa"/>
                              </w:tcPr>
                              <w:p w14:paraId="4D397127" w14:textId="77777777" w:rsidR="00B74F22" w:rsidRDefault="003F62C4">
                                <w:r>
                                  <w:t>Datum</w:t>
                                </w:r>
                              </w:p>
                            </w:tc>
                            <w:tc>
                              <w:tcPr>
                                <w:tcW w:w="6851" w:type="dxa"/>
                              </w:tcPr>
                              <w:p w14:paraId="4D397128" w14:textId="501AF952" w:rsidR="00B74F22" w:rsidRDefault="00A93695">
                                <w:r>
                                  <w:t>3</w:t>
                                </w:r>
                                <w:r w:rsidR="003F62C4">
                                  <w:t xml:space="preserve"> ju</w:t>
                                </w:r>
                                <w:r w:rsidR="00712C34">
                                  <w:t>l</w:t>
                                </w:r>
                                <w:r w:rsidR="003F62C4">
                                  <w:t>i 2026</w:t>
                                </w:r>
                                <w:r w:rsidR="00521D43">
                                  <w:t xml:space="preserve"> </w:t>
                                </w:r>
                              </w:p>
                            </w:tc>
                          </w:tr>
                          <w:tr w:rsidR="00B74F22" w14:paraId="4D39712E" w14:textId="77777777">
                            <w:tc>
                              <w:tcPr>
                                <w:tcW w:w="678" w:type="dxa"/>
                              </w:tcPr>
                              <w:p w14:paraId="4D39712A" w14:textId="77777777" w:rsidR="00B74F22" w:rsidRDefault="003F62C4">
                                <w:r>
                                  <w:t>Betreft</w:t>
                                </w:r>
                              </w:p>
                              <w:p w14:paraId="4D39712B" w14:textId="77777777" w:rsidR="00B74F22" w:rsidRDefault="00B74F22"/>
                            </w:tc>
                            <w:tc>
                              <w:tcPr>
                                <w:tcW w:w="6851" w:type="dxa"/>
                              </w:tcPr>
                              <w:p w14:paraId="4D39712C" w14:textId="77777777" w:rsidR="00B74F22" w:rsidRDefault="003F62C4">
                                <w:r>
                                  <w:t>Gastlandaanbod Nederland operationele fase Speciaal Tribunaal voor het Misdrijf Agressie tegen Oekraïne</w:t>
                                </w:r>
                              </w:p>
                              <w:p w14:paraId="4D39712D" w14:textId="77777777" w:rsidR="00B74F22" w:rsidRDefault="00B74F22"/>
                            </w:tc>
                          </w:tr>
                        </w:tbl>
                        <w:p w14:paraId="4D39712F" w14:textId="77777777" w:rsidR="00B74F22" w:rsidRDefault="00B74F22"/>
                        <w:p w14:paraId="4D397130" w14:textId="77777777" w:rsidR="00B74F22" w:rsidRDefault="00B74F22"/>
                      </w:txbxContent>
                    </wps:txbx>
                    <wps:bodyPr vert="horz" wrap="square" lIns="0" tIns="0" rIns="0" bIns="0" anchor="t" anchorCtr="0"/>
                  </wps:wsp>
                </a:graphicData>
              </a:graphic>
            </wp:anchor>
          </w:drawing>
        </mc:Choice>
        <mc:Fallback>
          <w:pict>
            <v:shape w14:anchorId="4D397119"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B74F22" w14:paraId="4D397129" w14:textId="77777777">
                      <w:tc>
                        <w:tcPr>
                          <w:tcW w:w="678" w:type="dxa"/>
                        </w:tcPr>
                        <w:p w14:paraId="4D397127" w14:textId="77777777" w:rsidR="00B74F22" w:rsidRDefault="003F62C4">
                          <w:r>
                            <w:t>Datum</w:t>
                          </w:r>
                        </w:p>
                      </w:tc>
                      <w:tc>
                        <w:tcPr>
                          <w:tcW w:w="6851" w:type="dxa"/>
                        </w:tcPr>
                        <w:p w14:paraId="4D397128" w14:textId="501AF952" w:rsidR="00B74F22" w:rsidRDefault="00A93695">
                          <w:r>
                            <w:t>3</w:t>
                          </w:r>
                          <w:r w:rsidR="003F62C4">
                            <w:t xml:space="preserve"> ju</w:t>
                          </w:r>
                          <w:r w:rsidR="00712C34">
                            <w:t>l</w:t>
                          </w:r>
                          <w:r w:rsidR="003F62C4">
                            <w:t>i 2026</w:t>
                          </w:r>
                          <w:r w:rsidR="00521D43">
                            <w:t xml:space="preserve"> </w:t>
                          </w:r>
                        </w:p>
                      </w:tc>
                    </w:tr>
                    <w:tr w:rsidR="00B74F22" w14:paraId="4D39712E" w14:textId="77777777">
                      <w:tc>
                        <w:tcPr>
                          <w:tcW w:w="678" w:type="dxa"/>
                        </w:tcPr>
                        <w:p w14:paraId="4D39712A" w14:textId="77777777" w:rsidR="00B74F22" w:rsidRDefault="003F62C4">
                          <w:r>
                            <w:t>Betreft</w:t>
                          </w:r>
                        </w:p>
                        <w:p w14:paraId="4D39712B" w14:textId="77777777" w:rsidR="00B74F22" w:rsidRDefault="00B74F22"/>
                      </w:tc>
                      <w:tc>
                        <w:tcPr>
                          <w:tcW w:w="6851" w:type="dxa"/>
                        </w:tcPr>
                        <w:p w14:paraId="4D39712C" w14:textId="77777777" w:rsidR="00B74F22" w:rsidRDefault="003F62C4">
                          <w:r>
                            <w:t>Gastlandaanbod Nederland operationele fase Speciaal Tribunaal voor het Misdrijf Agressie tegen Oekraïne</w:t>
                          </w:r>
                        </w:p>
                        <w:p w14:paraId="4D39712D" w14:textId="77777777" w:rsidR="00B74F22" w:rsidRDefault="00B74F22"/>
                      </w:tc>
                    </w:tr>
                  </w:tbl>
                  <w:p w14:paraId="4D39712F" w14:textId="77777777" w:rsidR="00B74F22" w:rsidRDefault="00B74F22"/>
                  <w:p w14:paraId="4D397130" w14:textId="77777777" w:rsidR="00B74F22" w:rsidRDefault="00B74F22"/>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D39711B" wp14:editId="1C984202">
              <wp:simplePos x="0" y="0"/>
              <wp:positionH relativeFrom="page">
                <wp:posOffset>5920740</wp:posOffset>
              </wp:positionH>
              <wp:positionV relativeFrom="page">
                <wp:posOffset>1965960</wp:posOffset>
              </wp:positionV>
              <wp:extent cx="13792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9220" cy="8009890"/>
                      </a:xfrm>
                      <a:prstGeom prst="rect">
                        <a:avLst/>
                      </a:prstGeom>
                      <a:noFill/>
                    </wps:spPr>
                    <wps:txbx>
                      <w:txbxContent>
                        <w:p w14:paraId="4D397132" w14:textId="53C1CD70" w:rsidR="00B74F22" w:rsidRDefault="003F62C4" w:rsidP="00521D43">
                          <w:pPr>
                            <w:pStyle w:val="Referentiegegevensbold"/>
                          </w:pPr>
                          <w:r>
                            <w:t>Ministerie van Buitenlandse Zaken</w:t>
                          </w:r>
                        </w:p>
                        <w:p w14:paraId="2146BEBE" w14:textId="77777777" w:rsidR="00D551E0" w:rsidRDefault="00D551E0">
                          <w:pPr>
                            <w:pStyle w:val="Referentiegegevens"/>
                          </w:pPr>
                          <w:r>
                            <w:t>Rijnstraat 8</w:t>
                          </w:r>
                        </w:p>
                        <w:p w14:paraId="4F41FFAD" w14:textId="77777777" w:rsidR="00D551E0" w:rsidRDefault="00D551E0">
                          <w:pPr>
                            <w:pStyle w:val="Referentiegegevens"/>
                          </w:pPr>
                          <w:r>
                            <w:t>2515XP Den Haag</w:t>
                          </w:r>
                        </w:p>
                        <w:p w14:paraId="7A6C3377" w14:textId="77777777" w:rsidR="00D551E0" w:rsidRDefault="00D551E0">
                          <w:pPr>
                            <w:pStyle w:val="Referentiegegevens"/>
                          </w:pPr>
                          <w:r>
                            <w:t>Postbus 20061</w:t>
                          </w:r>
                        </w:p>
                        <w:p w14:paraId="4D397133" w14:textId="7CC5AD0E" w:rsidR="00B74F22" w:rsidRDefault="00D551E0">
                          <w:pPr>
                            <w:pStyle w:val="Referentiegegevens"/>
                          </w:pPr>
                          <w:r>
                            <w:t>Nederland</w:t>
                          </w:r>
                          <w:r w:rsidR="003F62C4">
                            <w:t xml:space="preserve"> </w:t>
                          </w:r>
                        </w:p>
                        <w:p w14:paraId="4D397134" w14:textId="77777777" w:rsidR="00B74F22" w:rsidRDefault="003F62C4">
                          <w:pPr>
                            <w:pStyle w:val="Referentiegegevens"/>
                          </w:pPr>
                          <w:r>
                            <w:t>www.minbuza.nl</w:t>
                          </w:r>
                        </w:p>
                        <w:p w14:paraId="5356A477" w14:textId="77777777" w:rsidR="00D551E0" w:rsidRDefault="00D551E0" w:rsidP="00D551E0">
                          <w:pPr>
                            <w:rPr>
                              <w:b/>
                              <w:bCs/>
                              <w:sz w:val="13"/>
                              <w:szCs w:val="13"/>
                            </w:rPr>
                          </w:pPr>
                        </w:p>
                        <w:p w14:paraId="2A166D10" w14:textId="0D536502" w:rsidR="00D551E0" w:rsidRDefault="00D551E0" w:rsidP="00D551E0">
                          <w:pPr>
                            <w:rPr>
                              <w:b/>
                              <w:bCs/>
                              <w:sz w:val="13"/>
                              <w:szCs w:val="13"/>
                            </w:rPr>
                          </w:pPr>
                          <w:r w:rsidRPr="00D551E0">
                            <w:rPr>
                              <w:b/>
                              <w:bCs/>
                              <w:sz w:val="13"/>
                              <w:szCs w:val="13"/>
                            </w:rPr>
                            <w:t>Onze referentie</w:t>
                          </w:r>
                        </w:p>
                        <w:p w14:paraId="44C2C14A" w14:textId="6D48A7A8" w:rsidR="00D551E0" w:rsidRPr="00712C34" w:rsidRDefault="00712C34" w:rsidP="00D551E0">
                          <w:pPr>
                            <w:rPr>
                              <w:sz w:val="13"/>
                              <w:szCs w:val="13"/>
                            </w:rPr>
                          </w:pPr>
                          <w:r w:rsidRPr="00712C34">
                            <w:rPr>
                              <w:sz w:val="13"/>
                              <w:szCs w:val="13"/>
                            </w:rPr>
                            <w:t>BZ</w:t>
                          </w:r>
                          <w:r w:rsidR="00521D43">
                            <w:rPr>
                              <w:sz w:val="13"/>
                              <w:szCs w:val="13"/>
                            </w:rPr>
                            <w:t>2629719</w:t>
                          </w:r>
                        </w:p>
                        <w:p w14:paraId="31F9E95C" w14:textId="77777777" w:rsidR="00712C34" w:rsidRPr="00D551E0" w:rsidRDefault="00712C34" w:rsidP="00D551E0">
                          <w:pPr>
                            <w:rPr>
                              <w:b/>
                              <w:bCs/>
                              <w:sz w:val="13"/>
                              <w:szCs w:val="13"/>
                            </w:rPr>
                          </w:pPr>
                        </w:p>
                        <w:p w14:paraId="4D397136" w14:textId="77777777" w:rsidR="00B74F22" w:rsidRDefault="003F62C4">
                          <w:pPr>
                            <w:pStyle w:val="Referentiegegevensbold"/>
                          </w:pPr>
                          <w:r>
                            <w:t>Bijlage(n)</w:t>
                          </w:r>
                        </w:p>
                        <w:p w14:paraId="4D397137" w14:textId="77777777" w:rsidR="00B74F22" w:rsidRDefault="003F62C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D39711B" id="41b10cd4-80a4-11ea-b356-6230a4311406" o:spid="_x0000_s1032" type="#_x0000_t202" style="position:absolute;margin-left:466.2pt;margin-top:154.8pt;width:108.6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" filled="f" stroked="f">
              <v:textbox inset="0,0,0,0">
                <w:txbxContent>
                  <w:p w14:paraId="4D397132" w14:textId="53C1CD70" w:rsidR="00B74F22" w:rsidRDefault="003F62C4" w:rsidP="00521D43">
                    <w:pPr>
                      <w:pStyle w:val="Referentiegegevensbold"/>
                    </w:pPr>
                    <w:r>
                      <w:t>Ministerie van Buitenlandse Zaken</w:t>
                    </w:r>
                  </w:p>
                  <w:p w14:paraId="2146BEBE" w14:textId="77777777" w:rsidR="00D551E0" w:rsidRDefault="00D551E0">
                    <w:pPr>
                      <w:pStyle w:val="Referentiegegevens"/>
                    </w:pPr>
                    <w:r>
                      <w:t>Rijnstraat 8</w:t>
                    </w:r>
                  </w:p>
                  <w:p w14:paraId="4F41FFAD" w14:textId="77777777" w:rsidR="00D551E0" w:rsidRDefault="00D551E0">
                    <w:pPr>
                      <w:pStyle w:val="Referentiegegevens"/>
                    </w:pPr>
                    <w:r>
                      <w:t>2515XP Den Haag</w:t>
                    </w:r>
                  </w:p>
                  <w:p w14:paraId="7A6C3377" w14:textId="77777777" w:rsidR="00D551E0" w:rsidRDefault="00D551E0">
                    <w:pPr>
                      <w:pStyle w:val="Referentiegegevens"/>
                    </w:pPr>
                    <w:r>
                      <w:t>Postbus 20061</w:t>
                    </w:r>
                  </w:p>
                  <w:p w14:paraId="4D397133" w14:textId="7CC5AD0E" w:rsidR="00B74F22" w:rsidRDefault="00D551E0">
                    <w:pPr>
                      <w:pStyle w:val="Referentiegegevens"/>
                    </w:pPr>
                    <w:r>
                      <w:t>Nederland</w:t>
                    </w:r>
                    <w:r w:rsidR="003F62C4">
                      <w:t xml:space="preserve"> </w:t>
                    </w:r>
                  </w:p>
                  <w:p w14:paraId="4D397134" w14:textId="77777777" w:rsidR="00B74F22" w:rsidRDefault="003F62C4">
                    <w:pPr>
                      <w:pStyle w:val="Referentiegegevens"/>
                    </w:pPr>
                    <w:r>
                      <w:t>www.minbuza.nl</w:t>
                    </w:r>
                  </w:p>
                  <w:p w14:paraId="5356A477" w14:textId="77777777" w:rsidR="00D551E0" w:rsidRDefault="00D551E0" w:rsidP="00D551E0">
                    <w:pPr>
                      <w:rPr>
                        <w:b/>
                        <w:bCs/>
                        <w:sz w:val="13"/>
                        <w:szCs w:val="13"/>
                      </w:rPr>
                    </w:pPr>
                  </w:p>
                  <w:p w14:paraId="2A166D10" w14:textId="0D536502" w:rsidR="00D551E0" w:rsidRDefault="00D551E0" w:rsidP="00D551E0">
                    <w:pPr>
                      <w:rPr>
                        <w:b/>
                        <w:bCs/>
                        <w:sz w:val="13"/>
                        <w:szCs w:val="13"/>
                      </w:rPr>
                    </w:pPr>
                    <w:r w:rsidRPr="00D551E0">
                      <w:rPr>
                        <w:b/>
                        <w:bCs/>
                        <w:sz w:val="13"/>
                        <w:szCs w:val="13"/>
                      </w:rPr>
                      <w:t>Onze referentie</w:t>
                    </w:r>
                  </w:p>
                  <w:p w14:paraId="44C2C14A" w14:textId="6D48A7A8" w:rsidR="00D551E0" w:rsidRPr="00712C34" w:rsidRDefault="00712C34" w:rsidP="00D551E0">
                    <w:pPr>
                      <w:rPr>
                        <w:sz w:val="13"/>
                        <w:szCs w:val="13"/>
                      </w:rPr>
                    </w:pPr>
                    <w:r w:rsidRPr="00712C34">
                      <w:rPr>
                        <w:sz w:val="13"/>
                        <w:szCs w:val="13"/>
                      </w:rPr>
                      <w:t>BZ</w:t>
                    </w:r>
                    <w:r w:rsidR="00521D43">
                      <w:rPr>
                        <w:sz w:val="13"/>
                        <w:szCs w:val="13"/>
                      </w:rPr>
                      <w:t>2629719</w:t>
                    </w:r>
                  </w:p>
                  <w:p w14:paraId="31F9E95C" w14:textId="77777777" w:rsidR="00712C34" w:rsidRPr="00D551E0" w:rsidRDefault="00712C34" w:rsidP="00D551E0">
                    <w:pPr>
                      <w:rPr>
                        <w:b/>
                        <w:bCs/>
                        <w:sz w:val="13"/>
                        <w:szCs w:val="13"/>
                      </w:rPr>
                    </w:pPr>
                  </w:p>
                  <w:p w14:paraId="4D397136" w14:textId="77777777" w:rsidR="00B74F22" w:rsidRDefault="003F62C4">
                    <w:pPr>
                      <w:pStyle w:val="Referentiegegevensbold"/>
                    </w:pPr>
                    <w:r>
                      <w:t>Bijlage(n)</w:t>
                    </w:r>
                  </w:p>
                  <w:p w14:paraId="4D397137" w14:textId="77777777" w:rsidR="00B74F22" w:rsidRDefault="003F62C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D39711D" wp14:editId="4D39711E">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4D397138" w14:textId="2E586DDF" w:rsidR="00B74F22" w:rsidRDefault="00B74F22">
                          <w:pPr>
                            <w:pStyle w:val="Rubricering"/>
                          </w:pPr>
                        </w:p>
                      </w:txbxContent>
                    </wps:txbx>
                    <wps:bodyPr vert="horz" wrap="square" lIns="0" tIns="0" rIns="0" bIns="0" anchor="t" anchorCtr="0"/>
                  </wps:wsp>
                </a:graphicData>
              </a:graphic>
            </wp:anchor>
          </w:drawing>
        </mc:Choice>
        <mc:Fallback>
          <w:pict>
            <v:shape w14:anchorId="4D39711D"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4D397138" w14:textId="2E586DDF" w:rsidR="00B74F22" w:rsidRDefault="00B74F22">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D39711F" wp14:editId="4D39712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D397142" w14:textId="77777777" w:rsidR="003F62C4" w:rsidRDefault="003F62C4"/>
                      </w:txbxContent>
                    </wps:txbx>
                    <wps:bodyPr vert="horz" wrap="square" lIns="0" tIns="0" rIns="0" bIns="0" anchor="t" anchorCtr="0"/>
                  </wps:wsp>
                </a:graphicData>
              </a:graphic>
            </wp:anchor>
          </w:drawing>
        </mc:Choice>
        <mc:Fallback>
          <w:pict>
            <v:shape w14:anchorId="4D39711F"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4D397142" w14:textId="77777777" w:rsidR="003F62C4" w:rsidRDefault="003F62C4"/>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D397121" wp14:editId="4D39712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D397144" w14:textId="77777777" w:rsidR="003F62C4" w:rsidRDefault="003F62C4"/>
                      </w:txbxContent>
                    </wps:txbx>
                    <wps:bodyPr vert="horz" wrap="square" lIns="0" tIns="0" rIns="0" bIns="0" anchor="t" anchorCtr="0"/>
                  </wps:wsp>
                </a:graphicData>
              </a:graphic>
            </wp:anchor>
          </w:drawing>
        </mc:Choice>
        <mc:Fallback>
          <w:pict>
            <v:shape w14:anchorId="4D397121"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4D397144" w14:textId="77777777" w:rsidR="003F62C4" w:rsidRDefault="003F62C4"/>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D397123" wp14:editId="4D39712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D397139" w14:textId="77777777" w:rsidR="00B74F22" w:rsidRDefault="003F62C4">
                          <w:pPr>
                            <w:spacing w:line="240" w:lineRule="auto"/>
                          </w:pPr>
                          <w:r>
                            <w:rPr>
                              <w:noProof/>
                            </w:rPr>
                            <w:drawing>
                              <wp:inline distT="0" distB="0" distL="0" distR="0" wp14:anchorId="4D39713C" wp14:editId="4D39713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397123"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4D397139" w14:textId="77777777" w:rsidR="00B74F22" w:rsidRDefault="003F62C4">
                    <w:pPr>
                      <w:spacing w:line="240" w:lineRule="auto"/>
                    </w:pPr>
                    <w:r>
                      <w:rPr>
                        <w:noProof/>
                      </w:rPr>
                      <w:drawing>
                        <wp:inline distT="0" distB="0" distL="0" distR="0" wp14:anchorId="4D39713C" wp14:editId="4D39713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0AAA24"/>
    <w:multiLevelType w:val="multilevel"/>
    <w:tmpl w:val="7137FCA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60688D8"/>
    <w:multiLevelType w:val="multilevel"/>
    <w:tmpl w:val="D1A232D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1AECAE8"/>
    <w:multiLevelType w:val="multilevel"/>
    <w:tmpl w:val="20A827A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4657430"/>
    <w:multiLevelType w:val="multilevel"/>
    <w:tmpl w:val="AE0ABE4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B959A1D"/>
    <w:multiLevelType w:val="multilevel"/>
    <w:tmpl w:val="3E506F2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299112659">
    <w:abstractNumId w:val="4"/>
  </w:num>
  <w:num w:numId="2" w16cid:durableId="343702990">
    <w:abstractNumId w:val="3"/>
  </w:num>
  <w:num w:numId="3" w16cid:durableId="2135169379">
    <w:abstractNumId w:val="2"/>
  </w:num>
  <w:num w:numId="4" w16cid:durableId="424150920">
    <w:abstractNumId w:val="1"/>
  </w:num>
  <w:num w:numId="5" w16cid:durableId="358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F22"/>
    <w:rsid w:val="00051C86"/>
    <w:rsid w:val="000702BA"/>
    <w:rsid w:val="0007595D"/>
    <w:rsid w:val="00084228"/>
    <w:rsid w:val="00183D95"/>
    <w:rsid w:val="001873C0"/>
    <w:rsid w:val="001D6CA2"/>
    <w:rsid w:val="001F54F0"/>
    <w:rsid w:val="00224700"/>
    <w:rsid w:val="00301FBE"/>
    <w:rsid w:val="00371689"/>
    <w:rsid w:val="00385232"/>
    <w:rsid w:val="003F62C4"/>
    <w:rsid w:val="00430E4F"/>
    <w:rsid w:val="00442F1A"/>
    <w:rsid w:val="00445242"/>
    <w:rsid w:val="004C6431"/>
    <w:rsid w:val="00517EC6"/>
    <w:rsid w:val="00521D43"/>
    <w:rsid w:val="00556E2C"/>
    <w:rsid w:val="0060212A"/>
    <w:rsid w:val="00650AFD"/>
    <w:rsid w:val="00712C34"/>
    <w:rsid w:val="00717A76"/>
    <w:rsid w:val="00732AD4"/>
    <w:rsid w:val="00735F3D"/>
    <w:rsid w:val="00754EE6"/>
    <w:rsid w:val="0076677C"/>
    <w:rsid w:val="00824F56"/>
    <w:rsid w:val="00835DEF"/>
    <w:rsid w:val="00867D87"/>
    <w:rsid w:val="008F0C2C"/>
    <w:rsid w:val="009339FF"/>
    <w:rsid w:val="00935BE9"/>
    <w:rsid w:val="00A3245C"/>
    <w:rsid w:val="00A93695"/>
    <w:rsid w:val="00B022E6"/>
    <w:rsid w:val="00B02F98"/>
    <w:rsid w:val="00B74F22"/>
    <w:rsid w:val="00BB2C5F"/>
    <w:rsid w:val="00BE477A"/>
    <w:rsid w:val="00BF2086"/>
    <w:rsid w:val="00C02E2B"/>
    <w:rsid w:val="00C47A98"/>
    <w:rsid w:val="00C62B89"/>
    <w:rsid w:val="00D06305"/>
    <w:rsid w:val="00D551E0"/>
    <w:rsid w:val="00D70455"/>
    <w:rsid w:val="00D9443F"/>
    <w:rsid w:val="00E101AF"/>
    <w:rsid w:val="00E661E1"/>
    <w:rsid w:val="00F32EE6"/>
    <w:rsid w:val="00F33B67"/>
    <w:rsid w:val="00F34362"/>
    <w:rsid w:val="00F67C16"/>
    <w:rsid w:val="00F67ED8"/>
    <w:rsid w:val="00FE67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97100"/>
  <w15:docId w15:val="{D8644F97-1574-4D46-98DA-58281A27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D551E0"/>
    <w:pPr>
      <w:tabs>
        <w:tab w:val="center" w:pos="4513"/>
        <w:tab w:val="right" w:pos="9026"/>
      </w:tabs>
      <w:spacing w:line="240" w:lineRule="auto"/>
    </w:pPr>
  </w:style>
  <w:style w:type="character" w:customStyle="1" w:styleId="HeaderChar">
    <w:name w:val="Header Char"/>
    <w:basedOn w:val="DefaultParagraphFont"/>
    <w:link w:val="Header"/>
    <w:uiPriority w:val="99"/>
    <w:rsid w:val="00D551E0"/>
    <w:rPr>
      <w:rFonts w:ascii="Verdana" w:hAnsi="Verdana"/>
      <w:color w:val="000000"/>
      <w:sz w:val="18"/>
      <w:szCs w:val="18"/>
    </w:rPr>
  </w:style>
  <w:style w:type="paragraph" w:styleId="Footer">
    <w:name w:val="footer"/>
    <w:basedOn w:val="Normal"/>
    <w:link w:val="FooterChar"/>
    <w:uiPriority w:val="99"/>
    <w:unhideWhenUsed/>
    <w:rsid w:val="00D551E0"/>
    <w:pPr>
      <w:tabs>
        <w:tab w:val="center" w:pos="4513"/>
        <w:tab w:val="right" w:pos="9026"/>
      </w:tabs>
      <w:spacing w:line="240" w:lineRule="auto"/>
    </w:pPr>
  </w:style>
  <w:style w:type="character" w:customStyle="1" w:styleId="FooterChar">
    <w:name w:val="Footer Char"/>
    <w:basedOn w:val="DefaultParagraphFont"/>
    <w:link w:val="Footer"/>
    <w:uiPriority w:val="99"/>
    <w:rsid w:val="00D551E0"/>
    <w:rPr>
      <w:rFonts w:ascii="Verdana" w:hAnsi="Verdana"/>
      <w:color w:val="000000"/>
      <w:sz w:val="18"/>
      <w:szCs w:val="18"/>
    </w:rPr>
  </w:style>
  <w:style w:type="paragraph" w:styleId="FootnoteText">
    <w:name w:val="footnote text"/>
    <w:basedOn w:val="Normal"/>
    <w:link w:val="FootnoteTextChar"/>
    <w:uiPriority w:val="99"/>
    <w:semiHidden/>
    <w:unhideWhenUsed/>
    <w:rsid w:val="00D551E0"/>
    <w:pPr>
      <w:autoSpaceDN/>
      <w:spacing w:line="240" w:lineRule="auto"/>
      <w:ind w:left="368" w:hanging="367"/>
      <w:textAlignment w:val="auto"/>
    </w:pPr>
    <w:rPr>
      <w:rFonts w:ascii="Calibri" w:eastAsia="Calibri" w:hAnsi="Calibri" w:cs="Calibri"/>
      <w:kern w:val="2"/>
      <w:sz w:val="20"/>
      <w:szCs w:val="20"/>
      <w14:ligatures w14:val="standardContextual"/>
    </w:rPr>
  </w:style>
  <w:style w:type="character" w:customStyle="1" w:styleId="FootnoteTextChar">
    <w:name w:val="Footnote Text Char"/>
    <w:basedOn w:val="DefaultParagraphFont"/>
    <w:link w:val="FootnoteText"/>
    <w:uiPriority w:val="99"/>
    <w:semiHidden/>
    <w:rsid w:val="00D551E0"/>
    <w:rPr>
      <w:rFonts w:ascii="Calibri" w:eastAsia="Calibri" w:hAnsi="Calibri" w:cs="Calibri"/>
      <w:color w:val="000000"/>
      <w:kern w:val="2"/>
      <w14:ligatures w14:val="standardContextual"/>
    </w:rPr>
  </w:style>
  <w:style w:type="character" w:styleId="FootnoteReference">
    <w:name w:val="footnote reference"/>
    <w:basedOn w:val="DefaultParagraphFont"/>
    <w:uiPriority w:val="99"/>
    <w:semiHidden/>
    <w:unhideWhenUsed/>
    <w:rsid w:val="00D551E0"/>
    <w:rPr>
      <w:vertAlign w:val="superscript"/>
    </w:rPr>
  </w:style>
  <w:style w:type="paragraph" w:styleId="Revision">
    <w:name w:val="Revision"/>
    <w:hidden/>
    <w:uiPriority w:val="99"/>
    <w:semiHidden/>
    <w:rsid w:val="0038523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1127</ap:Words>
  <ap:Characters>6203</ap:Characters>
  <ap:DocSecurity>0</ap:DocSecurity>
  <ap:Lines>51</ap:Lines>
  <ap:Paragraphs>14</ap:Paragraphs>
  <ap:ScaleCrop>false</ap:ScaleCrop>
  <ap:HeadingPairs>
    <vt:vector baseType="variant" size="2">
      <vt:variant>
        <vt:lpstr>Title</vt:lpstr>
      </vt:variant>
      <vt:variant>
        <vt:i4>1</vt:i4>
      </vt:variant>
    </vt:vector>
  </ap:HeadingPairs>
  <ap:TitlesOfParts>
    <vt:vector baseType="lpstr" size="1">
      <vt:lpstr>Gastlandaanbod Nederland operationele fase Speciaal Tribunaal voor het Misdrijf Agressie tegen Oekraïne</vt:lpstr>
    </vt:vector>
  </ap:TitlesOfParts>
  <ap:LinksUpToDate>false</ap:LinksUpToDate>
  <ap:CharactersWithSpaces>7316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2026-06-25T12:06:00.0000000Z</dcterms:created>
  <dcterms:modified xsi:type="dcterms:W3CDTF">2026-07-03T09:26:00.0000000Z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0x0101009C7CE436063D44E9BE7DC0259EF7C32F006EB9F9836A634AE58B6169785FD3936F00EA378174BD718848A245B02FBC21B1F4</vt:lpwstr>
  </property>
  <property fmtid="{D5CDD505-2E9C-101B-9397-08002B2CF9AE}" pid="3" name="BZArchiveStatus">
    <vt:lpwstr/>
  </property>
  <property fmtid="{D5CDD505-2E9C-101B-9397-08002B2CF9AE}" pid="4" name="BZArchiveLog">
    <vt:lpwstr/>
  </property>
  <property fmtid="{D5CDD505-2E9C-101B-9397-08002B2CF9AE}" pid="5" name="cc4b55a5ee91473b87ec338540cdae54">
    <vt:lpwstr>Ukraine|1d0b3b4a-20e6-48f4-9620-63d5fcfa06a4</vt:lpwstr>
  </property>
  <property fmtid="{D5CDD505-2E9C-101B-9397-08002B2CF9AE}" pid="6" name="BZForumOrganisation">
    <vt:lpwstr>2;#Not applicable|0049e722-bfb1-4a3f-9d08-af7366a9af40</vt:lpwstr>
  </property>
  <property fmtid="{D5CDD505-2E9C-101B-9397-08002B2CF9AE}" pid="7" name="gc2efd3bfea04f7f8169be07009f5536">
    <vt:lpwstr/>
  </property>
  <property fmtid="{D5CDD505-2E9C-101B-9397-08002B2CF9AE}" pid="8" name="BZDossierBudgetManager">
    <vt:lpwstr/>
  </property>
  <property fmtid="{D5CDD505-2E9C-101B-9397-08002B2CF9AE}" pid="9" name="BZTheme">
    <vt:lpwstr>1;#Not applicable|ec01d90b-9d0f-4785-8785-e1ea615196bf</vt:lpwstr>
  </property>
  <property fmtid="{D5CDD505-2E9C-101B-9397-08002B2CF9AE}" pid="10" name="BZDossierSendTo">
    <vt:lpwstr/>
  </property>
  <property fmtid="{D5CDD505-2E9C-101B-9397-08002B2CF9AE}" pid="11" name="d1b77f58b5724360bd683b4bf0d30054">
    <vt:lpwstr>UNCLASSIFIED (U)|284e6a62-15ab-4017-be27-a1e965f4e940</vt:lpwstr>
  </property>
  <property fmtid="{D5CDD505-2E9C-101B-9397-08002B2CF9AE}" pid="12" name="e35afc56668347c3aef24194d1ed59ea">
    <vt:lpwstr>Not applicable|0049e722-bfb1-4a3f-9d08-af7366a9af40</vt:lpwstr>
  </property>
  <property fmtid="{D5CDD505-2E9C-101B-9397-08002B2CF9AE}" pid="13" name="f7af940f06314dc78018242c25682d67">
    <vt:lpwstr>X|0a4eb9ae-69eb-4d9e-b573-43ab99ef8592</vt:lpwstr>
  </property>
  <property fmtid="{D5CDD505-2E9C-101B-9397-08002B2CF9AE}" pid="14" name="BZDossierResponsibleDepartment">
    <vt:lpwstr/>
  </property>
  <property fmtid="{D5CDD505-2E9C-101B-9397-08002B2CF9AE}" pid="15" name="TaxCatchAll">
    <vt:lpwstr>5;#X|0a4eb9ae-69eb-4d9e-b573-43ab99ef8592;#4;#UNCLASSIFIED (U)|284e6a62-15ab-4017-be27-a1e965f4e940;#3;#Ukraine|1d0b3b4a-20e6-48f4-9620-63d5fcfa06a4;#2;#Not applicable|0049e722-bfb1-4a3f-9d08-af7366a9af40;#1;#Not applicable|ec01d90b-9d0f-4785-8785-e1ea615196bf</vt:lpwstr>
  </property>
  <property fmtid="{D5CDD505-2E9C-101B-9397-08002B2CF9AE}" pid="16" name="BZCountryState">
    <vt:lpwstr>3;#Ukraine|1d0b3b4a-20e6-48f4-9620-63d5fcfa06a4</vt:lpwstr>
  </property>
  <property fmtid="{D5CDD505-2E9C-101B-9397-08002B2CF9AE}" pid="17" name="BZDossierProcessLocation">
    <vt:lpwstr/>
  </property>
  <property fmtid="{D5CDD505-2E9C-101B-9397-08002B2CF9AE}" pid="18" name="BZDossierGovernmentOfficial">
    <vt:lpwstr/>
  </property>
  <property fmtid="{D5CDD505-2E9C-101B-9397-08002B2CF9AE}" pid="19" name="BZMarking">
    <vt:lpwstr>5;#X|0a4eb9ae-69eb-4d9e-b573-43ab99ef8592</vt:lpwstr>
  </property>
  <property fmtid="{D5CDD505-2E9C-101B-9397-08002B2CF9AE}" pid="20" name="f2fb2a8e39404f1ab554e4e4a49d2918">
    <vt:lpwstr/>
  </property>
  <property fmtid="{D5CDD505-2E9C-101B-9397-08002B2CF9AE}" pid="21" name="BZDossierPublishingWOOCategory">
    <vt:lpwstr/>
  </property>
  <property fmtid="{D5CDD505-2E9C-101B-9397-08002B2CF9AE}" pid="22" name="i42ef48d5fa942a0ad0d60e44f201751">
    <vt:lpwstr/>
  </property>
  <property fmtid="{D5CDD505-2E9C-101B-9397-08002B2CF9AE}" pid="23" name="BZClassification">
    <vt:lpwstr>4;#UNCLASSIFIED (U)|284e6a62-15ab-4017-be27-a1e965f4e940</vt:lpwstr>
  </property>
  <property fmtid="{D5CDD505-2E9C-101B-9397-08002B2CF9AE}" pid="24" name="f8e003236e1c4ac2ab9051d5d8789bbb">
    <vt:lpwstr/>
  </property>
  <property fmtid="{D5CDD505-2E9C-101B-9397-08002B2CF9AE}" pid="25" name="p29721a54a5c4bbe9786e930fc91e270">
    <vt:lpwstr/>
  </property>
  <property fmtid="{D5CDD505-2E9C-101B-9397-08002B2CF9AE}" pid="26" name="BZThemeAsText">
    <vt:lpwstr>Not applicable</vt:lpwstr>
  </property>
  <property fmtid="{D5CDD505-2E9C-101B-9397-08002B2CF9AE}" pid="27" name="bb20b5f81c9f47a48f8188e85aec1253">
    <vt:lpwstr>Not applicable|ec01d90b-9d0f-4785-8785-e1ea615196bf</vt:lpwstr>
  </property>
  <property fmtid="{D5CDD505-2E9C-101B-9397-08002B2CF9AE}" pid="28" name="ed9282a3f18446ec8c17c7829edf82dd">
    <vt:lpwstr/>
  </property>
  <property fmtid="{D5CDD505-2E9C-101B-9397-08002B2CF9AE}" pid="29" name="e256f556a7b748329ab47889947c7d40">
    <vt:lpwstr/>
  </property>
  <property fmtid="{D5CDD505-2E9C-101B-9397-08002B2CF9AE}" pid="30" name="BZDossierProcessType">
    <vt:lpwstr/>
  </property>
  <property fmtid="{D5CDD505-2E9C-101B-9397-08002B2CF9AE}" pid="31" name="_dlc_DocIdItemGuid">
    <vt:lpwstr>79d27280-0efc-441d-b15c-0b698ec67c9c</vt:lpwstr>
  </property>
  <property fmtid="{D5CDD505-2E9C-101B-9397-08002B2CF9AE}" pid="32" name="BZDocGenTemplate">
    <vt:lpwstr>Reguliere kamerbrief</vt:lpwstr>
  </property>
  <property fmtid="{D5CDD505-2E9C-101B-9397-08002B2CF9AE}" pid="33" name="BZDossierTemplate">
    <vt:lpwstr>AlgemeenDossier</vt:lpwstr>
  </property>
  <property fmtid="{D5CDD505-2E9C-101B-9397-08002B2CF9AE}" pid="34" name="URL">
    <vt:lpwstr>https://247.plaza.buzaservices.nl/subject/OV-MR2026022026/BZ2629150/Kamerbrief Gastlandaanbod Nederland Kamerbrief operationele fase Speciaal Tribunaal voor het Misdrijf Agressie tegen Oekraïne 18062026.docx</vt:lpwstr>
  </property>
  <property fmtid="{D5CDD505-2E9C-101B-9397-08002B2CF9AE}" pid="35" name="_docset_NoMedatataSyncRequired">
    <vt:lpwstr>False</vt:lpwstr>
  </property>
</Properties>
</file>