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10D" w:rsidP="00F95D63" w:rsidRDefault="0019104E" w14:paraId="05798688" w14:textId="77777777">
      <w:pPr>
        <w:spacing w:line="276" w:lineRule="auto"/>
      </w:pPr>
      <w:r>
        <w:t>Geachte voorzitter,</w:t>
      </w:r>
    </w:p>
    <w:p w:rsidR="00AC710D" w:rsidP="00F95D63" w:rsidRDefault="00AC710D" w14:paraId="05798689" w14:textId="77777777">
      <w:pPr>
        <w:spacing w:line="276" w:lineRule="auto"/>
      </w:pPr>
    </w:p>
    <w:p w:rsidRPr="00A85D06" w:rsidR="00A85D06" w:rsidP="00F95D63" w:rsidRDefault="00A85D06" w14:paraId="3456E7FC" w14:textId="77777777">
      <w:pPr>
        <w:spacing w:line="276" w:lineRule="auto"/>
      </w:pPr>
      <w:r w:rsidRPr="00A85D06">
        <w:t xml:space="preserve">Conform het op 10 juni 2011 per brief gemelde aangescherpte wapenexportbeleid (Kamerstuk 2010-2011, 22 054, nr. 165) en de motie van het lid El </w:t>
      </w:r>
      <w:proofErr w:type="spellStart"/>
      <w:r w:rsidRPr="00A85D06">
        <w:t>Fassed</w:t>
      </w:r>
      <w:proofErr w:type="spellEnd"/>
      <w:r w:rsidRPr="00A85D06">
        <w:t xml:space="preserve"> c.s. van 22 december 2011 over verlaging van de drempelwaarde voor de versnelde</w:t>
      </w:r>
    </w:p>
    <w:p w:rsidR="00A85D06" w:rsidP="00F95D63" w:rsidRDefault="00A85D06" w14:paraId="050E8697" w14:textId="763D6A46">
      <w:pPr>
        <w:spacing w:line="276" w:lineRule="auto"/>
      </w:pPr>
      <w:r w:rsidRPr="00A85D06">
        <w:t>parlementaire controle bij specifieke wapenexportaanvragen naar € 2.000.000,-(Kamerstuk 2011-2012, 22 054, nr. 181), ontvangt uw Kamer onderstaande informatie over een door Nederland afgegeven vergunning ter waarde van</w:t>
      </w:r>
      <w:r>
        <w:t xml:space="preserve"> </w:t>
      </w:r>
      <w:r w:rsidR="00FD402C">
        <w:t xml:space="preserve">          </w:t>
      </w:r>
      <w:r>
        <w:t>€</w:t>
      </w:r>
      <w:r w:rsidR="00FD402C">
        <w:t xml:space="preserve"> </w:t>
      </w:r>
      <w:r>
        <w:t>2.056.500,- voor de uitvoer van militair materieel naar Jordanië.</w:t>
      </w:r>
    </w:p>
    <w:p w:rsidR="00A85D06" w:rsidP="00F95D63" w:rsidRDefault="00A85D06" w14:paraId="4349D530" w14:textId="77777777">
      <w:pPr>
        <w:spacing w:line="276" w:lineRule="auto"/>
      </w:pPr>
    </w:p>
    <w:p w:rsidRPr="00F37F57" w:rsidR="00A85D06" w:rsidP="00F95D63" w:rsidRDefault="00A85D06" w14:paraId="2109A1BB" w14:textId="7CD03C08">
      <w:pPr>
        <w:spacing w:line="276" w:lineRule="auto"/>
      </w:pPr>
      <w:r>
        <w:t>Een Nederlands bedrijf heeft onlangs een exportvergunning verkregen voor de uitvoer van drie dronedetectieradars met bijbehorende dataverwerkingsstations naar Jordanië. De dronedetectieradars zullen door de Jordaanse strijdkrachten</w:t>
      </w:r>
      <w:r w:rsidR="001B0130">
        <w:t xml:space="preserve"> </w:t>
      </w:r>
      <w:r>
        <w:t>gebruikt worden om vijandige drones te detecteren en hiermee zorg te dragen voor de bescherming van civiele-, overheids- en defensie-gerelateerde infrastructuur in Jordanië.</w:t>
      </w:r>
    </w:p>
    <w:p w:rsidR="00A85D06" w:rsidP="00F95D63" w:rsidRDefault="00A85D06" w14:paraId="2BA84392" w14:textId="098E4819">
      <w:pPr>
        <w:spacing w:line="276" w:lineRule="auto"/>
      </w:pPr>
    </w:p>
    <w:p w:rsidR="00A85D06" w:rsidP="00F95D63" w:rsidRDefault="00A85D06" w14:paraId="4A5C007B" w14:textId="71ABBA34">
      <w:pPr>
        <w:spacing w:line="276" w:lineRule="auto"/>
      </w:pPr>
      <w:r>
        <w:t>De aanvraag is getoetst aan de acht criteria van het EU Gemeenschappelijk Standpunt inzake wapenexport (EUGS).</w:t>
      </w:r>
      <w:r>
        <w:rPr>
          <w:rStyle w:val="FootnoteReference"/>
        </w:rPr>
        <w:footnoteReference w:id="1"/>
      </w:r>
      <w:r>
        <w:t xml:space="preserve"> Deze toetsing, waarvan de essentie ten aanzien van de meest relevante criteria hieronder wordt weergegeven, leidde tot het afgeven van de vergunning op basis van de volgende argumenten:</w:t>
      </w:r>
    </w:p>
    <w:p w:rsidR="00736E28" w:rsidP="00F95D63" w:rsidRDefault="00736E28" w14:paraId="0CAC7374" w14:textId="77777777">
      <w:pPr>
        <w:spacing w:line="276" w:lineRule="auto"/>
      </w:pPr>
    </w:p>
    <w:p w:rsidR="001B0130" w:rsidP="00F95D63" w:rsidRDefault="001B0130" w14:paraId="15DD6B06" w14:textId="1BBE4545">
      <w:pPr>
        <w:spacing w:line="276" w:lineRule="auto"/>
      </w:pPr>
      <w:r>
        <w:rPr>
          <w:u w:val="single"/>
        </w:rPr>
        <w:t>Regionale stabiliteit (C</w:t>
      </w:r>
      <w:r w:rsidR="00FD402C">
        <w:rPr>
          <w:u w:val="single"/>
        </w:rPr>
        <w:t xml:space="preserve">riterium </w:t>
      </w:r>
      <w:r>
        <w:rPr>
          <w:u w:val="single"/>
        </w:rPr>
        <w:t>4</w:t>
      </w:r>
      <w:r w:rsidR="00FD402C">
        <w:rPr>
          <w:u w:val="single"/>
        </w:rPr>
        <w:t xml:space="preserve"> EUGS</w:t>
      </w:r>
      <w:r>
        <w:rPr>
          <w:u w:val="single"/>
        </w:rPr>
        <w:t>)</w:t>
      </w:r>
    </w:p>
    <w:p w:rsidR="00B0481A" w:rsidP="00F95D63" w:rsidRDefault="001B0130" w14:paraId="42EBFB62" w14:textId="4ED5DF3D">
      <w:pPr>
        <w:spacing w:line="276" w:lineRule="auto"/>
      </w:pPr>
      <w:r>
        <w:t>Jordanië heeft geen territoriale ambities en speelt een stabiliserende rol in de regio. Daarnaast wordt Jordanië beschouwd als een goede partner van de NAVO.</w:t>
      </w:r>
    </w:p>
    <w:p w:rsidR="00C16A1E" w:rsidP="00F95D63" w:rsidRDefault="00C16A1E" w14:paraId="02349E04" w14:textId="77777777">
      <w:pPr>
        <w:spacing w:line="276" w:lineRule="auto"/>
      </w:pPr>
    </w:p>
    <w:p w:rsidR="00C16A1E" w:rsidP="00F95D63" w:rsidRDefault="00C16A1E" w14:paraId="6A74CB5B" w14:textId="4AE4D7ED">
      <w:pPr>
        <w:spacing w:line="276" w:lineRule="auto"/>
      </w:pPr>
      <w:r w:rsidRPr="00C16A1E">
        <w:t>Jordanië ondervindt negatieve gevolgen van de drugssmokkel vanuit Syrië, die in toenemende mate wordt gecombineerd met het illegale transport van wapens en explosieven</w:t>
      </w:r>
      <w:r>
        <w:t xml:space="preserve">. </w:t>
      </w:r>
      <w:r w:rsidRPr="00C16A1E">
        <w:t>Er bestaan</w:t>
      </w:r>
      <w:r>
        <w:t xml:space="preserve"> </w:t>
      </w:r>
      <w:r w:rsidRPr="00C16A1E">
        <w:t>signalen dat de luchtmacht van Jordanië bij de bestrijding van deze problematiek meermaals luchtaanvallen heeft uitgevoerd in Syrië, o.a. in december 2025 en maart en mei</w:t>
      </w:r>
      <w:r>
        <w:t xml:space="preserve"> 2026. De uit te voeren goederen in de voorliggende aanvraag (dronedetectieradars) spelen ten aanzien van deze </w:t>
      </w:r>
      <w:r>
        <w:lastRenderedPageBreak/>
        <w:t>ontwikkelingen geen rol, aangezien ze niet kunnen worden ingezet voor doelgeleiding en niet zijn bedoeld voor integratie in gevechtsvliegtuigen.</w:t>
      </w:r>
    </w:p>
    <w:p w:rsidR="001B0130" w:rsidP="00F95D63" w:rsidRDefault="001B0130" w14:paraId="24895BA0" w14:textId="7217BB96">
      <w:pPr>
        <w:spacing w:line="276" w:lineRule="auto"/>
      </w:pPr>
    </w:p>
    <w:p w:rsidR="00B0481A" w:rsidP="00F95D63" w:rsidRDefault="00B0481A" w14:paraId="6981782C" w14:textId="2D69B57C">
      <w:pPr>
        <w:spacing w:line="276" w:lineRule="auto"/>
      </w:pPr>
      <w:r>
        <w:t xml:space="preserve">Jordanië is sinds 28 februari 2026 </w:t>
      </w:r>
      <w:r w:rsidRPr="007E5961" w:rsidR="007E5961">
        <w:t xml:space="preserve">het doelwit geweest van raket- en droneaanvallen door zowel Iran als pro-Iraanse milities </w:t>
      </w:r>
      <w:r w:rsidR="007E5961">
        <w:t xml:space="preserve">opererend </w:t>
      </w:r>
      <w:r w:rsidRPr="007E5961" w:rsidR="007E5961">
        <w:t>in Irak</w:t>
      </w:r>
      <w:r>
        <w:t xml:space="preserve">. Sinds de onderhandelingen tussen Iran en de VS zijn de aanvallen op Jordanië afgenomen, maar de situatie in de regio blijft </w:t>
      </w:r>
      <w:r w:rsidR="00FD402C">
        <w:t>volatiel</w:t>
      </w:r>
      <w:r>
        <w:t xml:space="preserve">. </w:t>
      </w:r>
      <w:r w:rsidRPr="00FD402C" w:rsidR="00FD402C">
        <w:t xml:space="preserve">De voorliggende aanvraag betreft de levering van drie dronedetectieradars die de capaciteit van de </w:t>
      </w:r>
      <w:r w:rsidR="00FD402C">
        <w:t>Jordaanse strijdkrachten</w:t>
      </w:r>
      <w:r w:rsidRPr="00FD402C" w:rsidR="00FD402C">
        <w:t xml:space="preserve"> vergroot om zich te kunnen verdedigen tegen</w:t>
      </w:r>
      <w:r w:rsidR="00FD402C">
        <w:t xml:space="preserve"> </w:t>
      </w:r>
      <w:r w:rsidRPr="00FD402C" w:rsidR="00FD402C">
        <w:t>droneaanvallen. Hiermee komt de voorliggende aanvraag tegemoet aan de legitieme veiligheidsbehoefte van Jordanië en draagt het bij aan het behoud van de interne stabiliteit in het land</w:t>
      </w:r>
      <w:r>
        <w:t>.</w:t>
      </w:r>
    </w:p>
    <w:p w:rsidR="00C16A1E" w:rsidP="00F95D63" w:rsidRDefault="00C16A1E" w14:paraId="277C677A" w14:textId="77777777">
      <w:pPr>
        <w:spacing w:line="276" w:lineRule="auto"/>
      </w:pPr>
    </w:p>
    <w:p w:rsidR="00B0481A" w:rsidP="00F95D63" w:rsidRDefault="00B0481A" w14:paraId="580A0A3F" w14:textId="27E90275">
      <w:pPr>
        <w:spacing w:line="276" w:lineRule="auto"/>
      </w:pPr>
      <w:r>
        <w:t>Gelet op de stabiliserende rol die Jordanië speelt in de regio en de aard van de</w:t>
      </w:r>
      <w:r w:rsidR="00C16A1E">
        <w:t xml:space="preserve"> g</w:t>
      </w:r>
      <w:r>
        <w:t xml:space="preserve">oederen </w:t>
      </w:r>
      <w:r w:rsidRPr="00FD402C" w:rsidR="00FD402C">
        <w:t>bestaat er geen duidelijk risico dat de</w:t>
      </w:r>
      <w:r w:rsidR="00C16A1E">
        <w:t xml:space="preserve"> uit te voeren</w:t>
      </w:r>
      <w:r w:rsidRPr="00FD402C" w:rsidR="00FD402C">
        <w:t xml:space="preserve"> </w:t>
      </w:r>
      <w:r w:rsidR="00C16A1E">
        <w:t xml:space="preserve">dronedetectieradars </w:t>
      </w:r>
      <w:r w:rsidRPr="00FD402C" w:rsidR="00FD402C">
        <w:t xml:space="preserve">ingezet zullen worden voor agressie jegens een ander land of het met kracht bijzetten van territoriale aanspraken. Toetsing aan criterium 4 is </w:t>
      </w:r>
      <w:r w:rsidRPr="00FD402C" w:rsidR="00FD402C">
        <w:rPr>
          <w:b/>
          <w:bCs/>
        </w:rPr>
        <w:t>positief</w:t>
      </w:r>
      <w:r>
        <w:t>.</w:t>
      </w:r>
    </w:p>
    <w:p w:rsidR="00B0481A" w:rsidP="00F95D63" w:rsidRDefault="00B0481A" w14:paraId="376305F4" w14:textId="77777777">
      <w:pPr>
        <w:spacing w:line="276" w:lineRule="auto"/>
      </w:pPr>
    </w:p>
    <w:p w:rsidR="00B0481A" w:rsidP="00F95D63" w:rsidRDefault="00B0481A" w14:paraId="66E68A46" w14:textId="7D063F8F">
      <w:pPr>
        <w:spacing w:line="276" w:lineRule="auto"/>
      </w:pPr>
      <w:r>
        <w:rPr>
          <w:u w:val="single"/>
        </w:rPr>
        <w:t>Houding terrorisme/grensoverschrijdende criminaliteit/naleving internationaal recht/non-proliferatie (C</w:t>
      </w:r>
      <w:r w:rsidR="00FD402C">
        <w:rPr>
          <w:u w:val="single"/>
        </w:rPr>
        <w:t xml:space="preserve">riterium </w:t>
      </w:r>
      <w:r>
        <w:rPr>
          <w:u w:val="single"/>
        </w:rPr>
        <w:t>6</w:t>
      </w:r>
      <w:r w:rsidR="00FD402C">
        <w:rPr>
          <w:u w:val="single"/>
        </w:rPr>
        <w:t xml:space="preserve"> EUGS</w:t>
      </w:r>
      <w:r>
        <w:rPr>
          <w:u w:val="single"/>
        </w:rPr>
        <w:t>)</w:t>
      </w:r>
    </w:p>
    <w:p w:rsidR="008855BA" w:rsidP="00F95D63" w:rsidRDefault="00441E54" w14:paraId="4803A52B" w14:textId="70C418D0">
      <w:pPr>
        <w:spacing w:line="276" w:lineRule="auto"/>
      </w:pPr>
      <w:r w:rsidRPr="008855BA">
        <w:t xml:space="preserve">In rapporten van het VN </w:t>
      </w:r>
      <w:r w:rsidRPr="008855BA">
        <w:rPr>
          <w:i/>
          <w:iCs/>
        </w:rPr>
        <w:t>Panel of Experts on Libya</w:t>
      </w:r>
      <w:r w:rsidRPr="008855BA">
        <w:t xml:space="preserve"> is vastgesteld dat Jordanië in het verleden het wapenembargo op Libië heeft geschonden.</w:t>
      </w:r>
      <w:r w:rsidRPr="008855BA">
        <w:rPr>
          <w:rStyle w:val="FootnoteReference"/>
        </w:rPr>
        <w:footnoteReference w:id="2"/>
      </w:r>
      <w:r w:rsidRPr="008855BA" w:rsidR="00E05737">
        <w:t xml:space="preserve"> </w:t>
      </w:r>
      <w:bookmarkStart w:name="_Hlk233637134" w:id="1"/>
      <w:r w:rsidRPr="008855BA">
        <w:t xml:space="preserve">Toetsing aan criterium 6 is hierom </w:t>
      </w:r>
      <w:r w:rsidRPr="008855BA">
        <w:rPr>
          <w:b/>
          <w:bCs/>
        </w:rPr>
        <w:t>negatief</w:t>
      </w:r>
      <w:r w:rsidRPr="008855BA">
        <w:t>.</w:t>
      </w:r>
      <w:bookmarkEnd w:id="1"/>
      <w:r w:rsidRPr="008855BA" w:rsidR="00D95112">
        <w:t xml:space="preserve"> In lijn met het EU Gemeenschappelijk Standpunt hoeft een negatieve toetsing aan criterium 6 niet leidend te zijn in het eindoordeel</w:t>
      </w:r>
      <w:r w:rsidR="008855BA">
        <w:t>.</w:t>
      </w:r>
    </w:p>
    <w:p w:rsidR="008855BA" w:rsidP="00F95D63" w:rsidRDefault="008855BA" w14:paraId="72E292FF" w14:textId="77777777">
      <w:pPr>
        <w:spacing w:line="276" w:lineRule="auto"/>
      </w:pPr>
    </w:p>
    <w:p w:rsidR="00B0481A" w:rsidP="00F95D63" w:rsidRDefault="00D95112" w14:paraId="50C1B04C" w14:textId="75A57128">
      <w:pPr>
        <w:spacing w:line="276" w:lineRule="auto"/>
      </w:pPr>
      <w:r w:rsidRPr="008855BA">
        <w:t>In dit</w:t>
      </w:r>
      <w:r w:rsidRPr="008855BA" w:rsidR="006654BB">
        <w:t xml:space="preserve"> geval</w:t>
      </w:r>
      <w:r w:rsidRPr="008855BA">
        <w:t xml:space="preserve"> is de</w:t>
      </w:r>
      <w:r w:rsidR="008855BA">
        <w:t xml:space="preserve"> </w:t>
      </w:r>
      <w:r w:rsidRPr="008855BA" w:rsidR="00840FE9">
        <w:t xml:space="preserve">negatieve toetsing aan criterium 6 </w:t>
      </w:r>
      <w:r w:rsidRPr="008855BA" w:rsidR="00840FE9">
        <w:rPr>
          <w:b/>
          <w:bCs/>
        </w:rPr>
        <w:t xml:space="preserve">niet </w:t>
      </w:r>
      <w:r w:rsidRPr="008855BA" w:rsidR="007E5961">
        <w:rPr>
          <w:b/>
          <w:bCs/>
        </w:rPr>
        <w:t>doorslaggevend</w:t>
      </w:r>
      <w:r w:rsidRPr="008855BA" w:rsidR="00840FE9">
        <w:t xml:space="preserve"> </w:t>
      </w:r>
      <w:r w:rsidRPr="008855BA">
        <w:t>in het eindoordeel</w:t>
      </w:r>
      <w:r w:rsidRPr="008855BA" w:rsidR="006654BB">
        <w:t xml:space="preserve"> van de voorliggende vergunningaanvraag</w:t>
      </w:r>
      <w:r w:rsidRPr="008855BA">
        <w:t xml:space="preserve">, aangezien de goederen in deze aanvraag geen verband houden met de door de </w:t>
      </w:r>
      <w:r w:rsidRPr="008855BA" w:rsidR="00840FE9">
        <w:t xml:space="preserve">VN vastgestelde schendingen </w:t>
      </w:r>
      <w:r w:rsidRPr="008855BA" w:rsidR="00B0481A">
        <w:t xml:space="preserve">van het </w:t>
      </w:r>
      <w:r w:rsidRPr="008855BA">
        <w:t>wapen</w:t>
      </w:r>
      <w:r w:rsidRPr="008855BA" w:rsidR="00B0481A">
        <w:t>embargo</w:t>
      </w:r>
      <w:r w:rsidRPr="008855BA">
        <w:t xml:space="preserve"> op Libi</w:t>
      </w:r>
      <w:r w:rsidRPr="008855BA" w:rsidR="006654BB">
        <w:t>ë</w:t>
      </w:r>
      <w:r w:rsidRPr="008855BA">
        <w:t xml:space="preserve">. De aard van de goederen </w:t>
      </w:r>
      <w:r w:rsidRPr="008855BA" w:rsidR="00B0481A">
        <w:t>in de voorliggende aanvraag (dronedetectieradars)</w:t>
      </w:r>
      <w:r w:rsidRPr="008855BA">
        <w:t xml:space="preserve"> komt niet overeen met de vastgestelde schending</w:t>
      </w:r>
      <w:r w:rsidRPr="008855BA" w:rsidR="00B0481A">
        <w:t>.</w:t>
      </w:r>
      <w:bookmarkStart w:name="_Hlk233620164" w:id="2"/>
      <w:r w:rsidR="008855BA">
        <w:t xml:space="preserve"> </w:t>
      </w:r>
      <w:r w:rsidRPr="008855BA">
        <w:t xml:space="preserve">Daarnaast is het </w:t>
      </w:r>
      <w:r w:rsidRPr="008855BA" w:rsidR="00E05737">
        <w:t>opgegeven eindgebruik</w:t>
      </w:r>
      <w:r w:rsidR="008855BA">
        <w:t xml:space="preserve">, </w:t>
      </w:r>
      <w:r w:rsidRPr="008855BA" w:rsidR="00E05737">
        <w:t>dronedetectie ten behoeve van beveiliging en bewaking van civiele en militaire infrastructuur</w:t>
      </w:r>
      <w:r w:rsidRPr="008855BA" w:rsidR="006654BB">
        <w:t>,</w:t>
      </w:r>
      <w:r w:rsidRPr="008855BA" w:rsidR="006C242F">
        <w:t xml:space="preserve"> </w:t>
      </w:r>
      <w:r w:rsidRPr="008855BA">
        <w:t>aan</w:t>
      </w:r>
      <w:r w:rsidRPr="008855BA" w:rsidR="006654BB">
        <w:t>nemelijk</w:t>
      </w:r>
      <w:bookmarkEnd w:id="2"/>
      <w:r w:rsidR="008855BA">
        <w:t>.</w:t>
      </w:r>
    </w:p>
    <w:p w:rsidRPr="00A85D06" w:rsidR="00581464" w:rsidP="00F95D63" w:rsidRDefault="00581464" w14:paraId="48DBFBCF" w14:textId="77777777">
      <w:pPr>
        <w:spacing w:line="276" w:lineRule="auto"/>
      </w:pPr>
    </w:p>
    <w:p w:rsidR="00B0481A" w:rsidP="00F95D63" w:rsidRDefault="00B0481A" w14:paraId="011CEDED" w14:textId="76D79BE1">
      <w:pPr>
        <w:spacing w:line="276" w:lineRule="auto"/>
      </w:pPr>
      <w:r>
        <w:t xml:space="preserve">Ten aanzien van de overige </w:t>
      </w:r>
      <w:r w:rsidR="00C16A1E">
        <w:t>zes</w:t>
      </w:r>
      <w:r>
        <w:t xml:space="preserve"> criteria gelden geen bijzonderheden,</w:t>
      </w:r>
      <w:r w:rsidR="00FD402C">
        <w:t xml:space="preserve"> </w:t>
      </w:r>
      <w:r>
        <w:t xml:space="preserve">deze zijn </w:t>
      </w:r>
      <w:r w:rsidR="00FD402C">
        <w:t>positief getoetst.</w:t>
      </w:r>
    </w:p>
    <w:p w:rsidR="00B0481A" w:rsidP="00F95D63" w:rsidRDefault="00B0481A" w14:paraId="345DCCD5" w14:textId="08DDA1D3">
      <w:pPr>
        <w:tabs>
          <w:tab w:val="left" w:pos="2069"/>
        </w:tabs>
        <w:spacing w:line="276" w:lineRule="auto"/>
      </w:pPr>
    </w:p>
    <w:tbl>
      <w:tblPr>
        <w:tblStyle w:val="Tabelondertekening"/>
        <w:tblpPr w:leftFromText="141" w:rightFromText="141" w:vertAnchor="text" w:horzAnchor="margin" w:tblpY="6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D7604" w:rsidTr="001D7604" w14:paraId="7ED8836C" w14:textId="77777777">
        <w:tc>
          <w:tcPr>
            <w:tcW w:w="3620" w:type="dxa"/>
          </w:tcPr>
          <w:p w:rsidR="001D7604" w:rsidP="00F95D63" w:rsidRDefault="001D7604" w14:paraId="5F5A0124" w14:textId="77777777">
            <w:pPr>
              <w:spacing w:line="276" w:lineRule="auto"/>
            </w:pPr>
            <w:r>
              <w:t>De minister van Buitenlandse Handel en Ontwikkelingssamenwerking,</w:t>
            </w:r>
          </w:p>
          <w:p w:rsidR="001D7604" w:rsidP="00F95D63" w:rsidRDefault="001D7604" w14:paraId="1AEAB240" w14:textId="77777777">
            <w:pPr>
              <w:spacing w:line="276" w:lineRule="auto"/>
            </w:pPr>
          </w:p>
          <w:p w:rsidR="001D7604" w:rsidP="00F95D63" w:rsidRDefault="001D7604" w14:paraId="16AF99AB" w14:textId="77777777">
            <w:pPr>
              <w:spacing w:line="276" w:lineRule="auto"/>
            </w:pPr>
          </w:p>
          <w:p w:rsidR="001D7604" w:rsidP="00F95D63" w:rsidRDefault="001D7604" w14:paraId="7D1D75B0" w14:textId="77777777">
            <w:pPr>
              <w:spacing w:line="276" w:lineRule="auto"/>
            </w:pPr>
          </w:p>
          <w:p w:rsidR="001D7604" w:rsidP="00F95D63" w:rsidRDefault="001D7604" w14:paraId="190D7DCA" w14:textId="77777777">
            <w:pPr>
              <w:spacing w:line="276" w:lineRule="auto"/>
            </w:pPr>
          </w:p>
          <w:p w:rsidR="001D7604" w:rsidP="00F95D63" w:rsidRDefault="001D7604" w14:paraId="38C4F181" w14:textId="359F6143">
            <w:pPr>
              <w:spacing w:line="276" w:lineRule="auto"/>
            </w:pPr>
            <w:r>
              <w:t>S.W. Sjoerdsma</w:t>
            </w:r>
          </w:p>
        </w:tc>
        <w:tc>
          <w:tcPr>
            <w:tcW w:w="3921" w:type="dxa"/>
          </w:tcPr>
          <w:p w:rsidR="001D7604" w:rsidP="00F95D63" w:rsidRDefault="001D7604" w14:paraId="3843D800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</w:p>
          <w:p w:rsidR="001D7604" w:rsidP="00F95D63" w:rsidRDefault="001D7604" w14:paraId="7671BACD" w14:textId="291E31A7">
            <w:pPr>
              <w:spacing w:line="276" w:lineRule="auto"/>
            </w:pPr>
          </w:p>
          <w:p w:rsidR="001D7604" w:rsidP="00F95D63" w:rsidRDefault="001D7604" w14:paraId="04183B9E" w14:textId="77777777">
            <w:pPr>
              <w:spacing w:line="276" w:lineRule="auto"/>
            </w:pPr>
          </w:p>
          <w:p w:rsidR="001D7604" w:rsidP="00F95D63" w:rsidRDefault="001D7604" w14:paraId="30B3DAAA" w14:textId="5545E5DF">
            <w:pPr>
              <w:spacing w:line="276" w:lineRule="auto"/>
            </w:pPr>
            <w:r>
              <w:br/>
              <w:t>T.B.W. Berendsen</w:t>
            </w:r>
          </w:p>
        </w:tc>
      </w:tr>
    </w:tbl>
    <w:p w:rsidR="00AC710D" w:rsidP="00F95D63" w:rsidRDefault="00C16A1E" w14:paraId="0579868F" w14:textId="5B86CF7A">
      <w:pPr>
        <w:spacing w:line="276" w:lineRule="auto"/>
      </w:pPr>
      <w:r>
        <w:tab/>
      </w:r>
      <w:r>
        <w:tab/>
      </w:r>
      <w:r>
        <w:tab/>
      </w:r>
    </w:p>
    <w:sectPr w:rsidR="00AC710D" w:rsidSect="00B73E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3251" w14:textId="77777777" w:rsidR="0019104E" w:rsidRDefault="0019104E">
      <w:pPr>
        <w:spacing w:line="240" w:lineRule="auto"/>
      </w:pPr>
      <w:r>
        <w:separator/>
      </w:r>
    </w:p>
  </w:endnote>
  <w:endnote w:type="continuationSeparator" w:id="0">
    <w:p w14:paraId="387C04DB" w14:textId="77777777" w:rsidR="0019104E" w:rsidRDefault="00191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0D6E" w14:textId="77777777" w:rsidR="00254C35" w:rsidRDefault="00254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144572"/>
      <w:docPartObj>
        <w:docPartGallery w:val="Page Numbers (Bottom of Page)"/>
        <w:docPartUnique/>
      </w:docPartObj>
    </w:sdtPr>
    <w:sdtEndPr/>
    <w:sdtContent>
      <w:p w14:paraId="6C760708" w14:textId="611AB245" w:rsidR="0018224C" w:rsidRDefault="0018224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F5E01" w14:textId="77777777" w:rsidR="0018224C" w:rsidRDefault="00182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537687"/>
      <w:docPartObj>
        <w:docPartGallery w:val="Page Numbers (Bottom of Page)"/>
        <w:docPartUnique/>
      </w:docPartObj>
    </w:sdtPr>
    <w:sdtEndPr/>
    <w:sdtContent>
      <w:p w14:paraId="0F034895" w14:textId="53663C0B" w:rsidR="00FD402C" w:rsidRDefault="00FD40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78A5A" w14:textId="77777777" w:rsidR="00FD402C" w:rsidRDefault="00FD4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D9AB" w14:textId="77777777" w:rsidR="0019104E" w:rsidRDefault="0019104E">
      <w:pPr>
        <w:spacing w:line="240" w:lineRule="auto"/>
      </w:pPr>
      <w:r>
        <w:separator/>
      </w:r>
    </w:p>
  </w:footnote>
  <w:footnote w:type="continuationSeparator" w:id="0">
    <w:p w14:paraId="6EFB04EC" w14:textId="77777777" w:rsidR="0019104E" w:rsidRDefault="0019104E">
      <w:pPr>
        <w:spacing w:line="240" w:lineRule="auto"/>
      </w:pPr>
      <w:r>
        <w:continuationSeparator/>
      </w:r>
    </w:p>
  </w:footnote>
  <w:footnote w:id="1">
    <w:p w14:paraId="390EAF48" w14:textId="3F73FAAE" w:rsidR="00A85D06" w:rsidRPr="00A85D06" w:rsidRDefault="00A85D06">
      <w:pPr>
        <w:pStyle w:val="FootnoteText"/>
        <w:rPr>
          <w:sz w:val="14"/>
          <w:szCs w:val="14"/>
        </w:rPr>
      </w:pPr>
      <w:r w:rsidRPr="00A85D06">
        <w:rPr>
          <w:rStyle w:val="FootnoteReference"/>
          <w:sz w:val="14"/>
          <w:szCs w:val="14"/>
        </w:rPr>
        <w:footnoteRef/>
      </w:r>
      <w:r w:rsidRPr="00A85D06">
        <w:rPr>
          <w:sz w:val="14"/>
          <w:szCs w:val="14"/>
        </w:rPr>
        <w:t xml:space="preserve"> Gemeenschappelijk Standpunt 2008/944/GBVB van de Raad van 8 december 2008, het meest recent aangepast middels raadsbesluit (GBVB) 2019/1560 van 16 september 2019.</w:t>
      </w:r>
    </w:p>
  </w:footnote>
  <w:footnote w:id="2">
    <w:p w14:paraId="143489C4" w14:textId="052B11C6" w:rsidR="00441E54" w:rsidRPr="00E05737" w:rsidRDefault="00441E54">
      <w:pPr>
        <w:pStyle w:val="FootnoteText"/>
        <w:rPr>
          <w:lang w:val="en-US"/>
        </w:rPr>
      </w:pPr>
      <w:r w:rsidRPr="001D7604">
        <w:rPr>
          <w:rStyle w:val="FootnoteReference"/>
          <w:sz w:val="14"/>
          <w:szCs w:val="14"/>
        </w:rPr>
        <w:footnoteRef/>
      </w:r>
      <w:r w:rsidRPr="001D7604">
        <w:rPr>
          <w:sz w:val="14"/>
          <w:szCs w:val="14"/>
          <w:lang w:val="en-US"/>
        </w:rPr>
        <w:t xml:space="preserve"> </w:t>
      </w:r>
      <w:bookmarkStart w:id="0" w:name="_Hlk233620141"/>
      <w:r w:rsidR="00E05737" w:rsidRPr="001D7604">
        <w:rPr>
          <w:sz w:val="14"/>
          <w:szCs w:val="14"/>
        </w:rPr>
        <w:fldChar w:fldCharType="begin"/>
      </w:r>
      <w:r w:rsidR="00E05737" w:rsidRPr="001D7604">
        <w:rPr>
          <w:sz w:val="14"/>
          <w:szCs w:val="14"/>
          <w:lang w:val="en-US"/>
        </w:rPr>
        <w:instrText>HYPERLINK "https://digitallibrary.un.org/record/3838591?v=pdf" \l "files"</w:instrText>
      </w:r>
      <w:r w:rsidR="00E05737" w:rsidRPr="001D7604">
        <w:rPr>
          <w:sz w:val="14"/>
          <w:szCs w:val="14"/>
        </w:rPr>
      </w:r>
      <w:r w:rsidR="00E05737" w:rsidRPr="001D7604">
        <w:rPr>
          <w:sz w:val="14"/>
          <w:szCs w:val="14"/>
        </w:rPr>
        <w:fldChar w:fldCharType="separate"/>
      </w:r>
      <w:r w:rsidR="00E05737" w:rsidRPr="001D7604">
        <w:rPr>
          <w:rStyle w:val="Hyperlink"/>
          <w:sz w:val="14"/>
          <w:szCs w:val="14"/>
          <w:lang w:val="en-US"/>
        </w:rPr>
        <w:t>Letter dated 29 November 2019 from the Panel of Experts on Libya Established pursuant to Resolution 1973 (2011) addressed to the President of the Security Council</w:t>
      </w:r>
      <w:r w:rsidR="00E05737" w:rsidRPr="001D7604">
        <w:rPr>
          <w:sz w:val="14"/>
          <w:szCs w:val="14"/>
        </w:rPr>
        <w:fldChar w:fldCharType="end"/>
      </w:r>
      <w:r w:rsidR="001D7604">
        <w:rPr>
          <w:sz w:val="14"/>
          <w:szCs w:val="14"/>
          <w:lang w:val="en-US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C0A7" w14:textId="77777777" w:rsidR="00254C35" w:rsidRDefault="00254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8690" w14:textId="77777777" w:rsidR="00AC710D" w:rsidRDefault="0019104E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798694" wp14:editId="07389BAE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8684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986C0" w14:textId="35975677" w:rsidR="00AC710D" w:rsidRDefault="00AC710D">
                          <w:pPr>
                            <w:pStyle w:val="Referentiegegevensbold"/>
                          </w:pPr>
                        </w:p>
                        <w:p w14:paraId="5786DA40" w14:textId="77777777" w:rsidR="003E222B" w:rsidRDefault="003E222B" w:rsidP="003E222B"/>
                        <w:p w14:paraId="3418834E" w14:textId="77777777" w:rsidR="003E222B" w:rsidRDefault="003E222B" w:rsidP="003E222B"/>
                        <w:p w14:paraId="53AC15D0" w14:textId="77777777" w:rsidR="003E222B" w:rsidRDefault="003E222B" w:rsidP="003E222B"/>
                        <w:p w14:paraId="6D24BBB0" w14:textId="77777777" w:rsidR="003E222B" w:rsidRDefault="003E222B" w:rsidP="003E222B"/>
                        <w:p w14:paraId="0BCDAB03" w14:textId="77777777" w:rsidR="003E222B" w:rsidRPr="00460469" w:rsidRDefault="003E222B" w:rsidP="003E222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6046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6C264437" w14:textId="77777777" w:rsidR="003E222B" w:rsidRDefault="003E222B" w:rsidP="003E222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85D06">
                            <w:rPr>
                              <w:sz w:val="13"/>
                              <w:szCs w:val="13"/>
                            </w:rPr>
                            <w:t>BZ2629649</w:t>
                          </w:r>
                        </w:p>
                        <w:p w14:paraId="24CDF21B" w14:textId="77777777" w:rsidR="003E222B" w:rsidRPr="003E222B" w:rsidRDefault="003E222B" w:rsidP="003E22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79869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pt;margin-top:154.8pt;width:109.2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" filled="f" stroked="f">
              <v:textbox inset="0,0,0,0">
                <w:txbxContent>
                  <w:p w14:paraId="057986C0" w14:textId="35975677" w:rsidR="00AC710D" w:rsidRDefault="00AC710D">
                    <w:pPr>
                      <w:pStyle w:val="Referentiegegevensbold"/>
                    </w:pPr>
                  </w:p>
                  <w:p w14:paraId="5786DA40" w14:textId="77777777" w:rsidR="003E222B" w:rsidRDefault="003E222B" w:rsidP="003E222B"/>
                  <w:p w14:paraId="3418834E" w14:textId="77777777" w:rsidR="003E222B" w:rsidRDefault="003E222B" w:rsidP="003E222B"/>
                  <w:p w14:paraId="53AC15D0" w14:textId="77777777" w:rsidR="003E222B" w:rsidRDefault="003E222B" w:rsidP="003E222B"/>
                  <w:p w14:paraId="6D24BBB0" w14:textId="77777777" w:rsidR="003E222B" w:rsidRDefault="003E222B" w:rsidP="003E222B"/>
                  <w:p w14:paraId="0BCDAB03" w14:textId="77777777" w:rsidR="003E222B" w:rsidRPr="00460469" w:rsidRDefault="003E222B" w:rsidP="003E222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60469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6C264437" w14:textId="77777777" w:rsidR="003E222B" w:rsidRDefault="003E222B" w:rsidP="003E222B">
                    <w:pPr>
                      <w:rPr>
                        <w:sz w:val="13"/>
                        <w:szCs w:val="13"/>
                      </w:rPr>
                    </w:pPr>
                    <w:r w:rsidRPr="00A85D06">
                      <w:rPr>
                        <w:sz w:val="13"/>
                        <w:szCs w:val="13"/>
                      </w:rPr>
                      <w:t>BZ2629649</w:t>
                    </w:r>
                  </w:p>
                  <w:p w14:paraId="24CDF21B" w14:textId="77777777" w:rsidR="003E222B" w:rsidRPr="003E222B" w:rsidRDefault="003E222B" w:rsidP="003E22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5798696" wp14:editId="416B20F5">
              <wp:simplePos x="0" y="0"/>
              <wp:positionH relativeFrom="page">
                <wp:posOffset>1257935</wp:posOffset>
              </wp:positionH>
              <wp:positionV relativeFrom="page">
                <wp:posOffset>10128885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986C1" w14:textId="2F6B3CBB" w:rsidR="00AC710D" w:rsidRDefault="00AC710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8696" id="41b111a9-80a4-11ea-b356-6230a4311406" o:spid="_x0000_s1027" type="#_x0000_t202" style="position:absolute;margin-left:99.05pt;margin-top:797.5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" filled="f" stroked="f">
              <v:textbox inset="0,0,0,0">
                <w:txbxContent>
                  <w:p w14:paraId="057986C1" w14:textId="2F6B3CBB" w:rsidR="00AC710D" w:rsidRDefault="00AC710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5798698" wp14:editId="0579869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986CE" w14:textId="77777777" w:rsidR="0019104E" w:rsidRDefault="001910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8698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57986CE" w14:textId="77777777" w:rsidR="0019104E" w:rsidRDefault="0019104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8692" w14:textId="77777777" w:rsidR="00AC710D" w:rsidRDefault="0019104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579869A" wp14:editId="0579869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986C2" w14:textId="77777777" w:rsidR="0019104E" w:rsidRDefault="001910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79869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57986C2" w14:textId="77777777" w:rsidR="0019104E" w:rsidRDefault="001910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579869C" wp14:editId="7BE115D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807FC" w14:textId="77777777" w:rsidR="00FD402C" w:rsidRDefault="0019104E">
                          <w:r>
                            <w:t xml:space="preserve">Aan de Voorzitter van de </w:t>
                          </w:r>
                        </w:p>
                        <w:p w14:paraId="057986AB" w14:textId="26A3CC79" w:rsidR="00AC710D" w:rsidRDefault="0019104E">
                          <w:r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869C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4E807FC" w14:textId="77777777" w:rsidR="00FD402C" w:rsidRDefault="0019104E">
                    <w:r>
                      <w:t xml:space="preserve">Aan de Voorzitter van de </w:t>
                    </w:r>
                  </w:p>
                  <w:p w14:paraId="057986AB" w14:textId="26A3CC79" w:rsidR="00AC710D" w:rsidRDefault="0019104E">
                    <w:r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579869E" wp14:editId="0579869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54C35" w:rsidRPr="00254C35" w14:paraId="057986AE" w14:textId="77777777">
                            <w:tc>
                              <w:tcPr>
                                <w:tcW w:w="678" w:type="dxa"/>
                              </w:tcPr>
                              <w:p w14:paraId="057986AC" w14:textId="77777777" w:rsidR="00AC710D" w:rsidRPr="00254C35" w:rsidRDefault="0019104E">
                                <w:pPr>
                                  <w:rPr>
                                    <w:color w:val="auto"/>
                                  </w:rPr>
                                </w:pPr>
                                <w:r w:rsidRPr="00254C35">
                                  <w:rPr>
                                    <w:color w:val="auto"/>
                                  </w:rP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57986AD" w14:textId="50C85A1C" w:rsidR="00AC710D" w:rsidRPr="00254C35" w:rsidRDefault="00254C35">
                                <w:pPr>
                                  <w:rPr>
                                    <w:color w:val="auto"/>
                                  </w:rPr>
                                </w:pPr>
                                <w:r w:rsidRPr="00254C35">
                                  <w:rPr>
                                    <w:color w:val="auto"/>
                                  </w:rPr>
                                  <w:t xml:space="preserve">3 </w:t>
                                </w:r>
                                <w:r w:rsidR="003E222B" w:rsidRPr="00254C35">
                                  <w:rPr>
                                    <w:color w:val="auto"/>
                                  </w:rPr>
                                  <w:t>juli 2026</w:t>
                                </w:r>
                              </w:p>
                            </w:tc>
                          </w:tr>
                          <w:tr w:rsidR="00AC710D" w:rsidRPr="00254C35" w14:paraId="057986B3" w14:textId="77777777">
                            <w:tc>
                              <w:tcPr>
                                <w:tcW w:w="678" w:type="dxa"/>
                              </w:tcPr>
                              <w:p w14:paraId="057986AF" w14:textId="77777777" w:rsidR="00AC710D" w:rsidRPr="00254C35" w:rsidRDefault="0019104E">
                                <w:pPr>
                                  <w:rPr>
                                    <w:color w:val="auto"/>
                                  </w:rPr>
                                </w:pPr>
                                <w:r w:rsidRPr="00254C35">
                                  <w:rPr>
                                    <w:color w:val="auto"/>
                                  </w:rPr>
                                  <w:t>Betreft</w:t>
                                </w:r>
                              </w:p>
                              <w:p w14:paraId="057986B0" w14:textId="77777777" w:rsidR="00AC710D" w:rsidRPr="00254C35" w:rsidRDefault="00AC710D">
                                <w:pPr>
                                  <w:rPr>
                                    <w:color w:val="aut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57986B1" w14:textId="6CE2204F" w:rsidR="00AC710D" w:rsidRPr="00254C35" w:rsidRDefault="00254C35">
                                <w:pPr>
                                  <w:rPr>
                                    <w:color w:val="auto"/>
                                  </w:rPr>
                                </w:pPr>
                                <w:r w:rsidRPr="00254C35">
                                  <w:rPr>
                                    <w:color w:val="auto"/>
                                  </w:rPr>
                                  <w:t>A</w:t>
                                </w:r>
                                <w:r w:rsidR="0019104E" w:rsidRPr="00254C35">
                                  <w:rPr>
                                    <w:color w:val="auto"/>
                                  </w:rPr>
                                  <w:t>fgifte vergunning voor export militair materieel naar Jordanië</w:t>
                                </w:r>
                              </w:p>
                              <w:p w14:paraId="057986B2" w14:textId="77777777" w:rsidR="00AC710D" w:rsidRPr="00254C35" w:rsidRDefault="00AC710D">
                                <w:pPr>
                                  <w:rPr>
                                    <w:color w:val="auto"/>
                                  </w:rPr>
                                </w:pPr>
                              </w:p>
                            </w:tc>
                          </w:tr>
                        </w:tbl>
                        <w:p w14:paraId="057986B4" w14:textId="77777777" w:rsidR="00AC710D" w:rsidRPr="00254C35" w:rsidRDefault="00AC710D">
                          <w:pPr>
                            <w:rPr>
                              <w:color w:val="auto"/>
                            </w:rPr>
                          </w:pPr>
                        </w:p>
                        <w:p w14:paraId="057986B5" w14:textId="77777777" w:rsidR="00AC710D" w:rsidRPr="00254C35" w:rsidRDefault="00AC710D">
                          <w:pPr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869E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54C35" w:rsidRPr="00254C35" w14:paraId="057986AE" w14:textId="77777777">
                      <w:tc>
                        <w:tcPr>
                          <w:tcW w:w="678" w:type="dxa"/>
                        </w:tcPr>
                        <w:p w14:paraId="057986AC" w14:textId="77777777" w:rsidR="00AC710D" w:rsidRPr="00254C35" w:rsidRDefault="0019104E">
                          <w:pPr>
                            <w:rPr>
                              <w:color w:val="auto"/>
                            </w:rPr>
                          </w:pPr>
                          <w:r w:rsidRPr="00254C35">
                            <w:rPr>
                              <w:color w:val="auto"/>
                            </w:rP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57986AD" w14:textId="50C85A1C" w:rsidR="00AC710D" w:rsidRPr="00254C35" w:rsidRDefault="00254C35">
                          <w:pPr>
                            <w:rPr>
                              <w:color w:val="auto"/>
                            </w:rPr>
                          </w:pPr>
                          <w:r w:rsidRPr="00254C35">
                            <w:rPr>
                              <w:color w:val="auto"/>
                            </w:rPr>
                            <w:t xml:space="preserve">3 </w:t>
                          </w:r>
                          <w:r w:rsidR="003E222B" w:rsidRPr="00254C35">
                            <w:rPr>
                              <w:color w:val="auto"/>
                            </w:rPr>
                            <w:t>juli 2026</w:t>
                          </w:r>
                        </w:p>
                      </w:tc>
                    </w:tr>
                    <w:tr w:rsidR="00AC710D" w:rsidRPr="00254C35" w14:paraId="057986B3" w14:textId="77777777">
                      <w:tc>
                        <w:tcPr>
                          <w:tcW w:w="678" w:type="dxa"/>
                        </w:tcPr>
                        <w:p w14:paraId="057986AF" w14:textId="77777777" w:rsidR="00AC710D" w:rsidRPr="00254C35" w:rsidRDefault="0019104E">
                          <w:pPr>
                            <w:rPr>
                              <w:color w:val="auto"/>
                            </w:rPr>
                          </w:pPr>
                          <w:r w:rsidRPr="00254C35">
                            <w:rPr>
                              <w:color w:val="auto"/>
                            </w:rPr>
                            <w:t>Betreft</w:t>
                          </w:r>
                        </w:p>
                        <w:p w14:paraId="057986B0" w14:textId="77777777" w:rsidR="00AC710D" w:rsidRPr="00254C35" w:rsidRDefault="00AC710D">
                          <w:pPr>
                            <w:rPr>
                              <w:color w:val="auto"/>
                            </w:rPr>
                          </w:pPr>
                        </w:p>
                      </w:tc>
                      <w:tc>
                        <w:tcPr>
                          <w:tcW w:w="6851" w:type="dxa"/>
                        </w:tcPr>
                        <w:p w14:paraId="057986B1" w14:textId="6CE2204F" w:rsidR="00AC710D" w:rsidRPr="00254C35" w:rsidRDefault="00254C35">
                          <w:pPr>
                            <w:rPr>
                              <w:color w:val="auto"/>
                            </w:rPr>
                          </w:pPr>
                          <w:r w:rsidRPr="00254C35">
                            <w:rPr>
                              <w:color w:val="auto"/>
                            </w:rPr>
                            <w:t>A</w:t>
                          </w:r>
                          <w:r w:rsidR="0019104E" w:rsidRPr="00254C35">
                            <w:rPr>
                              <w:color w:val="auto"/>
                            </w:rPr>
                            <w:t>fgifte vergunning voor export militair materieel naar Jordanië</w:t>
                          </w:r>
                        </w:p>
                        <w:p w14:paraId="057986B2" w14:textId="77777777" w:rsidR="00AC710D" w:rsidRPr="00254C35" w:rsidRDefault="00AC710D">
                          <w:pPr>
                            <w:rPr>
                              <w:color w:val="auto"/>
                            </w:rPr>
                          </w:pPr>
                        </w:p>
                      </w:tc>
                    </w:tr>
                  </w:tbl>
                  <w:p w14:paraId="057986B4" w14:textId="77777777" w:rsidR="00AC710D" w:rsidRPr="00254C35" w:rsidRDefault="00AC710D">
                    <w:pPr>
                      <w:rPr>
                        <w:color w:val="auto"/>
                      </w:rPr>
                    </w:pPr>
                  </w:p>
                  <w:p w14:paraId="057986B5" w14:textId="77777777" w:rsidR="00AC710D" w:rsidRPr="00254C35" w:rsidRDefault="00AC710D">
                    <w:pPr>
                      <w:rPr>
                        <w:color w:val="auto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57986A0" wp14:editId="4F592973">
              <wp:simplePos x="0" y="0"/>
              <wp:positionH relativeFrom="page">
                <wp:posOffset>5917565</wp:posOffset>
              </wp:positionH>
              <wp:positionV relativeFrom="page">
                <wp:posOffset>1952625</wp:posOffset>
              </wp:positionV>
              <wp:extent cx="1411605" cy="8024495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1605" cy="8024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986B6" w14:textId="2335B358" w:rsidR="00AC710D" w:rsidRDefault="0019104E">
                          <w:pPr>
                            <w:pStyle w:val="Referentiegegevensbold"/>
                          </w:pPr>
                          <w:r>
                            <w:t>Ministerie van</w:t>
                          </w:r>
                          <w:r w:rsidR="00FD402C">
                            <w:t xml:space="preserve"> </w:t>
                          </w:r>
                          <w:r>
                            <w:t>Buitenlandse Zaken</w:t>
                          </w:r>
                        </w:p>
                        <w:p w14:paraId="057986B7" w14:textId="77777777" w:rsidR="00AC710D" w:rsidRDefault="00AC710D">
                          <w:pPr>
                            <w:pStyle w:val="WitregelW1"/>
                          </w:pPr>
                        </w:p>
                        <w:p w14:paraId="6ED0CC11" w14:textId="6B9E85B9" w:rsidR="00A85D06" w:rsidRDefault="00A85D06" w:rsidP="00A85D0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44F7277C" w14:textId="3F224187" w:rsidR="00A85D06" w:rsidRDefault="00A85D06" w:rsidP="00A85D0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85D0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</w:t>
                          </w:r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>Haag</w:t>
                          </w:r>
                        </w:p>
                        <w:p w14:paraId="3B886BB4" w14:textId="1F0F9C54" w:rsidR="00A85D06" w:rsidRDefault="00A85D06" w:rsidP="00A85D0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4C4FEFF" w14:textId="31E6FD30" w:rsidR="00A85D06" w:rsidRDefault="00A85D06" w:rsidP="00A85D0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5551765" w14:textId="13554889" w:rsidR="00A85D06" w:rsidRDefault="00B73EEB" w:rsidP="00A85D0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hyperlink r:id="rId1" w:history="1">
                            <w:r w:rsidRPr="00AA1814">
                              <w:rPr>
                                <w:rStyle w:val="Hyperlink"/>
                                <w:sz w:val="13"/>
                                <w:szCs w:val="13"/>
                                <w:lang w:val="da-DK"/>
                              </w:rPr>
                              <w:t>www.minbuza.nl</w:t>
                            </w:r>
                          </w:hyperlink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</w:t>
                          </w:r>
                        </w:p>
                        <w:p w14:paraId="534B12CD" w14:textId="77777777" w:rsidR="00A85D06" w:rsidRDefault="00A85D06" w:rsidP="00A85D0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2D63C90" w14:textId="644BCE41" w:rsidR="00A85D06" w:rsidRPr="00460469" w:rsidRDefault="00A85D06" w:rsidP="00A85D06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6046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057986BA" w14:textId="09B06C62" w:rsidR="00AC710D" w:rsidRDefault="00A85D06" w:rsidP="00A85D0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85D06">
                            <w:rPr>
                              <w:sz w:val="13"/>
                              <w:szCs w:val="13"/>
                            </w:rPr>
                            <w:t>BZ2629649</w:t>
                          </w:r>
                        </w:p>
                        <w:p w14:paraId="751AC6BE" w14:textId="77777777" w:rsidR="00A85D06" w:rsidRPr="00460469" w:rsidRDefault="00A85D06" w:rsidP="00A85D06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57986BB" w14:textId="77777777" w:rsidR="00AC710D" w:rsidRPr="00460469" w:rsidRDefault="0019104E">
                          <w:pPr>
                            <w:pStyle w:val="Referentiegegevensbold"/>
                          </w:pPr>
                          <w:r w:rsidRPr="00460469">
                            <w:t>Bijlage(n)</w:t>
                          </w:r>
                        </w:p>
                        <w:p w14:paraId="057986BC" w14:textId="52CB9131" w:rsidR="00AC710D" w:rsidRDefault="00FD402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986A0" id="41b10cd4-80a4-11ea-b356-6230a4311406" o:spid="_x0000_s1032" type="#_x0000_t202" style="position:absolute;margin-left:465.95pt;margin-top:153.75pt;width:111.15pt;height:631.85pt;z-index:25165824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" filled="f" stroked="f">
              <v:textbox inset="0,0,0,0">
                <w:txbxContent>
                  <w:p w14:paraId="057986B6" w14:textId="2335B358" w:rsidR="00AC710D" w:rsidRDefault="0019104E">
                    <w:pPr>
                      <w:pStyle w:val="Referentiegegevensbold"/>
                    </w:pPr>
                    <w:r>
                      <w:t>Ministerie van</w:t>
                    </w:r>
                    <w:r w:rsidR="00FD402C">
                      <w:t xml:space="preserve"> </w:t>
                    </w:r>
                    <w:r>
                      <w:t>Buitenlandse Zaken</w:t>
                    </w:r>
                  </w:p>
                  <w:p w14:paraId="057986B7" w14:textId="77777777" w:rsidR="00AC710D" w:rsidRDefault="00AC710D">
                    <w:pPr>
                      <w:pStyle w:val="WitregelW1"/>
                    </w:pPr>
                  </w:p>
                  <w:p w14:paraId="6ED0CC11" w14:textId="6B9E85B9" w:rsidR="00A85D06" w:rsidRDefault="00A85D06" w:rsidP="00A85D0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44F7277C" w14:textId="3F224187" w:rsidR="00A85D06" w:rsidRDefault="00A85D06" w:rsidP="00A85D0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85D06">
                      <w:rPr>
                        <w:sz w:val="13"/>
                        <w:szCs w:val="13"/>
                        <w:lang w:val="da-DK"/>
                      </w:rPr>
                      <w:t xml:space="preserve">2515 XP Den </w:t>
                    </w:r>
                    <w:r>
                      <w:rPr>
                        <w:sz w:val="13"/>
                        <w:szCs w:val="13"/>
                        <w:lang w:val="da-DK"/>
                      </w:rPr>
                      <w:t>Haag</w:t>
                    </w:r>
                  </w:p>
                  <w:p w14:paraId="3B886BB4" w14:textId="1F0F9C54" w:rsidR="00A85D06" w:rsidRDefault="00A85D06" w:rsidP="00A85D0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4C4FEFF" w14:textId="31E6FD30" w:rsidR="00A85D06" w:rsidRDefault="00A85D06" w:rsidP="00A85D0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5551765" w14:textId="13554889" w:rsidR="00A85D06" w:rsidRDefault="00B73EEB" w:rsidP="00A85D0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hyperlink r:id="rId2" w:history="1">
                      <w:r w:rsidRPr="00AA1814">
                        <w:rPr>
                          <w:rStyle w:val="Hyperlink"/>
                          <w:sz w:val="13"/>
                          <w:szCs w:val="13"/>
                          <w:lang w:val="da-DK"/>
                        </w:rPr>
                        <w:t>www.minbuza.nl</w:t>
                      </w:r>
                    </w:hyperlink>
                    <w:r>
                      <w:rPr>
                        <w:sz w:val="13"/>
                        <w:szCs w:val="13"/>
                        <w:lang w:val="da-DK"/>
                      </w:rPr>
                      <w:t xml:space="preserve"> </w:t>
                    </w:r>
                  </w:p>
                  <w:p w14:paraId="534B12CD" w14:textId="77777777" w:rsidR="00A85D06" w:rsidRDefault="00A85D06" w:rsidP="00A85D06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2D63C90" w14:textId="644BCE41" w:rsidR="00A85D06" w:rsidRPr="00460469" w:rsidRDefault="00A85D06" w:rsidP="00A85D06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60469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057986BA" w14:textId="09B06C62" w:rsidR="00AC710D" w:rsidRDefault="00A85D06" w:rsidP="00A85D06">
                    <w:pPr>
                      <w:rPr>
                        <w:sz w:val="13"/>
                        <w:szCs w:val="13"/>
                      </w:rPr>
                    </w:pPr>
                    <w:r w:rsidRPr="00A85D06">
                      <w:rPr>
                        <w:sz w:val="13"/>
                        <w:szCs w:val="13"/>
                      </w:rPr>
                      <w:t>BZ2629649</w:t>
                    </w:r>
                  </w:p>
                  <w:p w14:paraId="751AC6BE" w14:textId="77777777" w:rsidR="00A85D06" w:rsidRPr="00460469" w:rsidRDefault="00A85D06" w:rsidP="00A85D06">
                    <w:pPr>
                      <w:rPr>
                        <w:sz w:val="13"/>
                        <w:szCs w:val="13"/>
                      </w:rPr>
                    </w:pPr>
                  </w:p>
                  <w:p w14:paraId="057986BB" w14:textId="77777777" w:rsidR="00AC710D" w:rsidRPr="00460469" w:rsidRDefault="0019104E">
                    <w:pPr>
                      <w:pStyle w:val="Referentiegegevensbold"/>
                    </w:pPr>
                    <w:r w:rsidRPr="00460469">
                      <w:t>Bijlage(n)</w:t>
                    </w:r>
                  </w:p>
                  <w:p w14:paraId="057986BC" w14:textId="52CB9131" w:rsidR="00AC710D" w:rsidRDefault="00FD402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57986A2" wp14:editId="057986A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986BD" w14:textId="164342D9" w:rsidR="00AC710D" w:rsidRDefault="00AC710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86A2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57986BD" w14:textId="164342D9" w:rsidR="00AC710D" w:rsidRDefault="00AC710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57986A4" wp14:editId="057986A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986C8" w14:textId="77777777" w:rsidR="0019104E" w:rsidRDefault="001910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86A4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57986C8" w14:textId="77777777" w:rsidR="0019104E" w:rsidRDefault="001910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57986A6" wp14:editId="057986A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986BE" w14:textId="77777777" w:rsidR="00AC710D" w:rsidRDefault="001910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986C2" wp14:editId="057986C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86A6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57986BE" w14:textId="77777777" w:rsidR="00AC710D" w:rsidRDefault="0019104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7986C2" wp14:editId="057986C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57986A8" wp14:editId="057986A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986BF" w14:textId="77777777" w:rsidR="00AC710D" w:rsidRDefault="001910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986C4" wp14:editId="057986C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86A8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57986BF" w14:textId="77777777" w:rsidR="00AC710D" w:rsidRDefault="0019104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7986C4" wp14:editId="057986C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754F6E"/>
    <w:multiLevelType w:val="multilevel"/>
    <w:tmpl w:val="A186A9C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964E543"/>
    <w:multiLevelType w:val="multilevel"/>
    <w:tmpl w:val="505ADC6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9768E70"/>
    <w:multiLevelType w:val="multilevel"/>
    <w:tmpl w:val="0A949A0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4FA824E"/>
    <w:multiLevelType w:val="multilevel"/>
    <w:tmpl w:val="AF17CA3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CB785B"/>
    <w:multiLevelType w:val="hybridMultilevel"/>
    <w:tmpl w:val="40183A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41E6"/>
    <w:multiLevelType w:val="multilevel"/>
    <w:tmpl w:val="BAA44C5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9394482">
    <w:abstractNumId w:val="0"/>
  </w:num>
  <w:num w:numId="2" w16cid:durableId="1206597611">
    <w:abstractNumId w:val="1"/>
  </w:num>
  <w:num w:numId="3" w16cid:durableId="686056780">
    <w:abstractNumId w:val="3"/>
  </w:num>
  <w:num w:numId="4" w16cid:durableId="233468202">
    <w:abstractNumId w:val="2"/>
  </w:num>
  <w:num w:numId="5" w16cid:durableId="2112429998">
    <w:abstractNumId w:val="5"/>
  </w:num>
  <w:num w:numId="6" w16cid:durableId="59836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0D"/>
    <w:rsid w:val="00014EE3"/>
    <w:rsid w:val="00061243"/>
    <w:rsid w:val="0018224C"/>
    <w:rsid w:val="0019104E"/>
    <w:rsid w:val="001A5056"/>
    <w:rsid w:val="001B0130"/>
    <w:rsid w:val="001C51F4"/>
    <w:rsid w:val="001D7604"/>
    <w:rsid w:val="00254C35"/>
    <w:rsid w:val="00260118"/>
    <w:rsid w:val="00283A1A"/>
    <w:rsid w:val="002E3A00"/>
    <w:rsid w:val="00301CE4"/>
    <w:rsid w:val="003E222B"/>
    <w:rsid w:val="00441E54"/>
    <w:rsid w:val="00460469"/>
    <w:rsid w:val="004A68A4"/>
    <w:rsid w:val="00581464"/>
    <w:rsid w:val="005A5D97"/>
    <w:rsid w:val="006512E7"/>
    <w:rsid w:val="006654BB"/>
    <w:rsid w:val="006C242F"/>
    <w:rsid w:val="00725AD4"/>
    <w:rsid w:val="00736E28"/>
    <w:rsid w:val="007E5961"/>
    <w:rsid w:val="00840FE9"/>
    <w:rsid w:val="00864FB6"/>
    <w:rsid w:val="00866BCA"/>
    <w:rsid w:val="008855BA"/>
    <w:rsid w:val="008B213C"/>
    <w:rsid w:val="008F2DE1"/>
    <w:rsid w:val="009903E7"/>
    <w:rsid w:val="00991655"/>
    <w:rsid w:val="009E3320"/>
    <w:rsid w:val="009E7742"/>
    <w:rsid w:val="00A02B4E"/>
    <w:rsid w:val="00A85D06"/>
    <w:rsid w:val="00AC710D"/>
    <w:rsid w:val="00AF3742"/>
    <w:rsid w:val="00B0481A"/>
    <w:rsid w:val="00B73EEB"/>
    <w:rsid w:val="00C16A1E"/>
    <w:rsid w:val="00C64BE8"/>
    <w:rsid w:val="00C67AC1"/>
    <w:rsid w:val="00CB32AF"/>
    <w:rsid w:val="00CE5836"/>
    <w:rsid w:val="00CF355C"/>
    <w:rsid w:val="00D0569E"/>
    <w:rsid w:val="00D95112"/>
    <w:rsid w:val="00DA71D2"/>
    <w:rsid w:val="00DB6A6A"/>
    <w:rsid w:val="00E05737"/>
    <w:rsid w:val="00E73C13"/>
    <w:rsid w:val="00EE3223"/>
    <w:rsid w:val="00F141D9"/>
    <w:rsid w:val="00F60492"/>
    <w:rsid w:val="00F95D63"/>
    <w:rsid w:val="00FC72DB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5798688"/>
  <w15:docId w15:val="{E9FF9543-D9E5-49B3-BF14-478CC96B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85D0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0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5D0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D06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5D0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D0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D0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A85D06"/>
    <w:rPr>
      <w:vertAlign w:val="superscript"/>
    </w:rPr>
  </w:style>
  <w:style w:type="paragraph" w:styleId="ListParagraph">
    <w:name w:val="List Paragraph"/>
    <w:basedOn w:val="Normal"/>
    <w:uiPriority w:val="34"/>
    <w:semiHidden/>
    <w:rsid w:val="00B048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1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CE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CE4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441E5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webSetting" Target="webSettings0.xml" Id="rId25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inbuza.nl" TargetMode="External"/><Relationship Id="rId1" Type="http://schemas.openxmlformats.org/officeDocument/2006/relationships/hyperlink" Target="http://www.minbuza.nl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651</ap:Words>
  <ap:Characters>3585</ap:Characters>
  <ap:DocSecurity>0</ap:DocSecurity>
  <ap:Lines>29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Afgifte vergunning voor export militair materieel naar Jordanië</vt:lpstr>
    </vt:vector>
  </ap:TitlesOfParts>
  <ap:LinksUpToDate>false</ap:LinksUpToDate>
  <ap:CharactersWithSpaces>4228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2026-07-01T07:37:00.0000000Z</lastPrinted>
  <dcterms:created xsi:type="dcterms:W3CDTF">2026-07-03T08:34:00.0000000Z</dcterms:created>
  <dcterms:modified xsi:type="dcterms:W3CDTF">2026-07-03T08:34:00.0000000Z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0x0101009C7CE436063D44E9BE7DC0259EF7C32F006EB9F9836A634AE58B6169785FD3936F0059C617296B049142960D7DBD88D31EB3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https://247.plaza.buzaservices.nl/subject/PV-RK2026052026/BZ2629649/Afgifte%20vergunning%20voor%20export%20militair%20materieel%20naar%20Jordanië.docx, </vt:lpwstr>
  </property>
  <property fmtid="{D5CDD505-2E9C-101B-9397-08002B2CF9AE}" pid="24" name="_dlc_DocIdItemGuid">
    <vt:lpwstr>4033eb22-ce60-470d-9466-81e5e198b154</vt:lpwstr>
  </property>
  <property fmtid="{D5CDD505-2E9C-101B-9397-08002B2CF9AE}" pid="25" name="_docset_NoMedatataSyncRequired">
    <vt:lpwstr>False</vt:lpwstr>
  </property>
</Properties>
</file>