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4239" w:rsidR="00413FC6" w:rsidP="00413FC6" w:rsidRDefault="00413FC6" w14:paraId="2EBAD910" w14:textId="77777777"/>
    <w:p w:rsidRPr="00E94239" w:rsidR="00413FC6" w:rsidP="00413FC6" w:rsidRDefault="00413FC6" w14:paraId="51260AD6" w14:textId="77777777"/>
    <w:p w:rsidRPr="00E94239" w:rsidR="00D94231" w:rsidP="00413FC6" w:rsidRDefault="00413FC6" w14:paraId="3E5DD40E" w14:textId="7A74F4DB">
      <w:bookmarkStart w:name="_Hlk227844484" w:id="0"/>
      <w:r w:rsidRPr="00E94239">
        <w:t>Met deze brief informeer ik uw Kamer over de staat van het taakveld bewaken en beveiligen</w:t>
      </w:r>
      <w:r w:rsidRPr="00E94239" w:rsidR="00290927">
        <w:rPr>
          <w:rStyle w:val="Voetnootmarkering"/>
        </w:rPr>
        <w:footnoteReference w:id="1"/>
      </w:r>
      <w:r w:rsidRPr="00E94239">
        <w:t xml:space="preserve">. </w:t>
      </w:r>
      <w:r w:rsidRPr="00E94239" w:rsidR="00D94231">
        <w:t xml:space="preserve">De afgelopen jaren is geïnvesteerd in het vernieuwen en toekomstbestendig maken van het </w:t>
      </w:r>
      <w:r w:rsidRPr="00E94239" w:rsidR="00716C83">
        <w:t>gehele taakveld</w:t>
      </w:r>
      <w:r w:rsidRPr="00E94239" w:rsidR="00D94231">
        <w:t xml:space="preserve">. Het doel is om flexibel en proactief in te kunnen spelen op de snel veranderende dreiging en alle vraagstukken die op het </w:t>
      </w:r>
      <w:r w:rsidRPr="00E94239" w:rsidR="001B3468">
        <w:t>taakveld</w:t>
      </w:r>
      <w:r w:rsidRPr="00E94239" w:rsidR="00D94231">
        <w:t xml:space="preserve"> afkomen. </w:t>
      </w:r>
      <w:r w:rsidRPr="00E94239" w:rsidR="00FE2D5A">
        <w:t xml:space="preserve">Het taakveld </w:t>
      </w:r>
      <w:r w:rsidRPr="00E94239" w:rsidR="00D94231">
        <w:t>word</w:t>
      </w:r>
      <w:r w:rsidRPr="00E94239" w:rsidR="00290927">
        <w:t>t</w:t>
      </w:r>
      <w:r w:rsidRPr="00E94239" w:rsidR="00D94231">
        <w:t xml:space="preserve"> continu geconfronteerd met planbare én onvoorziene gebeurtenissen. </w:t>
      </w:r>
      <w:r w:rsidRPr="00E94239" w:rsidR="00892210">
        <w:t xml:space="preserve"> </w:t>
      </w:r>
      <w:r w:rsidRPr="00E94239" w:rsidR="00B82CF0">
        <w:t>De afgelopen periode</w:t>
      </w:r>
      <w:r w:rsidRPr="00E94239" w:rsidR="00D94231">
        <w:t xml:space="preserve"> </w:t>
      </w:r>
      <w:r w:rsidRPr="00E94239" w:rsidR="00B82CF0">
        <w:t xml:space="preserve">laat wederom zien dat een adaptief en innovatief taakveld noodzakelijk is om toekomstbestendig de vele risico’s afdoende te kunnen beheersen. </w:t>
      </w:r>
      <w:r w:rsidRPr="00E94239" w:rsidR="005E5132">
        <w:t xml:space="preserve">De functionarissen in het </w:t>
      </w:r>
      <w:r w:rsidRPr="00E94239" w:rsidR="00F13648">
        <w:t>taakveld</w:t>
      </w:r>
      <w:r w:rsidRPr="00E94239" w:rsidR="005E5132">
        <w:t xml:space="preserve">– voor en achter de schermen – hebben </w:t>
      </w:r>
      <w:r w:rsidRPr="00E94239" w:rsidR="00B82CF0">
        <w:t xml:space="preserve">daarbij wederom </w:t>
      </w:r>
      <w:r w:rsidRPr="00E94239" w:rsidR="005E5132">
        <w:t>hun professionaliteit en flexibiliteit laten zien.</w:t>
      </w:r>
    </w:p>
    <w:p w:rsidRPr="00E94239" w:rsidR="00D94231" w:rsidP="00413FC6" w:rsidRDefault="00D94231" w14:paraId="627A6B0A" w14:textId="77777777"/>
    <w:p w:rsidRPr="00E94239" w:rsidR="00413FC6" w:rsidP="00413FC6" w:rsidRDefault="00413FC6" w14:paraId="3B7A8D48" w14:textId="4E7F719C">
      <w:r w:rsidRPr="00E94239">
        <w:t xml:space="preserve">Ik </w:t>
      </w:r>
      <w:r w:rsidRPr="00E94239" w:rsidR="00463521">
        <w:t>wil dan ook mijn waardering uitspreken voor het feit dat</w:t>
      </w:r>
      <w:r w:rsidRPr="00E94239">
        <w:t xml:space="preserve"> al deze organisaties zich met een groot verantwoordelijkheidsgevoel inzetten voor onze veiligheid.</w:t>
      </w:r>
    </w:p>
    <w:p w:rsidRPr="00E94239" w:rsidR="001161D3" w:rsidP="00413FC6" w:rsidRDefault="001161D3" w14:paraId="08727737" w14:textId="7E701D28"/>
    <w:p w:rsidRPr="00E94239" w:rsidR="001161D3" w:rsidP="00413FC6" w:rsidRDefault="001161D3" w14:paraId="2086293D" w14:textId="0A363E13">
      <w:r w:rsidRPr="00E94239">
        <w:t xml:space="preserve">In deze brief </w:t>
      </w:r>
      <w:r w:rsidRPr="00E94239" w:rsidR="00463521">
        <w:t>ga ik in</w:t>
      </w:r>
      <w:r w:rsidRPr="00E94239">
        <w:t xml:space="preserve"> op de afgelopen periode van de transitie naar het stelsel beveiligen van personen en bied ik u de tweede adviesbrief van het Adviesorgaan Stelsel Bewaken en Beveiligen</w:t>
      </w:r>
      <w:r w:rsidRPr="00E94239" w:rsidR="00AF3157">
        <w:t xml:space="preserve"> aan</w:t>
      </w:r>
      <w:r w:rsidRPr="00E94239">
        <w:t>, voorzien van mijn reactie daarop.</w:t>
      </w:r>
    </w:p>
    <w:bookmarkEnd w:id="0"/>
    <w:p w:rsidRPr="00E94239" w:rsidR="00290927" w:rsidP="00413FC6" w:rsidRDefault="00290927" w14:paraId="5BBFA7A6" w14:textId="77777777">
      <w:pPr>
        <w:rPr>
          <w:i/>
          <w:iCs/>
        </w:rPr>
      </w:pPr>
    </w:p>
    <w:p w:rsidRPr="00E94239" w:rsidR="00413FC6" w:rsidP="00413FC6" w:rsidRDefault="00413FC6" w14:paraId="55A6104C" w14:textId="27B8130D">
      <w:pPr>
        <w:rPr>
          <w:i/>
          <w:iCs/>
        </w:rPr>
      </w:pPr>
      <w:r w:rsidRPr="00E94239">
        <w:rPr>
          <w:i/>
          <w:iCs/>
        </w:rPr>
        <w:t>Terugblik op de transitie</w:t>
      </w:r>
    </w:p>
    <w:p w:rsidRPr="00E94239" w:rsidR="002551FD" w:rsidP="00413FC6" w:rsidRDefault="00413FC6" w14:paraId="15852393" w14:textId="18DF96E2">
      <w:r w:rsidRPr="00E94239">
        <w:t xml:space="preserve">In reactie op het </w:t>
      </w:r>
      <w:proofErr w:type="spellStart"/>
      <w:r w:rsidRPr="00E94239" w:rsidR="000E4084">
        <w:t>OvV</w:t>
      </w:r>
      <w:proofErr w:type="spellEnd"/>
      <w:r w:rsidRPr="00E94239" w:rsidR="000E4084">
        <w:t xml:space="preserve"> </w:t>
      </w:r>
      <w:r w:rsidRPr="00E94239">
        <w:t xml:space="preserve">rapport in 2023 en naar aanleiding van eerdere constateringen van de </w:t>
      </w:r>
      <w:r w:rsidRPr="00E94239" w:rsidR="000E4084">
        <w:t xml:space="preserve">Commissie </w:t>
      </w:r>
      <w:r w:rsidRPr="00E94239">
        <w:t>Bos</w:t>
      </w:r>
      <w:r w:rsidRPr="00E94239" w:rsidR="000E4084">
        <w:t xml:space="preserve"> in 2021</w:t>
      </w:r>
      <w:r w:rsidRPr="00E94239">
        <w:t xml:space="preserve"> </w:t>
      </w:r>
      <w:r w:rsidRPr="00E94239" w:rsidR="00AF511F">
        <w:t xml:space="preserve">heeft </w:t>
      </w:r>
      <w:r w:rsidRPr="00E94239">
        <w:t xml:space="preserve">de toenmalige minister van </w:t>
      </w:r>
      <w:r w:rsidRPr="00E94239" w:rsidR="00716C83">
        <w:t xml:space="preserve">Justitie </w:t>
      </w:r>
      <w:r w:rsidRPr="00E94239">
        <w:t xml:space="preserve">en </w:t>
      </w:r>
      <w:r w:rsidRPr="00E94239" w:rsidR="00716C83">
        <w:t xml:space="preserve">Veiligheid </w:t>
      </w:r>
      <w:r w:rsidRPr="00E94239">
        <w:t>een transitie naar een stelsel</w:t>
      </w:r>
      <w:r w:rsidRPr="00E94239" w:rsidR="000E4084">
        <w:t xml:space="preserve"> beveiligen van personen</w:t>
      </w:r>
      <w:r w:rsidRPr="00E94239">
        <w:t xml:space="preserve"> aangekondigd</w:t>
      </w:r>
      <w:r w:rsidRPr="00E94239" w:rsidR="00F5259F">
        <w:rPr>
          <w:rStyle w:val="Voetnootmarkering"/>
        </w:rPr>
        <w:footnoteReference w:id="2"/>
      </w:r>
      <w:r w:rsidRPr="00E94239">
        <w:t xml:space="preserve">. </w:t>
      </w:r>
      <w:r w:rsidRPr="00E94239" w:rsidR="005E5132">
        <w:t xml:space="preserve">Uw </w:t>
      </w:r>
      <w:r w:rsidRPr="00E94239">
        <w:t>Kamer</w:t>
      </w:r>
      <w:r w:rsidRPr="00E94239" w:rsidR="00C44090">
        <w:t xml:space="preserve"> is</w:t>
      </w:r>
      <w:r w:rsidRPr="00E94239" w:rsidR="000E4084">
        <w:t xml:space="preserve"> </w:t>
      </w:r>
      <w:r w:rsidRPr="00E94239" w:rsidR="00AF511F">
        <w:t>periodiek geïnformeerd over</w:t>
      </w:r>
      <w:r w:rsidRPr="00E94239">
        <w:t xml:space="preserve"> de veranderingen en de inspanningen</w:t>
      </w:r>
      <w:r w:rsidRPr="00E94239" w:rsidR="005F65B6">
        <w:t xml:space="preserve"> daartoe</w:t>
      </w:r>
      <w:r w:rsidRPr="00E94239" w:rsidR="00C44090">
        <w:t xml:space="preserve"> in de afgelopen jaren</w:t>
      </w:r>
      <w:r w:rsidRPr="00E94239">
        <w:t xml:space="preserve">. </w:t>
      </w:r>
      <w:r w:rsidRPr="00E94239" w:rsidR="00237C97">
        <w:t xml:space="preserve">Het taakveld </w:t>
      </w:r>
      <w:r w:rsidRPr="00E94239" w:rsidR="005F65B6">
        <w:t xml:space="preserve">bewaken </w:t>
      </w:r>
      <w:r w:rsidRPr="00E94239">
        <w:t xml:space="preserve">en </w:t>
      </w:r>
      <w:r w:rsidRPr="00E94239" w:rsidR="005F65B6">
        <w:t xml:space="preserve">beveiligen </w:t>
      </w:r>
      <w:r w:rsidRPr="00E94239">
        <w:t xml:space="preserve">is </w:t>
      </w:r>
      <w:r w:rsidRPr="00E94239" w:rsidR="00C235BA">
        <w:t xml:space="preserve">met </w:t>
      </w:r>
      <w:r w:rsidRPr="00E94239" w:rsidR="00AF511F">
        <w:t xml:space="preserve">de betrokken </w:t>
      </w:r>
      <w:r w:rsidRPr="00E94239" w:rsidR="000E4084">
        <w:t xml:space="preserve">stelselpartners </w:t>
      </w:r>
      <w:r w:rsidRPr="00E94239">
        <w:t xml:space="preserve">onder hoge druk </w:t>
      </w:r>
      <w:r w:rsidRPr="00E94239" w:rsidR="0092223E">
        <w:t xml:space="preserve">verder </w:t>
      </w:r>
      <w:r w:rsidRPr="00E94239">
        <w:t xml:space="preserve">geprofessionaliseerd en vervolgens, </w:t>
      </w:r>
      <w:r w:rsidRPr="00E94239" w:rsidR="00AF511F">
        <w:t>in het kader</w:t>
      </w:r>
      <w:r w:rsidRPr="00E94239">
        <w:t xml:space="preserve"> van de transitie, fundamenteel anders ingericht. </w:t>
      </w:r>
      <w:r w:rsidRPr="00E94239" w:rsidR="00AE11F5">
        <w:t xml:space="preserve">De transitie </w:t>
      </w:r>
      <w:r w:rsidRPr="00E94239">
        <w:t xml:space="preserve">betrof onder andere het </w:t>
      </w:r>
      <w:r w:rsidRPr="00E94239" w:rsidR="0092223E">
        <w:t xml:space="preserve">meer </w:t>
      </w:r>
      <w:r w:rsidRPr="00E94239">
        <w:t xml:space="preserve">centraal </w:t>
      </w:r>
      <w:r w:rsidRPr="00E94239" w:rsidR="00716C83">
        <w:t xml:space="preserve">stellen </w:t>
      </w:r>
      <w:r w:rsidRPr="00E94239">
        <w:t xml:space="preserve">van de te </w:t>
      </w:r>
      <w:r w:rsidRPr="00E94239" w:rsidR="005F2514">
        <w:t xml:space="preserve">beveiligen </w:t>
      </w:r>
      <w:r w:rsidRPr="00E94239">
        <w:t>persoon, een eenduidige inrichting van het gezag, verbeteringen in de informatieorganisaties van de stelselpartners</w:t>
      </w:r>
      <w:r w:rsidRPr="00E94239" w:rsidR="000E4084">
        <w:t>,</w:t>
      </w:r>
      <w:r w:rsidRPr="00E94239">
        <w:t xml:space="preserve"> een dreigingsanalysefunctie</w:t>
      </w:r>
      <w:r w:rsidRPr="00E94239" w:rsidR="00290927">
        <w:t xml:space="preserve"> (hierna: DAF)</w:t>
      </w:r>
      <w:r w:rsidRPr="00E94239">
        <w:t xml:space="preserve"> en een </w:t>
      </w:r>
      <w:r w:rsidRPr="00E94239" w:rsidR="000E4084">
        <w:t xml:space="preserve">landelijk coördinatiecentrum </w:t>
      </w:r>
      <w:r w:rsidRPr="00E94239" w:rsidR="00716C83">
        <w:t>van waaruit</w:t>
      </w:r>
      <w:r w:rsidRPr="00E94239">
        <w:t xml:space="preserve"> de politie en de</w:t>
      </w:r>
      <w:r w:rsidRPr="00E94239" w:rsidR="00237C97">
        <w:t xml:space="preserve"> koninklijke </w:t>
      </w:r>
      <w:r w:rsidRPr="00E94239" w:rsidR="00237C97">
        <w:lastRenderedPageBreak/>
        <w:t>marechaussee (</w:t>
      </w:r>
      <w:proofErr w:type="spellStart"/>
      <w:r w:rsidRPr="00E94239">
        <w:t>KMar</w:t>
      </w:r>
      <w:proofErr w:type="spellEnd"/>
      <w:r w:rsidRPr="00E94239" w:rsidR="00237C97">
        <w:t>)</w:t>
      </w:r>
      <w:r w:rsidRPr="00E94239">
        <w:t xml:space="preserve"> hun specialistische </w:t>
      </w:r>
      <w:r w:rsidRPr="00E94239" w:rsidR="00237C97">
        <w:t>bewakings- en beveiligings</w:t>
      </w:r>
      <w:r w:rsidRPr="00E94239">
        <w:t>t</w:t>
      </w:r>
      <w:r w:rsidRPr="00E94239" w:rsidR="00237C97">
        <w:t>a</w:t>
      </w:r>
      <w:r w:rsidRPr="00E94239">
        <w:t xml:space="preserve">ak vanuit synergie en gelijkwaardigheid </w:t>
      </w:r>
      <w:r w:rsidRPr="00E94239" w:rsidR="00271A1A">
        <w:t>organiseren</w:t>
      </w:r>
      <w:r w:rsidRPr="00E94239">
        <w:t xml:space="preserve">. </w:t>
      </w:r>
      <w:r w:rsidRPr="00E94239" w:rsidR="009728DC">
        <w:t>In het lokaal domein bewaken en beveiligen zijn er stappen gezet om de kwaliteit en uniformiteit van de werkwijzen bij de politie en het openbaar ministerie te waarborgen door middel van</w:t>
      </w:r>
      <w:r w:rsidRPr="00E94239" w:rsidR="00463521">
        <w:t xml:space="preserve"> het</w:t>
      </w:r>
      <w:r w:rsidRPr="00E94239" w:rsidR="009728DC">
        <w:t xml:space="preserve"> Samenwerkingskader Ketenproces lokaal domein.</w:t>
      </w:r>
      <w:r w:rsidRPr="00E94239" w:rsidR="002551FD">
        <w:t xml:space="preserve"> </w:t>
      </w:r>
    </w:p>
    <w:p w:rsidRPr="00E94239" w:rsidR="00A52085" w:rsidP="00413FC6" w:rsidRDefault="00A52085" w14:paraId="3B4F9151" w14:textId="77777777"/>
    <w:p w:rsidRPr="00E94239" w:rsidR="00BC149F" w:rsidP="00413FC6" w:rsidRDefault="00413FC6" w14:paraId="0C774BED" w14:textId="5DF80E8E">
      <w:r w:rsidRPr="00E94239">
        <w:t xml:space="preserve">In </w:t>
      </w:r>
      <w:r w:rsidRPr="00E94239" w:rsidR="00AF511F">
        <w:t xml:space="preserve">de </w:t>
      </w:r>
      <w:r w:rsidRPr="00E94239" w:rsidR="00B82782">
        <w:t xml:space="preserve">vorige </w:t>
      </w:r>
      <w:r w:rsidRPr="00E94239" w:rsidR="000E4084">
        <w:t>Kamer</w:t>
      </w:r>
      <w:r w:rsidRPr="00E94239">
        <w:t>brief over de</w:t>
      </w:r>
      <w:r w:rsidRPr="00E94239" w:rsidR="00716C83">
        <w:t xml:space="preserve"> voortgang van de versterking van het </w:t>
      </w:r>
      <w:r w:rsidRPr="00E94239" w:rsidR="005F65B6">
        <w:t>taakveld</w:t>
      </w:r>
      <w:r w:rsidRPr="00E94239" w:rsidR="00716C83">
        <w:t xml:space="preserve"> </w:t>
      </w:r>
      <w:r w:rsidRPr="00E94239" w:rsidR="005F65B6">
        <w:t>b</w:t>
      </w:r>
      <w:r w:rsidRPr="00E94239" w:rsidR="00716C83">
        <w:t xml:space="preserve">ewaken en </w:t>
      </w:r>
      <w:r w:rsidRPr="00E94239" w:rsidR="005F65B6">
        <w:t>b</w:t>
      </w:r>
      <w:r w:rsidRPr="00E94239" w:rsidR="00716C83">
        <w:t>eveiligen en de vernieuwing naar het stelsel beveiligen van personen</w:t>
      </w:r>
      <w:r w:rsidRPr="00E94239" w:rsidR="00AF511F">
        <w:rPr>
          <w:rStyle w:val="Voetnootmarkering"/>
        </w:rPr>
        <w:footnoteReference w:id="3"/>
      </w:r>
      <w:r w:rsidRPr="00E94239">
        <w:t xml:space="preserve"> </w:t>
      </w:r>
      <w:r w:rsidRPr="00E94239" w:rsidR="00AE11F5">
        <w:t>kondigde ik aan</w:t>
      </w:r>
      <w:r w:rsidRPr="00E94239">
        <w:t xml:space="preserve"> dat de tweede helft van 2025 in het teken zou staan van gefaseerde implementatie van de beleidsmatige kaders voor het nieuwe stelsel. </w:t>
      </w:r>
      <w:r w:rsidRPr="00E94239" w:rsidR="000770E5">
        <w:t>H</w:t>
      </w:r>
      <w:r w:rsidRPr="00E94239">
        <w:t xml:space="preserve">et triageproces, </w:t>
      </w:r>
      <w:r w:rsidRPr="00E94239" w:rsidR="000B6C73">
        <w:t>een werkproces voor de opname van nieuwe casussen</w:t>
      </w:r>
      <w:r w:rsidRPr="00E94239" w:rsidR="00237C97">
        <w:t xml:space="preserve"> in het stelsel</w:t>
      </w:r>
      <w:r w:rsidRPr="00E94239">
        <w:t xml:space="preserve">, </w:t>
      </w:r>
      <w:r w:rsidRPr="00E94239" w:rsidR="000770E5">
        <w:t>is inmiddels ingevoerd</w:t>
      </w:r>
      <w:r w:rsidRPr="00E94239">
        <w:t>.</w:t>
      </w:r>
      <w:r w:rsidRPr="00E94239" w:rsidR="002551FD">
        <w:t xml:space="preserve"> Via dit triageproces zijn enkele tientallen casus</w:t>
      </w:r>
      <w:r w:rsidRPr="00E94239" w:rsidR="00290927">
        <w:t>sen</w:t>
      </w:r>
      <w:r w:rsidRPr="00E94239" w:rsidR="002551FD">
        <w:t xml:space="preserve"> vanuit het Openbaar Ministerie aan de NCTV ter overdracht aangeboden. Het gros van deze casus</w:t>
      </w:r>
      <w:r w:rsidRPr="00E94239" w:rsidR="00290927">
        <w:t>sen</w:t>
      </w:r>
      <w:r w:rsidRPr="00E94239" w:rsidR="002551FD">
        <w:t xml:space="preserve"> heeft betrekking op de dreigingsfenomenen </w:t>
      </w:r>
      <w:r w:rsidRPr="00E94239" w:rsidR="00290927">
        <w:t>georganiseerde</w:t>
      </w:r>
      <w:r w:rsidRPr="00E94239" w:rsidR="002551FD">
        <w:t xml:space="preserve"> ondermijnende criminaliteit en statelijke dreigingen. Eerder heb ik </w:t>
      </w:r>
      <w:r w:rsidR="00E94239">
        <w:t>u</w:t>
      </w:r>
      <w:r w:rsidRPr="00E94239" w:rsidR="002551FD">
        <w:t>w Kamer geïnformeerd dat bewaken en beveiligen ook een stevige psychosociale belasting met zich mee kan brengen voor Te Beschermen Personen. Daarom is de afgelopen periode de aandacht voor dit thema vanuit de NCTV en partners verder uitgebouwd</w:t>
      </w:r>
      <w:r w:rsidRPr="00E94239" w:rsidR="00290927">
        <w:t>.</w:t>
      </w:r>
      <w:r w:rsidRPr="00E94239">
        <w:t xml:space="preserve"> </w:t>
      </w:r>
      <w:bookmarkStart w:name="_Hlk232166037" w:id="1"/>
    </w:p>
    <w:p w:rsidRPr="00E94239" w:rsidR="00BC149F" w:rsidP="00413FC6" w:rsidRDefault="00BC149F" w14:paraId="40394D61" w14:textId="77777777"/>
    <w:p w:rsidRPr="00E94239" w:rsidR="002551FD" w:rsidP="00413FC6" w:rsidRDefault="000770E5" w14:paraId="136876C1" w14:textId="0C7D5BD9">
      <w:r w:rsidRPr="00E94239">
        <w:t>Met het oog op de toekomstige werking van de</w:t>
      </w:r>
      <w:r w:rsidRPr="00E94239" w:rsidR="00413FC6">
        <w:t xml:space="preserve"> </w:t>
      </w:r>
      <w:r w:rsidRPr="00E94239" w:rsidR="00290927">
        <w:t>DAF</w:t>
      </w:r>
      <w:r w:rsidRPr="00E94239" w:rsidR="00AF511F">
        <w:t xml:space="preserve"> </w:t>
      </w:r>
      <w:r w:rsidRPr="00E94239" w:rsidR="00093E88">
        <w:t xml:space="preserve">is een </w:t>
      </w:r>
      <w:r w:rsidRPr="00E94239" w:rsidR="00413FC6">
        <w:t>pilot uitgevoerd</w:t>
      </w:r>
      <w:r w:rsidRPr="00E94239" w:rsidR="00093E88">
        <w:t xml:space="preserve">. Deze pilot is parallel </w:t>
      </w:r>
      <w:r w:rsidRPr="00E94239">
        <w:t xml:space="preserve">aan </w:t>
      </w:r>
      <w:r w:rsidRPr="00E94239" w:rsidR="00093E88">
        <w:t xml:space="preserve">de bestaande werkwijze uitgevoerd </w:t>
      </w:r>
      <w:r w:rsidRPr="00E94239" w:rsidR="0092223E">
        <w:t>en</w:t>
      </w:r>
      <w:r w:rsidRPr="00E94239" w:rsidR="00093E88">
        <w:t xml:space="preserve"> was in het bijzonder gericht op het verder optimaliseren van het ontwerp</w:t>
      </w:r>
      <w:r w:rsidRPr="00E94239" w:rsidR="00290927">
        <w:t xml:space="preserve"> en</w:t>
      </w:r>
      <w:r w:rsidRPr="00E94239" w:rsidR="00093E88">
        <w:t xml:space="preserve"> het opbouwen en inrichten van de </w:t>
      </w:r>
      <w:r w:rsidRPr="00E94239" w:rsidR="00290927">
        <w:t>DAF</w:t>
      </w:r>
      <w:r w:rsidRPr="00E94239" w:rsidR="00093E88">
        <w:t xml:space="preserve">. Naar verwachting start de </w:t>
      </w:r>
      <w:r w:rsidRPr="00E94239" w:rsidR="00290927">
        <w:t>DAF</w:t>
      </w:r>
      <w:r w:rsidRPr="00E94239" w:rsidR="00093E88">
        <w:t xml:space="preserve"> medio 2026</w:t>
      </w:r>
      <w:r w:rsidRPr="00E94239">
        <w:t xml:space="preserve"> gefaseerd</w:t>
      </w:r>
      <w:r w:rsidRPr="00E94239" w:rsidR="00093E88">
        <w:t xml:space="preserve"> met het vervullen van de bedoelde rol in het stelsel beveiligen van personen. Dit proces wordt gestructureerd en nauwgezet gemonitord.</w:t>
      </w:r>
      <w:bookmarkEnd w:id="1"/>
    </w:p>
    <w:p w:rsidRPr="00E94239" w:rsidR="002551FD" w:rsidP="00413FC6" w:rsidRDefault="002551FD" w14:paraId="6113B26D" w14:textId="77777777"/>
    <w:p w:rsidRPr="00FB3AF7" w:rsidR="0093114F" w:rsidP="0093114F" w:rsidRDefault="0093114F" w14:paraId="303C0E37" w14:textId="15BF7649">
      <w:pPr>
        <w:rPr>
          <w:i/>
          <w:iCs/>
        </w:rPr>
      </w:pPr>
      <w:r w:rsidRPr="00E94239">
        <w:t>Daarnaast is er hard gewerkt aan een wetsvoorstel met de wetswijzigingen die nodig zijn om de nieuwe uitgangspunten</w:t>
      </w:r>
      <w:r w:rsidR="00FB3AF7">
        <w:t xml:space="preserve"> </w:t>
      </w:r>
      <w:r w:rsidRPr="00E94239">
        <w:t xml:space="preserve">van het taakveld bewaken en beveiligen te expliciteren en formeel te borgen. Dit wetsvoorstel gaat </w:t>
      </w:r>
      <w:r w:rsidR="006221A7">
        <w:t>naar verwachting in juli 2026</w:t>
      </w:r>
      <w:r w:rsidRPr="00E94239">
        <w:t xml:space="preserve"> in consultatie. </w:t>
      </w:r>
    </w:p>
    <w:p w:rsidRPr="00E94239" w:rsidR="00413FC6" w:rsidP="00413FC6" w:rsidRDefault="00413FC6" w14:paraId="6BE9EB2D" w14:textId="77777777"/>
    <w:p w:rsidRPr="00E94239" w:rsidR="00C90E7A" w:rsidP="00413FC6" w:rsidRDefault="00463521" w14:paraId="4297D13C" w14:textId="0FEA7532">
      <w:r w:rsidRPr="00E94239">
        <w:t>Met het bereiken van de</w:t>
      </w:r>
      <w:r w:rsidRPr="00E94239" w:rsidR="00AF511F">
        <w:t xml:space="preserve"> </w:t>
      </w:r>
      <w:r w:rsidRPr="00E94239" w:rsidR="00413FC6">
        <w:t>mijlpalen en</w:t>
      </w:r>
      <w:r w:rsidRPr="00E94239" w:rsidR="00AF511F">
        <w:t xml:space="preserve"> met</w:t>
      </w:r>
      <w:r w:rsidRPr="00E94239" w:rsidR="00413FC6">
        <w:t xml:space="preserve"> de implementatie van de beleidskaders in het najaar van 2025 </w:t>
      </w:r>
      <w:r w:rsidRPr="00E94239" w:rsidR="00AF511F">
        <w:t xml:space="preserve">is </w:t>
      </w:r>
      <w:r w:rsidRPr="00E94239" w:rsidR="00413FC6">
        <w:t>de beoogde vernieuwing bereikt</w:t>
      </w:r>
      <w:r w:rsidRPr="00E94239">
        <w:t xml:space="preserve"> en is de transitie afgerond.</w:t>
      </w:r>
      <w:r w:rsidRPr="00E94239" w:rsidR="00413FC6">
        <w:t xml:space="preserve"> </w:t>
      </w:r>
      <w:r w:rsidRPr="00E94239">
        <w:t xml:space="preserve">Er </w:t>
      </w:r>
      <w:r w:rsidRPr="00E94239" w:rsidR="003C751F">
        <w:t>staat een stevig fundament voor het nieuwe stelsel Beveiligen van Personen</w:t>
      </w:r>
      <w:r w:rsidRPr="00E94239" w:rsidR="00413FC6">
        <w:t xml:space="preserve">. </w:t>
      </w:r>
      <w:r w:rsidRPr="00E94239" w:rsidR="00C90E7A">
        <w:t>De nieuwe inrichting en werkwijze zijn geborgd in de herziene Circulaire bewaken en beveiligen</w:t>
      </w:r>
      <w:r w:rsidRPr="00E94239" w:rsidR="00C90E7A">
        <w:rPr>
          <w:rStyle w:val="Voetnootmarkering"/>
        </w:rPr>
        <w:footnoteReference w:id="4"/>
      </w:r>
      <w:r w:rsidRPr="00E94239" w:rsidR="00C90E7A">
        <w:t xml:space="preserve"> die ik uw Kamer in februari van dit jaar heb toegezonden.</w:t>
      </w:r>
      <w:r w:rsidRPr="00E94239" w:rsidR="00413FC6">
        <w:t xml:space="preserve"> De komende periode </w:t>
      </w:r>
      <w:r w:rsidRPr="00E94239" w:rsidR="00AF511F">
        <w:t xml:space="preserve">staat </w:t>
      </w:r>
      <w:r w:rsidRPr="00E94239" w:rsidR="00413FC6">
        <w:t xml:space="preserve">voor het stelsel in het teken van </w:t>
      </w:r>
      <w:r w:rsidRPr="00E94239" w:rsidR="00F5259F">
        <w:t xml:space="preserve">doorontwikkeling en het gedegen </w:t>
      </w:r>
      <w:r w:rsidRPr="00E94239" w:rsidR="00413FC6">
        <w:t>implementeren</w:t>
      </w:r>
      <w:r w:rsidRPr="00E94239" w:rsidR="006C4168">
        <w:t xml:space="preserve"> van uitvoeringsbeleid</w:t>
      </w:r>
      <w:r w:rsidRPr="00E94239" w:rsidR="00290927">
        <w:t>.</w:t>
      </w:r>
      <w:r w:rsidRPr="00E94239" w:rsidR="00C235BA">
        <w:t xml:space="preserve"> Een gedegen implementatie zal de komende periode de nodige aandacht en inspanning vragen.</w:t>
      </w:r>
      <w:r w:rsidRPr="00E94239" w:rsidR="00413FC6">
        <w:t xml:space="preserve"> </w:t>
      </w:r>
      <w:r w:rsidRPr="00E94239" w:rsidR="00C90E7A">
        <w:t xml:space="preserve">In het najaar van 2026 is voorzien dat de Circulaire opnieuw wordt </w:t>
      </w:r>
      <w:r w:rsidRPr="00E94239" w:rsidR="002E6FD1">
        <w:t xml:space="preserve">geactualiseerd </w:t>
      </w:r>
      <w:r w:rsidRPr="00E94239" w:rsidR="00C90E7A">
        <w:t>om nieuwe aanpassingen</w:t>
      </w:r>
      <w:r w:rsidRPr="00E94239" w:rsidR="0092223E">
        <w:t xml:space="preserve">, waaronder de formele start van de </w:t>
      </w:r>
      <w:r w:rsidRPr="00E94239" w:rsidR="00290927">
        <w:t>DAF</w:t>
      </w:r>
      <w:r w:rsidRPr="00E94239" w:rsidR="0092223E">
        <w:t>,</w:t>
      </w:r>
      <w:r w:rsidRPr="00E94239" w:rsidR="00C90E7A">
        <w:t xml:space="preserve"> te borgen. </w:t>
      </w:r>
    </w:p>
    <w:p w:rsidRPr="00E94239" w:rsidR="00C90E7A" w:rsidP="00413FC6" w:rsidRDefault="00C90E7A" w14:paraId="015DD664" w14:textId="77777777"/>
    <w:p w:rsidRPr="00E94239" w:rsidR="00413FC6" w:rsidP="00413FC6" w:rsidRDefault="00413FC6" w14:paraId="5FBDBC87" w14:textId="56378CB8">
      <w:r w:rsidRPr="00E94239">
        <w:lastRenderedPageBreak/>
        <w:t xml:space="preserve">Het functioneren van het stelsel wordt gemonitord, </w:t>
      </w:r>
      <w:r w:rsidRPr="00E94239" w:rsidR="00AF511F">
        <w:t>ook</w:t>
      </w:r>
      <w:r w:rsidRPr="00E94239">
        <w:t xml:space="preserve"> door de Inspectie </w:t>
      </w:r>
      <w:r w:rsidRPr="00E94239" w:rsidR="00AF511F">
        <w:t xml:space="preserve">Justitie </w:t>
      </w:r>
      <w:r w:rsidRPr="00E94239">
        <w:t xml:space="preserve">en </w:t>
      </w:r>
      <w:r w:rsidRPr="00E94239" w:rsidR="00AF511F">
        <w:t>Veiligheid</w:t>
      </w:r>
      <w:r w:rsidRPr="00E94239" w:rsidR="00795470">
        <w:rPr>
          <w:rStyle w:val="Voetnootmarkering"/>
        </w:rPr>
        <w:footnoteReference w:id="5"/>
      </w:r>
      <w:r w:rsidRPr="00E94239">
        <w:t>.</w:t>
      </w:r>
      <w:r w:rsidRPr="00E94239" w:rsidR="008D268E">
        <w:t xml:space="preserve"> Aan de hand van de uitkomsten van de monitoring </w:t>
      </w:r>
      <w:r w:rsidRPr="00E94239" w:rsidR="00AF511F">
        <w:t xml:space="preserve">worden </w:t>
      </w:r>
      <w:r w:rsidRPr="00E94239">
        <w:t xml:space="preserve">de operationele kaders verder verfijnd en ingevuld. </w:t>
      </w:r>
      <w:r w:rsidRPr="00E94239" w:rsidR="00AE11F5">
        <w:t xml:space="preserve">Daarnaast worden de </w:t>
      </w:r>
      <w:r w:rsidRPr="00E94239">
        <w:t xml:space="preserve">versterkingen die gedurende de transitie zijn gedaan eenmalig onafhankelijk geëvalueerd. In het kader van de Strategische Evaluatieagenda (SEA) </w:t>
      </w:r>
      <w:r w:rsidRPr="00E94239" w:rsidR="00AE11F5">
        <w:t xml:space="preserve">ontvangt </w:t>
      </w:r>
      <w:r w:rsidRPr="00E94239">
        <w:t xml:space="preserve">uw Kamer in 2027 een periodieke rapportage waarin gereflecteerd </w:t>
      </w:r>
      <w:r w:rsidRPr="00E94239" w:rsidR="00AE11F5">
        <w:t xml:space="preserve">wordt </w:t>
      </w:r>
      <w:r w:rsidRPr="00E94239">
        <w:t xml:space="preserve">op het ingezette beleid en de bereikte resultaten. Uw Kamer </w:t>
      </w:r>
      <w:r w:rsidRPr="00E94239" w:rsidR="00AE11F5">
        <w:t xml:space="preserve">zal hierover </w:t>
      </w:r>
      <w:r w:rsidRPr="00E94239">
        <w:t xml:space="preserve">– uiterlijk vóór Prinsjesdag 2026 – </w:t>
      </w:r>
      <w:proofErr w:type="gramStart"/>
      <w:r w:rsidRPr="00E94239">
        <w:t>middels</w:t>
      </w:r>
      <w:proofErr w:type="gramEnd"/>
      <w:r w:rsidRPr="00E94239">
        <w:t xml:space="preserve"> de zogenoemde ‘Harbersbrief’ nader </w:t>
      </w:r>
      <w:r w:rsidRPr="00E94239" w:rsidR="00AE11F5">
        <w:t xml:space="preserve">worden </w:t>
      </w:r>
      <w:r w:rsidRPr="00E94239">
        <w:t xml:space="preserve">geïnformeerd. </w:t>
      </w:r>
    </w:p>
    <w:p w:rsidRPr="00E94239" w:rsidR="00413FC6" w:rsidP="00413FC6" w:rsidRDefault="00413FC6" w14:paraId="0CF667EE" w14:textId="77777777">
      <w:pPr>
        <w:rPr>
          <w:i/>
          <w:iCs/>
        </w:rPr>
      </w:pPr>
    </w:p>
    <w:p w:rsidRPr="00E94239" w:rsidR="00413FC6" w:rsidP="00413FC6" w:rsidRDefault="00413FC6" w14:paraId="63FDC39D" w14:textId="747A9354">
      <w:pPr>
        <w:rPr>
          <w:i/>
          <w:iCs/>
        </w:rPr>
      </w:pPr>
      <w:r w:rsidRPr="00E94239">
        <w:rPr>
          <w:i/>
          <w:iCs/>
        </w:rPr>
        <w:t xml:space="preserve">Het </w:t>
      </w:r>
      <w:r w:rsidRPr="00E94239" w:rsidR="005F2514">
        <w:rPr>
          <w:i/>
          <w:iCs/>
        </w:rPr>
        <w:t>A</w:t>
      </w:r>
      <w:r w:rsidRPr="00E94239">
        <w:rPr>
          <w:i/>
          <w:iCs/>
        </w:rPr>
        <w:t>dviesorgaan</w:t>
      </w:r>
      <w:r w:rsidRPr="00E94239" w:rsidR="005F2514">
        <w:rPr>
          <w:i/>
          <w:iCs/>
        </w:rPr>
        <w:t xml:space="preserve"> Stelsel</w:t>
      </w:r>
      <w:r w:rsidRPr="00E94239">
        <w:rPr>
          <w:i/>
          <w:iCs/>
        </w:rPr>
        <w:t xml:space="preserve"> Bewaken en Beveiligen: informatievergaring en informatiedeling binnen het taakveld Bewaken en Beveiligen</w:t>
      </w:r>
    </w:p>
    <w:p w:rsidRPr="00E94239" w:rsidR="00413FC6" w:rsidP="00413FC6" w:rsidRDefault="00413FC6" w14:paraId="19465A0B" w14:textId="0242EC8F">
      <w:r w:rsidRPr="00E94239">
        <w:t xml:space="preserve">Met deze brief informeer ik uw Kamer </w:t>
      </w:r>
      <w:proofErr w:type="gramStart"/>
      <w:r w:rsidRPr="00E94239">
        <w:t>tevens</w:t>
      </w:r>
      <w:proofErr w:type="gramEnd"/>
      <w:r w:rsidRPr="00E94239">
        <w:t xml:space="preserve"> over de tweede adviesbrief van het onafhankelijke </w:t>
      </w:r>
      <w:r w:rsidRPr="00E94239" w:rsidR="005F2514">
        <w:t>A</w:t>
      </w:r>
      <w:r w:rsidRPr="00E94239">
        <w:t>dviesorgaan</w:t>
      </w:r>
      <w:r w:rsidRPr="00E94239" w:rsidR="005F2514">
        <w:t xml:space="preserve"> Stelsel</w:t>
      </w:r>
      <w:r w:rsidRPr="00E94239">
        <w:t xml:space="preserve"> </w:t>
      </w:r>
      <w:r w:rsidRPr="00E94239" w:rsidR="005F2514">
        <w:t>B</w:t>
      </w:r>
      <w:r w:rsidRPr="00E94239">
        <w:t xml:space="preserve">ewaken en </w:t>
      </w:r>
      <w:r w:rsidRPr="00E94239" w:rsidR="005F2514">
        <w:t>B</w:t>
      </w:r>
      <w:r w:rsidRPr="00E94239">
        <w:t>eveiligen</w:t>
      </w:r>
      <w:r w:rsidRPr="00E94239" w:rsidR="00AE11F5">
        <w:t>. I</w:t>
      </w:r>
      <w:r w:rsidRPr="00E94239">
        <w:t xml:space="preserve">n het kader van de versterking en doorontwikkeling van het stelsel </w:t>
      </w:r>
      <w:r w:rsidRPr="00E94239" w:rsidR="00AE11F5">
        <w:t xml:space="preserve">is </w:t>
      </w:r>
      <w:r w:rsidRPr="00E94239">
        <w:t xml:space="preserve">een onafhankelijk </w:t>
      </w:r>
      <w:r w:rsidRPr="00E94239" w:rsidR="005F2514">
        <w:t>Adviesorgaan Stelsel B</w:t>
      </w:r>
      <w:r w:rsidRPr="00E94239">
        <w:t xml:space="preserve">ewaken en </w:t>
      </w:r>
      <w:r w:rsidRPr="00E94239" w:rsidR="005F2514">
        <w:t>B</w:t>
      </w:r>
      <w:r w:rsidRPr="00E94239">
        <w:t>eveiligen</w:t>
      </w:r>
      <w:r w:rsidRPr="00E94239" w:rsidR="005F2514">
        <w:t xml:space="preserve"> (hierna: adviesorgaan)</w:t>
      </w:r>
      <w:r w:rsidRPr="00E94239">
        <w:t xml:space="preserve"> ingesteld. In mei 2025 heeft het adviesorgaan zijn eerste advies uitgebracht, dat zag op het thema ‘zorgplicht’</w:t>
      </w:r>
      <w:r w:rsidRPr="00E94239" w:rsidR="009C5859">
        <w:rPr>
          <w:rStyle w:val="Voetnootmarkering"/>
        </w:rPr>
        <w:footnoteReference w:id="6"/>
      </w:r>
      <w:r w:rsidRPr="00E94239">
        <w:t xml:space="preserve">. </w:t>
      </w:r>
      <w:r w:rsidRPr="00E94239" w:rsidR="00B82782">
        <w:t>D</w:t>
      </w:r>
      <w:r w:rsidRPr="00E94239">
        <w:t xml:space="preserve">it advies is een belangrijke </w:t>
      </w:r>
      <w:r w:rsidRPr="00E94239" w:rsidR="00A5678E">
        <w:t>toevoeging aan</w:t>
      </w:r>
      <w:r w:rsidRPr="00E94239">
        <w:t xml:space="preserve"> de verdere ontwikkeling en versterking van het taakveld bewaken</w:t>
      </w:r>
      <w:r w:rsidRPr="00E94239" w:rsidR="005F65B6">
        <w:t xml:space="preserve"> </w:t>
      </w:r>
      <w:r w:rsidRPr="00E94239">
        <w:t>en beveiligen. Het tweede advies</w:t>
      </w:r>
      <w:r w:rsidRPr="00E94239" w:rsidR="00765DE1">
        <w:t xml:space="preserve"> van het adviesorgaan</w:t>
      </w:r>
      <w:r w:rsidRPr="00E94239">
        <w:t xml:space="preserve"> richt zich op de informatievergaring- en deling binnen het taakveld bewaken</w:t>
      </w:r>
      <w:r w:rsidRPr="00E94239" w:rsidR="005F65B6">
        <w:t xml:space="preserve"> </w:t>
      </w:r>
      <w:r w:rsidRPr="00E94239">
        <w:t xml:space="preserve">en beveiligen. De </w:t>
      </w:r>
      <w:r w:rsidRPr="00E94239" w:rsidR="005F65B6">
        <w:t xml:space="preserve">betreffende </w:t>
      </w:r>
      <w:r w:rsidRPr="00E94239">
        <w:t xml:space="preserve">adviesbrief is als bijlage bij deze Kamerbrief opgenomen. Ik dank het adviesorgaan voor </w:t>
      </w:r>
      <w:r w:rsidRPr="00E94239" w:rsidR="00B73065">
        <w:t>het</w:t>
      </w:r>
      <w:r w:rsidRPr="00E94239">
        <w:t xml:space="preserve"> grondige en zorgvuldige werk. </w:t>
      </w:r>
    </w:p>
    <w:p w:rsidRPr="00E94239" w:rsidR="00413FC6" w:rsidP="00413FC6" w:rsidRDefault="00413FC6" w14:paraId="3AF92313" w14:textId="77777777"/>
    <w:p w:rsidRPr="00E94239" w:rsidR="00413FC6" w:rsidP="00413FC6" w:rsidRDefault="00413FC6" w14:paraId="3DA2ACD6" w14:textId="77777777">
      <w:pPr>
        <w:rPr>
          <w:i/>
          <w:iCs/>
        </w:rPr>
      </w:pPr>
      <w:r w:rsidRPr="00E94239">
        <w:rPr>
          <w:i/>
          <w:iCs/>
        </w:rPr>
        <w:t>Voortraject</w:t>
      </w:r>
    </w:p>
    <w:p w:rsidRPr="00E94239" w:rsidR="00413FC6" w:rsidP="00413FC6" w:rsidRDefault="00413FC6" w14:paraId="24CD73B9" w14:textId="669E825D">
      <w:r w:rsidRPr="00E94239">
        <w:t>In de afgelopen jaren is gewerkt aan de verbetering van de informatiepositie binnen het taakveld bewaken</w:t>
      </w:r>
      <w:r w:rsidRPr="00E94239" w:rsidR="005F65B6">
        <w:t xml:space="preserve"> </w:t>
      </w:r>
      <w:r w:rsidRPr="00E94239">
        <w:t xml:space="preserve">en beveiligen. De Commissie Bos heeft nadrukkelijk gewezen op het belang van een stevige informatiepositie binnen het taakveld als randvoorwaarde </w:t>
      </w:r>
      <w:r w:rsidRPr="00E94239" w:rsidR="005F65B6">
        <w:t>om</w:t>
      </w:r>
      <w:r w:rsidRPr="00E94239">
        <w:t xml:space="preserve"> effectief</w:t>
      </w:r>
      <w:r w:rsidRPr="00E94239" w:rsidR="005F65B6">
        <w:t xml:space="preserve"> te kunnen</w:t>
      </w:r>
      <w:r w:rsidRPr="00E94239">
        <w:t xml:space="preserve"> functioneren en </w:t>
      </w:r>
      <w:r w:rsidRPr="00E94239" w:rsidR="009728DC">
        <w:t>om dreigingen</w:t>
      </w:r>
      <w:r w:rsidRPr="00E94239">
        <w:t xml:space="preserve"> tijdig </w:t>
      </w:r>
      <w:r w:rsidRPr="00E94239" w:rsidR="007179A1">
        <w:t xml:space="preserve">te </w:t>
      </w:r>
      <w:r w:rsidRPr="00E94239">
        <w:t>kunnen duiden.</w:t>
      </w:r>
      <w:r w:rsidRPr="00E94239">
        <w:rPr>
          <w:rStyle w:val="Voetnootmarkering"/>
        </w:rPr>
        <w:footnoteReference w:id="7"/>
      </w:r>
      <w:r w:rsidRPr="00E94239">
        <w:t xml:space="preserve"> Uw Kamer is daarover eerder geïnformeerd</w:t>
      </w:r>
      <w:r w:rsidRPr="00E94239">
        <w:rPr>
          <w:rStyle w:val="Voetnootmarkering"/>
        </w:rPr>
        <w:footnoteReference w:id="8"/>
      </w:r>
      <w:r w:rsidRPr="00E94239">
        <w:t>.</w:t>
      </w:r>
    </w:p>
    <w:p w:rsidRPr="00E94239" w:rsidR="00413FC6" w:rsidP="00413FC6" w:rsidRDefault="00413FC6" w14:paraId="78DD3BD9" w14:textId="77777777"/>
    <w:p w:rsidRPr="00E94239" w:rsidR="00413FC6" w:rsidP="00413FC6" w:rsidRDefault="00413FC6" w14:paraId="379DFBFE" w14:textId="229A7EF2">
      <w:r w:rsidRPr="00E94239">
        <w:t>De Commissie Bos</w:t>
      </w:r>
      <w:r w:rsidRPr="00E94239">
        <w:rPr>
          <w:rStyle w:val="Voetnootmarkering"/>
        </w:rPr>
        <w:footnoteReference w:id="9"/>
      </w:r>
      <w:r w:rsidRPr="00E94239">
        <w:t xml:space="preserve"> heeft destijds de aanbeveling gedaan om juridisch onderzoek te laten uitvoeren naar de vraag in hoeverre de wettelijke bevoegdheden voor informatieverzameling in het kader van bewaken en beveiligen, binnen de grenzen van de rechtsstaat, kunnen worden verruimd. In de beleidsmatige voorbereidingen </w:t>
      </w:r>
      <w:r w:rsidRPr="00E94239" w:rsidR="009C5859">
        <w:t xml:space="preserve">op </w:t>
      </w:r>
      <w:r w:rsidRPr="00E94239">
        <w:t xml:space="preserve">dit vraagstuk is een internationaal vergelijkend onderzoek </w:t>
      </w:r>
      <w:r w:rsidRPr="00E94239" w:rsidR="00B1061C">
        <w:t>uitgevoerd</w:t>
      </w:r>
      <w:r w:rsidRPr="00E94239">
        <w:t xml:space="preserve"> om te bezien op welke wijze de omringende landen de mogelijkheden voor informatievergaring wettelijk hebben </w:t>
      </w:r>
      <w:r w:rsidRPr="00E94239" w:rsidR="00A52085">
        <w:t>ingericht</w:t>
      </w:r>
      <w:r w:rsidRPr="00E94239">
        <w:t xml:space="preserve">. </w:t>
      </w:r>
      <w:r w:rsidRPr="00E94239" w:rsidR="00B1061C">
        <w:t>Dit</w:t>
      </w:r>
      <w:r w:rsidRPr="00E94239">
        <w:t xml:space="preserve"> onderzoek is op 20 maart 2026 aan uw Kamer aangeboden met de verzamelbrief Politie</w:t>
      </w:r>
      <w:r w:rsidRPr="00E94239">
        <w:rPr>
          <w:rStyle w:val="Voetnootmarkering"/>
        </w:rPr>
        <w:footnoteReference w:id="10"/>
      </w:r>
      <w:r w:rsidRPr="00E94239">
        <w:t xml:space="preserve">. </w:t>
      </w:r>
    </w:p>
    <w:p w:rsidRPr="00E94239" w:rsidR="00413FC6" w:rsidP="00413FC6" w:rsidRDefault="00413FC6" w14:paraId="42D906D5" w14:textId="77777777">
      <w:pPr>
        <w:rPr>
          <w:i/>
          <w:iCs/>
        </w:rPr>
      </w:pPr>
    </w:p>
    <w:p w:rsidRPr="00E94239" w:rsidR="00413FC6" w:rsidP="00413FC6" w:rsidRDefault="00413FC6" w14:paraId="1AE7DEC4" w14:textId="77777777">
      <w:pPr>
        <w:rPr>
          <w:i/>
          <w:iCs/>
        </w:rPr>
      </w:pPr>
      <w:r w:rsidRPr="00E94239">
        <w:rPr>
          <w:i/>
          <w:iCs/>
        </w:rPr>
        <w:lastRenderedPageBreak/>
        <w:t>De adviesbrief</w:t>
      </w:r>
    </w:p>
    <w:p w:rsidRPr="00E94239" w:rsidR="00413FC6" w:rsidP="00413FC6" w:rsidRDefault="00413FC6" w14:paraId="4C59C052" w14:textId="7F41AA24">
      <w:r w:rsidRPr="00E94239">
        <w:t xml:space="preserve">Het adviesorgaan herhaalt de constateringen van de Commissie Bos: de politie loopt binnen het taakveld bewaken en beveiligen snel tegen de beperking van haar bevoegdheden aan, waardoor zij niet </w:t>
      </w:r>
      <w:r w:rsidRPr="00E94239" w:rsidR="000770E5">
        <w:t xml:space="preserve">altijd </w:t>
      </w:r>
      <w:r w:rsidRPr="00E94239">
        <w:t>proactief in staat is om een dreiging te signaleren en duiden. De wettelijke basis voor de uitvoering van de taken van de politie binnen het taakveld bewaken en beveiligen is artikel 3 van de Politiewet 2012. Dit biedt de politie</w:t>
      </w:r>
      <w:r w:rsidRPr="00E94239" w:rsidR="00E3230D">
        <w:t xml:space="preserve"> en de </w:t>
      </w:r>
      <w:proofErr w:type="spellStart"/>
      <w:r w:rsidRPr="00E94239" w:rsidR="00E3230D">
        <w:t>KMar</w:t>
      </w:r>
      <w:proofErr w:type="spellEnd"/>
      <w:r w:rsidRPr="00E94239">
        <w:t xml:space="preserve"> mogelijkheden om informatie te verzamelen</w:t>
      </w:r>
      <w:r w:rsidRPr="00E94239" w:rsidR="000770E5">
        <w:t xml:space="preserve"> in het kader van de uitvoering van de politietaak</w:t>
      </w:r>
      <w:r w:rsidRPr="00E94239">
        <w:t>, mits er een niet meer dan geringe inbreuk op de persoonlijke levenssfeer wordt gemaakt. Uit de praktijk blijkt dat door de</w:t>
      </w:r>
      <w:r w:rsidRPr="00E94239" w:rsidR="005F65B6">
        <w:t>ze</w:t>
      </w:r>
      <w:r w:rsidRPr="00E94239">
        <w:t xml:space="preserve"> begrenzing inmiddels onvoldoende mogelijkheden bestaan om in bepaalde gevallen dreigingen richting personen effectief te kunnen </w:t>
      </w:r>
      <w:r w:rsidRPr="00E94239" w:rsidR="00290927">
        <w:t>valideren</w:t>
      </w:r>
      <w:r w:rsidRPr="00E94239">
        <w:t>. Tegelijkertijd is de taak tot het waken over de veiligheid van personen in de afgelopen decennia steeds omvangrijker geworden: het aantal te beveiligen personen is de afgelopen jaren toegenomen</w:t>
      </w:r>
      <w:r w:rsidRPr="00E94239" w:rsidR="000770E5">
        <w:t xml:space="preserve"> en de typen dreigingen zijn uiteenlopender</w:t>
      </w:r>
      <w:r w:rsidRPr="00E94239">
        <w:t>. Ook door deze toename in omvang is het gebruik van technologie voor het verbeteren van die informatiepositie van de politie</w:t>
      </w:r>
      <w:r w:rsidRPr="00E94239" w:rsidR="00C8317B">
        <w:t xml:space="preserve"> en de </w:t>
      </w:r>
      <w:proofErr w:type="spellStart"/>
      <w:r w:rsidRPr="00E94239" w:rsidR="00C8317B">
        <w:t>KMar</w:t>
      </w:r>
      <w:proofErr w:type="spellEnd"/>
      <w:r w:rsidRPr="00E94239">
        <w:t xml:space="preserve"> – en daarmee ook die van het gezag - erg belangrijk. </w:t>
      </w:r>
    </w:p>
    <w:p w:rsidRPr="00E94239" w:rsidR="00413FC6" w:rsidP="00413FC6" w:rsidRDefault="00413FC6" w14:paraId="2A33EFB1" w14:textId="77777777"/>
    <w:p w:rsidRPr="00E94239" w:rsidR="00413FC6" w:rsidP="00413FC6" w:rsidRDefault="00413FC6" w14:paraId="257F3457" w14:textId="7D978ED9">
      <w:r w:rsidRPr="00E94239">
        <w:t xml:space="preserve">Het adviesorgaan beveelt zeer specifieke aanvullende wettelijke bevoegdheden aan. Ik </w:t>
      </w:r>
      <w:r w:rsidRPr="00E94239" w:rsidR="00AE11F5">
        <w:t xml:space="preserve">betrek </w:t>
      </w:r>
      <w:r w:rsidRPr="00E94239">
        <w:t xml:space="preserve">deze aanbevelingen uiteraard bij het vervolgtraject. Daarbij is van belang te benadrukken dat naar aanleiding van de aanbevelingen van de Commissie Bos mijn departement </w:t>
      </w:r>
      <w:r w:rsidRPr="00E94239" w:rsidR="000770E5">
        <w:t>al een traject is gestart om te analyseren</w:t>
      </w:r>
      <w:r w:rsidRPr="00E94239">
        <w:t xml:space="preserve"> welke belemmeringen zich in de praktijk voordoen en waar de behoefte van de praktijk ligt bij het inrichten van een goede informatiepositie. Op basis van deze inventarisatie wordt de komende periode</w:t>
      </w:r>
      <w:r w:rsidRPr="00E94239" w:rsidR="000770E5">
        <w:t xml:space="preserve"> verder</w:t>
      </w:r>
      <w:r w:rsidRPr="00E94239">
        <w:t xml:space="preserve"> bezien of de ruimte binnen de huidige (wettelijke) kaders ten volle wordt benut, of dat aanvullende wettelijke maatregelen nodig zijn. </w:t>
      </w:r>
    </w:p>
    <w:p w:rsidRPr="00E94239" w:rsidR="00413FC6" w:rsidP="00413FC6" w:rsidRDefault="00413FC6" w14:paraId="1C07BBAF" w14:textId="77777777"/>
    <w:p w:rsidRPr="00E94239" w:rsidR="00413FC6" w:rsidP="00413FC6" w:rsidRDefault="00413FC6" w14:paraId="6FB7E663" w14:textId="2F6ECB54">
      <w:r w:rsidRPr="00E94239">
        <w:t>Het staat voorop dat de politie</w:t>
      </w:r>
      <w:r w:rsidRPr="00E94239" w:rsidR="00B82782">
        <w:t>,</w:t>
      </w:r>
      <w:r w:rsidRPr="00E94239">
        <w:t xml:space="preserve"> de </w:t>
      </w:r>
      <w:proofErr w:type="spellStart"/>
      <w:r w:rsidRPr="00E94239" w:rsidR="000770E5">
        <w:t>KMar</w:t>
      </w:r>
      <w:proofErr w:type="spellEnd"/>
      <w:r w:rsidRPr="00E94239" w:rsidR="00B82782">
        <w:t xml:space="preserve"> en de gezagen</w:t>
      </w:r>
      <w:r w:rsidRPr="00E94239">
        <w:t xml:space="preserve"> in staat worden gesteld om hun taken zo goed mogelijk uit te voeren. Dit geldt zowel voor de bescherming van personen in het stelsel als in het lokale domein. Bij de uitvoering hiervan dient te allen tijde oog te zijn voor de </w:t>
      </w:r>
      <w:r w:rsidRPr="00E94239" w:rsidR="00A52085">
        <w:t xml:space="preserve">adequate bescherming van de </w:t>
      </w:r>
      <w:r w:rsidRPr="00E94239">
        <w:t xml:space="preserve">grondrechten van burgers. Het adviesorgaan doet </w:t>
      </w:r>
      <w:r w:rsidRPr="00E94239" w:rsidR="000770E5">
        <w:t>ook</w:t>
      </w:r>
      <w:r w:rsidRPr="00E94239">
        <w:t xml:space="preserve"> aanbevelingen met het oog op de bescherming van </w:t>
      </w:r>
      <w:r w:rsidRPr="00E94239" w:rsidR="00A52085">
        <w:t xml:space="preserve">die </w:t>
      </w:r>
      <w:r w:rsidRPr="00E94239">
        <w:t>grondrechten. Die aanbevelingen worden betrokken bij het hierboven beschreven vraagstuk</w:t>
      </w:r>
      <w:r w:rsidRPr="00E94239" w:rsidR="00E0491C">
        <w:t>.</w:t>
      </w:r>
      <w:r w:rsidRPr="00E94239">
        <w:t xml:space="preserve"> </w:t>
      </w:r>
      <w:r w:rsidRPr="00E94239" w:rsidR="00E0491C">
        <w:t>E</w:t>
      </w:r>
      <w:r w:rsidRPr="00E94239">
        <w:t xml:space="preserve">r </w:t>
      </w:r>
      <w:r w:rsidRPr="00E94239" w:rsidR="00E0491C">
        <w:t xml:space="preserve">wordt </w:t>
      </w:r>
      <w:r w:rsidRPr="00E94239">
        <w:t xml:space="preserve">met een open blik </w:t>
      </w:r>
      <w:r w:rsidRPr="00E94239" w:rsidR="000770E5">
        <w:t>gekeken naar</w:t>
      </w:r>
      <w:r w:rsidRPr="00E94239">
        <w:t xml:space="preserve"> een praktisch werkbaar stelsel met een passende invulling van de bescherming van grondrechten en een adequaat systeem van </w:t>
      </w:r>
      <w:r w:rsidRPr="00E94239">
        <w:rPr>
          <w:i/>
          <w:iCs/>
        </w:rPr>
        <w:t xml:space="preserve">checks </w:t>
      </w:r>
      <w:proofErr w:type="spellStart"/>
      <w:r w:rsidRPr="00E94239">
        <w:rPr>
          <w:i/>
          <w:iCs/>
        </w:rPr>
        <w:t>and</w:t>
      </w:r>
      <w:proofErr w:type="spellEnd"/>
      <w:r w:rsidRPr="00E94239">
        <w:rPr>
          <w:i/>
          <w:iCs/>
        </w:rPr>
        <w:t xml:space="preserve"> </w:t>
      </w:r>
      <w:proofErr w:type="spellStart"/>
      <w:r w:rsidRPr="00E94239">
        <w:rPr>
          <w:i/>
          <w:iCs/>
        </w:rPr>
        <w:t>balances</w:t>
      </w:r>
      <w:proofErr w:type="spellEnd"/>
      <w:r w:rsidRPr="00E94239">
        <w:rPr>
          <w:i/>
          <w:iCs/>
        </w:rPr>
        <w:t xml:space="preserve">. </w:t>
      </w:r>
    </w:p>
    <w:p w:rsidRPr="00E94239" w:rsidR="00413FC6" w:rsidP="00413FC6" w:rsidRDefault="00413FC6" w14:paraId="7D0E5E8B" w14:textId="77777777"/>
    <w:p w:rsidRPr="00E94239" w:rsidR="00413FC6" w:rsidP="00413FC6" w:rsidRDefault="00A07806" w14:paraId="2B4E00FE" w14:textId="7C7401BC">
      <w:r w:rsidRPr="00E94239">
        <w:t>Momenteel wordt binnen mijn ministerie</w:t>
      </w:r>
      <w:r w:rsidRPr="00E94239" w:rsidR="00413FC6">
        <w:t xml:space="preserve"> nader onderzoek</w:t>
      </w:r>
      <w:r w:rsidRPr="00E94239">
        <w:t xml:space="preserve"> verricht</w:t>
      </w:r>
      <w:r w:rsidRPr="00E94239" w:rsidR="00413FC6">
        <w:t xml:space="preserve"> naar alle bovengenoemde aspecten en de wijze waarop deze met elkaar in </w:t>
      </w:r>
      <w:r w:rsidRPr="00E94239" w:rsidR="00FF5BF3">
        <w:t xml:space="preserve">samenhang </w:t>
      </w:r>
      <w:r w:rsidRPr="00E94239" w:rsidR="00413FC6">
        <w:t>moeten worden. Ik verwacht uw Kamer in het najaar van 2026 uitsluitsel te geven over de te nemen vervolgstappen.</w:t>
      </w:r>
    </w:p>
    <w:p w:rsidRPr="00E94239" w:rsidR="00413FC6" w:rsidP="00413FC6" w:rsidRDefault="00413FC6" w14:paraId="6A88EBE9" w14:textId="77777777"/>
    <w:p w:rsidRPr="00E94239" w:rsidR="00413FC6" w:rsidP="00413FC6" w:rsidRDefault="00AE11F5" w14:paraId="21CF291B" w14:textId="663C2205">
      <w:pPr>
        <w:rPr>
          <w:i/>
          <w:iCs/>
        </w:rPr>
      </w:pPr>
      <w:r w:rsidRPr="00E94239">
        <w:rPr>
          <w:i/>
          <w:iCs/>
        </w:rPr>
        <w:t>Doorontwikkeling</w:t>
      </w:r>
    </w:p>
    <w:p w:rsidR="00E12788" w:rsidP="00413FC6" w:rsidRDefault="00A5678E" w14:paraId="7F4A2296" w14:textId="77777777">
      <w:r w:rsidRPr="00E94239">
        <w:t xml:space="preserve">Zoals aangegeven, is het taakveld bewaken en beveiligen adaptief ingericht waardoor het kan anticiperen op nieuwe ontwikkelingen. De doorontwikkeling van het taakveld is zowel van belang voor de veiligheid van hen die beschermd moeten worden als voor de veiligheid van de mensen die dit belangrijke werk dagelijks uitvoeren. </w:t>
      </w:r>
    </w:p>
    <w:p w:rsidRPr="00E94239" w:rsidR="00413FC6" w:rsidP="00413FC6" w:rsidRDefault="005E5132" w14:paraId="2368B405" w14:textId="3F3F6D1F">
      <w:r w:rsidRPr="00E94239">
        <w:lastRenderedPageBreak/>
        <w:t xml:space="preserve">Uw Kamer </w:t>
      </w:r>
      <w:r w:rsidRPr="00E94239" w:rsidR="00A07806">
        <w:t xml:space="preserve">wordt </w:t>
      </w:r>
      <w:r w:rsidRPr="00E94239">
        <w:t>hier</w:t>
      </w:r>
      <w:r w:rsidRPr="00E94239" w:rsidR="00A07806">
        <w:t>over</w:t>
      </w:r>
      <w:r w:rsidRPr="00E94239">
        <w:t xml:space="preserve"> blijvend periodiek geïnformeerd. </w:t>
      </w:r>
    </w:p>
    <w:p w:rsidRPr="00E94239" w:rsidR="00413FC6" w:rsidP="00413FC6" w:rsidRDefault="00413FC6" w14:paraId="02CEFB09" w14:textId="77777777">
      <w:pPr>
        <w:pStyle w:val="WitregelW1bodytekst"/>
      </w:pPr>
    </w:p>
    <w:p w:rsidRPr="00E94239" w:rsidR="00413FC6" w:rsidP="00413FC6" w:rsidRDefault="00413FC6" w14:paraId="59814C3A" w14:textId="77777777"/>
    <w:p w:rsidRPr="00E94239" w:rsidR="00413FC6" w:rsidP="00413FC6" w:rsidRDefault="00413FC6" w14:paraId="5056439C" w14:textId="6C11DB71">
      <w:r w:rsidRPr="00E94239">
        <w:t xml:space="preserve">De </w:t>
      </w:r>
      <w:r w:rsidR="00E94239">
        <w:t>M</w:t>
      </w:r>
      <w:r w:rsidRPr="00E94239" w:rsidR="00AE11F5">
        <w:t xml:space="preserve">inister </w:t>
      </w:r>
      <w:r w:rsidRPr="00E94239">
        <w:t>van Justitie en Veiligheid,</w:t>
      </w:r>
    </w:p>
    <w:p w:rsidRPr="00E94239" w:rsidR="00413FC6" w:rsidP="00413FC6" w:rsidRDefault="00413FC6" w14:paraId="186C8FCA" w14:textId="77777777"/>
    <w:p w:rsidRPr="00E94239" w:rsidR="00413FC6" w:rsidP="00413FC6" w:rsidRDefault="00413FC6" w14:paraId="17D5033D" w14:textId="77777777"/>
    <w:p w:rsidRPr="00E94239" w:rsidR="00413FC6" w:rsidP="00413FC6" w:rsidRDefault="00413FC6" w14:paraId="6918367E" w14:textId="77777777"/>
    <w:p w:rsidRPr="00E94239" w:rsidR="00413FC6" w:rsidP="00413FC6" w:rsidRDefault="00413FC6" w14:paraId="60EF7629" w14:textId="77777777"/>
    <w:p w:rsidRPr="00E94239" w:rsidR="00FB6404" w:rsidRDefault="00413FC6" w14:paraId="14FD71DA" w14:textId="3523DB71">
      <w:r w:rsidRPr="00E94239">
        <w:t>D.M. van Weel</w:t>
      </w:r>
    </w:p>
    <w:sectPr w:rsidRPr="00E94239" w:rsidR="00FB640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443D" w14:textId="77777777" w:rsidR="00F00684" w:rsidRDefault="00F00684">
      <w:pPr>
        <w:spacing w:line="240" w:lineRule="auto"/>
      </w:pPr>
      <w:r>
        <w:separator/>
      </w:r>
    </w:p>
  </w:endnote>
  <w:endnote w:type="continuationSeparator" w:id="0">
    <w:p w14:paraId="3DC1F0B2" w14:textId="77777777" w:rsidR="00F00684" w:rsidRDefault="00F00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B43C" w14:textId="77777777" w:rsidR="00F00684" w:rsidRDefault="00F00684">
      <w:pPr>
        <w:spacing w:line="240" w:lineRule="auto"/>
      </w:pPr>
      <w:r>
        <w:separator/>
      </w:r>
    </w:p>
  </w:footnote>
  <w:footnote w:type="continuationSeparator" w:id="0">
    <w:p w14:paraId="68207E2E" w14:textId="77777777" w:rsidR="00F00684" w:rsidRDefault="00F00684">
      <w:pPr>
        <w:spacing w:line="240" w:lineRule="auto"/>
      </w:pPr>
      <w:r>
        <w:continuationSeparator/>
      </w:r>
    </w:p>
  </w:footnote>
  <w:footnote w:id="1">
    <w:p w14:paraId="351C9F2C" w14:textId="1FBEC001" w:rsidR="00290927" w:rsidRDefault="00290927" w:rsidP="00290927">
      <w:pPr>
        <w:pStyle w:val="Voetnoottekst"/>
      </w:pPr>
      <w:r w:rsidRPr="00E94239">
        <w:rPr>
          <w:rStyle w:val="Voetnootmarkering"/>
          <w:sz w:val="18"/>
          <w:szCs w:val="18"/>
        </w:rPr>
        <w:footnoteRef/>
      </w:r>
      <w:r w:rsidRPr="00E94239">
        <w:rPr>
          <w:sz w:val="18"/>
          <w:szCs w:val="18"/>
        </w:rPr>
        <w:t xml:space="preserve"> Het taakveld bewaken en beveiligen omvat het stelsel beveiligen van personen, het lokaal domein en het bewaken en beveiligen van objecten en diensten. Dit taakveld werd voorheen aangeduid als het stelsel bewaken en beveiligen en heeft dezelfde reikwijdte. Een uitgebreide beschrijving van zowel het taakveld als het </w:t>
      </w:r>
      <w:proofErr w:type="gramStart"/>
      <w:r w:rsidRPr="00E94239">
        <w:rPr>
          <w:sz w:val="18"/>
          <w:szCs w:val="18"/>
        </w:rPr>
        <w:t>stelsel  is</w:t>
      </w:r>
      <w:proofErr w:type="gramEnd"/>
      <w:r w:rsidRPr="00E94239">
        <w:rPr>
          <w:sz w:val="18"/>
          <w:szCs w:val="18"/>
        </w:rPr>
        <w:t xml:space="preserve"> opgenomen in de circulaire bewaken en beveiligen van personen, objecten en diensten 2026.</w:t>
      </w:r>
    </w:p>
  </w:footnote>
  <w:footnote w:id="2">
    <w:p w14:paraId="3F6F32FC" w14:textId="54E9C418" w:rsidR="00F5259F" w:rsidRDefault="00F5259F">
      <w:pPr>
        <w:pStyle w:val="Voetnoottekst"/>
      </w:pPr>
      <w:r w:rsidRPr="00E94239">
        <w:rPr>
          <w:rStyle w:val="Voetnootmarkering"/>
          <w:sz w:val="18"/>
          <w:szCs w:val="18"/>
        </w:rPr>
        <w:footnoteRef/>
      </w:r>
      <w:r w:rsidRPr="00E94239">
        <w:rPr>
          <w:sz w:val="18"/>
          <w:szCs w:val="18"/>
        </w:rPr>
        <w:t xml:space="preserve"> Kamerstukken II, 2022/23, 29 911, nr. 395</w:t>
      </w:r>
    </w:p>
  </w:footnote>
  <w:footnote w:id="3">
    <w:p w14:paraId="61F1A297" w14:textId="0D8E75DF" w:rsidR="00AF511F" w:rsidRPr="00E94239" w:rsidRDefault="00AF511F">
      <w:pPr>
        <w:pStyle w:val="Voetnoottekst"/>
        <w:rPr>
          <w:sz w:val="18"/>
          <w:szCs w:val="18"/>
        </w:rPr>
      </w:pPr>
      <w:r w:rsidRPr="00E94239">
        <w:rPr>
          <w:rStyle w:val="Voetnootmarkering"/>
          <w:sz w:val="18"/>
          <w:szCs w:val="18"/>
        </w:rPr>
        <w:footnoteRef/>
      </w:r>
      <w:r w:rsidRPr="00E94239">
        <w:rPr>
          <w:sz w:val="18"/>
          <w:szCs w:val="18"/>
        </w:rPr>
        <w:t xml:space="preserve"> Kamerstukken II, 2024/25, 29 911 nr. 475</w:t>
      </w:r>
    </w:p>
  </w:footnote>
  <w:footnote w:id="4">
    <w:p w14:paraId="240E5412" w14:textId="6E12B80D" w:rsidR="00C90E7A" w:rsidRDefault="00C90E7A">
      <w:pPr>
        <w:pStyle w:val="Voetnoottekst"/>
      </w:pPr>
      <w:r w:rsidRPr="00E94239">
        <w:rPr>
          <w:rStyle w:val="Voetnootmarkering"/>
          <w:sz w:val="18"/>
          <w:szCs w:val="18"/>
        </w:rPr>
        <w:footnoteRef/>
      </w:r>
      <w:r w:rsidRPr="00E94239">
        <w:rPr>
          <w:sz w:val="18"/>
          <w:szCs w:val="18"/>
        </w:rPr>
        <w:t xml:space="preserve"> </w:t>
      </w:r>
      <w:r w:rsidR="00DE1F89" w:rsidRPr="00E94239">
        <w:rPr>
          <w:sz w:val="18"/>
          <w:szCs w:val="18"/>
        </w:rPr>
        <w:t>Kamerstukken II, 2025/26, 29 911, nr. 499</w:t>
      </w:r>
    </w:p>
  </w:footnote>
  <w:footnote w:id="5">
    <w:p w14:paraId="267864EC" w14:textId="16079206" w:rsidR="00795470" w:rsidRPr="00E94239" w:rsidRDefault="00795470">
      <w:pPr>
        <w:pStyle w:val="Voetnoottekst"/>
        <w:rPr>
          <w:sz w:val="18"/>
          <w:szCs w:val="18"/>
        </w:rPr>
      </w:pPr>
      <w:r w:rsidRPr="00E94239">
        <w:rPr>
          <w:rStyle w:val="Voetnootmarkering"/>
          <w:sz w:val="18"/>
          <w:szCs w:val="18"/>
        </w:rPr>
        <w:footnoteRef/>
      </w:r>
      <w:r w:rsidRPr="00E94239">
        <w:rPr>
          <w:sz w:val="18"/>
          <w:szCs w:val="18"/>
        </w:rPr>
        <w:t xml:space="preserve"> </w:t>
      </w:r>
      <w:r w:rsidR="002B36B0" w:rsidRPr="00E94239">
        <w:rPr>
          <w:sz w:val="18"/>
          <w:szCs w:val="18"/>
        </w:rPr>
        <w:t>In d</w:t>
      </w:r>
      <w:r w:rsidRPr="00E94239">
        <w:rPr>
          <w:sz w:val="18"/>
          <w:szCs w:val="18"/>
        </w:rPr>
        <w:t xml:space="preserve">e aanstaande en eerder in deze brief genoemde </w:t>
      </w:r>
      <w:r w:rsidR="002B36B0" w:rsidRPr="00E94239">
        <w:rPr>
          <w:sz w:val="18"/>
          <w:szCs w:val="18"/>
        </w:rPr>
        <w:t>wijziging</w:t>
      </w:r>
      <w:r w:rsidR="000770E5" w:rsidRPr="00E94239">
        <w:rPr>
          <w:sz w:val="18"/>
          <w:szCs w:val="18"/>
        </w:rPr>
        <w:t xml:space="preserve"> van de Politiewet 2012</w:t>
      </w:r>
      <w:r w:rsidR="002B36B0" w:rsidRPr="00E94239">
        <w:rPr>
          <w:sz w:val="18"/>
          <w:szCs w:val="18"/>
        </w:rPr>
        <w:t xml:space="preserve"> is de toezichthoudende rol van de Inspectie Justitie en Veiligheid </w:t>
      </w:r>
      <w:r w:rsidR="000770E5" w:rsidRPr="00E94239">
        <w:rPr>
          <w:sz w:val="18"/>
          <w:szCs w:val="18"/>
        </w:rPr>
        <w:t xml:space="preserve">op </w:t>
      </w:r>
      <w:r w:rsidR="002B36B0" w:rsidRPr="00E94239">
        <w:rPr>
          <w:sz w:val="18"/>
          <w:szCs w:val="18"/>
        </w:rPr>
        <w:t xml:space="preserve">de taakuitvoering van de </w:t>
      </w:r>
      <w:proofErr w:type="spellStart"/>
      <w:r w:rsidR="002B36B0" w:rsidRPr="00E94239">
        <w:rPr>
          <w:sz w:val="18"/>
          <w:szCs w:val="18"/>
        </w:rPr>
        <w:t>KMar</w:t>
      </w:r>
      <w:proofErr w:type="spellEnd"/>
      <w:r w:rsidR="002B36B0" w:rsidRPr="00E94239">
        <w:rPr>
          <w:sz w:val="18"/>
          <w:szCs w:val="18"/>
        </w:rPr>
        <w:t xml:space="preserve"> in het stelsel </w:t>
      </w:r>
      <w:r w:rsidR="000770E5" w:rsidRPr="00E94239">
        <w:rPr>
          <w:sz w:val="18"/>
          <w:szCs w:val="18"/>
        </w:rPr>
        <w:t>wettelijk verankerd</w:t>
      </w:r>
      <w:r w:rsidRPr="00E94239">
        <w:rPr>
          <w:sz w:val="18"/>
          <w:szCs w:val="18"/>
        </w:rPr>
        <w:t xml:space="preserve">. </w:t>
      </w:r>
    </w:p>
  </w:footnote>
  <w:footnote w:id="6">
    <w:p w14:paraId="42EC9987" w14:textId="2049C5AE" w:rsidR="009C5859" w:rsidRPr="00E94239" w:rsidRDefault="009C5859">
      <w:pPr>
        <w:pStyle w:val="Voetnoottekst"/>
        <w:rPr>
          <w:sz w:val="18"/>
          <w:szCs w:val="18"/>
        </w:rPr>
      </w:pPr>
      <w:r w:rsidRPr="00E94239">
        <w:rPr>
          <w:rStyle w:val="Voetnootmarkering"/>
          <w:sz w:val="18"/>
          <w:szCs w:val="18"/>
        </w:rPr>
        <w:footnoteRef/>
      </w:r>
      <w:r w:rsidRPr="00E94239">
        <w:rPr>
          <w:sz w:val="18"/>
          <w:szCs w:val="18"/>
        </w:rPr>
        <w:t xml:space="preserve"> Kamerstukken II, 2024/25, 29 911 nr. 475</w:t>
      </w:r>
    </w:p>
  </w:footnote>
  <w:footnote w:id="7">
    <w:p w14:paraId="32D96A7D" w14:textId="77777777" w:rsidR="00413FC6" w:rsidRPr="00E94239" w:rsidRDefault="00413FC6" w:rsidP="00413FC6">
      <w:pPr>
        <w:pStyle w:val="Voetnoottekst"/>
        <w:rPr>
          <w:sz w:val="18"/>
          <w:szCs w:val="18"/>
        </w:rPr>
      </w:pPr>
      <w:r w:rsidRPr="00E94239">
        <w:rPr>
          <w:rStyle w:val="Voetnootmarkering"/>
          <w:sz w:val="18"/>
          <w:szCs w:val="18"/>
        </w:rPr>
        <w:footnoteRef/>
      </w:r>
      <w:r w:rsidRPr="00E94239">
        <w:rPr>
          <w:sz w:val="18"/>
          <w:szCs w:val="18"/>
        </w:rPr>
        <w:t xml:space="preserve"> Adviescommissie toekomstbestendig stelsel bewaken en beveiligen, d.d. oktober 2021</w:t>
      </w:r>
    </w:p>
  </w:footnote>
  <w:footnote w:id="8">
    <w:p w14:paraId="59D700EB" w14:textId="77777777" w:rsidR="00413FC6" w:rsidRPr="00E94239" w:rsidRDefault="00413FC6" w:rsidP="00413FC6">
      <w:pPr>
        <w:pStyle w:val="Voetnoottekst"/>
        <w:rPr>
          <w:sz w:val="18"/>
          <w:szCs w:val="18"/>
        </w:rPr>
      </w:pPr>
      <w:r w:rsidRPr="00E94239">
        <w:rPr>
          <w:rStyle w:val="Voetnootmarkering"/>
          <w:sz w:val="18"/>
          <w:szCs w:val="18"/>
        </w:rPr>
        <w:footnoteRef/>
      </w:r>
      <w:r w:rsidRPr="00E94239">
        <w:rPr>
          <w:sz w:val="18"/>
          <w:szCs w:val="18"/>
        </w:rPr>
        <w:t xml:space="preserve"> Kamerstukken II, 2024/25, 29 911 nr. 455 en 2022/23, 29 911 nr. 378</w:t>
      </w:r>
    </w:p>
  </w:footnote>
  <w:footnote w:id="9">
    <w:p w14:paraId="284B2A76" w14:textId="77777777" w:rsidR="00413FC6" w:rsidRDefault="00413FC6" w:rsidP="00413FC6">
      <w:pPr>
        <w:pStyle w:val="Voetnoottekst"/>
      </w:pPr>
      <w:r w:rsidRPr="00E94239">
        <w:rPr>
          <w:rStyle w:val="Voetnootmarkering"/>
          <w:sz w:val="18"/>
          <w:szCs w:val="18"/>
        </w:rPr>
        <w:footnoteRef/>
      </w:r>
      <w:r w:rsidRPr="00E94239">
        <w:rPr>
          <w:sz w:val="18"/>
          <w:szCs w:val="18"/>
        </w:rPr>
        <w:t xml:space="preserve"> Adviescommissie toekomstbestendig stelsel bewaken en beveiligen, d.d. oktober 2021 </w:t>
      </w:r>
    </w:p>
  </w:footnote>
  <w:footnote w:id="10">
    <w:p w14:paraId="66A8CAB4" w14:textId="77777777" w:rsidR="00413FC6" w:rsidRPr="007948F1" w:rsidRDefault="00413FC6" w:rsidP="00413FC6">
      <w:pPr>
        <w:pStyle w:val="Voetnoottekst"/>
      </w:pPr>
      <w:r w:rsidRPr="00E94239">
        <w:rPr>
          <w:rStyle w:val="Voetnootmarkering"/>
          <w:sz w:val="18"/>
          <w:szCs w:val="18"/>
        </w:rPr>
        <w:footnoteRef/>
      </w:r>
      <w:r w:rsidRPr="00E94239">
        <w:rPr>
          <w:sz w:val="18"/>
          <w:szCs w:val="18"/>
        </w:rPr>
        <w:t xml:space="preserve"> Kamerstukken II 2025/26 29 628 nr. 1318 </w:t>
      </w:r>
    </w:p>
    <w:p w14:paraId="7475536C" w14:textId="77777777" w:rsidR="00413FC6" w:rsidRDefault="00413FC6" w:rsidP="00413FC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4B6A" w14:textId="5C5B19EB" w:rsidR="00FB6404" w:rsidRDefault="00BB57C0">
    <w:r>
      <w:rPr>
        <w:noProof/>
      </w:rPr>
      <mc:AlternateContent>
        <mc:Choice Requires="wps">
          <w:drawing>
            <wp:anchor distT="0" distB="0" distL="0" distR="0" simplePos="0" relativeHeight="251652096" behindDoc="0" locked="1" layoutInCell="1" allowOverlap="1" wp14:anchorId="69E53E3A" wp14:editId="1A912E2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52459D6" w14:textId="77777777" w:rsidR="00BB57C0" w:rsidRDefault="00BB57C0"/>
                      </w:txbxContent>
                    </wps:txbx>
                    <wps:bodyPr vert="horz" wrap="square" lIns="0" tIns="0" rIns="0" bIns="0" anchor="t" anchorCtr="0"/>
                  </wps:wsp>
                </a:graphicData>
              </a:graphic>
            </wp:anchor>
          </w:drawing>
        </mc:Choice>
        <mc:Fallback>
          <w:pict>
            <v:shapetype w14:anchorId="69E53E3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52459D6" w14:textId="77777777" w:rsidR="00BB57C0" w:rsidRDefault="00BB57C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A399E1" wp14:editId="75532A2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CE09AA" w14:textId="77777777" w:rsidR="00FB6404" w:rsidRDefault="00BB57C0">
                          <w:pPr>
                            <w:pStyle w:val="Referentiegegevensbold"/>
                          </w:pPr>
                          <w:r>
                            <w:t>Nationaal Coördinator Terrorismebestrijding en Veiligheid</w:t>
                          </w:r>
                        </w:p>
                        <w:p w14:paraId="0B559A06" w14:textId="77777777" w:rsidR="00FB6404" w:rsidRDefault="00FB6404">
                          <w:pPr>
                            <w:pStyle w:val="WitregelW2"/>
                          </w:pPr>
                        </w:p>
                        <w:p w14:paraId="6E0294CB" w14:textId="77777777" w:rsidR="00FB6404" w:rsidRDefault="00BB57C0">
                          <w:pPr>
                            <w:pStyle w:val="Referentiegegevensbold"/>
                          </w:pPr>
                          <w:r>
                            <w:t>Datum</w:t>
                          </w:r>
                        </w:p>
                        <w:p w14:paraId="74132DEC" w14:textId="4B9F745A" w:rsidR="00FB6404" w:rsidRDefault="00E53B32">
                          <w:pPr>
                            <w:pStyle w:val="Referentiegegevens"/>
                          </w:pPr>
                          <w:sdt>
                            <w:sdtPr>
                              <w:id w:val="1925612359"/>
                              <w:date w:fullDate="2026-07-03T00:00:00Z">
                                <w:dateFormat w:val="d MMMM yyyy"/>
                                <w:lid w:val="nl"/>
                                <w:storeMappedDataAs w:val="dateTime"/>
                                <w:calendar w:val="gregorian"/>
                              </w:date>
                            </w:sdtPr>
                            <w:sdtEndPr/>
                            <w:sdtContent>
                              <w:r w:rsidR="00E12788">
                                <w:rPr>
                                  <w:lang w:val="nl"/>
                                </w:rPr>
                                <w:t>3 juli 2026</w:t>
                              </w:r>
                            </w:sdtContent>
                          </w:sdt>
                        </w:p>
                        <w:p w14:paraId="1ED5B271" w14:textId="77777777" w:rsidR="00FB6404" w:rsidRDefault="00FB6404">
                          <w:pPr>
                            <w:pStyle w:val="WitregelW1"/>
                          </w:pPr>
                        </w:p>
                        <w:p w14:paraId="072B6EB3" w14:textId="77777777" w:rsidR="00FB6404" w:rsidRDefault="00BB57C0">
                          <w:pPr>
                            <w:pStyle w:val="Referentiegegevensbold"/>
                          </w:pPr>
                          <w:r>
                            <w:t>Onze referentie</w:t>
                          </w:r>
                        </w:p>
                        <w:p w14:paraId="28426DBE" w14:textId="77777777" w:rsidR="00FB6404" w:rsidRDefault="00BB57C0">
                          <w:pPr>
                            <w:pStyle w:val="Referentiegegevens"/>
                          </w:pPr>
                          <w:r>
                            <w:t>7695778</w:t>
                          </w:r>
                        </w:p>
                      </w:txbxContent>
                    </wps:txbx>
                    <wps:bodyPr vert="horz" wrap="square" lIns="0" tIns="0" rIns="0" bIns="0" anchor="t" anchorCtr="0"/>
                  </wps:wsp>
                </a:graphicData>
              </a:graphic>
            </wp:anchor>
          </w:drawing>
        </mc:Choice>
        <mc:Fallback>
          <w:pict>
            <v:shape w14:anchorId="4EA399E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0CE09AA" w14:textId="77777777" w:rsidR="00FB6404" w:rsidRDefault="00BB57C0">
                    <w:pPr>
                      <w:pStyle w:val="Referentiegegevensbold"/>
                    </w:pPr>
                    <w:r>
                      <w:t>Nationaal Coördinator Terrorismebestrijding en Veiligheid</w:t>
                    </w:r>
                  </w:p>
                  <w:p w14:paraId="0B559A06" w14:textId="77777777" w:rsidR="00FB6404" w:rsidRDefault="00FB6404">
                    <w:pPr>
                      <w:pStyle w:val="WitregelW2"/>
                    </w:pPr>
                  </w:p>
                  <w:p w14:paraId="6E0294CB" w14:textId="77777777" w:rsidR="00FB6404" w:rsidRDefault="00BB57C0">
                    <w:pPr>
                      <w:pStyle w:val="Referentiegegevensbold"/>
                    </w:pPr>
                    <w:r>
                      <w:t>Datum</w:t>
                    </w:r>
                  </w:p>
                  <w:p w14:paraId="74132DEC" w14:textId="4B9F745A" w:rsidR="00FB6404" w:rsidRDefault="00E53B32">
                    <w:pPr>
                      <w:pStyle w:val="Referentiegegevens"/>
                    </w:pPr>
                    <w:sdt>
                      <w:sdtPr>
                        <w:id w:val="1925612359"/>
                        <w:date w:fullDate="2026-07-03T00:00:00Z">
                          <w:dateFormat w:val="d MMMM yyyy"/>
                          <w:lid w:val="nl"/>
                          <w:storeMappedDataAs w:val="dateTime"/>
                          <w:calendar w:val="gregorian"/>
                        </w:date>
                      </w:sdtPr>
                      <w:sdtEndPr/>
                      <w:sdtContent>
                        <w:r w:rsidR="00E12788">
                          <w:rPr>
                            <w:lang w:val="nl"/>
                          </w:rPr>
                          <w:t>3 juli 2026</w:t>
                        </w:r>
                      </w:sdtContent>
                    </w:sdt>
                  </w:p>
                  <w:p w14:paraId="1ED5B271" w14:textId="77777777" w:rsidR="00FB6404" w:rsidRDefault="00FB6404">
                    <w:pPr>
                      <w:pStyle w:val="WitregelW1"/>
                    </w:pPr>
                  </w:p>
                  <w:p w14:paraId="072B6EB3" w14:textId="77777777" w:rsidR="00FB6404" w:rsidRDefault="00BB57C0">
                    <w:pPr>
                      <w:pStyle w:val="Referentiegegevensbold"/>
                    </w:pPr>
                    <w:r>
                      <w:t>Onze referentie</w:t>
                    </w:r>
                  </w:p>
                  <w:p w14:paraId="28426DBE" w14:textId="77777777" w:rsidR="00FB6404" w:rsidRDefault="00BB57C0">
                    <w:pPr>
                      <w:pStyle w:val="Referentiegegevens"/>
                    </w:pPr>
                    <w:r>
                      <w:t>7695778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85C73C" wp14:editId="3138F5F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030EB4" w14:textId="77777777" w:rsidR="00BB57C0" w:rsidRDefault="00BB57C0"/>
                      </w:txbxContent>
                    </wps:txbx>
                    <wps:bodyPr vert="horz" wrap="square" lIns="0" tIns="0" rIns="0" bIns="0" anchor="t" anchorCtr="0"/>
                  </wps:wsp>
                </a:graphicData>
              </a:graphic>
            </wp:anchor>
          </w:drawing>
        </mc:Choice>
        <mc:Fallback>
          <w:pict>
            <v:shape w14:anchorId="1285C73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5030EB4" w14:textId="77777777" w:rsidR="00BB57C0" w:rsidRDefault="00BB57C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14165F6" wp14:editId="74F18F0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D8E1F53" w14:textId="56F544A1" w:rsidR="00FB6404" w:rsidRDefault="00BB57C0">
                          <w:pPr>
                            <w:pStyle w:val="Referentiegegevens"/>
                          </w:pPr>
                          <w:r>
                            <w:t xml:space="preserve">Pagina </w:t>
                          </w:r>
                          <w:r>
                            <w:fldChar w:fldCharType="begin"/>
                          </w:r>
                          <w:r>
                            <w:instrText>PAGE</w:instrText>
                          </w:r>
                          <w:r>
                            <w:fldChar w:fldCharType="separate"/>
                          </w:r>
                          <w:r w:rsidR="008C6A06">
                            <w:rPr>
                              <w:noProof/>
                            </w:rPr>
                            <w:t>2</w:t>
                          </w:r>
                          <w:r>
                            <w:fldChar w:fldCharType="end"/>
                          </w:r>
                          <w:r>
                            <w:t xml:space="preserve"> van </w:t>
                          </w:r>
                          <w:r>
                            <w:fldChar w:fldCharType="begin"/>
                          </w:r>
                          <w:r>
                            <w:instrText>NUMPAGES</w:instrText>
                          </w:r>
                          <w:r>
                            <w:fldChar w:fldCharType="separate"/>
                          </w:r>
                          <w:r w:rsidR="008C6A06">
                            <w:rPr>
                              <w:noProof/>
                            </w:rPr>
                            <w:t>1</w:t>
                          </w:r>
                          <w:r>
                            <w:fldChar w:fldCharType="end"/>
                          </w:r>
                        </w:p>
                      </w:txbxContent>
                    </wps:txbx>
                    <wps:bodyPr vert="horz" wrap="square" lIns="0" tIns="0" rIns="0" bIns="0" anchor="t" anchorCtr="0"/>
                  </wps:wsp>
                </a:graphicData>
              </a:graphic>
            </wp:anchor>
          </w:drawing>
        </mc:Choice>
        <mc:Fallback>
          <w:pict>
            <v:shape w14:anchorId="714165F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D8E1F53" w14:textId="56F544A1" w:rsidR="00FB6404" w:rsidRDefault="00BB57C0">
                    <w:pPr>
                      <w:pStyle w:val="Referentiegegevens"/>
                    </w:pPr>
                    <w:r>
                      <w:t xml:space="preserve">Pagina </w:t>
                    </w:r>
                    <w:r>
                      <w:fldChar w:fldCharType="begin"/>
                    </w:r>
                    <w:r>
                      <w:instrText>PAGE</w:instrText>
                    </w:r>
                    <w:r>
                      <w:fldChar w:fldCharType="separate"/>
                    </w:r>
                    <w:r w:rsidR="008C6A06">
                      <w:rPr>
                        <w:noProof/>
                      </w:rPr>
                      <w:t>2</w:t>
                    </w:r>
                    <w:r>
                      <w:fldChar w:fldCharType="end"/>
                    </w:r>
                    <w:r>
                      <w:t xml:space="preserve"> van </w:t>
                    </w:r>
                    <w:r>
                      <w:fldChar w:fldCharType="begin"/>
                    </w:r>
                    <w:r>
                      <w:instrText>NUMPAGES</w:instrText>
                    </w:r>
                    <w:r>
                      <w:fldChar w:fldCharType="separate"/>
                    </w:r>
                    <w:r w:rsidR="008C6A0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EC8B" w14:textId="22ACE93A" w:rsidR="00FB6404" w:rsidRDefault="00BB57C0">
    <w:pPr>
      <w:spacing w:after="6377" w:line="14" w:lineRule="exact"/>
    </w:pPr>
    <w:r>
      <w:rPr>
        <w:noProof/>
      </w:rPr>
      <mc:AlternateContent>
        <mc:Choice Requires="wps">
          <w:drawing>
            <wp:anchor distT="0" distB="0" distL="0" distR="0" simplePos="0" relativeHeight="251656192" behindDoc="0" locked="1" layoutInCell="1" allowOverlap="1" wp14:anchorId="72088802" wp14:editId="4C56A2C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87226A" w14:textId="77777777" w:rsidR="00FB6404" w:rsidRDefault="00BB57C0">
                          <w:pPr>
                            <w:spacing w:line="240" w:lineRule="auto"/>
                          </w:pPr>
                          <w:r>
                            <w:rPr>
                              <w:noProof/>
                            </w:rPr>
                            <w:drawing>
                              <wp:inline distT="0" distB="0" distL="0" distR="0" wp14:anchorId="3F9BF885" wp14:editId="5D99D97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08880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387226A" w14:textId="77777777" w:rsidR="00FB6404" w:rsidRDefault="00BB57C0">
                    <w:pPr>
                      <w:spacing w:line="240" w:lineRule="auto"/>
                    </w:pPr>
                    <w:r>
                      <w:rPr>
                        <w:noProof/>
                      </w:rPr>
                      <w:drawing>
                        <wp:inline distT="0" distB="0" distL="0" distR="0" wp14:anchorId="3F9BF885" wp14:editId="5D99D97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2B03F81" wp14:editId="2E81181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441363" w14:textId="77777777" w:rsidR="00FB6404" w:rsidRDefault="00BB57C0">
                          <w:pPr>
                            <w:spacing w:line="240" w:lineRule="auto"/>
                          </w:pPr>
                          <w:r>
                            <w:rPr>
                              <w:noProof/>
                            </w:rPr>
                            <w:drawing>
                              <wp:inline distT="0" distB="0" distL="0" distR="0" wp14:anchorId="72395BB6" wp14:editId="1D80440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B03F8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1441363" w14:textId="77777777" w:rsidR="00FB6404" w:rsidRDefault="00BB57C0">
                    <w:pPr>
                      <w:spacing w:line="240" w:lineRule="auto"/>
                    </w:pPr>
                    <w:r>
                      <w:rPr>
                        <w:noProof/>
                      </w:rPr>
                      <w:drawing>
                        <wp:inline distT="0" distB="0" distL="0" distR="0" wp14:anchorId="72395BB6" wp14:editId="1D804403">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854D12" wp14:editId="79EA7FE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2B5089" w14:textId="77777777" w:rsidR="00FB6404" w:rsidRDefault="00BB57C0">
                          <w:pPr>
                            <w:pStyle w:val="Referentiegegevens"/>
                          </w:pPr>
                          <w:r>
                            <w:t>&gt; Retouradres Postbus 20018 2500 EA  DEN HAAG</w:t>
                          </w:r>
                        </w:p>
                      </w:txbxContent>
                    </wps:txbx>
                    <wps:bodyPr vert="horz" wrap="square" lIns="0" tIns="0" rIns="0" bIns="0" anchor="t" anchorCtr="0"/>
                  </wps:wsp>
                </a:graphicData>
              </a:graphic>
            </wp:anchor>
          </w:drawing>
        </mc:Choice>
        <mc:Fallback>
          <w:pict>
            <v:shape w14:anchorId="29854D1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52B5089" w14:textId="77777777" w:rsidR="00FB6404" w:rsidRDefault="00BB57C0">
                    <w:pPr>
                      <w:pStyle w:val="Referentiegegevens"/>
                    </w:pPr>
                    <w:r>
                      <w:t>&gt; Retouradres Postbus 20018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39D55A" wp14:editId="29BAB11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D6E031" w14:textId="70A36D9C" w:rsidR="00FB6404" w:rsidRDefault="00BB57C0">
                          <w:r>
                            <w:t xml:space="preserve">Aan de voorzitter van de Tweede Kamer </w:t>
                          </w:r>
                          <w:r w:rsidR="00E12788">
                            <w:br/>
                          </w:r>
                          <w:r>
                            <w:t>der Staten Generaal</w:t>
                          </w:r>
                        </w:p>
                        <w:p w14:paraId="29636B34" w14:textId="77777777" w:rsidR="00FB6404" w:rsidRDefault="00BB57C0">
                          <w:r>
                            <w:t xml:space="preserve">Postbus 20018 </w:t>
                          </w:r>
                        </w:p>
                        <w:p w14:paraId="66147498" w14:textId="77777777" w:rsidR="00FB6404" w:rsidRDefault="00BB57C0">
                          <w:r>
                            <w:t>2500 EA  DEN HAAG</w:t>
                          </w:r>
                        </w:p>
                      </w:txbxContent>
                    </wps:txbx>
                    <wps:bodyPr vert="horz" wrap="square" lIns="0" tIns="0" rIns="0" bIns="0" anchor="t" anchorCtr="0"/>
                  </wps:wsp>
                </a:graphicData>
              </a:graphic>
            </wp:anchor>
          </w:drawing>
        </mc:Choice>
        <mc:Fallback>
          <w:pict>
            <v:shape w14:anchorId="3439D55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7D6E031" w14:textId="70A36D9C" w:rsidR="00FB6404" w:rsidRDefault="00BB57C0">
                    <w:r>
                      <w:t xml:space="preserve">Aan de voorzitter van de Tweede Kamer </w:t>
                    </w:r>
                    <w:r w:rsidR="00E12788">
                      <w:br/>
                    </w:r>
                    <w:r>
                      <w:t>der Staten Generaal</w:t>
                    </w:r>
                  </w:p>
                  <w:p w14:paraId="29636B34" w14:textId="77777777" w:rsidR="00FB6404" w:rsidRDefault="00BB57C0">
                    <w:r>
                      <w:t xml:space="preserve">Postbus 20018 </w:t>
                    </w:r>
                  </w:p>
                  <w:p w14:paraId="66147498" w14:textId="77777777" w:rsidR="00FB6404" w:rsidRDefault="00BB57C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289F8F" wp14:editId="037E39D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B6404" w14:paraId="5A0A26D4" w14:textId="77777777">
                            <w:trPr>
                              <w:trHeight w:val="240"/>
                            </w:trPr>
                            <w:tc>
                              <w:tcPr>
                                <w:tcW w:w="1140" w:type="dxa"/>
                              </w:tcPr>
                              <w:p w14:paraId="0D267BCA" w14:textId="77777777" w:rsidR="00FB6404" w:rsidRDefault="00BB57C0">
                                <w:r>
                                  <w:t>Datum</w:t>
                                </w:r>
                              </w:p>
                            </w:tc>
                            <w:tc>
                              <w:tcPr>
                                <w:tcW w:w="5918" w:type="dxa"/>
                              </w:tcPr>
                              <w:p w14:paraId="18679D4C" w14:textId="483AEA1A" w:rsidR="00FB6404" w:rsidRDefault="00E53B32">
                                <w:sdt>
                                  <w:sdtPr>
                                    <w:id w:val="-1899970551"/>
                                    <w:date w:fullDate="2026-07-03T00:00:00Z">
                                      <w:dateFormat w:val="d MMMM yyyy"/>
                                      <w:lid w:val="nl"/>
                                      <w:storeMappedDataAs w:val="dateTime"/>
                                      <w:calendar w:val="gregorian"/>
                                    </w:date>
                                  </w:sdtPr>
                                  <w:sdtEndPr/>
                                  <w:sdtContent>
                                    <w:r w:rsidR="00020A75">
                                      <w:rPr>
                                        <w:lang w:val="nl"/>
                                      </w:rPr>
                                      <w:t>3 juli 2026</w:t>
                                    </w:r>
                                  </w:sdtContent>
                                </w:sdt>
                              </w:p>
                            </w:tc>
                          </w:tr>
                          <w:tr w:rsidR="00FB6404" w14:paraId="24673E48" w14:textId="77777777">
                            <w:trPr>
                              <w:trHeight w:val="240"/>
                            </w:trPr>
                            <w:tc>
                              <w:tcPr>
                                <w:tcW w:w="1140" w:type="dxa"/>
                              </w:tcPr>
                              <w:p w14:paraId="52807206" w14:textId="77777777" w:rsidR="00FB6404" w:rsidRDefault="00BB57C0">
                                <w:r>
                                  <w:t>Betreft</w:t>
                                </w:r>
                              </w:p>
                            </w:tc>
                            <w:tc>
                              <w:tcPr>
                                <w:tcW w:w="5918" w:type="dxa"/>
                              </w:tcPr>
                              <w:p w14:paraId="24A3364F" w14:textId="43DC4643" w:rsidR="00FB6404" w:rsidRDefault="008C6A06">
                                <w:r>
                                  <w:t xml:space="preserve">Voortgang versterking </w:t>
                                </w:r>
                                <w:r w:rsidR="009728DC">
                                  <w:t>taakveld bewaken en beveiligen</w:t>
                                </w:r>
                                <w:r>
                                  <w:t xml:space="preserve">, en reactie op adviesbrief </w:t>
                                </w:r>
                                <w:r w:rsidR="005F2514">
                                  <w:t>Adviesorgaan Stelsel B</w:t>
                                </w:r>
                                <w:r>
                                  <w:t xml:space="preserve">ewaken en </w:t>
                                </w:r>
                                <w:r w:rsidR="005F2514">
                                  <w:t>B</w:t>
                                </w:r>
                                <w:r>
                                  <w:t>eveiligen</w:t>
                                </w:r>
                              </w:p>
                            </w:tc>
                          </w:tr>
                        </w:tbl>
                        <w:p w14:paraId="27CD11DF" w14:textId="77777777" w:rsidR="00BB57C0" w:rsidRDefault="00BB57C0"/>
                      </w:txbxContent>
                    </wps:txbx>
                    <wps:bodyPr vert="horz" wrap="square" lIns="0" tIns="0" rIns="0" bIns="0" anchor="t" anchorCtr="0"/>
                  </wps:wsp>
                </a:graphicData>
              </a:graphic>
            </wp:anchor>
          </w:drawing>
        </mc:Choice>
        <mc:Fallback>
          <w:pict>
            <v:shape w14:anchorId="7A289F8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B6404" w14:paraId="5A0A26D4" w14:textId="77777777">
                      <w:trPr>
                        <w:trHeight w:val="240"/>
                      </w:trPr>
                      <w:tc>
                        <w:tcPr>
                          <w:tcW w:w="1140" w:type="dxa"/>
                        </w:tcPr>
                        <w:p w14:paraId="0D267BCA" w14:textId="77777777" w:rsidR="00FB6404" w:rsidRDefault="00BB57C0">
                          <w:r>
                            <w:t>Datum</w:t>
                          </w:r>
                        </w:p>
                      </w:tc>
                      <w:tc>
                        <w:tcPr>
                          <w:tcW w:w="5918" w:type="dxa"/>
                        </w:tcPr>
                        <w:p w14:paraId="18679D4C" w14:textId="483AEA1A" w:rsidR="00FB6404" w:rsidRDefault="00E53B32">
                          <w:sdt>
                            <w:sdtPr>
                              <w:id w:val="-1899970551"/>
                              <w:date w:fullDate="2026-07-03T00:00:00Z">
                                <w:dateFormat w:val="d MMMM yyyy"/>
                                <w:lid w:val="nl"/>
                                <w:storeMappedDataAs w:val="dateTime"/>
                                <w:calendar w:val="gregorian"/>
                              </w:date>
                            </w:sdtPr>
                            <w:sdtEndPr/>
                            <w:sdtContent>
                              <w:r w:rsidR="00020A75">
                                <w:rPr>
                                  <w:lang w:val="nl"/>
                                </w:rPr>
                                <w:t>3 juli 2026</w:t>
                              </w:r>
                            </w:sdtContent>
                          </w:sdt>
                        </w:p>
                      </w:tc>
                    </w:tr>
                    <w:tr w:rsidR="00FB6404" w14:paraId="24673E48" w14:textId="77777777">
                      <w:trPr>
                        <w:trHeight w:val="240"/>
                      </w:trPr>
                      <w:tc>
                        <w:tcPr>
                          <w:tcW w:w="1140" w:type="dxa"/>
                        </w:tcPr>
                        <w:p w14:paraId="52807206" w14:textId="77777777" w:rsidR="00FB6404" w:rsidRDefault="00BB57C0">
                          <w:r>
                            <w:t>Betreft</w:t>
                          </w:r>
                        </w:p>
                      </w:tc>
                      <w:tc>
                        <w:tcPr>
                          <w:tcW w:w="5918" w:type="dxa"/>
                        </w:tcPr>
                        <w:p w14:paraId="24A3364F" w14:textId="43DC4643" w:rsidR="00FB6404" w:rsidRDefault="008C6A06">
                          <w:r>
                            <w:t xml:space="preserve">Voortgang versterking </w:t>
                          </w:r>
                          <w:r w:rsidR="009728DC">
                            <w:t>taakveld bewaken en beveiligen</w:t>
                          </w:r>
                          <w:r>
                            <w:t xml:space="preserve">, en reactie op adviesbrief </w:t>
                          </w:r>
                          <w:r w:rsidR="005F2514">
                            <w:t>Adviesorgaan Stelsel B</w:t>
                          </w:r>
                          <w:r>
                            <w:t xml:space="preserve">ewaken en </w:t>
                          </w:r>
                          <w:r w:rsidR="005F2514">
                            <w:t>B</w:t>
                          </w:r>
                          <w:r>
                            <w:t>eveiligen</w:t>
                          </w:r>
                        </w:p>
                      </w:tc>
                    </w:tr>
                  </w:tbl>
                  <w:p w14:paraId="27CD11DF" w14:textId="77777777" w:rsidR="00BB57C0" w:rsidRDefault="00BB57C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C7DE7EA" wp14:editId="2536CAA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9B984C" w14:textId="77777777" w:rsidR="00FB6404" w:rsidRDefault="00BB57C0">
                          <w:pPr>
                            <w:pStyle w:val="Referentiegegevensbold"/>
                          </w:pPr>
                          <w:r>
                            <w:t>Nationaal Coördinator Terrorismebestrijding en Veiligheid</w:t>
                          </w:r>
                        </w:p>
                        <w:p w14:paraId="512E644A" w14:textId="77777777" w:rsidR="00FB6404" w:rsidRDefault="00FB6404">
                          <w:pPr>
                            <w:pStyle w:val="WitregelW1"/>
                          </w:pPr>
                        </w:p>
                        <w:p w14:paraId="7BCA5790" w14:textId="77777777" w:rsidR="00FB6404" w:rsidRDefault="00BB57C0">
                          <w:pPr>
                            <w:pStyle w:val="Referentiegegevens"/>
                          </w:pPr>
                          <w:r>
                            <w:t>Turfmarkt 147</w:t>
                          </w:r>
                        </w:p>
                        <w:p w14:paraId="1C8E2E65" w14:textId="77777777" w:rsidR="00FB6404" w:rsidRPr="00290927" w:rsidRDefault="00BB57C0">
                          <w:pPr>
                            <w:pStyle w:val="Referentiegegevens"/>
                            <w:rPr>
                              <w:lang w:val="de-DE"/>
                            </w:rPr>
                          </w:pPr>
                          <w:r w:rsidRPr="00290927">
                            <w:rPr>
                              <w:lang w:val="de-DE"/>
                            </w:rPr>
                            <w:t xml:space="preserve">2511 </w:t>
                          </w:r>
                          <w:proofErr w:type="gramStart"/>
                          <w:r w:rsidRPr="00290927">
                            <w:rPr>
                              <w:lang w:val="de-DE"/>
                            </w:rPr>
                            <w:t>DP  Den</w:t>
                          </w:r>
                          <w:proofErr w:type="gramEnd"/>
                          <w:r w:rsidRPr="00290927">
                            <w:rPr>
                              <w:lang w:val="de-DE"/>
                            </w:rPr>
                            <w:t xml:space="preserve"> Haag</w:t>
                          </w:r>
                        </w:p>
                        <w:p w14:paraId="15968E91" w14:textId="77777777" w:rsidR="00FB6404" w:rsidRPr="00290927" w:rsidRDefault="00BB57C0">
                          <w:pPr>
                            <w:pStyle w:val="Referentiegegevens"/>
                            <w:rPr>
                              <w:lang w:val="de-DE"/>
                            </w:rPr>
                          </w:pPr>
                          <w:r w:rsidRPr="00290927">
                            <w:rPr>
                              <w:lang w:val="de-DE"/>
                            </w:rPr>
                            <w:t>Postbus 20018</w:t>
                          </w:r>
                        </w:p>
                        <w:p w14:paraId="4BE81B27" w14:textId="77777777" w:rsidR="00FB6404" w:rsidRPr="00290927" w:rsidRDefault="00BB57C0">
                          <w:pPr>
                            <w:pStyle w:val="Referentiegegevens"/>
                            <w:rPr>
                              <w:lang w:val="de-DE"/>
                            </w:rPr>
                          </w:pPr>
                          <w:r w:rsidRPr="00290927">
                            <w:rPr>
                              <w:lang w:val="de-DE"/>
                            </w:rPr>
                            <w:t xml:space="preserve">2500 </w:t>
                          </w:r>
                          <w:proofErr w:type="gramStart"/>
                          <w:r w:rsidRPr="00290927">
                            <w:rPr>
                              <w:lang w:val="de-DE"/>
                            </w:rPr>
                            <w:t>EA  DEN</w:t>
                          </w:r>
                          <w:proofErr w:type="gramEnd"/>
                          <w:r w:rsidRPr="00290927">
                            <w:rPr>
                              <w:lang w:val="de-DE"/>
                            </w:rPr>
                            <w:t xml:space="preserve"> HAAG</w:t>
                          </w:r>
                        </w:p>
                        <w:p w14:paraId="22669624" w14:textId="77777777" w:rsidR="00FB6404" w:rsidRPr="00290927" w:rsidRDefault="00BB57C0">
                          <w:pPr>
                            <w:pStyle w:val="Referentiegegevens"/>
                            <w:rPr>
                              <w:lang w:val="de-DE"/>
                            </w:rPr>
                          </w:pPr>
                          <w:r w:rsidRPr="00290927">
                            <w:rPr>
                              <w:lang w:val="de-DE"/>
                            </w:rPr>
                            <w:t>www.rijksoverheid.nl/jenv</w:t>
                          </w:r>
                        </w:p>
                        <w:p w14:paraId="549A96ED" w14:textId="77777777" w:rsidR="00FB6404" w:rsidRPr="00290927" w:rsidRDefault="00FB6404">
                          <w:pPr>
                            <w:pStyle w:val="WitregelW1"/>
                            <w:rPr>
                              <w:lang w:val="de-DE"/>
                            </w:rPr>
                          </w:pPr>
                        </w:p>
                        <w:p w14:paraId="03C02A9D" w14:textId="77777777" w:rsidR="00FB6404" w:rsidRDefault="00BB57C0">
                          <w:pPr>
                            <w:pStyle w:val="Referentiegegevensbold"/>
                          </w:pPr>
                          <w:r>
                            <w:t>Onze referentie</w:t>
                          </w:r>
                        </w:p>
                        <w:p w14:paraId="7E2F76AA" w14:textId="77777777" w:rsidR="00FB6404" w:rsidRDefault="00BB57C0">
                          <w:pPr>
                            <w:pStyle w:val="Referentiegegevens"/>
                          </w:pPr>
                          <w:r>
                            <w:t>7695778</w:t>
                          </w:r>
                        </w:p>
                        <w:p w14:paraId="2B550A2C" w14:textId="77777777" w:rsidR="00BD3D3C" w:rsidRDefault="00BD3D3C" w:rsidP="00BD3D3C"/>
                        <w:p w14:paraId="187F9372" w14:textId="523367BF" w:rsidR="00BD3D3C" w:rsidRDefault="00BD3D3C" w:rsidP="00BD3D3C">
                          <w:pPr>
                            <w:rPr>
                              <w:b/>
                              <w:bCs/>
                              <w:sz w:val="14"/>
                              <w:szCs w:val="14"/>
                            </w:rPr>
                          </w:pPr>
                          <w:r w:rsidRPr="00BD3D3C">
                            <w:rPr>
                              <w:b/>
                              <w:bCs/>
                              <w:sz w:val="14"/>
                              <w:szCs w:val="14"/>
                            </w:rPr>
                            <w:t>Bijlage</w:t>
                          </w:r>
                        </w:p>
                        <w:p w14:paraId="2A486AA9" w14:textId="37309AA1" w:rsidR="00BD3D3C" w:rsidRPr="00BD3D3C" w:rsidRDefault="00BD3D3C" w:rsidP="00BD3D3C">
                          <w:pPr>
                            <w:rPr>
                              <w:sz w:val="14"/>
                              <w:szCs w:val="14"/>
                            </w:rPr>
                          </w:pPr>
                          <w:r w:rsidRPr="00BD3D3C">
                            <w:rPr>
                              <w:sz w:val="14"/>
                              <w:szCs w:val="14"/>
                            </w:rPr>
                            <w:t>1</w:t>
                          </w:r>
                        </w:p>
                        <w:p w14:paraId="79D65BF8" w14:textId="6ECEDFA5" w:rsidR="00BD3D3C" w:rsidRPr="00BD3D3C" w:rsidRDefault="00BD3D3C" w:rsidP="00BD3D3C">
                          <w:pPr>
                            <w:rPr>
                              <w:b/>
                              <w:bCs/>
                            </w:rPr>
                          </w:pPr>
                        </w:p>
                      </w:txbxContent>
                    </wps:txbx>
                    <wps:bodyPr vert="horz" wrap="square" lIns="0" tIns="0" rIns="0" bIns="0" anchor="t" anchorCtr="0"/>
                  </wps:wsp>
                </a:graphicData>
              </a:graphic>
            </wp:anchor>
          </w:drawing>
        </mc:Choice>
        <mc:Fallback>
          <w:pict>
            <v:shape w14:anchorId="1C7DE7E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99B984C" w14:textId="77777777" w:rsidR="00FB6404" w:rsidRDefault="00BB57C0">
                    <w:pPr>
                      <w:pStyle w:val="Referentiegegevensbold"/>
                    </w:pPr>
                    <w:r>
                      <w:t>Nationaal Coördinator Terrorismebestrijding en Veiligheid</w:t>
                    </w:r>
                  </w:p>
                  <w:p w14:paraId="512E644A" w14:textId="77777777" w:rsidR="00FB6404" w:rsidRDefault="00FB6404">
                    <w:pPr>
                      <w:pStyle w:val="WitregelW1"/>
                    </w:pPr>
                  </w:p>
                  <w:p w14:paraId="7BCA5790" w14:textId="77777777" w:rsidR="00FB6404" w:rsidRDefault="00BB57C0">
                    <w:pPr>
                      <w:pStyle w:val="Referentiegegevens"/>
                    </w:pPr>
                    <w:r>
                      <w:t>Turfmarkt 147</w:t>
                    </w:r>
                  </w:p>
                  <w:p w14:paraId="1C8E2E65" w14:textId="77777777" w:rsidR="00FB6404" w:rsidRPr="00290927" w:rsidRDefault="00BB57C0">
                    <w:pPr>
                      <w:pStyle w:val="Referentiegegevens"/>
                      <w:rPr>
                        <w:lang w:val="de-DE"/>
                      </w:rPr>
                    </w:pPr>
                    <w:r w:rsidRPr="00290927">
                      <w:rPr>
                        <w:lang w:val="de-DE"/>
                      </w:rPr>
                      <w:t xml:space="preserve">2511 </w:t>
                    </w:r>
                    <w:proofErr w:type="gramStart"/>
                    <w:r w:rsidRPr="00290927">
                      <w:rPr>
                        <w:lang w:val="de-DE"/>
                      </w:rPr>
                      <w:t>DP  Den</w:t>
                    </w:r>
                    <w:proofErr w:type="gramEnd"/>
                    <w:r w:rsidRPr="00290927">
                      <w:rPr>
                        <w:lang w:val="de-DE"/>
                      </w:rPr>
                      <w:t xml:space="preserve"> Haag</w:t>
                    </w:r>
                  </w:p>
                  <w:p w14:paraId="15968E91" w14:textId="77777777" w:rsidR="00FB6404" w:rsidRPr="00290927" w:rsidRDefault="00BB57C0">
                    <w:pPr>
                      <w:pStyle w:val="Referentiegegevens"/>
                      <w:rPr>
                        <w:lang w:val="de-DE"/>
                      </w:rPr>
                    </w:pPr>
                    <w:r w:rsidRPr="00290927">
                      <w:rPr>
                        <w:lang w:val="de-DE"/>
                      </w:rPr>
                      <w:t>Postbus 20018</w:t>
                    </w:r>
                  </w:p>
                  <w:p w14:paraId="4BE81B27" w14:textId="77777777" w:rsidR="00FB6404" w:rsidRPr="00290927" w:rsidRDefault="00BB57C0">
                    <w:pPr>
                      <w:pStyle w:val="Referentiegegevens"/>
                      <w:rPr>
                        <w:lang w:val="de-DE"/>
                      </w:rPr>
                    </w:pPr>
                    <w:r w:rsidRPr="00290927">
                      <w:rPr>
                        <w:lang w:val="de-DE"/>
                      </w:rPr>
                      <w:t xml:space="preserve">2500 </w:t>
                    </w:r>
                    <w:proofErr w:type="gramStart"/>
                    <w:r w:rsidRPr="00290927">
                      <w:rPr>
                        <w:lang w:val="de-DE"/>
                      </w:rPr>
                      <w:t>EA  DEN</w:t>
                    </w:r>
                    <w:proofErr w:type="gramEnd"/>
                    <w:r w:rsidRPr="00290927">
                      <w:rPr>
                        <w:lang w:val="de-DE"/>
                      </w:rPr>
                      <w:t xml:space="preserve"> HAAG</w:t>
                    </w:r>
                  </w:p>
                  <w:p w14:paraId="22669624" w14:textId="77777777" w:rsidR="00FB6404" w:rsidRPr="00290927" w:rsidRDefault="00BB57C0">
                    <w:pPr>
                      <w:pStyle w:val="Referentiegegevens"/>
                      <w:rPr>
                        <w:lang w:val="de-DE"/>
                      </w:rPr>
                    </w:pPr>
                    <w:r w:rsidRPr="00290927">
                      <w:rPr>
                        <w:lang w:val="de-DE"/>
                      </w:rPr>
                      <w:t>www.rijksoverheid.nl/jenv</w:t>
                    </w:r>
                  </w:p>
                  <w:p w14:paraId="549A96ED" w14:textId="77777777" w:rsidR="00FB6404" w:rsidRPr="00290927" w:rsidRDefault="00FB6404">
                    <w:pPr>
                      <w:pStyle w:val="WitregelW1"/>
                      <w:rPr>
                        <w:lang w:val="de-DE"/>
                      </w:rPr>
                    </w:pPr>
                  </w:p>
                  <w:p w14:paraId="03C02A9D" w14:textId="77777777" w:rsidR="00FB6404" w:rsidRDefault="00BB57C0">
                    <w:pPr>
                      <w:pStyle w:val="Referentiegegevensbold"/>
                    </w:pPr>
                    <w:r>
                      <w:t>Onze referentie</w:t>
                    </w:r>
                  </w:p>
                  <w:p w14:paraId="7E2F76AA" w14:textId="77777777" w:rsidR="00FB6404" w:rsidRDefault="00BB57C0">
                    <w:pPr>
                      <w:pStyle w:val="Referentiegegevens"/>
                    </w:pPr>
                    <w:r>
                      <w:t>7695778</w:t>
                    </w:r>
                  </w:p>
                  <w:p w14:paraId="2B550A2C" w14:textId="77777777" w:rsidR="00BD3D3C" w:rsidRDefault="00BD3D3C" w:rsidP="00BD3D3C"/>
                  <w:p w14:paraId="187F9372" w14:textId="523367BF" w:rsidR="00BD3D3C" w:rsidRDefault="00BD3D3C" w:rsidP="00BD3D3C">
                    <w:pPr>
                      <w:rPr>
                        <w:b/>
                        <w:bCs/>
                        <w:sz w:val="14"/>
                        <w:szCs w:val="14"/>
                      </w:rPr>
                    </w:pPr>
                    <w:r w:rsidRPr="00BD3D3C">
                      <w:rPr>
                        <w:b/>
                        <w:bCs/>
                        <w:sz w:val="14"/>
                        <w:szCs w:val="14"/>
                      </w:rPr>
                      <w:t>Bijlage</w:t>
                    </w:r>
                  </w:p>
                  <w:p w14:paraId="2A486AA9" w14:textId="37309AA1" w:rsidR="00BD3D3C" w:rsidRPr="00BD3D3C" w:rsidRDefault="00BD3D3C" w:rsidP="00BD3D3C">
                    <w:pPr>
                      <w:rPr>
                        <w:sz w:val="14"/>
                        <w:szCs w:val="14"/>
                      </w:rPr>
                    </w:pPr>
                    <w:r w:rsidRPr="00BD3D3C">
                      <w:rPr>
                        <w:sz w:val="14"/>
                        <w:szCs w:val="14"/>
                      </w:rPr>
                      <w:t>1</w:t>
                    </w:r>
                  </w:p>
                  <w:p w14:paraId="79D65BF8" w14:textId="6ECEDFA5" w:rsidR="00BD3D3C" w:rsidRPr="00BD3D3C" w:rsidRDefault="00BD3D3C" w:rsidP="00BD3D3C">
                    <w:pPr>
                      <w:rPr>
                        <w:b/>
                        <w:bCs/>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20A6AC6" wp14:editId="24AF078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52C342" w14:textId="77777777" w:rsidR="00FB6404" w:rsidRDefault="00BB57C0">
                          <w:pPr>
                            <w:pStyle w:val="Referentiegegevens"/>
                          </w:pPr>
                          <w:r>
                            <w:t xml:space="preserve">Pagina </w:t>
                          </w:r>
                          <w:r>
                            <w:fldChar w:fldCharType="begin"/>
                          </w:r>
                          <w:r>
                            <w:instrText>PAGE</w:instrText>
                          </w:r>
                          <w:r>
                            <w:fldChar w:fldCharType="separate"/>
                          </w:r>
                          <w:r w:rsidR="008C6A06">
                            <w:rPr>
                              <w:noProof/>
                            </w:rPr>
                            <w:t>1</w:t>
                          </w:r>
                          <w:r>
                            <w:fldChar w:fldCharType="end"/>
                          </w:r>
                          <w:r>
                            <w:t xml:space="preserve"> van </w:t>
                          </w:r>
                          <w:r>
                            <w:fldChar w:fldCharType="begin"/>
                          </w:r>
                          <w:r>
                            <w:instrText>NUMPAGES</w:instrText>
                          </w:r>
                          <w:r>
                            <w:fldChar w:fldCharType="separate"/>
                          </w:r>
                          <w:r w:rsidR="008C6A06">
                            <w:rPr>
                              <w:noProof/>
                            </w:rPr>
                            <w:t>1</w:t>
                          </w:r>
                          <w:r>
                            <w:fldChar w:fldCharType="end"/>
                          </w:r>
                        </w:p>
                      </w:txbxContent>
                    </wps:txbx>
                    <wps:bodyPr vert="horz" wrap="square" lIns="0" tIns="0" rIns="0" bIns="0" anchor="t" anchorCtr="0"/>
                  </wps:wsp>
                </a:graphicData>
              </a:graphic>
            </wp:anchor>
          </w:drawing>
        </mc:Choice>
        <mc:Fallback>
          <w:pict>
            <v:shape w14:anchorId="420A6AC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352C342" w14:textId="77777777" w:rsidR="00FB6404" w:rsidRDefault="00BB57C0">
                    <w:pPr>
                      <w:pStyle w:val="Referentiegegevens"/>
                    </w:pPr>
                    <w:r>
                      <w:t xml:space="preserve">Pagina </w:t>
                    </w:r>
                    <w:r>
                      <w:fldChar w:fldCharType="begin"/>
                    </w:r>
                    <w:r>
                      <w:instrText>PAGE</w:instrText>
                    </w:r>
                    <w:r>
                      <w:fldChar w:fldCharType="separate"/>
                    </w:r>
                    <w:r w:rsidR="008C6A06">
                      <w:rPr>
                        <w:noProof/>
                      </w:rPr>
                      <w:t>1</w:t>
                    </w:r>
                    <w:r>
                      <w:fldChar w:fldCharType="end"/>
                    </w:r>
                    <w:r>
                      <w:t xml:space="preserve"> van </w:t>
                    </w:r>
                    <w:r>
                      <w:fldChar w:fldCharType="begin"/>
                    </w:r>
                    <w:r>
                      <w:instrText>NUMPAGES</w:instrText>
                    </w:r>
                    <w:r>
                      <w:fldChar w:fldCharType="separate"/>
                    </w:r>
                    <w:r w:rsidR="008C6A0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C142A0" wp14:editId="3625D9E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12EBBC" w14:textId="77777777" w:rsidR="00BB57C0" w:rsidRDefault="00BB57C0"/>
                      </w:txbxContent>
                    </wps:txbx>
                    <wps:bodyPr vert="horz" wrap="square" lIns="0" tIns="0" rIns="0" bIns="0" anchor="t" anchorCtr="0"/>
                  </wps:wsp>
                </a:graphicData>
              </a:graphic>
            </wp:anchor>
          </w:drawing>
        </mc:Choice>
        <mc:Fallback>
          <w:pict>
            <v:shape w14:anchorId="69C142A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512EBBC" w14:textId="77777777" w:rsidR="00BB57C0" w:rsidRDefault="00BB57C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692"/>
    <w:multiLevelType w:val="multilevel"/>
    <w:tmpl w:val="2D51F52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B3A8F55"/>
    <w:multiLevelType w:val="multilevel"/>
    <w:tmpl w:val="4F2D24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C0402F1"/>
    <w:multiLevelType w:val="multilevel"/>
    <w:tmpl w:val="BD3431B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71C1B55"/>
    <w:multiLevelType w:val="multilevel"/>
    <w:tmpl w:val="0C2B0A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82C4052"/>
    <w:multiLevelType w:val="multilevel"/>
    <w:tmpl w:val="02A4FAB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4642B93"/>
    <w:multiLevelType w:val="multilevel"/>
    <w:tmpl w:val="8E6D992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75515800">
    <w:abstractNumId w:val="2"/>
  </w:num>
  <w:num w:numId="2" w16cid:durableId="141848157">
    <w:abstractNumId w:val="5"/>
  </w:num>
  <w:num w:numId="3" w16cid:durableId="846674914">
    <w:abstractNumId w:val="1"/>
  </w:num>
  <w:num w:numId="4" w16cid:durableId="606624091">
    <w:abstractNumId w:val="0"/>
  </w:num>
  <w:num w:numId="5" w16cid:durableId="565728772">
    <w:abstractNumId w:val="4"/>
  </w:num>
  <w:num w:numId="6" w16cid:durableId="347099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06"/>
    <w:rsid w:val="00020A75"/>
    <w:rsid w:val="0003140B"/>
    <w:rsid w:val="000374F3"/>
    <w:rsid w:val="00065A6D"/>
    <w:rsid w:val="000770E5"/>
    <w:rsid w:val="00092904"/>
    <w:rsid w:val="00093E88"/>
    <w:rsid w:val="000B6C73"/>
    <w:rsid w:val="000E4084"/>
    <w:rsid w:val="0010345E"/>
    <w:rsid w:val="00105A43"/>
    <w:rsid w:val="0011526E"/>
    <w:rsid w:val="001161D3"/>
    <w:rsid w:val="001350D3"/>
    <w:rsid w:val="00141D04"/>
    <w:rsid w:val="001650D3"/>
    <w:rsid w:val="0017184D"/>
    <w:rsid w:val="001B3468"/>
    <w:rsid w:val="001C79D8"/>
    <w:rsid w:val="001D22A8"/>
    <w:rsid w:val="001F03A9"/>
    <w:rsid w:val="001F2127"/>
    <w:rsid w:val="00237C97"/>
    <w:rsid w:val="002409C5"/>
    <w:rsid w:val="002551FD"/>
    <w:rsid w:val="00271A1A"/>
    <w:rsid w:val="002829F1"/>
    <w:rsid w:val="00290927"/>
    <w:rsid w:val="002B2765"/>
    <w:rsid w:val="002B36B0"/>
    <w:rsid w:val="002B7B7E"/>
    <w:rsid w:val="002E6FD1"/>
    <w:rsid w:val="0030323C"/>
    <w:rsid w:val="00343B07"/>
    <w:rsid w:val="003A4010"/>
    <w:rsid w:val="003C1D19"/>
    <w:rsid w:val="003C751F"/>
    <w:rsid w:val="003D7BC9"/>
    <w:rsid w:val="003F3E13"/>
    <w:rsid w:val="00412356"/>
    <w:rsid w:val="00413FC6"/>
    <w:rsid w:val="00442E5C"/>
    <w:rsid w:val="0046258F"/>
    <w:rsid w:val="00463521"/>
    <w:rsid w:val="00490A07"/>
    <w:rsid w:val="004C4CCF"/>
    <w:rsid w:val="00502EC5"/>
    <w:rsid w:val="00503260"/>
    <w:rsid w:val="005160EB"/>
    <w:rsid w:val="0052152C"/>
    <w:rsid w:val="00532307"/>
    <w:rsid w:val="0053450E"/>
    <w:rsid w:val="0055278A"/>
    <w:rsid w:val="0055788E"/>
    <w:rsid w:val="00564EC5"/>
    <w:rsid w:val="00583232"/>
    <w:rsid w:val="005872CE"/>
    <w:rsid w:val="00595349"/>
    <w:rsid w:val="005A69EB"/>
    <w:rsid w:val="005E344E"/>
    <w:rsid w:val="005E5132"/>
    <w:rsid w:val="005F2514"/>
    <w:rsid w:val="005F65B6"/>
    <w:rsid w:val="005F680A"/>
    <w:rsid w:val="0060271E"/>
    <w:rsid w:val="0060766D"/>
    <w:rsid w:val="006221A7"/>
    <w:rsid w:val="0064094A"/>
    <w:rsid w:val="00641A59"/>
    <w:rsid w:val="00650093"/>
    <w:rsid w:val="006569DE"/>
    <w:rsid w:val="006A0C53"/>
    <w:rsid w:val="006A207C"/>
    <w:rsid w:val="006A4E8E"/>
    <w:rsid w:val="006C4168"/>
    <w:rsid w:val="006E3187"/>
    <w:rsid w:val="006E3566"/>
    <w:rsid w:val="006F4D8E"/>
    <w:rsid w:val="00713530"/>
    <w:rsid w:val="00716C83"/>
    <w:rsid w:val="007179A1"/>
    <w:rsid w:val="00720FA4"/>
    <w:rsid w:val="007629F3"/>
    <w:rsid w:val="00765DE1"/>
    <w:rsid w:val="0077428A"/>
    <w:rsid w:val="00783B49"/>
    <w:rsid w:val="00795470"/>
    <w:rsid w:val="007C0B66"/>
    <w:rsid w:val="007C47AE"/>
    <w:rsid w:val="007D160A"/>
    <w:rsid w:val="007D324D"/>
    <w:rsid w:val="007E6AF6"/>
    <w:rsid w:val="007F79B7"/>
    <w:rsid w:val="00804546"/>
    <w:rsid w:val="008114A1"/>
    <w:rsid w:val="00826234"/>
    <w:rsid w:val="00875475"/>
    <w:rsid w:val="00892210"/>
    <w:rsid w:val="008A1751"/>
    <w:rsid w:val="008B5A0F"/>
    <w:rsid w:val="008C6A06"/>
    <w:rsid w:val="008D268E"/>
    <w:rsid w:val="008D3BF7"/>
    <w:rsid w:val="008F2D96"/>
    <w:rsid w:val="00907CFD"/>
    <w:rsid w:val="0092223E"/>
    <w:rsid w:val="0093114F"/>
    <w:rsid w:val="00972253"/>
    <w:rsid w:val="009728DC"/>
    <w:rsid w:val="009A310D"/>
    <w:rsid w:val="009A4D8C"/>
    <w:rsid w:val="009B0A12"/>
    <w:rsid w:val="009B4965"/>
    <w:rsid w:val="009C5859"/>
    <w:rsid w:val="009D0458"/>
    <w:rsid w:val="009D3606"/>
    <w:rsid w:val="009D6611"/>
    <w:rsid w:val="00A07806"/>
    <w:rsid w:val="00A305AD"/>
    <w:rsid w:val="00A30791"/>
    <w:rsid w:val="00A41C40"/>
    <w:rsid w:val="00A52085"/>
    <w:rsid w:val="00A5678E"/>
    <w:rsid w:val="00A61C91"/>
    <w:rsid w:val="00AC75DD"/>
    <w:rsid w:val="00AD11F7"/>
    <w:rsid w:val="00AE11F5"/>
    <w:rsid w:val="00AF3157"/>
    <w:rsid w:val="00AF511F"/>
    <w:rsid w:val="00B042EE"/>
    <w:rsid w:val="00B05ECF"/>
    <w:rsid w:val="00B1061C"/>
    <w:rsid w:val="00B35948"/>
    <w:rsid w:val="00B40126"/>
    <w:rsid w:val="00B42329"/>
    <w:rsid w:val="00B45412"/>
    <w:rsid w:val="00B53F9B"/>
    <w:rsid w:val="00B6053D"/>
    <w:rsid w:val="00B60FF0"/>
    <w:rsid w:val="00B63FDD"/>
    <w:rsid w:val="00B73065"/>
    <w:rsid w:val="00B82782"/>
    <w:rsid w:val="00B82CF0"/>
    <w:rsid w:val="00B96618"/>
    <w:rsid w:val="00BB57C0"/>
    <w:rsid w:val="00BC149F"/>
    <w:rsid w:val="00BD3D3C"/>
    <w:rsid w:val="00BD4452"/>
    <w:rsid w:val="00BE50D9"/>
    <w:rsid w:val="00BF2F2D"/>
    <w:rsid w:val="00C0192A"/>
    <w:rsid w:val="00C235BA"/>
    <w:rsid w:val="00C44090"/>
    <w:rsid w:val="00C6061D"/>
    <w:rsid w:val="00C62ECD"/>
    <w:rsid w:val="00C710E5"/>
    <w:rsid w:val="00C8317B"/>
    <w:rsid w:val="00C90E7A"/>
    <w:rsid w:val="00CA448E"/>
    <w:rsid w:val="00CA6125"/>
    <w:rsid w:val="00CC271D"/>
    <w:rsid w:val="00CC5191"/>
    <w:rsid w:val="00CF2FB9"/>
    <w:rsid w:val="00D2366E"/>
    <w:rsid w:val="00D529D7"/>
    <w:rsid w:val="00D5528D"/>
    <w:rsid w:val="00D85CD4"/>
    <w:rsid w:val="00D94231"/>
    <w:rsid w:val="00DA1543"/>
    <w:rsid w:val="00DA7D37"/>
    <w:rsid w:val="00DE0A41"/>
    <w:rsid w:val="00DE1F89"/>
    <w:rsid w:val="00DF3CB3"/>
    <w:rsid w:val="00E0491C"/>
    <w:rsid w:val="00E12788"/>
    <w:rsid w:val="00E12A88"/>
    <w:rsid w:val="00E22BB4"/>
    <w:rsid w:val="00E3230D"/>
    <w:rsid w:val="00E5060D"/>
    <w:rsid w:val="00E52E78"/>
    <w:rsid w:val="00E711E5"/>
    <w:rsid w:val="00E94239"/>
    <w:rsid w:val="00EA5426"/>
    <w:rsid w:val="00EA6197"/>
    <w:rsid w:val="00EB27B8"/>
    <w:rsid w:val="00EB63D8"/>
    <w:rsid w:val="00ED0495"/>
    <w:rsid w:val="00ED3DC2"/>
    <w:rsid w:val="00EF6778"/>
    <w:rsid w:val="00F00684"/>
    <w:rsid w:val="00F13648"/>
    <w:rsid w:val="00F20D19"/>
    <w:rsid w:val="00F216BB"/>
    <w:rsid w:val="00F247BA"/>
    <w:rsid w:val="00F25A0F"/>
    <w:rsid w:val="00F4255A"/>
    <w:rsid w:val="00F5259F"/>
    <w:rsid w:val="00F62369"/>
    <w:rsid w:val="00F64A6D"/>
    <w:rsid w:val="00F80D3E"/>
    <w:rsid w:val="00FB3AF7"/>
    <w:rsid w:val="00FB6404"/>
    <w:rsid w:val="00FD75B2"/>
    <w:rsid w:val="00FE2D5A"/>
    <w:rsid w:val="00FE7D1F"/>
    <w:rsid w:val="00FF5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3FC6"/>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C6A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6A06"/>
    <w:rPr>
      <w:rFonts w:ascii="Verdana" w:hAnsi="Verdana"/>
      <w:color w:val="000000"/>
      <w:sz w:val="18"/>
      <w:szCs w:val="18"/>
    </w:rPr>
  </w:style>
  <w:style w:type="paragraph" w:styleId="Voetnoottekst">
    <w:name w:val="footnote text"/>
    <w:basedOn w:val="Standaard"/>
    <w:link w:val="VoetnoottekstChar"/>
    <w:uiPriority w:val="99"/>
    <w:semiHidden/>
    <w:unhideWhenUsed/>
    <w:rsid w:val="008C6A0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C6A0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8C6A06"/>
    <w:rPr>
      <w:vertAlign w:val="superscript"/>
    </w:rPr>
  </w:style>
  <w:style w:type="paragraph" w:styleId="Revisie">
    <w:name w:val="Revision"/>
    <w:hidden/>
    <w:uiPriority w:val="99"/>
    <w:semiHidden/>
    <w:rsid w:val="00AF511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6258F"/>
    <w:rPr>
      <w:sz w:val="16"/>
      <w:szCs w:val="16"/>
    </w:rPr>
  </w:style>
  <w:style w:type="paragraph" w:styleId="Tekstopmerking">
    <w:name w:val="annotation text"/>
    <w:basedOn w:val="Standaard"/>
    <w:link w:val="TekstopmerkingChar"/>
    <w:uiPriority w:val="99"/>
    <w:unhideWhenUsed/>
    <w:rsid w:val="0046258F"/>
    <w:pPr>
      <w:spacing w:line="240" w:lineRule="auto"/>
    </w:pPr>
    <w:rPr>
      <w:sz w:val="20"/>
      <w:szCs w:val="20"/>
    </w:rPr>
  </w:style>
  <w:style w:type="character" w:customStyle="1" w:styleId="TekstopmerkingChar">
    <w:name w:val="Tekst opmerking Char"/>
    <w:basedOn w:val="Standaardalinea-lettertype"/>
    <w:link w:val="Tekstopmerking"/>
    <w:uiPriority w:val="99"/>
    <w:rsid w:val="0046258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6258F"/>
    <w:rPr>
      <w:b/>
      <w:bCs/>
    </w:rPr>
  </w:style>
  <w:style w:type="character" w:customStyle="1" w:styleId="OnderwerpvanopmerkingChar">
    <w:name w:val="Onderwerp van opmerking Char"/>
    <w:basedOn w:val="TekstopmerkingChar"/>
    <w:link w:val="Onderwerpvanopmerking"/>
    <w:uiPriority w:val="99"/>
    <w:semiHidden/>
    <w:rsid w:val="0046258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1632</ap:Words>
  <ap:Characters>8978</ap:Characters>
  <ap:DocSecurity>0</ap:DocSecurity>
  <ap:Lines>74</ap:Lines>
  <ap:Paragraphs>21</ap:Paragraphs>
  <ap:ScaleCrop>false</ap:ScaleCrop>
  <ap:LinksUpToDate>false</ap:LinksUpToDate>
  <ap:CharactersWithSpaces>10589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2026-07-03T07:15:00.0000000Z</dcterms:created>
  <dcterms:modified xsi:type="dcterms:W3CDTF">2026-07-03T07:15:00.0000000Z</dcterms:modified>
  <dc:description>------------------------</dc:description>
  <version/>
  <category/>
</coreProperties>
</file>