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559" w:rsidP="00C04342" w:rsidRDefault="00E71559" w14:paraId="1DA78962" w14:textId="77777777">
      <w:pPr>
        <w:suppressAutoHyphens/>
      </w:pPr>
    </w:p>
    <w:p w:rsidR="00E71559" w:rsidP="00C04342" w:rsidRDefault="00E71559" w14:paraId="470DF686" w14:textId="705F0FF9">
      <w:pPr>
        <w:suppressAutoHyphens/>
      </w:pPr>
      <w:r>
        <w:t>AH 2473</w:t>
      </w:r>
    </w:p>
    <w:p w:rsidR="00E71559" w:rsidP="00C04342" w:rsidRDefault="00E71559" w14:paraId="0A42E757" w14:textId="2DC7D6D1">
      <w:pPr>
        <w:suppressAutoHyphens/>
      </w:pPr>
      <w:r>
        <w:t>2026Z09958</w:t>
      </w:r>
    </w:p>
    <w:p w:rsidRPr="00E71559" w:rsidR="00E71559" w:rsidP="00E71559" w:rsidRDefault="00E71559" w14:paraId="2B5D8E52" w14:textId="4E92C1EC">
      <w:pPr>
        <w:rPr>
          <w:rFonts w:ascii="Times New Roman" w:hAnsi="Times New Roman"/>
          <w:sz w:val="24"/>
          <w:szCs w:val="24"/>
        </w:rPr>
      </w:pPr>
      <w:r w:rsidRPr="00D25B3E">
        <w:rPr>
          <w:sz w:val="24"/>
          <w:szCs w:val="24"/>
        </w:rPr>
        <w:t>Antwoord van minister Hermans (Volksgezondheid, Welzijn en Sport)</w:t>
      </w:r>
      <w:r>
        <w:rPr>
          <w:sz w:val="24"/>
          <w:szCs w:val="24"/>
        </w:rPr>
        <w:t xml:space="preserve">, mede namens de </w:t>
      </w:r>
      <w:r w:rsidRPr="00D80872">
        <w:rPr>
          <w:rFonts w:ascii="Times New Roman" w:hAnsi="Times New Roman"/>
          <w:sz w:val="24"/>
          <w:szCs w:val="24"/>
        </w:rPr>
        <w:t>minister van Onderwijs, Cultuur en Wetenschap</w:t>
      </w:r>
      <w:r w:rsidRPr="00D25B3E">
        <w:rPr>
          <w:sz w:val="24"/>
          <w:szCs w:val="24"/>
        </w:rPr>
        <w:t xml:space="preserve"> (ontvangen</w:t>
      </w:r>
      <w:r>
        <w:rPr>
          <w:sz w:val="24"/>
          <w:szCs w:val="24"/>
        </w:rPr>
        <w:t xml:space="preserve">  3 juli 2026)</w:t>
      </w:r>
    </w:p>
    <w:p w:rsidR="00E71559" w:rsidP="00C04342" w:rsidRDefault="00E71559" w14:paraId="7AA38BA2" w14:textId="77777777">
      <w:pPr>
        <w:suppressAutoHyphens/>
      </w:pPr>
    </w:p>
    <w:p w:rsidR="00E71559" w:rsidP="00C04342" w:rsidRDefault="00E71559" w14:paraId="3D19999C" w14:textId="2EF86CD1">
      <w:pPr>
        <w:suppressAutoHyphens/>
      </w:pPr>
      <w:r w:rsidRPr="00D73ED1">
        <w:rPr>
          <w:color w:val="000000"/>
          <w:sz w:val="24"/>
          <w:szCs w:val="24"/>
        </w:rPr>
        <w:t>Zie ook Aanhangsel Handelingen, vergaderjaar 2025-2026, nr.</w:t>
      </w:r>
      <w:r>
        <w:rPr>
          <w:color w:val="000000"/>
          <w:sz w:val="24"/>
          <w:szCs w:val="24"/>
        </w:rPr>
        <w:t xml:space="preserve"> </w:t>
      </w:r>
      <w:r>
        <w:t>2207</w:t>
      </w:r>
    </w:p>
    <w:p w:rsidR="00E71559" w:rsidP="00C04342" w:rsidRDefault="00E71559" w14:paraId="3F4E362A" w14:textId="77777777">
      <w:pPr>
        <w:suppressAutoHyphens/>
      </w:pPr>
    </w:p>
    <w:p w:rsidR="00E71559" w:rsidP="00C04342" w:rsidRDefault="00E71559" w14:paraId="3680C0A0" w14:textId="77777777">
      <w:pPr>
        <w:suppressAutoHyphens/>
      </w:pPr>
      <w:r>
        <w:t>Vraag 1</w:t>
      </w:r>
    </w:p>
    <w:p w:rsidRPr="004E64B4" w:rsidR="00E71559" w:rsidP="00C04342" w:rsidRDefault="00E71559" w14:paraId="046A8C07"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 xml:space="preserve">Heeft u kennisgenomen van de aangekondigde Videoland-documentaire </w:t>
      </w:r>
      <w:r w:rsidRPr="004F3976">
        <w:rPr>
          <w:rFonts w:eastAsia="DejaVuSerifCondensed-Italic" w:cs="DejaVuSerifCondensed-Italic"/>
          <w:i/>
          <w:iCs/>
          <w:color w:val="000000"/>
          <w:szCs w:val="18"/>
        </w:rPr>
        <w:t>Nachtkinderen</w:t>
      </w:r>
      <w:r w:rsidRPr="004F3976">
        <w:rPr>
          <w:rFonts w:eastAsia="DejaVuSerifCondensed" w:cs="DejaVuSerifCondensed"/>
          <w:color w:val="000000"/>
          <w:szCs w:val="18"/>
        </w:rPr>
        <w:t>, waarin</w:t>
      </w:r>
      <w:r>
        <w:rPr>
          <w:rFonts w:eastAsia="DejaVuSerifCondensed" w:cs="DejaVuSerifCondensed"/>
          <w:color w:val="000000"/>
          <w:szCs w:val="18"/>
        </w:rPr>
        <w:t xml:space="preserve"> </w:t>
      </w:r>
      <w:r w:rsidRPr="004F3976">
        <w:rPr>
          <w:rFonts w:eastAsia="DejaVuSerifCondensed" w:cs="DejaVuSerifCondensed"/>
          <w:color w:val="000000"/>
          <w:szCs w:val="18"/>
        </w:rPr>
        <w:t>minderjarige jongeren herkenbaar in beeld worden gebracht terwijl zij harddrugs gebruiken?</w:t>
      </w:r>
      <w:r w:rsidRPr="004F3976">
        <w:rPr>
          <w:rFonts w:eastAsia="DejaVuSerifCondensed" w:cs="DejaVuSerifCondensed"/>
          <w:szCs w:val="18"/>
        </w:rPr>
        <w:t>[1]</w:t>
      </w:r>
    </w:p>
    <w:p w:rsidRPr="004F3976" w:rsidR="00E71559" w:rsidP="00C04342" w:rsidRDefault="00E71559" w14:paraId="068A8A1D" w14:textId="77777777">
      <w:pPr>
        <w:suppressAutoHyphens/>
        <w:autoSpaceDE w:val="0"/>
        <w:autoSpaceDN w:val="0"/>
        <w:adjustRightInd w:val="0"/>
        <w:spacing w:line="240" w:lineRule="auto"/>
        <w:rPr>
          <w:rFonts w:eastAsia="DejaVuSerifCondensed" w:cs="DejaVuSerifCondensed"/>
          <w:color w:val="0000FF"/>
          <w:szCs w:val="18"/>
        </w:rPr>
      </w:pPr>
    </w:p>
    <w:p w:rsidRPr="004F3976" w:rsidR="00E71559" w:rsidP="00C04342" w:rsidRDefault="00E71559" w14:paraId="0BE13C67" w14:textId="77777777">
      <w:pPr>
        <w:suppressAutoHyphens/>
        <w:autoSpaceDE w:val="0"/>
        <w:autoSpaceDN w:val="0"/>
        <w:adjustRightInd w:val="0"/>
        <w:spacing w:line="240" w:lineRule="auto"/>
        <w:rPr>
          <w:rFonts w:eastAsia="DejaVuSerifCondensed" w:cs="DejaVuSerifCondensed"/>
          <w:szCs w:val="18"/>
        </w:rPr>
      </w:pPr>
      <w:r w:rsidRPr="004F3976">
        <w:rPr>
          <w:rFonts w:eastAsia="DejaVuSerifCondensed" w:cs="DejaVuSerifCondensed"/>
          <w:szCs w:val="18"/>
        </w:rPr>
        <w:t>Antwoord 1</w:t>
      </w:r>
    </w:p>
    <w:p w:rsidRPr="004F3976" w:rsidR="00E71559" w:rsidP="00C04342" w:rsidRDefault="00E71559" w14:paraId="5AD6E1EE" w14:textId="77777777">
      <w:pPr>
        <w:suppressAutoHyphens/>
        <w:autoSpaceDE w:val="0"/>
        <w:autoSpaceDN w:val="0"/>
        <w:adjustRightInd w:val="0"/>
        <w:spacing w:line="240" w:lineRule="auto"/>
        <w:rPr>
          <w:rFonts w:eastAsia="DejaVuSerifCondensed" w:cs="DejaVuSerifCondensed"/>
          <w:szCs w:val="18"/>
        </w:rPr>
      </w:pPr>
      <w:r w:rsidRPr="004F3976">
        <w:rPr>
          <w:rFonts w:eastAsia="DejaVuSerifCondensed" w:cs="DejaVuSerifCondensed"/>
          <w:szCs w:val="18"/>
        </w:rPr>
        <w:t>Ja</w:t>
      </w:r>
    </w:p>
    <w:p w:rsidRPr="004F3976" w:rsidR="00E71559" w:rsidP="00C04342" w:rsidRDefault="00E71559" w14:paraId="00A64F3E" w14:textId="77777777">
      <w:pPr>
        <w:suppressAutoHyphens/>
        <w:autoSpaceDE w:val="0"/>
        <w:autoSpaceDN w:val="0"/>
        <w:adjustRightInd w:val="0"/>
        <w:spacing w:line="240" w:lineRule="auto"/>
        <w:rPr>
          <w:rFonts w:eastAsia="DejaVuSerifCondensed" w:cs="DejaVuSerifCondensed"/>
          <w:color w:val="0000FF"/>
          <w:szCs w:val="18"/>
        </w:rPr>
      </w:pPr>
    </w:p>
    <w:p w:rsidRPr="004F3976" w:rsidR="00E71559" w:rsidP="00C04342" w:rsidRDefault="00E71559" w14:paraId="073AA098" w14:textId="77777777">
      <w:pPr>
        <w:suppressAutoHyphens/>
        <w:autoSpaceDE w:val="0"/>
        <w:autoSpaceDN w:val="0"/>
        <w:adjustRightInd w:val="0"/>
        <w:spacing w:line="240" w:lineRule="auto"/>
        <w:rPr>
          <w:rFonts w:eastAsia="DejaVuSerifCondensed" w:cs="DejaVuSerifCondensed"/>
          <w:szCs w:val="18"/>
        </w:rPr>
      </w:pPr>
      <w:r w:rsidRPr="004F3976">
        <w:rPr>
          <w:rFonts w:eastAsia="DejaVuSerifCondensed" w:cs="DejaVuSerifCondensed"/>
          <w:szCs w:val="18"/>
        </w:rPr>
        <w:t>Vraag 2</w:t>
      </w:r>
    </w:p>
    <w:p w:rsidRPr="004F3976" w:rsidR="00E71559" w:rsidP="00C04342" w:rsidRDefault="00E71559" w14:paraId="6F2F9AFE"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Hoe kan het dat een streamingdienst kennelijk zonder noemenswaardige beperkingen minderjarigen</w:t>
      </w:r>
      <w:r>
        <w:rPr>
          <w:rFonts w:eastAsia="DejaVuSerifCondensed" w:cs="DejaVuSerifCondensed"/>
          <w:color w:val="000000"/>
          <w:szCs w:val="18"/>
        </w:rPr>
        <w:t xml:space="preserve"> </w:t>
      </w:r>
      <w:r w:rsidRPr="004F3976">
        <w:rPr>
          <w:rFonts w:eastAsia="DejaVuSerifCondensed" w:cs="DejaVuSerifCondensed"/>
          <w:color w:val="000000"/>
          <w:szCs w:val="18"/>
        </w:rPr>
        <w:t>drugs laat gebruiken voor de camera en dit vervolgens als entertainment uitzendt?</w:t>
      </w:r>
    </w:p>
    <w:p w:rsidRPr="004F3976" w:rsidR="00E71559" w:rsidP="00C04342" w:rsidRDefault="00E71559" w14:paraId="1059FB53"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670B5061"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2</w:t>
      </w:r>
    </w:p>
    <w:p w:rsidRPr="008518B2" w:rsidR="00E71559" w:rsidP="00C04342" w:rsidRDefault="00E71559" w14:paraId="3817800A" w14:textId="77777777">
      <w:pPr>
        <w:suppressAutoHyphens/>
        <w:autoSpaceDE w:val="0"/>
        <w:autoSpaceDN w:val="0"/>
        <w:adjustRightInd w:val="0"/>
        <w:spacing w:line="240" w:lineRule="auto"/>
        <w:rPr>
          <w:rFonts w:eastAsia="DejaVuSerifCondensed" w:cs="DejaVuSerifCondensed"/>
          <w:szCs w:val="18"/>
        </w:rPr>
      </w:pPr>
      <w:r w:rsidRPr="008518B2">
        <w:rPr>
          <w:rFonts w:eastAsia="DejaVuSerifCondensed" w:cs="DejaVuSerifCondensed"/>
          <w:szCs w:val="18"/>
        </w:rPr>
        <w:t>Streamingsdiensten (en omroepen) zijn, binnen de grenzen van de Mediawet, zelf verantwoordelijk voor de vorm en inhoud van de programma’s. Het is de vrije redactionele keuze van Videoland om de betreffende documentaire uit te zenden. De overheid oordeelt niet over de inhoud van programma’s. Dat vloeit voort uit de (grond)wettelijke vrijheid van meningsuiting en onafhankelijkheid van de media. Het Commissariaat voor de Media is als onafhankelijk toezichthouder de aangewezen partij om te onderzoeken of de totstandkoming van de documentaire in strijd is met de Mediawet. Het waarborgen van onafhankelijke media tegenover beïnvloeding van de inhoud van programma’s vereist een bij uitstek onafhankelijke toezichthouder. Zie verder het antwoord op vraag 6.</w:t>
      </w:r>
    </w:p>
    <w:p w:rsidRPr="008518B2" w:rsidR="00E71559" w:rsidP="00C04342" w:rsidRDefault="00E71559" w14:paraId="7897E190" w14:textId="77777777">
      <w:pPr>
        <w:suppressAutoHyphens/>
        <w:autoSpaceDE w:val="0"/>
        <w:autoSpaceDN w:val="0"/>
        <w:adjustRightInd w:val="0"/>
        <w:spacing w:line="240" w:lineRule="auto"/>
        <w:rPr>
          <w:rFonts w:eastAsia="DejaVuSerifCondensed" w:cs="DejaVuSerifCondensed"/>
          <w:szCs w:val="18"/>
        </w:rPr>
      </w:pPr>
    </w:p>
    <w:p w:rsidRPr="008518B2" w:rsidR="00E71559" w:rsidP="00C04342" w:rsidRDefault="00E71559" w14:paraId="75B53AA9" w14:textId="77777777">
      <w:pPr>
        <w:suppressAutoHyphens/>
        <w:autoSpaceDE w:val="0"/>
        <w:autoSpaceDN w:val="0"/>
        <w:adjustRightInd w:val="0"/>
        <w:spacing w:line="240" w:lineRule="auto"/>
        <w:rPr>
          <w:rFonts w:eastAsia="DejaVuSerifCondensed" w:cs="DejaVuSerifCondensed"/>
          <w:szCs w:val="18"/>
        </w:rPr>
      </w:pPr>
      <w:r w:rsidRPr="008518B2">
        <w:rPr>
          <w:rFonts w:eastAsia="DejaVuSerifCondensed" w:cs="DejaVuSerifCondensed"/>
          <w:szCs w:val="18"/>
        </w:rPr>
        <w:t>Tevens geldt dat audiovisuele content in Nederland wordt voorzien van een leeftijdsclassificatie op basis van de mogelijke schadelijkheid voor minderjarigen (conform hoofdstuk 4 van de Mediawet). Dit systeem, uitgevoerd door het onafhankelijke instituut voor de Classificatie van Audiovisuele Media (NICAM) via Kijkwijzer, heeft als doel de bescherming van minderjarigen en het informeren van ouders en opvoeders. In dit kader is de documentaire Nachtkinderen geclassificeerd met “Let op met kinderen tot 16 jaar”, onder meer op basis van de weergave van drugsgebruik en grof taalgebruik. Deze classificatie maakt inzichtelijk dat bij de beoordeling van de inhoud expliciet rekening wordt gehouden met dergelijke elementen en de mogelijke impact daarvan op minderjarigen, zodat kijkers een geïnformeerde keuze kunnen maken.</w:t>
      </w:r>
    </w:p>
    <w:p w:rsidRPr="008518B2" w:rsidR="00E71559" w:rsidP="00C04342" w:rsidRDefault="00E71559" w14:paraId="44984E38" w14:textId="77777777">
      <w:pPr>
        <w:suppressAutoHyphens/>
        <w:autoSpaceDE w:val="0"/>
        <w:autoSpaceDN w:val="0"/>
        <w:adjustRightInd w:val="0"/>
        <w:spacing w:line="240" w:lineRule="auto"/>
        <w:rPr>
          <w:rFonts w:eastAsia="DejaVuSerifCondensed" w:cs="DejaVuSerifCondensed"/>
          <w:szCs w:val="18"/>
        </w:rPr>
      </w:pPr>
    </w:p>
    <w:p w:rsidRPr="008518B2" w:rsidR="00E71559" w:rsidP="00C04342" w:rsidRDefault="00E71559" w14:paraId="21FD98AE" w14:textId="77777777">
      <w:pPr>
        <w:suppressAutoHyphens/>
        <w:autoSpaceDE w:val="0"/>
        <w:autoSpaceDN w:val="0"/>
        <w:adjustRightInd w:val="0"/>
        <w:spacing w:line="240" w:lineRule="auto"/>
        <w:rPr>
          <w:rFonts w:eastAsia="DejaVuSerifCondensed" w:cs="DejaVuSerifCondensed"/>
          <w:szCs w:val="18"/>
        </w:rPr>
      </w:pPr>
      <w:r w:rsidRPr="008518B2">
        <w:rPr>
          <w:rFonts w:eastAsia="DejaVuSerifCondensed" w:cs="DejaVuSerifCondensed"/>
          <w:szCs w:val="18"/>
        </w:rPr>
        <w:lastRenderedPageBreak/>
        <w:t>Voor lineaire televisie-uitzendingen geldt dat content met een classificatie van 16 jaar alleen na 20.00 uur mag worden uitgezonden. Voor streamingsdiensten geldt dat content met deze classificatie niet toegankelijk mag zijn binnen kinderprofielen en dat content afgesloten kan worden met pin. Op deze wijze wordt rekening gehouden met de bescherming van minderjarigen bij de beschikbaarheid van dergelijke content.</w:t>
      </w:r>
    </w:p>
    <w:p w:rsidRPr="004F3976" w:rsidR="00E71559" w:rsidP="00C04342" w:rsidRDefault="00E71559" w14:paraId="18D718FD"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0EE66A38"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Vraag 3</w:t>
      </w:r>
    </w:p>
    <w:p w:rsidRPr="004F3976" w:rsidR="00E71559" w:rsidP="00C04342" w:rsidRDefault="00E71559" w14:paraId="3885A4AF"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Deelt u de opvatting dat het tonen van minderjarige drugsgebruikers zonder duidelijke afkeurende</w:t>
      </w:r>
      <w:r>
        <w:rPr>
          <w:rFonts w:eastAsia="DejaVuSerifCondensed" w:cs="DejaVuSerifCondensed"/>
          <w:color w:val="000000"/>
          <w:szCs w:val="18"/>
        </w:rPr>
        <w:t xml:space="preserve"> </w:t>
      </w:r>
      <w:r w:rsidRPr="004F3976">
        <w:rPr>
          <w:rFonts w:eastAsia="DejaVuSerifCondensed" w:cs="DejaVuSerifCondensed"/>
          <w:color w:val="000000"/>
          <w:szCs w:val="18"/>
        </w:rPr>
        <w:t>context bijdraagt aan de normalisering van harddrugsgebruik onder jongeren? Zo nee, waarom niet?</w:t>
      </w:r>
    </w:p>
    <w:p w:rsidRPr="004F3976" w:rsidR="00E71559" w:rsidP="00C04342" w:rsidRDefault="00E71559" w14:paraId="7A0BAC35"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2CDA56E8"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4F44BA41"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3</w:t>
      </w:r>
    </w:p>
    <w:p w:rsidRPr="004F3976" w:rsidR="00E71559" w:rsidP="00C04342" w:rsidRDefault="00E71559" w14:paraId="1AAA1D64"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Het is niet mogelijk om vast te stellen of deze specifieke documentaire direct bijdraagt aan de normalisering van harddrugsgebruik onder jongeren. Normalisering is een complex en breed begrip dat bestaat uit verschillende onderdelen</w:t>
      </w:r>
      <w:r>
        <w:rPr>
          <w:rFonts w:eastAsia="DejaVuSerifCondensed" w:cs="DejaVuSerifCondensed"/>
          <w:color w:val="000000"/>
          <w:szCs w:val="18"/>
        </w:rPr>
        <w:t>.</w:t>
      </w:r>
      <w:r>
        <w:rPr>
          <w:rStyle w:val="Voetnootmarkering"/>
          <w:rFonts w:eastAsia="DejaVuSerifCondensed" w:cs="DejaVuSerifCondensed"/>
          <w:color w:val="000000"/>
          <w:szCs w:val="18"/>
        </w:rPr>
        <w:footnoteReference w:id="1"/>
      </w:r>
      <w:r w:rsidRPr="004F3976">
        <w:rPr>
          <w:rFonts w:eastAsia="DejaVuSerifCondensed" w:cs="DejaVuSerifCondensed"/>
          <w:color w:val="000000"/>
          <w:szCs w:val="18"/>
        </w:rPr>
        <w:t xml:space="preserve"> </w:t>
      </w:r>
    </w:p>
    <w:p w:rsidRPr="004F3976" w:rsidR="00E71559" w:rsidP="00C04342" w:rsidRDefault="00E71559" w14:paraId="0B364DA3"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3D4D248E"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 xml:space="preserve">Wel is het van belang dat jongeren zich bewust zijn van de schadelijke gevolgen van drugsgebruik. Het kabinet vindt het belangrijk dat duidelijk blijft dat drugsgebruik risico’s met zich meebrengt en niet als vanzelfsprekend of wenselijk wordt beschouwd. </w:t>
      </w:r>
      <w:r>
        <w:rPr>
          <w:rFonts w:eastAsia="DejaVuSerifCondensed" w:cs="DejaVuSerifCondensed"/>
          <w:color w:val="000000"/>
          <w:szCs w:val="18"/>
        </w:rPr>
        <w:t xml:space="preserve">Om deze reden worden er verschillende middelen ingezet om de normalisering van drugsgebruik onder jongeren tegen te gaan. </w:t>
      </w:r>
    </w:p>
    <w:p w:rsidR="00E71559" w:rsidP="00C04342" w:rsidRDefault="00E71559" w14:paraId="53803A38"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79465FF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Zo worden d</w:t>
      </w:r>
      <w:r w:rsidRPr="004F3976">
        <w:rPr>
          <w:rFonts w:eastAsia="DejaVuSerifCondensed" w:cs="DejaVuSerifCondensed"/>
          <w:color w:val="000000"/>
          <w:szCs w:val="18"/>
        </w:rPr>
        <w:t>e ontwikkelingen van het drugsgebruik onder jongeren jaarlijks gemonitord. Uit de beschikbare gegevens blijkt dat het drugsgebruik onder minderjarigen de afgelopen jaren niet is toegenomen. Het kabinet blijft deze ontwikkelingen volgen en ondersteunt onderzoek hiernaar. Ook draagt het kabinet bij aan bewustwording van de maatschappelijke gevolgen van drugs onder jongeren met de campagne ‘Drugs raakt ons allemaal’ waar de minister van Justitie en Veiligheid de Kamer over heeft geïnformeerd in de brief ‘Bestrijding georganiseerde criminaliteit’</w:t>
      </w:r>
      <w:r>
        <w:rPr>
          <w:rFonts w:eastAsia="DejaVuSerifCondensed" w:cs="DejaVuSerifCondensed"/>
          <w:color w:val="000000"/>
          <w:szCs w:val="18"/>
        </w:rPr>
        <w:t>.</w:t>
      </w:r>
      <w:r>
        <w:rPr>
          <w:rStyle w:val="Voetnootmarkering"/>
          <w:rFonts w:eastAsia="DejaVuSerifCondensed" w:cs="DejaVuSerifCondensed"/>
          <w:color w:val="000000"/>
          <w:szCs w:val="18"/>
        </w:rPr>
        <w:footnoteReference w:id="2"/>
      </w:r>
      <w:r w:rsidRPr="004F3976">
        <w:rPr>
          <w:rFonts w:eastAsia="DejaVuSerifCondensed" w:cs="DejaVuSerifCondensed"/>
          <w:color w:val="000000"/>
          <w:szCs w:val="18"/>
        </w:rPr>
        <w:t xml:space="preserve"> </w:t>
      </w:r>
    </w:p>
    <w:p w:rsidR="00E71559" w:rsidP="00C04342" w:rsidRDefault="00E71559" w14:paraId="1BDD7176" w14:textId="77777777">
      <w:pPr>
        <w:suppressAutoHyphens/>
        <w:autoSpaceDE w:val="0"/>
        <w:autoSpaceDN w:val="0"/>
        <w:adjustRightInd w:val="0"/>
        <w:spacing w:line="240" w:lineRule="auto"/>
        <w:rPr>
          <w:rFonts w:eastAsia="DejaVuSerifCondensed" w:cs="DejaVuSerifCondensed"/>
          <w:color w:val="000000"/>
          <w:szCs w:val="18"/>
        </w:rPr>
      </w:pPr>
    </w:p>
    <w:p w:rsidRPr="00890CCD" w:rsidR="00E71559" w:rsidP="00C04342" w:rsidRDefault="00E71559" w14:paraId="19567BC9" w14:textId="77777777">
      <w:pPr>
        <w:suppressAutoHyphens/>
        <w:autoSpaceDE w:val="0"/>
        <w:autoSpaceDN w:val="0"/>
        <w:adjustRightInd w:val="0"/>
        <w:spacing w:line="240" w:lineRule="auto"/>
        <w:rPr>
          <w:rFonts w:eastAsia="DejaVuSerifCondensed" w:cs="DejaVuSerifCondensed"/>
          <w:color w:val="000000"/>
          <w:szCs w:val="18"/>
        </w:rPr>
      </w:pPr>
      <w:r w:rsidRPr="00890CCD">
        <w:rPr>
          <w:rFonts w:eastAsia="DejaVuSerifCondensed" w:cs="DejaVuSerifCondensed"/>
          <w:color w:val="000000"/>
          <w:szCs w:val="18"/>
        </w:rPr>
        <w:t>Verder werkt het kabinet aan drugspreventie op</w:t>
      </w:r>
      <w:r>
        <w:rPr>
          <w:rFonts w:eastAsia="DejaVuSerifCondensed" w:cs="DejaVuSerifCondensed"/>
          <w:color w:val="000000"/>
          <w:szCs w:val="18"/>
        </w:rPr>
        <w:t xml:space="preserve"> het</w:t>
      </w:r>
      <w:r w:rsidRPr="00890CCD">
        <w:rPr>
          <w:rFonts w:eastAsia="DejaVuSerifCondensed" w:cs="DejaVuSerifCondensed"/>
          <w:color w:val="000000"/>
          <w:szCs w:val="18"/>
        </w:rPr>
        <w:t xml:space="preserve"> voortgezet onderwijs en vervolgonderwijs. Via het programma Helder op School krijgen onderwijsinstellingen handvatten aangereikt voor een praktische aanpak gericht op preventie van alcohol, tabak en drugs. Ook voor studentenverenigingen en introductiecommissies is informatie beschikbaar om (risicovol) gebruik van drugs terug te dringen. Voor gemeentes is een handreiking ontwikkeld om hogescholen, universiteiten en andere lokale partners te ondersteunen. Daarnaast ziet het kabinet ook vanuit studenten veelbelovende initiatieven. De ministeries van OCW, JenV en VWS hebben regelmatig contact met enkel</w:t>
      </w:r>
      <w:r>
        <w:rPr>
          <w:rFonts w:eastAsia="DejaVuSerifCondensed" w:cs="DejaVuSerifCondensed"/>
          <w:color w:val="000000"/>
          <w:szCs w:val="18"/>
        </w:rPr>
        <w:t>e</w:t>
      </w:r>
      <w:r w:rsidRPr="00890CCD">
        <w:rPr>
          <w:rFonts w:eastAsia="DejaVuSerifCondensed" w:cs="DejaVuSerifCondensed"/>
          <w:color w:val="000000"/>
          <w:szCs w:val="18"/>
        </w:rPr>
        <w:t xml:space="preserve"> initiatiefnemers. Zo wordt er, conform de motie </w:t>
      </w:r>
      <w:r>
        <w:rPr>
          <w:rFonts w:eastAsia="DejaVuSerifCondensed" w:cs="DejaVuSerifCondensed"/>
          <w:color w:val="000000"/>
          <w:szCs w:val="18"/>
        </w:rPr>
        <w:t>V</w:t>
      </w:r>
      <w:r w:rsidRPr="00890CCD">
        <w:rPr>
          <w:rFonts w:eastAsia="DejaVuSerifCondensed" w:cs="DejaVuSerifCondensed"/>
          <w:color w:val="000000"/>
          <w:szCs w:val="18"/>
        </w:rPr>
        <w:t>an Dijk en Bikker van 21 april jl., samengewerkt aan een training voor huisoudsten om bewustwording rondom middelengebruik en normen te creëren.</w:t>
      </w:r>
      <w:r>
        <w:rPr>
          <w:rStyle w:val="Voetnootmarkering"/>
          <w:rFonts w:eastAsia="DejaVuSerifCondensed" w:cs="DejaVuSerifCondensed"/>
          <w:color w:val="000000"/>
          <w:szCs w:val="18"/>
        </w:rPr>
        <w:footnoteReference w:id="3"/>
      </w:r>
      <w:r w:rsidRPr="00890CCD">
        <w:rPr>
          <w:rFonts w:eastAsia="DejaVuSerifCondensed" w:cs="DejaVuSerifCondensed"/>
          <w:color w:val="000000"/>
          <w:szCs w:val="18"/>
        </w:rPr>
        <w:t xml:space="preserve"> </w:t>
      </w:r>
    </w:p>
    <w:p w:rsidRPr="00890CCD" w:rsidR="00E71559" w:rsidP="00C04342" w:rsidRDefault="00E71559" w14:paraId="25D77F2D"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57369AD1" w14:textId="77777777">
      <w:pPr>
        <w:suppressAutoHyphens/>
        <w:autoSpaceDE w:val="0"/>
        <w:autoSpaceDN w:val="0"/>
        <w:adjustRightInd w:val="0"/>
        <w:spacing w:line="240" w:lineRule="auto"/>
        <w:rPr>
          <w:rFonts w:eastAsia="DejaVuSerifCondensed" w:cs="DejaVuSerifCondensed"/>
          <w:color w:val="000000"/>
          <w:szCs w:val="18"/>
        </w:rPr>
      </w:pPr>
      <w:r w:rsidRPr="00890CCD">
        <w:rPr>
          <w:rFonts w:eastAsia="DejaVuSerifCondensed" w:cs="DejaVuSerifCondensed"/>
          <w:color w:val="000000"/>
          <w:szCs w:val="18"/>
        </w:rPr>
        <w:t xml:space="preserve">Professionals uit de gezondheidszorg en het sociaal domein kunnen ook een belangrijke bijdrage leveren aan het voorkomen van (problematisch) drugsgebruik. Zij kunnen informatie en </w:t>
      </w:r>
      <w:r w:rsidRPr="00890CCD">
        <w:rPr>
          <w:rFonts w:eastAsia="DejaVuSerifCondensed" w:cs="DejaVuSerifCondensed"/>
          <w:color w:val="000000"/>
          <w:szCs w:val="18"/>
        </w:rPr>
        <w:lastRenderedPageBreak/>
        <w:t>opvoedondersteuning geven en indien nodig toeleiden naar de preventie-afdeling van een instelling voor verslavingszorg of andere gespecialiseerde hulp. Het programma Open en Alert van het Trimbos</w:t>
      </w:r>
      <w:r>
        <w:rPr>
          <w:rFonts w:eastAsia="DejaVuSerifCondensed" w:cs="DejaVuSerifCondensed"/>
          <w:color w:val="000000"/>
          <w:szCs w:val="18"/>
        </w:rPr>
        <w:t>-i</w:t>
      </w:r>
      <w:r w:rsidRPr="00890CCD">
        <w:rPr>
          <w:rFonts w:eastAsia="DejaVuSerifCondensed" w:cs="DejaVuSerifCondensed"/>
          <w:color w:val="000000"/>
          <w:szCs w:val="18"/>
        </w:rPr>
        <w:t>nstituut helpt organisaties bij het opstellen van helder middelenbeleid en bevordert deskundigheid van professionals die daar werken.</w:t>
      </w:r>
      <w:r>
        <w:rPr>
          <w:rStyle w:val="Voetnootmarkering"/>
          <w:rFonts w:eastAsia="DejaVuSerifCondensed" w:cs="DejaVuSerifCondensed"/>
          <w:color w:val="000000"/>
          <w:szCs w:val="18"/>
        </w:rPr>
        <w:footnoteReference w:id="4"/>
      </w:r>
      <w:r w:rsidRPr="00890CCD">
        <w:rPr>
          <w:rFonts w:eastAsia="DejaVuSerifCondensed" w:cs="DejaVuSerifCondensed"/>
          <w:color w:val="000000"/>
          <w:szCs w:val="18"/>
        </w:rPr>
        <w:t xml:space="preserve"> Het kabinet gaat nader in op de campagne en overige middelen in een voortgangsbrief over het drugsbeleid die </w:t>
      </w:r>
      <w:r>
        <w:rPr>
          <w:rFonts w:eastAsia="DejaVuSerifCondensed" w:cs="DejaVuSerifCondensed"/>
          <w:color w:val="000000"/>
          <w:szCs w:val="18"/>
        </w:rPr>
        <w:t>u voor de zomer ontvangt.</w:t>
      </w:r>
      <w:r w:rsidRPr="004F3976">
        <w:rPr>
          <w:rFonts w:eastAsia="DejaVuSerifCondensed" w:cs="DejaVuSerifCondensed"/>
          <w:color w:val="000000"/>
          <w:szCs w:val="18"/>
        </w:rPr>
        <w:t xml:space="preserve"> </w:t>
      </w:r>
    </w:p>
    <w:p w:rsidR="00E71559" w:rsidP="00C04342" w:rsidRDefault="00E71559" w14:paraId="64DE29FA"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39FD44CC"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Vraag 4</w:t>
      </w:r>
    </w:p>
    <w:p w:rsidRPr="004F3976" w:rsidR="00E71559" w:rsidP="00C04342" w:rsidRDefault="00E71559" w14:paraId="44450BF1"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Acht u het acceptabel dat minderjarigen herkenbaar in beeld worden gebracht terwijl zij strafbare en</w:t>
      </w:r>
      <w:r>
        <w:rPr>
          <w:rFonts w:eastAsia="DejaVuSerifCondensed" w:cs="DejaVuSerifCondensed"/>
          <w:color w:val="000000"/>
          <w:szCs w:val="18"/>
        </w:rPr>
        <w:t xml:space="preserve"> </w:t>
      </w:r>
      <w:r w:rsidRPr="004F3976">
        <w:rPr>
          <w:rFonts w:eastAsia="DejaVuSerifCondensed" w:cs="DejaVuSerifCondensed"/>
          <w:color w:val="000000"/>
          <w:szCs w:val="18"/>
        </w:rPr>
        <w:t>potentieel schadelijke gedragingen verrichten, ondanks de mogelijke gevolgen voor hun toekomst?</w:t>
      </w:r>
    </w:p>
    <w:p w:rsidRPr="004F3976" w:rsidR="00E71559" w:rsidP="00C04342" w:rsidRDefault="00E71559" w14:paraId="27E8017B"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0A8D98DD"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752E0D34"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02BD8991"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3C5334F3"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4</w:t>
      </w:r>
    </w:p>
    <w:p w:rsidRPr="008518B2" w:rsidR="00E71559" w:rsidP="00C04342" w:rsidRDefault="00E71559" w14:paraId="5F232DB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Het</w:t>
      </w:r>
      <w:r w:rsidRPr="008518B2">
        <w:rPr>
          <w:rFonts w:eastAsia="DejaVuSerifCondensed" w:cs="DejaVuSerifCondensed"/>
          <w:color w:val="000000"/>
          <w:szCs w:val="18"/>
        </w:rPr>
        <w:t xml:space="preserve"> uitgangspunt</w:t>
      </w:r>
      <w:r>
        <w:rPr>
          <w:rFonts w:eastAsia="DejaVuSerifCondensed" w:cs="DejaVuSerifCondensed"/>
          <w:color w:val="000000"/>
          <w:szCs w:val="18"/>
        </w:rPr>
        <w:t xml:space="preserve"> van dit kabinet</w:t>
      </w:r>
      <w:r w:rsidRPr="008518B2">
        <w:rPr>
          <w:rFonts w:eastAsia="DejaVuSerifCondensed" w:cs="DejaVuSerifCondensed"/>
          <w:color w:val="000000"/>
          <w:szCs w:val="18"/>
        </w:rPr>
        <w:t xml:space="preserve"> is dat minderjarigen zorgvuldig moeten worden beschermd, zeker wanneer zij herkenbaar in beeld worden gebracht in situaties die mogelijk schadelijk kunnen zijn voor hun ontwikkeling of toekomst. </w:t>
      </w:r>
    </w:p>
    <w:p w:rsidRPr="008518B2" w:rsidR="00E71559" w:rsidP="00C04342" w:rsidRDefault="00E71559" w14:paraId="639E85DF" w14:textId="77777777">
      <w:pPr>
        <w:suppressAutoHyphens/>
        <w:autoSpaceDE w:val="0"/>
        <w:autoSpaceDN w:val="0"/>
        <w:adjustRightInd w:val="0"/>
        <w:spacing w:line="240" w:lineRule="auto"/>
        <w:rPr>
          <w:rFonts w:eastAsia="DejaVuSerifCondensed" w:cs="DejaVuSerifCondensed"/>
          <w:color w:val="000000"/>
          <w:szCs w:val="18"/>
        </w:rPr>
      </w:pPr>
      <w:r w:rsidRPr="008518B2">
        <w:rPr>
          <w:rFonts w:eastAsia="DejaVuSerifCondensed" w:cs="DejaVuSerifCondensed"/>
          <w:color w:val="000000"/>
          <w:szCs w:val="18"/>
        </w:rPr>
        <w:t xml:space="preserve">Daarbij is het belangrijk om te benadrukken dat er ook sprake is van artistieke en journalistieke vrijheid van documentairemakers die beschermd moet worden. Documentairemakers moeten de creatieve ruimte hebben om maatschappelijke vraagstukken ongecensureerd te verkennen en te verwerken in hun productie; het tonen van een bepaalde realiteit kan ook een maatschappelijk probleem zichtbaar maken. Deze overweging is aan de maker. Daarbij hebben zij wel een journalistieke verantwoordelijkheid, waarbij ze rekening dienen te houden met wettelijke kaders en journalistieke codes. Makers moeten zich in dat kader bewust zijn van de bescherming van (de rechten van) personen die in de documentaire zitten, zeker als het gaat om minderjarigen. Zo stelt de leidraad van de Raad voor de Journalistiek dit ook als expliciet uitgangspunt. </w:t>
      </w:r>
    </w:p>
    <w:p w:rsidRPr="008518B2" w:rsidR="00E71559" w:rsidP="00C04342" w:rsidRDefault="00E71559" w14:paraId="5382B086" w14:textId="77777777">
      <w:pPr>
        <w:suppressAutoHyphens/>
        <w:autoSpaceDE w:val="0"/>
        <w:autoSpaceDN w:val="0"/>
        <w:adjustRightInd w:val="0"/>
        <w:spacing w:line="240" w:lineRule="auto"/>
        <w:rPr>
          <w:rFonts w:eastAsia="DejaVuSerifCondensed" w:cs="DejaVuSerifCondensed"/>
          <w:color w:val="000000"/>
          <w:szCs w:val="18"/>
        </w:rPr>
      </w:pPr>
    </w:p>
    <w:p w:rsidRPr="008518B2" w:rsidR="00E71559" w:rsidP="00C04342" w:rsidRDefault="00E71559" w14:paraId="57BAEFD3" w14:textId="77777777">
      <w:pPr>
        <w:suppressAutoHyphens/>
        <w:autoSpaceDE w:val="0"/>
        <w:autoSpaceDN w:val="0"/>
        <w:adjustRightInd w:val="0"/>
        <w:spacing w:line="240" w:lineRule="auto"/>
        <w:rPr>
          <w:rFonts w:eastAsia="DejaVuSerifCondensed" w:cs="DejaVuSerifCondensed"/>
          <w:color w:val="000000"/>
          <w:szCs w:val="18"/>
        </w:rPr>
      </w:pPr>
      <w:r w:rsidRPr="008518B2">
        <w:rPr>
          <w:rFonts w:eastAsia="DejaVuSerifCondensed" w:cs="DejaVuSerifCondensed"/>
          <w:color w:val="000000"/>
          <w:szCs w:val="18"/>
        </w:rPr>
        <w:t xml:space="preserve">De afweging om minderjarigen herkenbaar in beeld te brengen in deze documentaire vraagt om een zorgvuldige beoordeling van de mogelijke consequenties voor hun privacy, welzijn en toekomstperspectief. Ook hierbij ligt de eindverantwoordelijkheid bij de documentairemaker en, waar van toepassing, bij de ouders of wettelijke vertegenwoordigers. Het is aan alle betrokkenen om hierover vooraf het gesprek te voeren en de belangen van de jongeren centraal te stellen. </w:t>
      </w:r>
    </w:p>
    <w:p w:rsidRPr="004F3976" w:rsidR="00E71559" w:rsidP="00C04342" w:rsidRDefault="00E71559" w14:paraId="398F681D"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4D9A010B"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Vraag 5</w:t>
      </w:r>
    </w:p>
    <w:p w:rsidRPr="004F3976" w:rsidR="00E71559" w:rsidP="00C04342" w:rsidRDefault="00E71559" w14:paraId="2826DB0A"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In hoeverre wordt onderzocht of dit soort content een aanzuigende werking heeft op jongeren en</w:t>
      </w:r>
      <w:r>
        <w:rPr>
          <w:rFonts w:eastAsia="DejaVuSerifCondensed" w:cs="DejaVuSerifCondensed"/>
          <w:color w:val="000000"/>
          <w:szCs w:val="18"/>
        </w:rPr>
        <w:t xml:space="preserve"> </w:t>
      </w:r>
      <w:r w:rsidRPr="004F3976">
        <w:rPr>
          <w:rFonts w:eastAsia="DejaVuSerifCondensed" w:cs="DejaVuSerifCondensed"/>
          <w:color w:val="000000"/>
          <w:szCs w:val="18"/>
        </w:rPr>
        <w:t>daarmee indirect bijdraagt aan drugsgebruik en drugsnormalisering?</w:t>
      </w:r>
    </w:p>
    <w:p w:rsidRPr="004F3976" w:rsidR="00E71559" w:rsidP="00C04342" w:rsidRDefault="00E71559" w14:paraId="75ADD284"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28720186"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5</w:t>
      </w:r>
    </w:p>
    <w:p w:rsidRPr="004F3976" w:rsidR="00E71559" w:rsidP="00C04342" w:rsidRDefault="00E71559" w14:paraId="38B136FD"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lastRenderedPageBreak/>
        <w:t>Het Trimbos-instituut verricht doorlopend onderzoek naar factoren die van invloed kunnen zijn op drugsgebruik onder minderjarigen en jongeren. Het is bekend dat dat drugsgebruik en normalisering doorgaans het resultaat zijn van een samenspel van verschillende factoren. Er is meestal niet één afzonderlijke oorzaak, zoals een documentaire, aan te wijzen.</w:t>
      </w:r>
    </w:p>
    <w:p w:rsidRPr="004F3976" w:rsidR="00E71559" w:rsidP="00C04342" w:rsidRDefault="00E71559" w14:paraId="0197626D"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27A7B342"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 xml:space="preserve">Hoewel er geen afzonderlijk onderzoek uitgevoerd wordt naar </w:t>
      </w:r>
      <w:r>
        <w:rPr>
          <w:rFonts w:eastAsia="DejaVuSerifCondensed" w:cs="DejaVuSerifCondensed"/>
          <w:color w:val="000000"/>
          <w:szCs w:val="18"/>
        </w:rPr>
        <w:t xml:space="preserve">de </w:t>
      </w:r>
      <w:r w:rsidRPr="004F3976">
        <w:rPr>
          <w:rFonts w:eastAsia="DejaVuSerifCondensed" w:cs="DejaVuSerifCondensed"/>
          <w:color w:val="000000"/>
          <w:szCs w:val="18"/>
        </w:rPr>
        <w:t>mogelijke aanzuigende werking van individuele documentaires, worden ontwikkelingen in drugsgebruik en de houding van jongeren ten aanzien van drugs nauwlettend gevolgd via monitoring. Het kabinet ondersteunt dit onderzoek, onder meer via financiering van het Trimbos-instituut, zodat trends en mogelijke risicofactoren op tijd in kaart worden gebracht.</w:t>
      </w:r>
    </w:p>
    <w:p w:rsidRPr="004F3976" w:rsidR="00E71559" w:rsidP="00C04342" w:rsidRDefault="00E71559" w14:paraId="6794C5A4"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516F01AD"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Vraag 6</w:t>
      </w:r>
    </w:p>
    <w:p w:rsidRPr="004F3976" w:rsidR="00E71559" w:rsidP="00C04342" w:rsidRDefault="00E71559" w14:paraId="2AA02AF5"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Deelt u de mening dat streamingdiensten en producenten een grens overschrijden wanneer</w:t>
      </w:r>
      <w:r>
        <w:rPr>
          <w:rFonts w:eastAsia="DejaVuSerifCondensed" w:cs="DejaVuSerifCondensed"/>
          <w:color w:val="000000"/>
          <w:szCs w:val="18"/>
        </w:rPr>
        <w:t xml:space="preserve"> </w:t>
      </w:r>
      <w:r w:rsidRPr="004F3976">
        <w:rPr>
          <w:rFonts w:eastAsia="DejaVuSerifCondensed" w:cs="DejaVuSerifCondensed"/>
          <w:color w:val="000000"/>
          <w:szCs w:val="18"/>
        </w:rPr>
        <w:t>harddrugsgebruik door minderjarigen op deze manier wordt gefilmd en verspreid? Zo nee, waarom</w:t>
      </w:r>
      <w:r>
        <w:rPr>
          <w:rFonts w:eastAsia="DejaVuSerifCondensed" w:cs="DejaVuSerifCondensed"/>
          <w:color w:val="000000"/>
          <w:szCs w:val="18"/>
        </w:rPr>
        <w:t xml:space="preserve"> </w:t>
      </w:r>
      <w:r w:rsidRPr="004F3976">
        <w:rPr>
          <w:rFonts w:eastAsia="DejaVuSerifCondensed" w:cs="DejaVuSerifCondensed"/>
          <w:color w:val="000000"/>
          <w:szCs w:val="18"/>
        </w:rPr>
        <w:t>niet?</w:t>
      </w:r>
    </w:p>
    <w:p w:rsidRPr="004F3976" w:rsidR="00E71559" w:rsidP="00C04342" w:rsidRDefault="00E71559" w14:paraId="5D9CBC10"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60E7A174"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6</w:t>
      </w:r>
    </w:p>
    <w:p w:rsidRPr="008518B2" w:rsidR="00E71559" w:rsidP="00C04342" w:rsidRDefault="00E71559" w14:paraId="3129D1B5" w14:textId="77777777">
      <w:pPr>
        <w:suppressAutoHyphens/>
        <w:autoSpaceDE w:val="0"/>
        <w:autoSpaceDN w:val="0"/>
        <w:adjustRightInd w:val="0"/>
        <w:spacing w:line="240" w:lineRule="auto"/>
        <w:rPr>
          <w:rFonts w:eastAsia="DejaVuSerifCondensed" w:cs="DejaVuSerifCondensed"/>
          <w:color w:val="000000"/>
          <w:szCs w:val="18"/>
        </w:rPr>
      </w:pPr>
      <w:r w:rsidRPr="008518B2">
        <w:rPr>
          <w:rFonts w:eastAsia="DejaVuSerifCondensed" w:cs="DejaVuSerifCondensed"/>
          <w:color w:val="000000"/>
          <w:szCs w:val="18"/>
        </w:rPr>
        <w:t xml:space="preserve">Het is niet aan </w:t>
      </w:r>
      <w:r>
        <w:rPr>
          <w:rFonts w:eastAsia="DejaVuSerifCondensed" w:cs="DejaVuSerifCondensed"/>
          <w:color w:val="000000"/>
          <w:szCs w:val="18"/>
        </w:rPr>
        <w:t>het kabinet</w:t>
      </w:r>
      <w:r w:rsidRPr="008518B2">
        <w:rPr>
          <w:rFonts w:eastAsia="DejaVuSerifCondensed" w:cs="DejaVuSerifCondensed"/>
          <w:color w:val="000000"/>
          <w:szCs w:val="18"/>
        </w:rPr>
        <w:t xml:space="preserve"> om te oordelen over de inhoud van programma’s en derhalve ook niet om te zeggen of hier grenzen worden overschreden. Het Commissariaat voor de Media kan op basis van signalen, zoals vragen of klachten van kijkers en luisteraars, besluiten onderzoek te doen naar de naleving van normen waarop hij toeziet. Het Commissariaat geeft risicogestuurd invulling aan zijn toezicht. Dit betekent dat hij signalen beoordeelt op de mate waarin het Commissariaat daarin risico’s ziet. Prioriteiten worden aan de hand van die risico-inschatting bepaald. Het Commissariaat beschikt vervolgens over een breed pallet aan mogelijke toezichtinterventies. Mocht een streamingsdienst een grens overschrijven, dan zullen zij hier de juiste interventie op toepassen. Zie in dit kader de toezichtaanpak van het Commissariaat en het handhavingsbeleid. </w:t>
      </w:r>
    </w:p>
    <w:p w:rsidRPr="004F3976" w:rsidR="00E71559" w:rsidP="00C04342" w:rsidRDefault="00E71559" w14:paraId="2C5EDC2E"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4E3198DE" w14:textId="77777777">
      <w:pPr>
        <w:suppressAutoHyphens/>
        <w:autoSpaceDE w:val="0"/>
        <w:autoSpaceDN w:val="0"/>
        <w:adjustRightInd w:val="0"/>
        <w:spacing w:line="240" w:lineRule="auto"/>
        <w:rPr>
          <w:rFonts w:eastAsia="DejaVuSerifCondensed" w:cs="DejaVuSerifCondensed"/>
          <w:color w:val="000000"/>
          <w:szCs w:val="18"/>
        </w:rPr>
      </w:pPr>
      <w:bookmarkStart w:name="_Hlk233103653" w:id="0"/>
      <w:r w:rsidRPr="004F3976">
        <w:rPr>
          <w:rFonts w:eastAsia="DejaVuSerifCondensed" w:cs="DejaVuSerifCondensed"/>
          <w:color w:val="000000"/>
          <w:szCs w:val="18"/>
        </w:rPr>
        <w:t>Vraag 7</w:t>
      </w:r>
    </w:p>
    <w:p w:rsidRPr="004F3976" w:rsidR="00E71559" w:rsidP="00C04342" w:rsidRDefault="00E71559" w14:paraId="5FC2536A"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Wordt onderzocht of het herkenbaar in beeld brengen van minderjarige drugsgebruikers gevolgen</w:t>
      </w:r>
      <w:r>
        <w:rPr>
          <w:rFonts w:eastAsia="DejaVuSerifCondensed" w:cs="DejaVuSerifCondensed"/>
          <w:color w:val="000000"/>
          <w:szCs w:val="18"/>
        </w:rPr>
        <w:t xml:space="preserve"> </w:t>
      </w:r>
      <w:r w:rsidRPr="004F3976">
        <w:rPr>
          <w:rFonts w:eastAsia="DejaVuSerifCondensed" w:cs="DejaVuSerifCondensed"/>
          <w:color w:val="000000"/>
          <w:szCs w:val="18"/>
        </w:rPr>
        <w:t>moet hebben voor zowel de betrokken producenten als de minderjarigen die zichtbaar strafbare feiten</w:t>
      </w:r>
      <w:r>
        <w:rPr>
          <w:rFonts w:eastAsia="DejaVuSerifCondensed" w:cs="DejaVuSerifCondensed"/>
          <w:color w:val="000000"/>
          <w:szCs w:val="18"/>
        </w:rPr>
        <w:t xml:space="preserve"> </w:t>
      </w:r>
      <w:r w:rsidRPr="004F3976">
        <w:rPr>
          <w:rFonts w:eastAsia="DejaVuSerifCondensed" w:cs="DejaVuSerifCondensed"/>
          <w:color w:val="000000"/>
          <w:szCs w:val="18"/>
        </w:rPr>
        <w:t>plegen? Zo nee, waarom niet?</w:t>
      </w:r>
    </w:p>
    <w:p w:rsidRPr="004F3976" w:rsidR="00E71559" w:rsidP="00C04342" w:rsidRDefault="00E71559" w14:paraId="3D06F063" w14:textId="77777777">
      <w:pPr>
        <w:suppressAutoHyphens/>
        <w:autoSpaceDE w:val="0"/>
        <w:autoSpaceDN w:val="0"/>
        <w:adjustRightInd w:val="0"/>
        <w:spacing w:line="240" w:lineRule="auto"/>
        <w:rPr>
          <w:rFonts w:eastAsia="DejaVuSerifCondensed" w:cs="DejaVuSerifCondensed"/>
          <w:i/>
          <w:iCs/>
          <w:color w:val="000000"/>
          <w:szCs w:val="18"/>
        </w:rPr>
      </w:pPr>
    </w:p>
    <w:p w:rsidRPr="004F3976" w:rsidR="00E71559" w:rsidP="00C04342" w:rsidRDefault="00E71559" w14:paraId="4E40C880"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Antwoord 7</w:t>
      </w:r>
    </w:p>
    <w:p w:rsidR="00E71559" w:rsidP="00C04342" w:rsidRDefault="00E71559" w14:paraId="2658BBBB"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Het is aan het Openbaar Ministerie om al dan niet tot strafrechtelijke vervolging over te gaan. Het gebruik van drugs is in Nederland op zichzelf niet strafbaar. Los daarvan zie</w:t>
      </w:r>
      <w:r>
        <w:rPr>
          <w:rFonts w:eastAsia="DejaVuSerifCondensed" w:cs="DejaVuSerifCondensed"/>
          <w:color w:val="000000"/>
          <w:szCs w:val="18"/>
        </w:rPr>
        <w:t>t het kabinet</w:t>
      </w:r>
      <w:r w:rsidRPr="004F3976">
        <w:rPr>
          <w:rFonts w:eastAsia="DejaVuSerifCondensed" w:cs="DejaVuSerifCondensed"/>
          <w:color w:val="000000"/>
          <w:szCs w:val="18"/>
        </w:rPr>
        <w:t xml:space="preserve"> ook geen aanleiding om een afzonderlijk onderzoek te starten naar andere mogelijke gevolgen voor de producenten en minderjarigen die in deze documentaire herkenbaar in beeld worden gebracht. </w:t>
      </w:r>
    </w:p>
    <w:p w:rsidR="00E71559" w:rsidP="00C04342" w:rsidRDefault="00E71559" w14:paraId="3526B79F"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295F1B91"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color w:val="000000"/>
          <w:szCs w:val="18"/>
        </w:rPr>
        <w:t xml:space="preserve">Dit neemt niet weg </w:t>
      </w:r>
      <w:r>
        <w:rPr>
          <w:rFonts w:eastAsia="DejaVuSerifCondensed" w:cs="DejaVuSerifCondensed"/>
          <w:color w:val="000000"/>
          <w:szCs w:val="18"/>
        </w:rPr>
        <w:t xml:space="preserve">dat het </w:t>
      </w:r>
      <w:r w:rsidRPr="004F3976">
        <w:rPr>
          <w:rFonts w:eastAsia="DejaVuSerifCondensed" w:cs="DejaVuSerifCondensed"/>
          <w:color w:val="000000"/>
          <w:szCs w:val="18"/>
        </w:rPr>
        <w:t xml:space="preserve">van belang </w:t>
      </w:r>
      <w:r>
        <w:rPr>
          <w:rFonts w:eastAsia="DejaVuSerifCondensed" w:cs="DejaVuSerifCondensed"/>
          <w:color w:val="000000"/>
          <w:szCs w:val="18"/>
        </w:rPr>
        <w:t xml:space="preserve">is </w:t>
      </w:r>
      <w:r w:rsidRPr="004F3976">
        <w:rPr>
          <w:rFonts w:eastAsia="DejaVuSerifCondensed" w:cs="DejaVuSerifCondensed"/>
          <w:color w:val="000000"/>
          <w:szCs w:val="18"/>
        </w:rPr>
        <w:t>om zorgvuldig om te gaan met de privacy en belangen van minderjarigen</w:t>
      </w:r>
      <w:r w:rsidRPr="00890CCD">
        <w:rPr>
          <w:rFonts w:eastAsia="DejaVuSerifCondensed" w:cs="DejaVuSerifCondensed"/>
          <w:color w:val="000000"/>
          <w:szCs w:val="18"/>
        </w:rPr>
        <w:t>. Drugsgebruik brengt risico’s met zich mee en het kabinet vindt het belangrijk dat het gebruik van drugs door jongeren niet als vanzelfsprekend of wenselijk wordt beschouwd. Bij</w:t>
      </w:r>
      <w:r w:rsidRPr="004F3976">
        <w:rPr>
          <w:rFonts w:eastAsia="DejaVuSerifCondensed" w:cs="DejaVuSerifCondensed"/>
          <w:color w:val="000000"/>
          <w:szCs w:val="18"/>
        </w:rPr>
        <w:t xml:space="preserve"> producties waarin kwetsbare jongeren herkenbaar in beeld komen, is een verantwoordelijkheid </w:t>
      </w:r>
      <w:r w:rsidRPr="004F3976">
        <w:rPr>
          <w:rFonts w:eastAsia="DejaVuSerifCondensed" w:cs="DejaVuSerifCondensed"/>
          <w:color w:val="000000"/>
          <w:szCs w:val="18"/>
        </w:rPr>
        <w:lastRenderedPageBreak/>
        <w:t xml:space="preserve">weggelegd voor de betrokken partijen om de mogelijke gevolgen voor het welzijn en toekomstperspectief van deze jongeren zorgvuldig af te wegen. </w:t>
      </w:r>
    </w:p>
    <w:bookmarkEnd w:id="0"/>
    <w:p w:rsidR="00E71559" w:rsidP="00C04342" w:rsidRDefault="00E71559" w14:paraId="40B1441F" w14:textId="77777777">
      <w:pPr>
        <w:suppressAutoHyphens/>
        <w:autoSpaceDE w:val="0"/>
        <w:autoSpaceDN w:val="0"/>
        <w:adjustRightInd w:val="0"/>
        <w:spacing w:line="240" w:lineRule="auto"/>
        <w:rPr>
          <w:rFonts w:eastAsia="DejaVuSerifCondensed" w:cs="DejaVuSerifCondensed"/>
          <w:color w:val="000000"/>
          <w:szCs w:val="18"/>
        </w:rPr>
      </w:pPr>
    </w:p>
    <w:p w:rsidR="00E71559" w:rsidP="00C04342" w:rsidRDefault="00E71559" w14:paraId="6B8F26CF" w14:textId="77777777">
      <w:pPr>
        <w:suppressAutoHyphens/>
        <w:autoSpaceDE w:val="0"/>
        <w:autoSpaceDN w:val="0"/>
        <w:adjustRightInd w:val="0"/>
        <w:spacing w:line="240" w:lineRule="auto"/>
        <w:rPr>
          <w:rFonts w:eastAsia="DejaVuSerifCondensed" w:cs="DejaVuSerifCondensed"/>
          <w:color w:val="000000"/>
          <w:szCs w:val="18"/>
        </w:rPr>
      </w:pPr>
    </w:p>
    <w:p w:rsidRPr="004F3976" w:rsidR="00E71559" w:rsidP="00C04342" w:rsidRDefault="00E71559" w14:paraId="6DD0D353" w14:textId="77777777">
      <w:pPr>
        <w:suppressAutoHyphens/>
        <w:autoSpaceDE w:val="0"/>
        <w:autoSpaceDN w:val="0"/>
        <w:adjustRightInd w:val="0"/>
        <w:spacing w:line="240" w:lineRule="auto"/>
        <w:rPr>
          <w:rFonts w:eastAsia="DejaVuSerifCondensed" w:cs="DejaVuSerifCondensed"/>
          <w:color w:val="000000"/>
          <w:szCs w:val="18"/>
        </w:rPr>
      </w:pPr>
    </w:p>
    <w:p w:rsidRPr="004E64B4" w:rsidR="00E71559" w:rsidP="00C04342" w:rsidRDefault="00E71559" w14:paraId="7F48085E" w14:textId="77777777">
      <w:pPr>
        <w:suppressAutoHyphens/>
        <w:autoSpaceDE w:val="0"/>
        <w:autoSpaceDN w:val="0"/>
        <w:adjustRightInd w:val="0"/>
        <w:spacing w:line="240" w:lineRule="auto"/>
        <w:rPr>
          <w:rFonts w:eastAsia="DejaVuSerifCondensed" w:cs="DejaVuSerifCondensed"/>
          <w:color w:val="000000"/>
          <w:szCs w:val="18"/>
        </w:rPr>
      </w:pPr>
      <w:r w:rsidRPr="004F3976">
        <w:rPr>
          <w:rFonts w:eastAsia="DejaVuSerifCondensed" w:cs="DejaVuSerifCondensed"/>
          <w:szCs w:val="18"/>
        </w:rPr>
        <w:t xml:space="preserve">[1] </w:t>
      </w:r>
      <w:r w:rsidRPr="004F3976">
        <w:rPr>
          <w:rFonts w:eastAsia="DejaVuSerifCondensed" w:cs="DejaVuSerifCondensed"/>
          <w:color w:val="000000"/>
          <w:szCs w:val="18"/>
        </w:rPr>
        <w:t>RTL Nieuws, 13 mei 2026, Ophef over minderjarige drugsgebruikers in documentaire: 'Alsof het allemaal</w:t>
      </w:r>
      <w:r>
        <w:rPr>
          <w:rFonts w:eastAsia="DejaVuSerifCondensed" w:cs="DejaVuSerifCondensed"/>
          <w:color w:val="000000"/>
          <w:szCs w:val="18"/>
        </w:rPr>
        <w:t xml:space="preserve"> </w:t>
      </w:r>
      <w:r w:rsidRPr="004F3976">
        <w:rPr>
          <w:rFonts w:eastAsia="DejaVuSerifCondensed" w:cs="DejaVuSerifCondensed"/>
          <w:color w:val="000000"/>
          <w:szCs w:val="18"/>
        </w:rPr>
        <w:t>heel normaal is' (</w:t>
      </w:r>
      <w:r w:rsidRPr="004F3976">
        <w:rPr>
          <w:rFonts w:eastAsia="DejaVuSerifCondensed" w:cs="DejaVuSerifCondensed"/>
          <w:color w:val="0000FF"/>
          <w:szCs w:val="18"/>
        </w:rPr>
        <w:t>https://www.rtl.nl/nieuws/binnenland/artikel/5600988/zorgen-om-documentaire-over-drugsgebruik-onderjongeren</w:t>
      </w:r>
      <w:r w:rsidRPr="004F3976">
        <w:rPr>
          <w:rFonts w:eastAsia="DejaVuSerifCondensed" w:cs="DejaVuSerifCondensed"/>
          <w:color w:val="000000"/>
          <w:szCs w:val="18"/>
        </w:rPr>
        <w:t>).</w:t>
      </w:r>
    </w:p>
    <w:p w:rsidR="00E71559" w:rsidP="00C04342" w:rsidRDefault="00E71559" w14:paraId="0975E9AD" w14:textId="77777777">
      <w:pPr>
        <w:suppressAutoHyphens/>
      </w:pPr>
    </w:p>
    <w:p w:rsidR="004F262E" w:rsidRDefault="004F262E" w14:paraId="0B923824" w14:textId="77777777"/>
    <w:sectPr w:rsidR="004F26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A963" w14:textId="77777777" w:rsidR="006357D3" w:rsidRDefault="006357D3" w:rsidP="00E71559">
      <w:pPr>
        <w:spacing w:after="0" w:line="240" w:lineRule="auto"/>
      </w:pPr>
      <w:r>
        <w:separator/>
      </w:r>
    </w:p>
  </w:endnote>
  <w:endnote w:type="continuationSeparator" w:id="0">
    <w:p w14:paraId="7C7C51EC" w14:textId="77777777" w:rsidR="006357D3" w:rsidRDefault="006357D3" w:rsidP="00E7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624D" w14:textId="77777777" w:rsidR="00E71559" w:rsidRPr="00E71559" w:rsidRDefault="00E71559" w:rsidP="00E715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6B18" w14:textId="77777777" w:rsidR="00E71559" w:rsidRPr="00E71559" w:rsidRDefault="00E71559" w:rsidP="00E715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7F00" w14:textId="77777777" w:rsidR="00E71559" w:rsidRPr="00E71559" w:rsidRDefault="00E71559" w:rsidP="00E715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7B07" w14:textId="77777777" w:rsidR="006357D3" w:rsidRDefault="006357D3" w:rsidP="00E71559">
      <w:pPr>
        <w:spacing w:after="0" w:line="240" w:lineRule="auto"/>
      </w:pPr>
      <w:r>
        <w:separator/>
      </w:r>
    </w:p>
  </w:footnote>
  <w:footnote w:type="continuationSeparator" w:id="0">
    <w:p w14:paraId="202AFC49" w14:textId="77777777" w:rsidR="006357D3" w:rsidRDefault="006357D3" w:rsidP="00E71559">
      <w:pPr>
        <w:spacing w:after="0" w:line="240" w:lineRule="auto"/>
      </w:pPr>
      <w:r>
        <w:continuationSeparator/>
      </w:r>
    </w:p>
  </w:footnote>
  <w:footnote w:id="1">
    <w:p w14:paraId="52EAE1B4" w14:textId="77777777" w:rsidR="00E71559" w:rsidRPr="00E936DB" w:rsidRDefault="00E71559" w:rsidP="00C219E5">
      <w:pPr>
        <w:pStyle w:val="Voetnoottekst"/>
        <w:rPr>
          <w:rFonts w:cstheme="minorHAnsi"/>
          <w:sz w:val="16"/>
          <w:szCs w:val="16"/>
        </w:rPr>
      </w:pPr>
      <w:r w:rsidRPr="00E936DB">
        <w:rPr>
          <w:rStyle w:val="Voetnootmarkering"/>
          <w:rFonts w:cstheme="minorHAnsi"/>
          <w:sz w:val="16"/>
          <w:szCs w:val="16"/>
        </w:rPr>
        <w:footnoteRef/>
      </w:r>
      <w:r w:rsidRPr="00E936DB">
        <w:rPr>
          <w:rFonts w:cstheme="minorHAnsi"/>
          <w:sz w:val="16"/>
          <w:szCs w:val="16"/>
        </w:rPr>
        <w:t xml:space="preserve"> </w:t>
      </w:r>
      <w:hyperlink r:id="rId1" w:history="1">
        <w:r w:rsidRPr="00E936DB">
          <w:rPr>
            <w:rStyle w:val="Hyperlink"/>
            <w:rFonts w:cstheme="minorHAnsi"/>
            <w:sz w:val="16"/>
            <w:szCs w:val="16"/>
          </w:rPr>
          <w:t>Wees voorzichtig met zeggen dat drugsgebruik normaal is - Trimbos-instituut</w:t>
        </w:r>
      </w:hyperlink>
    </w:p>
  </w:footnote>
  <w:footnote w:id="2">
    <w:p w14:paraId="17E186A4" w14:textId="77777777" w:rsidR="00E71559" w:rsidRPr="00E936DB" w:rsidRDefault="00E71559" w:rsidP="00C219E5">
      <w:pPr>
        <w:pStyle w:val="Voetnoottekst"/>
        <w:rPr>
          <w:sz w:val="16"/>
          <w:szCs w:val="16"/>
        </w:rPr>
      </w:pPr>
      <w:r w:rsidRPr="00E936DB">
        <w:rPr>
          <w:rStyle w:val="Voetnootmarkering"/>
          <w:sz w:val="16"/>
          <w:szCs w:val="16"/>
        </w:rPr>
        <w:footnoteRef/>
      </w:r>
      <w:r w:rsidRPr="00E936DB">
        <w:rPr>
          <w:sz w:val="16"/>
          <w:szCs w:val="16"/>
        </w:rPr>
        <w:t xml:space="preserve"> Kamerstukken II 2025/26, 29911, nr. 492.</w:t>
      </w:r>
    </w:p>
  </w:footnote>
  <w:footnote w:id="3">
    <w:p w14:paraId="41F709A9" w14:textId="77777777" w:rsidR="00E71559" w:rsidRPr="00E936DB" w:rsidRDefault="00E71559" w:rsidP="00C219E5">
      <w:pPr>
        <w:pStyle w:val="Voetnoottekst"/>
        <w:rPr>
          <w:sz w:val="16"/>
          <w:szCs w:val="16"/>
        </w:rPr>
      </w:pPr>
      <w:r w:rsidRPr="00E936DB">
        <w:rPr>
          <w:rStyle w:val="Voetnootmarkering"/>
          <w:sz w:val="16"/>
          <w:szCs w:val="16"/>
        </w:rPr>
        <w:footnoteRef/>
      </w:r>
      <w:r w:rsidRPr="00E936DB">
        <w:rPr>
          <w:sz w:val="16"/>
          <w:szCs w:val="16"/>
        </w:rPr>
        <w:t xml:space="preserve"> Kamerstukken II 2025/26, 24077, nr. 566.</w:t>
      </w:r>
    </w:p>
  </w:footnote>
  <w:footnote w:id="4">
    <w:p w14:paraId="3D3A6832" w14:textId="77777777" w:rsidR="00E71559" w:rsidRDefault="00E71559">
      <w:pPr>
        <w:pStyle w:val="Voetnoottekst"/>
      </w:pPr>
      <w:r>
        <w:rPr>
          <w:rStyle w:val="Voetnootmarkering"/>
        </w:rPr>
        <w:footnoteRef/>
      </w:r>
      <w:r>
        <w:t xml:space="preserve"> </w:t>
      </w:r>
      <w:r w:rsidRPr="00E936DB">
        <w:rPr>
          <w:sz w:val="16"/>
          <w:szCs w:val="16"/>
        </w:rPr>
        <w:t>Kamerstukken II 2025/26, 24077, nr. 566.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B46" w14:textId="77777777" w:rsidR="00E71559" w:rsidRPr="00E71559" w:rsidRDefault="00E71559" w:rsidP="00E715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B90" w14:textId="77777777" w:rsidR="00E71559" w:rsidRPr="00E71559" w:rsidRDefault="00E71559" w:rsidP="00E715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B63B" w14:textId="77777777" w:rsidR="00E71559" w:rsidRPr="00E71559" w:rsidRDefault="00E71559" w:rsidP="00E715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59"/>
    <w:rsid w:val="004F262E"/>
    <w:rsid w:val="006357D3"/>
    <w:rsid w:val="009E75E6"/>
    <w:rsid w:val="00E7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C129"/>
  <w15:chartTrackingRefBased/>
  <w15:docId w15:val="{B380C074-49DC-40E7-B6AA-0F493809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1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1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15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15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15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15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15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15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15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15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15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15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15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15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1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1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1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1559"/>
    <w:rPr>
      <w:rFonts w:eastAsiaTheme="majorEastAsia" w:cstheme="majorBidi"/>
      <w:color w:val="272727" w:themeColor="text1" w:themeTint="D8"/>
    </w:rPr>
  </w:style>
  <w:style w:type="paragraph" w:styleId="Titel">
    <w:name w:val="Title"/>
    <w:basedOn w:val="Standaard"/>
    <w:next w:val="Standaard"/>
    <w:link w:val="TitelChar"/>
    <w:uiPriority w:val="10"/>
    <w:qFormat/>
    <w:rsid w:val="00E7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1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15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1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15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1559"/>
    <w:rPr>
      <w:i/>
      <w:iCs/>
      <w:color w:val="404040" w:themeColor="text1" w:themeTint="BF"/>
    </w:rPr>
  </w:style>
  <w:style w:type="paragraph" w:styleId="Lijstalinea">
    <w:name w:val="List Paragraph"/>
    <w:basedOn w:val="Standaard"/>
    <w:uiPriority w:val="34"/>
    <w:qFormat/>
    <w:rsid w:val="00E71559"/>
    <w:pPr>
      <w:ind w:left="720"/>
      <w:contextualSpacing/>
    </w:pPr>
  </w:style>
  <w:style w:type="character" w:styleId="Intensievebenadrukking">
    <w:name w:val="Intense Emphasis"/>
    <w:basedOn w:val="Standaardalinea-lettertype"/>
    <w:uiPriority w:val="21"/>
    <w:qFormat/>
    <w:rsid w:val="00E71559"/>
    <w:rPr>
      <w:i/>
      <w:iCs/>
      <w:color w:val="2F5496" w:themeColor="accent1" w:themeShade="BF"/>
    </w:rPr>
  </w:style>
  <w:style w:type="paragraph" w:styleId="Duidelijkcitaat">
    <w:name w:val="Intense Quote"/>
    <w:basedOn w:val="Standaard"/>
    <w:next w:val="Standaard"/>
    <w:link w:val="DuidelijkcitaatChar"/>
    <w:uiPriority w:val="30"/>
    <w:qFormat/>
    <w:rsid w:val="00E71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1559"/>
    <w:rPr>
      <w:i/>
      <w:iCs/>
      <w:color w:val="2F5496" w:themeColor="accent1" w:themeShade="BF"/>
    </w:rPr>
  </w:style>
  <w:style w:type="character" w:styleId="Intensieveverwijzing">
    <w:name w:val="Intense Reference"/>
    <w:basedOn w:val="Standaardalinea-lettertype"/>
    <w:uiPriority w:val="32"/>
    <w:qFormat/>
    <w:rsid w:val="00E71559"/>
    <w:rPr>
      <w:b/>
      <w:bCs/>
      <w:smallCaps/>
      <w:color w:val="2F5496" w:themeColor="accent1" w:themeShade="BF"/>
      <w:spacing w:val="5"/>
    </w:rPr>
  </w:style>
  <w:style w:type="paragraph" w:styleId="Voetnoottekst">
    <w:name w:val="footnote text"/>
    <w:basedOn w:val="Standaard"/>
    <w:link w:val="VoetnoottekstChar"/>
    <w:uiPriority w:val="99"/>
    <w:semiHidden/>
    <w:rsid w:val="00E7155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7155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E71559"/>
    <w:rPr>
      <w:color w:val="0563C1" w:themeColor="hyperlink"/>
      <w:u w:val="single"/>
    </w:rPr>
  </w:style>
  <w:style w:type="character" w:styleId="Voetnootmarkering">
    <w:name w:val="footnote reference"/>
    <w:basedOn w:val="Standaardalinea-lettertype"/>
    <w:uiPriority w:val="99"/>
    <w:unhideWhenUsed/>
    <w:rsid w:val="00E71559"/>
    <w:rPr>
      <w:vertAlign w:val="superscript"/>
    </w:rPr>
  </w:style>
  <w:style w:type="paragraph" w:styleId="Koptekst">
    <w:name w:val="header"/>
    <w:basedOn w:val="Standaard"/>
    <w:link w:val="KoptekstChar"/>
    <w:uiPriority w:val="99"/>
    <w:unhideWhenUsed/>
    <w:rsid w:val="00E715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1559"/>
  </w:style>
  <w:style w:type="paragraph" w:styleId="Voettekst">
    <w:name w:val="footer"/>
    <w:basedOn w:val="Standaard"/>
    <w:link w:val="VoettekstChar"/>
    <w:uiPriority w:val="99"/>
    <w:unhideWhenUsed/>
    <w:rsid w:val="00E715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rimbos.nl/actueel/blogs/wees-voorzichtig-met-zeggen-dat-drugsgebruik-normaal-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1646</ap:Words>
  <ap:Characters>9054</ap:Characters>
  <ap:DocSecurity>0</ap:DocSecurity>
  <ap:Lines>75</ap:Lines>
  <ap:Paragraphs>21</ap:Paragraphs>
  <ap:ScaleCrop>false</ap:ScaleCrop>
  <ap:LinksUpToDate>false</ap:LinksUpToDate>
  <ap:CharactersWithSpaces>10679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2026-07-03T15:31:00.0000000Z</dcterms:created>
  <dcterms:modified xsi:type="dcterms:W3CDTF">2026-07-03T15:32:00.0000000Z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