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D0379F" w:rsidP="00040B4A" w14:paraId="27FDF82C" w14:textId="77777777"/>
    <w:p w:rsidR="00D0379F" w:rsidP="00040B4A" w14:paraId="55266748" w14:textId="77777777"/>
    <w:p w:rsidRPr="00D0379F" w:rsidR="00D0379F" w:rsidP="00D0379F" w14:paraId="3D5510F2" w14:textId="77777777"/>
    <w:p w:rsidR="000B184F" w:rsidP="000B184F" w14:paraId="0377DAF3" w14:textId="77777777">
      <w:r w:rsidRPr="000B184F">
        <w:t>De WNT</w:t>
      </w:r>
      <w:r>
        <w:t xml:space="preserve"> </w:t>
      </w:r>
      <w:r w:rsidRPr="000B184F">
        <w:t>normeert en maximeert de salarissen en ontslagvergoedingen van een specifieke groep, de zogenoemde topfunctionarissen, in de (semi)publieke sector. De achterliggende gedachte van de WNT is dat organisaties die een publieke taak hebben en die bekostigd worden met gemeenschapsgeld, hun bestuurders ordentelijk horen te betalen.</w:t>
      </w:r>
      <w:r>
        <w:rPr>
          <w:vertAlign w:val="superscript"/>
        </w:rPr>
        <w:footnoteReference w:id="2"/>
      </w:r>
      <w:r w:rsidRPr="000B184F">
        <w:t xml:space="preserve"> Een ordentelijke beloning is evenwichtig, maatschappelijk verantwoord en niet exorbitant. Het bezoldigingsregime van de WNT geldt alleen voor de hoogste leidinggevenden en toezichthouders binnen de publieke en semipublieke sector, de zogeheten topfunctionarissen. Het maximumsalaris voor topfunctionarissen op grond van de WNT is opgebouwd uit diverse inkomensbestanddelen en bedraagt voor 2026 € 262.000.</w:t>
      </w:r>
    </w:p>
    <w:p w:rsidR="000B184F" w:rsidP="00D0379F" w14:paraId="2817573F" w14:textId="77777777"/>
    <w:p w:rsidRPr="00D0379F" w:rsidR="00D0379F" w:rsidP="00D0379F" w14:paraId="227AE3DB" w14:textId="77777777">
      <w:r w:rsidRPr="00D0379F">
        <w:t xml:space="preserve">Op 21 mei </w:t>
      </w:r>
      <w:r w:rsidR="00A62077">
        <w:t>2025</w:t>
      </w:r>
      <w:r w:rsidRPr="00D0379F">
        <w:t xml:space="preserve"> nam uw Kamer de </w:t>
      </w:r>
      <w:r w:rsidRPr="00274D47">
        <w:t xml:space="preserve">motie van de leden Van Baarle </w:t>
      </w:r>
      <w:r w:rsidRPr="00274D47" w:rsidR="2B8754CA">
        <w:t>(DENK)</w:t>
      </w:r>
      <w:r w:rsidR="00885B03">
        <w:t xml:space="preserve"> </w:t>
      </w:r>
      <w:r w:rsidRPr="00274D47">
        <w:t xml:space="preserve">en Van Nispen </w:t>
      </w:r>
      <w:r w:rsidRPr="00274D47" w:rsidR="2B8754CA">
        <w:t xml:space="preserve">(SP) </w:t>
      </w:r>
      <w:r w:rsidRPr="00274D47">
        <w:t>aan.</w:t>
      </w:r>
      <w:r>
        <w:rPr>
          <w:vertAlign w:val="superscript"/>
        </w:rPr>
        <w:footnoteReference w:id="3"/>
      </w:r>
      <w:r w:rsidRPr="00274D47">
        <w:t xml:space="preserve"> De motie </w:t>
      </w:r>
      <w:r w:rsidRPr="00274D47" w:rsidR="00E436D1">
        <w:t xml:space="preserve">verzoekt de regering te onderzoeken hoe </w:t>
      </w:r>
      <w:bookmarkStart w:name="_Hlk212111092" w:id="0"/>
      <w:r w:rsidRPr="00274D47" w:rsidR="00E436D1">
        <w:t xml:space="preserve">een effectievere naleving van de WNT kan worden afgedwongen </w:t>
      </w:r>
      <w:bookmarkEnd w:id="0"/>
      <w:r w:rsidRPr="00274D47" w:rsidR="00E436D1">
        <w:t>door sancties te stellen op het overtreden van de norm voor topinkomens in de (semi)publieke sector.</w:t>
      </w:r>
    </w:p>
    <w:p w:rsidRPr="00D0379F" w:rsidR="00D0379F" w:rsidP="00D0379F" w14:paraId="5F840579" w14:textId="77777777"/>
    <w:p w:rsidR="003873A3" w:rsidP="003873A3" w14:paraId="66D2E6A5" w14:textId="77777777">
      <w:r w:rsidRPr="00D0379F">
        <w:t xml:space="preserve">Met deze brief informeer ik uw Kamer over de uitvoering van deze motie. </w:t>
      </w:r>
      <w:r>
        <w:t>In deze brief wordt achtereenvolgens ingegaan op het onderzoek</w:t>
      </w:r>
      <w:r w:rsidR="007E1A2D">
        <w:t>,</w:t>
      </w:r>
      <w:r w:rsidR="005F7067">
        <w:t xml:space="preserve"> de </w:t>
      </w:r>
      <w:r>
        <w:t>conclusie</w:t>
      </w:r>
      <w:r w:rsidR="005F7067">
        <w:t>s</w:t>
      </w:r>
      <w:r w:rsidR="0066288A">
        <w:t xml:space="preserve"> </w:t>
      </w:r>
      <w:r w:rsidR="00287F6C">
        <w:t xml:space="preserve">en </w:t>
      </w:r>
      <w:r w:rsidRPr="00421C13" w:rsidR="00287F6C">
        <w:t xml:space="preserve">de </w:t>
      </w:r>
      <w:r w:rsidR="00E436D1">
        <w:t xml:space="preserve">aanbeveling </w:t>
      </w:r>
      <w:r w:rsidRPr="00421C13" w:rsidR="00287F6C">
        <w:t>van het kabinet</w:t>
      </w:r>
      <w:r w:rsidRPr="00421C13" w:rsidR="0066288A">
        <w:t>.</w:t>
      </w:r>
    </w:p>
    <w:p w:rsidR="00274D47" w:rsidP="003873A3" w14:paraId="43E7332A" w14:textId="77777777"/>
    <w:p w:rsidRPr="004473DB" w:rsidR="003873A3" w:rsidP="004473DB" w14:paraId="17A2A954" w14:textId="77777777">
      <w:pPr>
        <w:pStyle w:val="ListParagraph"/>
        <w:numPr>
          <w:ilvl w:val="0"/>
          <w:numId w:val="30"/>
        </w:numPr>
        <w:rPr>
          <w:b/>
        </w:rPr>
      </w:pPr>
      <w:r w:rsidRPr="004473DB">
        <w:rPr>
          <w:b/>
        </w:rPr>
        <w:t>Het onderzoek</w:t>
      </w:r>
    </w:p>
    <w:p w:rsidR="00777B62" w:rsidP="003873A3" w14:paraId="5646B18A" w14:textId="77777777"/>
    <w:p w:rsidR="00576D9D" w:rsidP="003873A3" w14:paraId="7115D38C" w14:textId="77777777">
      <w:r>
        <w:t xml:space="preserve">Het </w:t>
      </w:r>
      <w:r w:rsidRPr="00777B62">
        <w:t>onderzoek richt zich</w:t>
      </w:r>
      <w:r w:rsidR="00EA14D4">
        <w:t xml:space="preserve">, </w:t>
      </w:r>
      <w:r w:rsidR="00EA14D4">
        <w:t>conform</w:t>
      </w:r>
      <w:r w:rsidR="00EA14D4">
        <w:t xml:space="preserve"> de motie,</w:t>
      </w:r>
      <w:r w:rsidRPr="00777B62">
        <w:t xml:space="preserve"> op de vraag of het mogelijk en wenselijk is om het </w:t>
      </w:r>
      <w:r w:rsidR="0049153F">
        <w:t>handhavings</w:t>
      </w:r>
      <w:r w:rsidRPr="00777B62">
        <w:t xml:space="preserve">regime van de WNT aan te vullen met </w:t>
      </w:r>
      <w:r w:rsidR="00233A65">
        <w:t>sancties</w:t>
      </w:r>
      <w:r w:rsidR="0026219B">
        <w:t xml:space="preserve"> </w:t>
      </w:r>
      <w:r w:rsidRPr="00777B62">
        <w:t>in het geval van</w:t>
      </w:r>
      <w:r w:rsidR="00CB7B62">
        <w:t xml:space="preserve"> </w:t>
      </w:r>
      <w:r w:rsidR="001174D3">
        <w:t xml:space="preserve">een ongeoorloofde </w:t>
      </w:r>
      <w:r w:rsidR="00CB7B62">
        <w:t xml:space="preserve">overschrijding van het bezoldigingsmaximum of </w:t>
      </w:r>
      <w:r w:rsidR="00F872CF">
        <w:t>de maximale</w:t>
      </w:r>
      <w:r w:rsidR="00CB7B62">
        <w:t xml:space="preserve"> </w:t>
      </w:r>
      <w:r w:rsidR="00F872CF">
        <w:t>ontslag</w:t>
      </w:r>
      <w:r w:rsidR="00CB7B62">
        <w:t xml:space="preserve">uitkering (hierna: </w:t>
      </w:r>
      <w:r w:rsidRPr="00777B62" w:rsidR="00CB7B62">
        <w:t>vastgestelde</w:t>
      </w:r>
      <w:r w:rsidRPr="00777B62">
        <w:t xml:space="preserve"> o</w:t>
      </w:r>
      <w:r w:rsidR="001174D3">
        <w:t>vertredingen</w:t>
      </w:r>
      <w:r w:rsidR="00051B24">
        <w:t xml:space="preserve"> van de WNT-normering</w:t>
      </w:r>
      <w:r w:rsidR="00CB7B62">
        <w:t>)</w:t>
      </w:r>
      <w:r w:rsidRPr="00777B62">
        <w:t>.</w:t>
      </w:r>
      <w:r>
        <w:rPr>
          <w:rStyle w:val="FootnoteReference"/>
        </w:rPr>
        <w:footnoteReference w:id="4"/>
      </w:r>
      <w:r w:rsidR="00E17F7D">
        <w:t xml:space="preserve"> Het onderzoek is uitgevoerd door </w:t>
      </w:r>
      <w:r w:rsidR="0005171F">
        <w:t>BZK</w:t>
      </w:r>
      <w:r w:rsidR="00E17F7D">
        <w:t xml:space="preserve"> in samenwerking met de bij </w:t>
      </w:r>
      <w:r w:rsidR="00E17F7D">
        <w:t>de WNT betrokken vakdepartementen van OCW, VWS en VRO en de toezichthouders op de WNT. Het onderzoek is gebaseerd op de gegevens over overtredingen in de WNT-jaarrapportages</w:t>
      </w:r>
      <w:r>
        <w:rPr>
          <w:rStyle w:val="FootnoteReference"/>
        </w:rPr>
        <w:footnoteReference w:id="5"/>
      </w:r>
      <w:r w:rsidR="001174D3">
        <w:t xml:space="preserve">, </w:t>
      </w:r>
      <w:r w:rsidR="00E17F7D">
        <w:t>de tweede wetsevaluatie van de WNT</w:t>
      </w:r>
      <w:r>
        <w:rPr>
          <w:rStyle w:val="FootnoteReference"/>
        </w:rPr>
        <w:footnoteReference w:id="6"/>
      </w:r>
      <w:r w:rsidR="00E17F7D">
        <w:t xml:space="preserve"> en op schriftelijke input vanuit de andere ministeries en de toezichthouders op basis van een voorgelegde vragenlijst.</w:t>
      </w:r>
    </w:p>
    <w:p w:rsidRPr="007F2312" w:rsidR="00274D47" w:rsidP="003873A3" w14:paraId="6D618895" w14:textId="77777777">
      <w:pPr>
        <w:rPr>
          <w:color w:val="auto"/>
        </w:rPr>
      </w:pPr>
    </w:p>
    <w:p w:rsidRPr="004473DB" w:rsidR="004473DB" w:rsidP="004473DB" w14:paraId="51C1BD88" w14:textId="77777777">
      <w:pPr>
        <w:pStyle w:val="ListParagraph"/>
        <w:numPr>
          <w:ilvl w:val="0"/>
          <w:numId w:val="30"/>
        </w:numPr>
        <w:rPr>
          <w:b/>
        </w:rPr>
      </w:pPr>
      <w:r w:rsidRPr="004473DB">
        <w:rPr>
          <w:b/>
        </w:rPr>
        <w:t>Conclusie</w:t>
      </w:r>
      <w:r w:rsidR="00D918DB">
        <w:rPr>
          <w:b/>
        </w:rPr>
        <w:t>s</w:t>
      </w:r>
    </w:p>
    <w:p w:rsidR="004473DB" w:rsidP="003873A3" w14:paraId="1090D88F" w14:textId="77777777"/>
    <w:p w:rsidRPr="00777B62" w:rsidR="00777B62" w:rsidP="00777B62" w14:paraId="1FD0AABC" w14:textId="77777777">
      <w:pPr>
        <w:rPr>
          <w:b/>
          <w:bCs/>
        </w:rPr>
      </w:pPr>
      <w:r w:rsidRPr="00777B62">
        <w:rPr>
          <w:b/>
          <w:bCs/>
        </w:rPr>
        <w:t xml:space="preserve">Aantal </w:t>
      </w:r>
      <w:r w:rsidR="00CB7B62">
        <w:rPr>
          <w:b/>
          <w:bCs/>
        </w:rPr>
        <w:t>vastgestelde onverschuldigde betalingen</w:t>
      </w:r>
      <w:r w:rsidR="00885B03">
        <w:rPr>
          <w:b/>
          <w:bCs/>
        </w:rPr>
        <w:t xml:space="preserve"> </w:t>
      </w:r>
      <w:r w:rsidR="003C15B4">
        <w:rPr>
          <w:b/>
          <w:bCs/>
        </w:rPr>
        <w:t>(</w:t>
      </w:r>
      <w:r w:rsidRPr="00777B62">
        <w:rPr>
          <w:b/>
          <w:bCs/>
        </w:rPr>
        <w:t>stabiel</w:t>
      </w:r>
      <w:r w:rsidR="003C15B4">
        <w:rPr>
          <w:b/>
          <w:bCs/>
        </w:rPr>
        <w:t>)</w:t>
      </w:r>
      <w:r w:rsidRPr="00777B62">
        <w:rPr>
          <w:b/>
          <w:bCs/>
        </w:rPr>
        <w:t xml:space="preserve"> laag</w:t>
      </w:r>
    </w:p>
    <w:p w:rsidR="00B11B34" w:rsidP="008F04FF" w14:paraId="2332BE66" w14:textId="77777777"/>
    <w:p w:rsidR="008F04FF" w:rsidP="008F04FF" w14:paraId="6CBF0932" w14:textId="77777777">
      <w:r>
        <w:t>Uit intern onderzoek door BZK</w:t>
      </w:r>
      <w:r>
        <w:rPr>
          <w:rStyle w:val="FootnoteReference"/>
        </w:rPr>
        <w:footnoteReference w:id="7"/>
      </w:r>
      <w:r>
        <w:t xml:space="preserve"> blijkt dat i</w:t>
      </w:r>
      <w:r w:rsidRPr="008F04FF">
        <w:t>n de periode 2013-2023 sprake</w:t>
      </w:r>
      <w:r>
        <w:t xml:space="preserve"> is van</w:t>
      </w:r>
      <w:r w:rsidRPr="008F04FF">
        <w:t xml:space="preserve"> in totaal 184 vastgestelde o</w:t>
      </w:r>
      <w:r w:rsidR="001174D3">
        <w:t>vertredingen</w:t>
      </w:r>
      <w:r w:rsidR="003C5F20">
        <w:t xml:space="preserve"> van de WNT-normering</w:t>
      </w:r>
      <w:r w:rsidRPr="008F04FF">
        <w:t xml:space="preserve">. Dat zijn gemiddeld 17 overtredingen per jaar. </w:t>
      </w:r>
      <w:r w:rsidR="00E80879">
        <w:t xml:space="preserve">Bij het grootste deel, </w:t>
      </w:r>
      <w:r w:rsidRPr="008F04FF">
        <w:t xml:space="preserve">89 </w:t>
      </w:r>
      <w:r w:rsidR="00E80879">
        <w:t xml:space="preserve">overtredingen, gaat het om een onverschuldigde betaling </w:t>
      </w:r>
      <w:r w:rsidR="003C5F20">
        <w:t xml:space="preserve">(hierna: overschrijding) </w:t>
      </w:r>
      <w:r w:rsidR="00E80879">
        <w:t xml:space="preserve">van </w:t>
      </w:r>
      <w:r w:rsidRPr="008F04FF">
        <w:t>maximaal 10.000 euro</w:t>
      </w:r>
      <w:r w:rsidR="00885B03">
        <w:t xml:space="preserve"> </w:t>
      </w:r>
      <w:r w:rsidRPr="008F04FF">
        <w:t xml:space="preserve">(laagste is </w:t>
      </w:r>
      <w:r w:rsidRPr="008F04FF">
        <w:t>circa</w:t>
      </w:r>
      <w:r w:rsidRPr="008F04FF">
        <w:t xml:space="preserve"> 49 euro). </w:t>
      </w:r>
      <w:r w:rsidR="00E80879">
        <w:t xml:space="preserve">Bij </w:t>
      </w:r>
      <w:r w:rsidRPr="008F04FF">
        <w:t xml:space="preserve">69 </w:t>
      </w:r>
      <w:r w:rsidR="00E80879">
        <w:t>overschrijdingen</w:t>
      </w:r>
      <w:r w:rsidRPr="008F04FF">
        <w:t xml:space="preserve"> ligt </w:t>
      </w:r>
      <w:r w:rsidR="00553267">
        <w:t>de onverschuldigde betaling</w:t>
      </w:r>
      <w:r w:rsidRPr="008F04FF">
        <w:t xml:space="preserve"> tussen </w:t>
      </w:r>
      <w:r w:rsidR="00553267">
        <w:t xml:space="preserve">de </w:t>
      </w:r>
      <w:r w:rsidRPr="008F04FF">
        <w:t>10.000 en 60.000 eur</w:t>
      </w:r>
      <w:r w:rsidR="00553267">
        <w:t>o. 13 overschrijdingen bevinden zich</w:t>
      </w:r>
      <w:r w:rsidRPr="008F04FF">
        <w:t xml:space="preserve"> tussen 60.000 en 110.000 euro.</w:t>
      </w:r>
      <w:r>
        <w:t xml:space="preserve"> </w:t>
      </w:r>
      <w:r w:rsidR="00553267">
        <w:t>En in</w:t>
      </w:r>
      <w:r w:rsidRPr="008F04FF">
        <w:t xml:space="preserve"> 13 gevallen bedraagt de overschrijding meer dan 110.000 (hoogste is ca. 472.000 euro).</w:t>
      </w:r>
    </w:p>
    <w:p w:rsidR="001924D5" w:rsidP="008F04FF" w14:paraId="77D0C191" w14:textId="77777777"/>
    <w:p w:rsidR="00553267" w:rsidP="00777B62" w14:paraId="1E9EC200" w14:textId="77777777">
      <w:r>
        <w:t xml:space="preserve">Bij het </w:t>
      </w:r>
      <w:r w:rsidR="0000758E">
        <w:t xml:space="preserve">merendeel van de vastgestelde overschrijdingen </w:t>
      </w:r>
      <w:r w:rsidR="003C5F20">
        <w:t xml:space="preserve">van de WNT-normering </w:t>
      </w:r>
      <w:r w:rsidR="009D6BA6">
        <w:t xml:space="preserve">zijn </w:t>
      </w:r>
      <w:r>
        <w:t xml:space="preserve">geen </w:t>
      </w:r>
      <w:r w:rsidR="008D6426">
        <w:t xml:space="preserve">formele </w:t>
      </w:r>
      <w:r>
        <w:t>handhavingsmaatregelen</w:t>
      </w:r>
      <w:r w:rsidR="008D6426">
        <w:t xml:space="preserve"> </w:t>
      </w:r>
      <w:r w:rsidR="009D6BA6">
        <w:t>noodzakelijk</w:t>
      </w:r>
      <w:r>
        <w:t xml:space="preserve">. </w:t>
      </w:r>
      <w:r w:rsidR="001924D5">
        <w:t xml:space="preserve">De onverschuldigde betaling wordt meestal door de partijen zelf ongedaan gemaakt naar aanleiding van het oordeel van de toezichthouder. </w:t>
      </w:r>
      <w:r>
        <w:t xml:space="preserve">Het zwaarste </w:t>
      </w:r>
      <w:r w:rsidR="008D6426">
        <w:t>sanctie</w:t>
      </w:r>
      <w:r>
        <w:t>middel, de last onder dwangsom, is slechts</w:t>
      </w:r>
      <w:r w:rsidR="008D6426">
        <w:t xml:space="preserve"> </w:t>
      </w:r>
      <w:r w:rsidR="001174D3">
        <w:t xml:space="preserve">bij 8 overtredingen </w:t>
      </w:r>
      <w:r w:rsidR="008D6426">
        <w:t>opgelegd</w:t>
      </w:r>
      <w:r>
        <w:t xml:space="preserve"> in de periode 2013-2023.</w:t>
      </w:r>
    </w:p>
    <w:p w:rsidRPr="00777B62" w:rsidR="00553267" w:rsidP="00777B62" w14:paraId="4B854A3F" w14:textId="77777777"/>
    <w:p w:rsidR="00777B62" w:rsidP="00777B62" w14:paraId="537E4155" w14:textId="77777777">
      <w:r w:rsidRPr="00777B62">
        <w:t xml:space="preserve">De WNT </w:t>
      </w:r>
      <w:r w:rsidR="009D6BA6">
        <w:t>b</w:t>
      </w:r>
      <w:r w:rsidRPr="00777B62">
        <w:t xml:space="preserve">lijkt dus doeltreffend te zijn als het gaat om het tegengaan van bezoldigingen en </w:t>
      </w:r>
      <w:r w:rsidR="00B533A7">
        <w:t>uitkeringen wegens beëindiging dienstverband</w:t>
      </w:r>
      <w:r w:rsidRPr="00777B62">
        <w:t xml:space="preserve"> boven het maximum. Daarnaast blijkt uit de jaarrapportages dat het opleggen van een herstelmaatregel in de vorm een last onder dwangsom </w:t>
      </w:r>
      <w:r w:rsidR="003C15B4">
        <w:t>alleen bij hoge uitzondering</w:t>
      </w:r>
      <w:r w:rsidRPr="00777B62">
        <w:t xml:space="preserve"> nodig is.</w:t>
      </w:r>
    </w:p>
    <w:p w:rsidRPr="00777B62" w:rsidR="00777B62" w:rsidP="00777B62" w14:paraId="2D9D29AE" w14:textId="77777777"/>
    <w:p w:rsidR="00777B62" w:rsidP="00777B62" w14:paraId="0154BCD9" w14:textId="77777777">
      <w:pPr>
        <w:rPr>
          <w:b/>
          <w:bCs/>
        </w:rPr>
      </w:pPr>
      <w:r w:rsidRPr="00777B62">
        <w:rPr>
          <w:b/>
          <w:bCs/>
        </w:rPr>
        <w:t>Zwaardere bewijslast bestuursorgaan bij bestuurlijke boete</w:t>
      </w:r>
    </w:p>
    <w:p w:rsidRPr="00777B62" w:rsidR="00777B62" w:rsidP="00777B62" w14:paraId="2ADD92FF" w14:textId="77777777">
      <w:pPr>
        <w:rPr>
          <w:b/>
          <w:bCs/>
        </w:rPr>
      </w:pPr>
    </w:p>
    <w:p w:rsidR="004F708E" w:rsidP="00777B62" w14:paraId="115D0307" w14:textId="77777777">
      <w:r w:rsidRPr="004F708E">
        <w:t xml:space="preserve">Op voorhand merk ik op dat toezichthouders niet beschikken over informatie met betrekking tot de opzet en verwijtbaarheid van vastgestelde overtredingen van de WNT-normering, omdat die aspecten niet relevant zijn voor de WNT en dus ook niet zijn beoordeeld in </w:t>
      </w:r>
      <w:r w:rsidRPr="004F708E">
        <w:t>toezichtsonderzoeken</w:t>
      </w:r>
      <w:r w:rsidRPr="004F708E">
        <w:t xml:space="preserve"> en bij handhavingsbesluiten</w:t>
      </w:r>
      <w:r>
        <w:t>.</w:t>
      </w:r>
    </w:p>
    <w:p w:rsidR="00777B62" w:rsidP="00777B62" w14:paraId="3849DFF9" w14:textId="77777777">
      <w:r w:rsidRPr="00777B62">
        <w:t>Een bestuurlijke boete kan niet zonder meer bij een vermoeden van een overtreding worden opgelegd.</w:t>
      </w:r>
      <w:r w:rsidR="00BC5BD2">
        <w:t xml:space="preserve"> </w:t>
      </w:r>
      <w:r w:rsidRPr="00777B62">
        <w:t xml:space="preserve">Het bestuursorgaan moet de overtreding </w:t>
      </w:r>
      <w:r w:rsidR="003C5F20">
        <w:t xml:space="preserve">van de WNT-normering </w:t>
      </w:r>
      <w:r w:rsidRPr="00777B62">
        <w:t xml:space="preserve">bewijzen. Dit gaat verder dan ‘aannemelijk’ maken zoals nu gebruikelijk is bij de handhaving van de WNT. </w:t>
      </w:r>
    </w:p>
    <w:p w:rsidRPr="00777B62" w:rsidR="001924D5" w:rsidP="00777B62" w14:paraId="05222D0A" w14:textId="77777777"/>
    <w:p w:rsidR="00777B62" w:rsidP="00777B62" w14:paraId="0B267EB3" w14:textId="77777777">
      <w:r w:rsidRPr="00777B62">
        <w:t xml:space="preserve">Wanneer wordt vastgesteld dat sprake is van een onverschuldigde betaling, is </w:t>
      </w:r>
      <w:r w:rsidR="00F35CE7">
        <w:t>voor het opleggen van een bestuurlijke boete</w:t>
      </w:r>
      <w:r w:rsidR="002925C4">
        <w:t>, anders dan nu het geval is,</w:t>
      </w:r>
      <w:r w:rsidR="00F35CE7">
        <w:t xml:space="preserve"> van </w:t>
      </w:r>
      <w:r w:rsidR="00F35CE7">
        <w:t>belang</w:t>
      </w:r>
      <w:r w:rsidRPr="00777B62">
        <w:t xml:space="preserve"> in welke mate de topfunctionaris of WNT-instelling verwijtbaar heeft gehandeld. Het gaat dan om de mate waarin een gedraging aan de topfunctionaris of WNT-instelling kan worden toegerekend. In het kader van de evenredigheidstoets wordt de hoogte van de boete afgestemd op de verwijtbaarheid van de gedraging. Uitgangspunt daarbij is dat alleen indien opzet kan worden </w:t>
      </w:r>
      <w:r w:rsidR="003572AB">
        <w:t>bewezen</w:t>
      </w:r>
      <w:r w:rsidR="0014039A">
        <w:t>,</w:t>
      </w:r>
      <w:r w:rsidRPr="00777B62">
        <w:t xml:space="preserve"> dit kan leiden tot een zodanige verwijtbaarheid dat deze het opleggen van het maximumboetebedrag rechtvaardigt.</w:t>
      </w:r>
    </w:p>
    <w:p w:rsidRPr="00777B62" w:rsidR="00BB07BB" w:rsidP="00777B62" w14:paraId="5ED756FE" w14:textId="77777777"/>
    <w:p w:rsidRPr="00777B62" w:rsidR="00777B62" w:rsidP="00777B62" w14:paraId="0631306F" w14:textId="77777777">
      <w:pPr>
        <w:rPr>
          <w:b/>
          <w:bCs/>
        </w:rPr>
      </w:pPr>
      <w:r w:rsidRPr="00777B62">
        <w:rPr>
          <w:b/>
          <w:bCs/>
        </w:rPr>
        <w:t>Nut en noodzaak en proportionaliteit bestuurlijke boete niet aanwezig</w:t>
      </w:r>
    </w:p>
    <w:p w:rsidR="00777B62" w:rsidP="00777B62" w14:paraId="281BC3DB" w14:textId="77777777"/>
    <w:p w:rsidR="00744861" w:rsidP="00777B62" w14:paraId="4C355E82" w14:textId="77777777">
      <w:r>
        <w:t>H</w:t>
      </w:r>
      <w:r w:rsidRPr="00777B62" w:rsidR="00777B62">
        <w:t>et handhavingsregime van de WNT</w:t>
      </w:r>
      <w:r>
        <w:t xml:space="preserve"> wordt</w:t>
      </w:r>
      <w:r w:rsidRPr="00777B62" w:rsidR="00777B62">
        <w:t xml:space="preserve"> door de </w:t>
      </w:r>
      <w:r w:rsidR="00D90D93">
        <w:t>voor de handhaving van de WNT verantwoordelijke ministeries</w:t>
      </w:r>
      <w:r w:rsidRPr="00777B62" w:rsidR="00D90D93">
        <w:t xml:space="preserve"> </w:t>
      </w:r>
      <w:r w:rsidRPr="00777B62" w:rsidR="00777B62">
        <w:t xml:space="preserve">en toezichthouders als effectief beoordeeld. </w:t>
      </w:r>
    </w:p>
    <w:p w:rsidR="003214A2" w:rsidP="00777B62" w14:paraId="367772AD" w14:textId="77777777">
      <w:r w:rsidRPr="00777B62">
        <w:t xml:space="preserve">Daarnaast is het, gelet op het beperkt aantal </w:t>
      </w:r>
      <w:r w:rsidR="003C15B4">
        <w:t xml:space="preserve">vastgestelde </w:t>
      </w:r>
      <w:r w:rsidRPr="00777B62">
        <w:t>o</w:t>
      </w:r>
      <w:r w:rsidR="004D759F">
        <w:t>vertredingen</w:t>
      </w:r>
      <w:r w:rsidRPr="00777B62">
        <w:t xml:space="preserve"> </w:t>
      </w:r>
      <w:r w:rsidR="003C5F20">
        <w:t xml:space="preserve">van de WNT-normering </w:t>
      </w:r>
      <w:r w:rsidRPr="00777B62">
        <w:t>en het ontbreken van draagvlak bij de departementen, twijfelachtig of de benodigde financiële middelen voor de benodigde juridische, toezichthoudende en handhavingscapaciteit in verhouding staan tot het verwachte effect.</w:t>
      </w:r>
    </w:p>
    <w:p w:rsidR="00777B62" w:rsidP="00777B62" w14:paraId="1F771B56" w14:textId="77777777">
      <w:r w:rsidRPr="00744861">
        <w:t xml:space="preserve">Sinds de invoering van de WNT is sprake van een stabiel aantal topfunctionarissen wiens bezoldiging of </w:t>
      </w:r>
      <w:r w:rsidR="0005171F">
        <w:t>ontslag</w:t>
      </w:r>
      <w:r w:rsidR="00B533A7">
        <w:t>uitkering</w:t>
      </w:r>
      <w:r w:rsidRPr="00744861">
        <w:t xml:space="preserve"> de normering ongeoorloofd overschrijdt</w:t>
      </w:r>
      <w:r w:rsidR="00D90D93">
        <w:t xml:space="preserve"> en er is geen reden om aan te nemen dat de invoering van bestuurlijke boetes tot een daling van dat aantal zal leiden</w:t>
      </w:r>
      <w:r w:rsidRPr="00744861">
        <w:t>, waardoor de nut en noodzaak en proportionaliteit van invoeren van strafsancties niet kan worden aangetoond of zelfs afwezig is.</w:t>
      </w:r>
      <w:r w:rsidR="00130FE0">
        <w:t xml:space="preserve"> </w:t>
      </w:r>
    </w:p>
    <w:p w:rsidR="00777B62" w:rsidP="00777B62" w14:paraId="37606678" w14:textId="77777777"/>
    <w:p w:rsidRPr="00777B62" w:rsidR="00777B62" w:rsidP="00777B62" w14:paraId="0847D43A" w14:textId="77777777">
      <w:pPr>
        <w:rPr>
          <w:b/>
          <w:bCs/>
        </w:rPr>
      </w:pPr>
      <w:r w:rsidRPr="00777B62">
        <w:rPr>
          <w:b/>
          <w:bCs/>
        </w:rPr>
        <w:t>Niet-beoogde neveneffecten</w:t>
      </w:r>
    </w:p>
    <w:p w:rsidR="00744861" w:rsidP="00744861" w14:paraId="46A56540" w14:textId="77777777"/>
    <w:p w:rsidRPr="00777B62" w:rsidR="00777B62" w:rsidP="00777B62" w14:paraId="522A1A39" w14:textId="77777777">
      <w:r w:rsidRPr="00744861">
        <w:t xml:space="preserve">Een bestuurlijke boete gaat ook ten koste van de uitvoering van de publieke taken van de met publieke middelen bekostigde instellingen en vormt daarmee geen doelmatige besteding van overheidsmiddelen. </w:t>
      </w:r>
      <w:r w:rsidRPr="00777B62">
        <w:t xml:space="preserve">De </w:t>
      </w:r>
      <w:r w:rsidR="003E0ACE">
        <w:t>departementen</w:t>
      </w:r>
      <w:r w:rsidRPr="00777B62">
        <w:t xml:space="preserve"> verwachten </w:t>
      </w:r>
      <w:r w:rsidRPr="00777B62">
        <w:t>tevens</w:t>
      </w:r>
      <w:r w:rsidRPr="00777B62">
        <w:t xml:space="preserve"> dat invoering van bestuurlijke boetes zal leiden tot meer conflicten tussen partijen en de toezichthouder </w:t>
      </w:r>
      <w:r w:rsidR="006E080E">
        <w:t xml:space="preserve">(resulterend in een toename van het aantal bezwaar- en beroepsprocedures) </w:t>
      </w:r>
      <w:r w:rsidRPr="00777B62">
        <w:t>en tot een afnemend draagvlak voor de WNT bij de partijen in het veld (</w:t>
      </w:r>
      <w:r w:rsidR="0005171F">
        <w:t>WNT-</w:t>
      </w:r>
      <w:r w:rsidRPr="00777B62">
        <w:t xml:space="preserve">instellingen, topfunctionarissen, accountants). </w:t>
      </w:r>
    </w:p>
    <w:p w:rsidR="00A60370" w:rsidP="003873A3" w14:paraId="343CCB9C" w14:textId="77777777"/>
    <w:p w:rsidRPr="00A62077" w:rsidR="00484641" w:rsidP="00A62077" w14:paraId="1B5BDD6A" w14:textId="77777777">
      <w:pPr>
        <w:pStyle w:val="ListParagraph"/>
        <w:numPr>
          <w:ilvl w:val="0"/>
          <w:numId w:val="30"/>
        </w:numPr>
        <w:rPr>
          <w:b/>
        </w:rPr>
      </w:pPr>
      <w:r w:rsidRPr="00A62077">
        <w:rPr>
          <w:b/>
        </w:rPr>
        <w:t>Aanbeveling</w:t>
      </w:r>
    </w:p>
    <w:p w:rsidR="00287F6C" w:rsidP="003873A3" w14:paraId="2E49F8C3" w14:textId="77777777">
      <w:pPr>
        <w:rPr>
          <w:sz w:val="16"/>
        </w:rPr>
      </w:pPr>
    </w:p>
    <w:p w:rsidR="00744861" w:rsidP="00E535AA" w14:paraId="66D90EBB" w14:textId="77777777">
      <w:r w:rsidRPr="00744861">
        <w:t xml:space="preserve">Het is niet te verwachten dat met de uitbreiding van het </w:t>
      </w:r>
      <w:r w:rsidR="0049153F">
        <w:t>handhavings</w:t>
      </w:r>
      <w:r w:rsidRPr="00744861">
        <w:t xml:space="preserve">regime met een bestuurlijke boete de naleving van het bezoldigingsmaximum en het maximum voor </w:t>
      </w:r>
      <w:r w:rsidR="00B533A7">
        <w:t>een uitkering wegens beëindiging dienstverband</w:t>
      </w:r>
      <w:r w:rsidRPr="00744861">
        <w:t xml:space="preserve">en (nog verder) wordt bevorderd. Er is </w:t>
      </w:r>
      <w:r w:rsidR="0005171F">
        <w:t xml:space="preserve">naar de mening van het kabinet </w:t>
      </w:r>
      <w:r w:rsidRPr="00744861">
        <w:t xml:space="preserve">geen sprake van een </w:t>
      </w:r>
      <w:r w:rsidR="003E0ACE">
        <w:t xml:space="preserve">ernstig </w:t>
      </w:r>
      <w:r w:rsidRPr="00744861">
        <w:t xml:space="preserve">probleem bij de </w:t>
      </w:r>
      <w:r w:rsidR="003E0ACE">
        <w:t xml:space="preserve">naleving van de </w:t>
      </w:r>
      <w:r w:rsidRPr="00744861">
        <w:t>WNT dat aangepakt zou moeten worden met bestuurlijke boetes of andere sancties.</w:t>
      </w:r>
    </w:p>
    <w:p w:rsidRPr="00744861" w:rsidR="001924D5" w:rsidP="00E535AA" w14:paraId="3016F71F" w14:textId="77777777"/>
    <w:p w:rsidR="00CD5BAC" w:rsidP="00E436D1" w14:paraId="7E5E2D44" w14:textId="77777777"/>
    <w:p w:rsidR="00CD5BAC" w:rsidP="00E436D1" w14:paraId="37228CCE" w14:textId="77777777"/>
    <w:p w:rsidR="00CD5BAC" w:rsidP="00E436D1" w14:paraId="331FED33" w14:textId="77777777"/>
    <w:p w:rsidR="00CD5BAC" w:rsidP="00E436D1" w14:paraId="020EE812" w14:textId="77777777"/>
    <w:p w:rsidR="00CD5BAC" w:rsidP="00E436D1" w14:paraId="6F5E25C8" w14:textId="77777777"/>
    <w:p w:rsidRPr="00E436D1" w:rsidR="00E436D1" w:rsidP="00E436D1" w14:paraId="7C133C45" w14:textId="10E9AB52">
      <w:r>
        <w:t>De</w:t>
      </w:r>
      <w:r w:rsidR="00744861">
        <w:t xml:space="preserve"> </w:t>
      </w:r>
      <w:r w:rsidR="00677F2A">
        <w:t>conclusie</w:t>
      </w:r>
      <w:r w:rsidRPr="00744861" w:rsidR="00677F2A">
        <w:t xml:space="preserve"> </w:t>
      </w:r>
      <w:r>
        <w:t xml:space="preserve">van het kabinet </w:t>
      </w:r>
      <w:r w:rsidRPr="00744861" w:rsidR="00744861">
        <w:t>uit deze analyse sluit hier dan ook op aan</w:t>
      </w:r>
      <w:r w:rsidR="00907568">
        <w:t xml:space="preserve">. </w:t>
      </w:r>
      <w:r w:rsidR="00E535AA">
        <w:t xml:space="preserve">De </w:t>
      </w:r>
      <w:r w:rsidRPr="00744861" w:rsidR="00744861">
        <w:t>invoering van de bestuurlijke boete in de WNT bij vastgestelde</w:t>
      </w:r>
      <w:r w:rsidR="003C5F20">
        <w:t>, niet-gerechtvaardigde</w:t>
      </w:r>
      <w:r w:rsidRPr="00744861" w:rsidR="00744861">
        <w:t xml:space="preserve"> onverschuldigde betaling is </w:t>
      </w:r>
      <w:r>
        <w:t xml:space="preserve">weliswaar </w:t>
      </w:r>
      <w:r w:rsidR="003E0ACE">
        <w:t xml:space="preserve">technisch en theoretisch </w:t>
      </w:r>
      <w:r w:rsidRPr="00744861" w:rsidR="00744861">
        <w:t xml:space="preserve">mogelijk </w:t>
      </w:r>
      <w:r w:rsidRPr="00744861" w:rsidR="00744861">
        <w:t>middels</w:t>
      </w:r>
      <w:r w:rsidRPr="00744861" w:rsidR="00744861">
        <w:t xml:space="preserve"> wetswijziging</w:t>
      </w:r>
      <w:r w:rsidR="00A45A6D">
        <w:t>,</w:t>
      </w:r>
      <w:r w:rsidRPr="00744861" w:rsidR="00744861">
        <w:t xml:space="preserve"> maar </w:t>
      </w:r>
      <w:r w:rsidR="00677F2A">
        <w:t xml:space="preserve">is </w:t>
      </w:r>
      <w:r w:rsidRPr="00744861" w:rsidR="00744861">
        <w:t>niet noodzakelijk en zeer waarschijnlijk niet proportioneel, niet doelmatig en niet doeltreffend.</w:t>
      </w:r>
      <w:r w:rsidR="007B7D93">
        <w:br/>
      </w:r>
    </w:p>
    <w:p w:rsidRPr="00C22A92" w:rsidR="00E436D1" w:rsidP="00E436D1" w14:paraId="08FC255F" w14:textId="77777777">
      <w:r>
        <w:t xml:space="preserve">De </w:t>
      </w:r>
      <w:r w:rsidR="007B7D93">
        <w:t>s</w:t>
      </w:r>
      <w:r w:rsidRPr="00C22A92" w:rsidR="00C11DDC">
        <w:t xml:space="preserve">taatssecretaris </w:t>
      </w:r>
      <w:r w:rsidR="00067D55">
        <w:t>van Binnenlandse Zaken en Koninkrijksrelaties,</w:t>
      </w:r>
    </w:p>
    <w:p w:rsidR="00E17F7D" w:rsidP="00E436D1" w14:paraId="4C325C31" w14:textId="77777777"/>
    <w:p w:rsidR="00907568" w:rsidP="00E436D1" w14:paraId="4307A3DC" w14:textId="77777777"/>
    <w:p w:rsidR="00E17F7D" w:rsidP="00E436D1" w14:paraId="17260385" w14:textId="77777777"/>
    <w:p w:rsidRPr="00E436D1" w:rsidR="00E17F7D" w:rsidP="00E436D1" w14:paraId="2861BB91" w14:textId="77777777"/>
    <w:p w:rsidRPr="00E436D1" w:rsidR="00E436D1" w:rsidP="00E436D1" w14:paraId="486570A2" w14:textId="77777777"/>
    <w:p w:rsidR="00730197" w14:paraId="769ED136" w14:textId="77777777">
      <w:r>
        <w:t>E</w:t>
      </w:r>
      <w:r w:rsidR="007B7D93">
        <w:t>ric</w:t>
      </w:r>
      <w:r>
        <w:t xml:space="preserve"> van der Burg</w:t>
      </w:r>
      <w:r w:rsidR="006672DD">
        <w:br/>
      </w:r>
    </w:p>
    <w:sectPr w:rsidSect="00274D47">
      <w:headerReference w:type="default" r:id="rId6"/>
      <w:headerReference w:type="first" r:id="rId7"/>
      <w:footerReference w:type="first" r:id="rId8"/>
      <w:pgSz w:w="11905" w:h="16837"/>
      <w:pgMar w:top="3966" w:right="2822" w:bottom="1081" w:left="1580"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197" w14:paraId="0550E223" w14:textId="77777777">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A27DD" w14:paraId="7BEC22E6" w14:textId="77777777">
      <w:pPr>
        <w:spacing w:line="240" w:lineRule="auto"/>
      </w:pPr>
      <w:r>
        <w:separator/>
      </w:r>
    </w:p>
  </w:footnote>
  <w:footnote w:type="continuationSeparator" w:id="1">
    <w:p w:rsidR="002A27DD" w14:paraId="068471F3" w14:textId="77777777">
      <w:pPr>
        <w:spacing w:line="240" w:lineRule="auto"/>
      </w:pPr>
      <w:r>
        <w:continuationSeparator/>
      </w:r>
    </w:p>
  </w:footnote>
  <w:footnote w:id="2">
    <w:p w:rsidR="000B184F" w:rsidRPr="00274D47" w:rsidP="000B184F" w14:paraId="65259C03" w14:textId="77777777">
      <w:pPr>
        <w:pStyle w:val="FootnoteText"/>
        <w:rPr>
          <w:sz w:val="16"/>
          <w:szCs w:val="16"/>
        </w:rPr>
      </w:pPr>
      <w:r w:rsidRPr="00274D47">
        <w:rPr>
          <w:rStyle w:val="FootnoteReference"/>
          <w:sz w:val="16"/>
          <w:szCs w:val="16"/>
        </w:rPr>
        <w:footnoteRef/>
      </w:r>
      <w:r w:rsidRPr="00274D47">
        <w:rPr>
          <w:sz w:val="16"/>
          <w:szCs w:val="16"/>
        </w:rPr>
        <w:t xml:space="preserve"> </w:t>
      </w:r>
      <w:r>
        <w:rPr>
          <w:sz w:val="16"/>
          <w:szCs w:val="16"/>
        </w:rPr>
        <w:t>Tweede Kamer, vergaderjaar</w:t>
      </w:r>
      <w:r w:rsidRPr="00274D47">
        <w:rPr>
          <w:sz w:val="16"/>
          <w:szCs w:val="16"/>
        </w:rPr>
        <w:t xml:space="preserve"> 201</w:t>
      </w:r>
      <w:r>
        <w:rPr>
          <w:sz w:val="16"/>
          <w:szCs w:val="16"/>
        </w:rPr>
        <w:t>0-20</w:t>
      </w:r>
      <w:r w:rsidRPr="00274D47">
        <w:rPr>
          <w:sz w:val="16"/>
          <w:szCs w:val="16"/>
        </w:rPr>
        <w:t>11, 32600, nr. 3, p. 6</w:t>
      </w:r>
    </w:p>
  </w:footnote>
  <w:footnote w:id="3">
    <w:p w:rsidR="00D0379F" w:rsidRPr="00D07A64" w:rsidP="00D0379F" w14:paraId="6EDF1ED7" w14:textId="77777777">
      <w:pPr>
        <w:pStyle w:val="FootnoteText"/>
        <w:rPr>
          <w:rStyle w:val="FootnoteReference"/>
          <w:sz w:val="16"/>
          <w:szCs w:val="16"/>
        </w:rPr>
      </w:pPr>
      <w:r w:rsidRPr="00D07A64">
        <w:rPr>
          <w:rStyle w:val="FootnoteReference"/>
          <w:sz w:val="16"/>
          <w:szCs w:val="16"/>
        </w:rPr>
        <w:footnoteRef/>
      </w:r>
      <w:r w:rsidRPr="00D07A64">
        <w:rPr>
          <w:rStyle w:val="FootnoteReference"/>
          <w:sz w:val="16"/>
          <w:szCs w:val="16"/>
        </w:rPr>
        <w:t xml:space="preserve"> </w:t>
      </w:r>
      <w:r w:rsidRPr="00D07A64">
        <w:rPr>
          <w:sz w:val="16"/>
          <w:szCs w:val="16"/>
        </w:rPr>
        <w:t>Tweede Kamer, vergaderjaar 2024–2025, 31 490, nr. 375.</w:t>
      </w:r>
    </w:p>
  </w:footnote>
  <w:footnote w:id="4">
    <w:p w:rsidR="00233A65" w:rsidRPr="00D07A64" w14:paraId="00AF12B3" w14:textId="77777777">
      <w:pPr>
        <w:pStyle w:val="FootnoteText"/>
        <w:rPr>
          <w:sz w:val="16"/>
          <w:szCs w:val="16"/>
        </w:rPr>
      </w:pPr>
      <w:r w:rsidRPr="00D07A64">
        <w:rPr>
          <w:rStyle w:val="FootnoteReference"/>
          <w:sz w:val="16"/>
          <w:szCs w:val="16"/>
        </w:rPr>
        <w:footnoteRef/>
      </w:r>
      <w:r w:rsidRPr="00D07A64">
        <w:rPr>
          <w:sz w:val="16"/>
          <w:szCs w:val="16"/>
        </w:rPr>
        <w:t xml:space="preserve"> </w:t>
      </w:r>
      <w:r w:rsidRPr="00D07A64" w:rsidR="007711D4">
        <w:rPr>
          <w:sz w:val="16"/>
          <w:szCs w:val="16"/>
        </w:rPr>
        <w:t xml:space="preserve">Met </w:t>
      </w:r>
      <w:r w:rsidRPr="00D07A64">
        <w:rPr>
          <w:sz w:val="16"/>
          <w:szCs w:val="16"/>
        </w:rPr>
        <w:t>ontslaguitkering</w:t>
      </w:r>
      <w:r w:rsidRPr="00D07A64" w:rsidR="007711D4">
        <w:rPr>
          <w:sz w:val="16"/>
          <w:szCs w:val="16"/>
        </w:rPr>
        <w:t xml:space="preserve"> wordt bedoeld een uitkering wegens beëindiging van het dienstverband.</w:t>
      </w:r>
    </w:p>
  </w:footnote>
  <w:footnote w:id="5">
    <w:p w:rsidR="00576D9D" w:rsidRPr="00D07A64" w14:paraId="576D026A" w14:textId="77777777">
      <w:pPr>
        <w:pStyle w:val="FootnoteText"/>
        <w:rPr>
          <w:sz w:val="16"/>
          <w:szCs w:val="16"/>
        </w:rPr>
      </w:pPr>
      <w:r w:rsidRPr="00D07A64">
        <w:rPr>
          <w:rStyle w:val="FootnoteReference"/>
          <w:sz w:val="16"/>
          <w:szCs w:val="16"/>
        </w:rPr>
        <w:footnoteRef/>
      </w:r>
      <w:r w:rsidRPr="00D07A64">
        <w:rPr>
          <w:sz w:val="16"/>
          <w:szCs w:val="16"/>
        </w:rPr>
        <w:t xml:space="preserve"> Die jaarlijks aan uw Kamer worden gestuurd, meest recent </w:t>
      </w:r>
      <w:r w:rsidRPr="00D07A64" w:rsidR="007711D4">
        <w:rPr>
          <w:sz w:val="16"/>
          <w:szCs w:val="16"/>
        </w:rPr>
        <w:t>19 december 2025, TK 2025–2026</w:t>
      </w:r>
      <w:r w:rsidRPr="00D07A64" w:rsidR="00067D55">
        <w:rPr>
          <w:sz w:val="16"/>
          <w:szCs w:val="16"/>
        </w:rPr>
        <w:t>,</w:t>
      </w:r>
      <w:r w:rsidRPr="00D07A64" w:rsidR="007711D4">
        <w:rPr>
          <w:sz w:val="16"/>
          <w:szCs w:val="16"/>
        </w:rPr>
        <w:t xml:space="preserve"> 30 111</w:t>
      </w:r>
      <w:r w:rsidRPr="00D07A64" w:rsidR="00067D55">
        <w:rPr>
          <w:sz w:val="16"/>
          <w:szCs w:val="16"/>
        </w:rPr>
        <w:t>,</w:t>
      </w:r>
      <w:r w:rsidRPr="00D07A64" w:rsidR="007711D4">
        <w:rPr>
          <w:sz w:val="16"/>
          <w:szCs w:val="16"/>
        </w:rPr>
        <w:t xml:space="preserve"> </w:t>
      </w:r>
      <w:r w:rsidRPr="00D07A64" w:rsidR="004F708E">
        <w:rPr>
          <w:sz w:val="16"/>
          <w:szCs w:val="16"/>
        </w:rPr>
        <w:t>n</w:t>
      </w:r>
      <w:r w:rsidRPr="00D07A64" w:rsidR="007711D4">
        <w:rPr>
          <w:sz w:val="16"/>
          <w:szCs w:val="16"/>
        </w:rPr>
        <w:t>r. 132</w:t>
      </w:r>
      <w:r w:rsidRPr="00D07A64">
        <w:rPr>
          <w:sz w:val="16"/>
          <w:szCs w:val="16"/>
        </w:rPr>
        <w:t>.</w:t>
      </w:r>
    </w:p>
  </w:footnote>
  <w:footnote w:id="6">
    <w:p w:rsidR="004F708E" w:rsidRPr="00D07A64" w14:paraId="0C028EDA" w14:textId="77777777">
      <w:pPr>
        <w:pStyle w:val="FootnoteText"/>
        <w:rPr>
          <w:sz w:val="16"/>
          <w:szCs w:val="16"/>
        </w:rPr>
      </w:pPr>
      <w:r w:rsidRPr="00D07A64">
        <w:rPr>
          <w:rStyle w:val="FootnoteReference"/>
          <w:sz w:val="16"/>
          <w:szCs w:val="16"/>
        </w:rPr>
        <w:footnoteRef/>
      </w:r>
      <w:r w:rsidRPr="00D07A64">
        <w:rPr>
          <w:sz w:val="16"/>
          <w:szCs w:val="16"/>
        </w:rPr>
        <w:t xml:space="preserve"> Tweede Kamer, vergaderjaar 2020-2021, 30 111, nr. 125.</w:t>
      </w:r>
    </w:p>
  </w:footnote>
  <w:footnote w:id="7">
    <w:p w:rsidR="00BC5BD2" w:rsidRPr="00BC5BD2" w14:paraId="592F072D" w14:textId="77777777">
      <w:pPr>
        <w:pStyle w:val="FootnoteText"/>
        <w:rPr>
          <w:sz w:val="16"/>
          <w:szCs w:val="16"/>
        </w:rPr>
      </w:pPr>
      <w:r w:rsidRPr="00BC5BD2">
        <w:rPr>
          <w:rStyle w:val="FootnoteReference"/>
          <w:sz w:val="16"/>
          <w:szCs w:val="16"/>
        </w:rPr>
        <w:footnoteRef/>
      </w:r>
      <w:r>
        <w:rPr>
          <w:sz w:val="16"/>
          <w:szCs w:val="16"/>
        </w:rPr>
        <w:t xml:space="preserve"> Onderzoeksresultaten aantal recidive en overschrijdingen WNT</w:t>
      </w:r>
      <w:r w:rsidR="009D1E46">
        <w:rPr>
          <w:sz w:val="16"/>
          <w:szCs w:val="16"/>
        </w:rPr>
        <w:t>-</w:t>
      </w:r>
      <w:r>
        <w:rPr>
          <w:sz w:val="16"/>
          <w:szCs w:val="16"/>
        </w:rPr>
        <w:t>maximum, Intern onderzoek Eenheid Toezicht WNT, 18 december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197" w14:paraId="28252D62" w14:textId="77777777">
    <w:pPr>
      <w:pStyle w:val="MarginlessContainer"/>
    </w:pPr>
    <w:r>
      <w:rPr>
        <w:noProof/>
      </w:rPr>
      <mc:AlternateContent>
        <mc:Choice Requires="wps">
          <w:drawing>
            <wp:anchor distT="0" distB="0" distL="0" distR="0" simplePos="0" relativeHeight="251658240" behindDoc="0" locked="1" layoutInCell="1" allowOverlap="1">
              <wp:simplePos x="0" y="0"/>
              <wp:positionH relativeFrom="page">
                <wp:posOffset>1006475</wp:posOffset>
              </wp:positionH>
              <wp:positionV relativeFrom="page">
                <wp:posOffset>10223500</wp:posOffset>
              </wp:positionV>
              <wp:extent cx="1799589" cy="152400"/>
              <wp:effectExtent l="0" t="0" r="0" b="0"/>
              <wp:wrapNone/>
              <wp:docPr id="11" name="Rubricering onder vervolgpagina"/>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9589" cy="152400"/>
                      </a:xfrm>
                      <a:prstGeom prst="rect">
                        <a:avLst/>
                      </a:prstGeom>
                      <a:noFill/>
                    </wps:spPr>
                    <wps:txbx>
                      <w:txbxContent>
                        <w:p w:rsidR="00812DF8"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ubricering onder vervolgpagina" o:spid="_x0000_s2049" type="#_x0000_t202" style="width:141.7pt;height:12pt;margin-top:805pt;margin-left:79.2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812DF8" w14:paraId="5499CEEA"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5932170</wp:posOffset>
              </wp:positionH>
              <wp:positionV relativeFrom="page">
                <wp:posOffset>10223500</wp:posOffset>
              </wp:positionV>
              <wp:extent cx="1247775" cy="143510"/>
              <wp:effectExtent l="0" t="0" r="0" b="0"/>
              <wp:wrapNone/>
              <wp:docPr id="12" name="Paginanummer vervolgpagina"/>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775" cy="143510"/>
                      </a:xfrm>
                      <a:prstGeom prst="rect">
                        <a:avLst/>
                      </a:prstGeom>
                      <a:noFill/>
                    </wps:spPr>
                    <wps:txbx>
                      <w:txbxContent>
                        <w:p w:rsidR="00224143" w14:textId="77777777">
                          <w:pPr>
                            <w:pStyle w:val="Referentiegegevens"/>
                          </w:pPr>
                          <w:r>
                            <w:t xml:space="preserve">Pagina </w:t>
                          </w:r>
                          <w:r>
                            <w:fldChar w:fldCharType="begin"/>
                          </w:r>
                          <w:r>
                            <w:instrText>PAGE</w:instrText>
                          </w:r>
                          <w:r>
                            <w:fldChar w:fldCharType="separate"/>
                          </w:r>
                          <w:r>
                            <w:t>6</w:t>
                          </w:r>
                          <w:r>
                            <w:fldChar w:fldCharType="end"/>
                          </w:r>
                          <w:r>
                            <w:t xml:space="preserve"> van </w:t>
                          </w:r>
                          <w:r>
                            <w:fldChar w:fldCharType="begin"/>
                          </w:r>
                          <w:r>
                            <w:instrText>NUMPAGES</w:instrText>
                          </w:r>
                          <w:r>
                            <w:fldChar w:fldCharType="separate"/>
                          </w:r>
                          <w:r>
                            <w:t>6</w:t>
                          </w:r>
                          <w:r>
                            <w:fldChar w:fldCharType="end"/>
                          </w:r>
                        </w:p>
                      </w:txbxContent>
                    </wps:txbx>
                    <wps:bodyPr vert="horz" wrap="square" lIns="0" tIns="0" rIns="0" bIns="0" anchor="t" anchorCtr="0"/>
                  </wps:wsp>
                </a:graphicData>
              </a:graphic>
            </wp:anchor>
          </w:drawing>
        </mc:Choice>
        <mc:Fallback>
          <w:pict>
            <v:shape id="Paginanummer vervolgpagina" o:spid="_x0000_s2050" type="#_x0000_t202" style="width:98.25pt;height:11.3pt;margin-top:805pt;margin-left:467.1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224143" w14:paraId="44CB0F43" w14:textId="77777777">
                    <w:pPr>
                      <w:pStyle w:val="Referentiegegevens"/>
                    </w:pPr>
                    <w:r>
                      <w:t xml:space="preserve">Pagina </w:t>
                    </w:r>
                    <w:r>
                      <w:fldChar w:fldCharType="begin"/>
                    </w:r>
                    <w:r>
                      <w:instrText>PAGE</w:instrText>
                    </w:r>
                    <w:r>
                      <w:fldChar w:fldCharType="separate"/>
                    </w:r>
                    <w:r>
                      <w:t>6</w:t>
                    </w:r>
                    <w:r>
                      <w:fldChar w:fldCharType="end"/>
                    </w:r>
                    <w:r>
                      <w:t xml:space="preserve"> van </w:t>
                    </w:r>
                    <w:r>
                      <w:fldChar w:fldCharType="begin"/>
                    </w:r>
                    <w:r>
                      <w:instrText>NUMPAGES</w:instrText>
                    </w:r>
                    <w:r>
                      <w:fldChar w:fldCharType="separate"/>
                    </w:r>
                    <w:r>
                      <w:t>6</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5932170</wp:posOffset>
              </wp:positionH>
              <wp:positionV relativeFrom="page">
                <wp:posOffset>1925955</wp:posOffset>
              </wp:positionV>
              <wp:extent cx="1247140" cy="8086090"/>
              <wp:effectExtent l="0" t="0" r="0" b="0"/>
              <wp:wrapNone/>
              <wp:docPr id="13" name="Colofon vervolgpagina"/>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140" cy="8086090"/>
                      </a:xfrm>
                      <a:prstGeom prst="rect">
                        <a:avLst/>
                      </a:prstGeom>
                      <a:noFill/>
                    </wps:spPr>
                    <wps:txbx>
                      <w:txbxContent>
                        <w:p w:rsidR="00730197" w14:textId="77777777">
                          <w:pPr>
                            <w:pStyle w:val="Kopjeafzendgegevens"/>
                          </w:pPr>
                          <w:r>
                            <w:t>Ministerie van Binnenlandse Zaken en Koninkrijksrelaties</w:t>
                          </w:r>
                        </w:p>
                        <w:p w:rsidR="00730197" w14:textId="77777777">
                          <w:pPr>
                            <w:pStyle w:val="WitregelW1"/>
                          </w:pPr>
                        </w:p>
                        <w:p w:rsidR="00730197" w14:textId="77777777">
                          <w:pPr>
                            <w:pStyle w:val="WitregelW1"/>
                          </w:pPr>
                        </w:p>
                        <w:p w:rsidR="00730197" w14:textId="77777777">
                          <w:pPr>
                            <w:pStyle w:val="Kopjereferentiegegevens"/>
                          </w:pPr>
                          <w:r>
                            <w:t>Datum</w:t>
                          </w:r>
                        </w:p>
                        <w:p w:rsidR="00730197" w14:textId="77777777">
                          <w:pPr>
                            <w:pStyle w:val="Referentiegegevens"/>
                          </w:pPr>
                        </w:p>
                        <w:p w:rsidR="00730197" w14:textId="77777777">
                          <w:pPr>
                            <w:pStyle w:val="WitregelW1"/>
                          </w:pPr>
                        </w:p>
                        <w:p w:rsidR="00730197" w14:textId="77777777">
                          <w:pPr>
                            <w:pStyle w:val="Kopjereferentiegegevens"/>
                          </w:pPr>
                          <w:r>
                            <w:t>Kenmerk</w:t>
                          </w:r>
                        </w:p>
                        <w:p w:rsidR="00730197" w14:textId="77777777">
                          <w:pPr>
                            <w:pStyle w:val="Referentiegegevens"/>
                          </w:pPr>
                        </w:p>
                      </w:txbxContent>
                    </wps:txbx>
                    <wps:bodyPr vert="horz" wrap="square" lIns="0" tIns="0" rIns="0" bIns="0" anchor="t" anchorCtr="0"/>
                  </wps:wsp>
                </a:graphicData>
              </a:graphic>
            </wp:anchor>
          </w:drawing>
        </mc:Choice>
        <mc:Fallback>
          <w:pict>
            <v:shape id="Colofon vervolgpagina" o:spid="_x0000_s2051" type="#_x0000_t202" style="width:98.2pt;height:636.7pt;margin-top:151.65pt;margin-left:467.1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730197" w14:paraId="76961331" w14:textId="77777777">
                    <w:pPr>
                      <w:pStyle w:val="Kopjeafzendgegevens"/>
                    </w:pPr>
                    <w:r>
                      <w:t>Ministerie van Binnenlandse Zaken en Koninkrijksrelaties</w:t>
                    </w:r>
                  </w:p>
                  <w:p w:rsidR="00730197" w14:paraId="766B2B85" w14:textId="77777777">
                    <w:pPr>
                      <w:pStyle w:val="WitregelW1"/>
                    </w:pPr>
                  </w:p>
                  <w:p w:rsidR="00730197" w14:paraId="08717CBD" w14:textId="77777777">
                    <w:pPr>
                      <w:pStyle w:val="WitregelW1"/>
                    </w:pPr>
                  </w:p>
                  <w:p w:rsidR="00730197" w14:paraId="04CB1609" w14:textId="77777777">
                    <w:pPr>
                      <w:pStyle w:val="Kopjereferentiegegevens"/>
                    </w:pPr>
                    <w:r>
                      <w:t>Datum</w:t>
                    </w:r>
                  </w:p>
                  <w:p w:rsidR="00730197" w14:paraId="7E1913A9" w14:textId="77777777">
                    <w:pPr>
                      <w:pStyle w:val="Referentiegegevens"/>
                    </w:pPr>
                  </w:p>
                  <w:p w:rsidR="00730197" w14:paraId="231423AC" w14:textId="77777777">
                    <w:pPr>
                      <w:pStyle w:val="WitregelW1"/>
                    </w:pPr>
                  </w:p>
                  <w:p w:rsidR="00730197" w14:paraId="56A938E7" w14:textId="77777777">
                    <w:pPr>
                      <w:pStyle w:val="Kopjereferentiegegevens"/>
                    </w:pPr>
                    <w:r>
                      <w:t>Kenmerk</w:t>
                    </w:r>
                  </w:p>
                  <w:p w:rsidR="00730197" w14:paraId="34F8D155" w14:textId="77777777">
                    <w:pPr>
                      <w:pStyle w:val="Referentiegegevens"/>
                    </w:pP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ge">
                <wp:posOffset>1925955</wp:posOffset>
              </wp:positionV>
              <wp:extent cx="3343275" cy="180975"/>
              <wp:effectExtent l="0" t="0" r="0" b="0"/>
              <wp:wrapNone/>
              <wp:docPr id="14" name="Rubricering boven vervolgpagina"/>
              <wp:cNvGraphicFramePr/>
              <a:graphic xmlns:a="http://schemas.openxmlformats.org/drawingml/2006/main">
                <a:graphicData uri="http://schemas.microsoft.com/office/word/2010/wordprocessingShape">
                  <wps:wsp xmlns:wps="http://schemas.microsoft.com/office/word/2010/wordprocessingShape">
                    <wps:cNvSpPr txBox="1"/>
                    <wps:spPr>
                      <a:xfrm>
                        <a:off x="0" y="0"/>
                        <a:ext cx="3343275" cy="180975"/>
                      </a:xfrm>
                      <a:prstGeom prst="rect">
                        <a:avLst/>
                      </a:prstGeom>
                      <a:noFill/>
                    </wps:spPr>
                    <wps:txbx>
                      <w:txbxContent>
                        <w:p w:rsidR="00812DF8" w14:textId="77777777"/>
                      </w:txbxContent>
                    </wps:txbx>
                    <wps:bodyPr vert="horz" wrap="square" lIns="0" tIns="0" rIns="0" bIns="0" anchor="t" anchorCtr="0"/>
                  </wps:wsp>
                </a:graphicData>
              </a:graphic>
            </wp:anchor>
          </w:drawing>
        </mc:Choice>
        <mc:Fallback>
          <w:pict>
            <v:shape id="Rubricering boven vervolgpagina" o:spid="_x0000_s2052" type="#_x0000_t202" style="width:263.25pt;height:14.25pt;margin-top:151.65pt;margin-left:79.3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812DF8" w14:paraId="761695E5" w14:textId="77777777"/>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197" w14:paraId="0A3A9F7B" w14:textId="77777777">
    <w:pPr>
      <w:pStyle w:val="MarginlessContainer"/>
      <w:spacing w:after="7222"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812DF8"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Logo"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812DF8" w14:paraId="0F7EA4E8"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4013835</wp:posOffset>
              </wp:positionH>
              <wp:positionV relativeFrom="page">
                <wp:posOffset>0</wp:posOffset>
              </wp:positionV>
              <wp:extent cx="2339975" cy="1583690"/>
              <wp:effectExtent l="0" t="0" r="0" b="0"/>
              <wp:wrapNone/>
              <wp:docPr id="2" name="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730197" w14:textId="77777777">
                          <w:pPr>
                            <w:pStyle w:val="MarginlessContainer"/>
                          </w:pPr>
                          <w:r>
                            <w:rPr>
                              <w:noProof/>
                            </w:rPr>
                            <w:drawing>
                              <wp:inline distT="0" distB="0" distL="0" distR="0">
                                <wp:extent cx="2339975" cy="1582834"/>
                                <wp:effectExtent l="0" t="0" r="0" b="0"/>
                                <wp:docPr id="247748609" name="BZK_standaard"/>
                                <wp:cNvGraphicFramePr/>
                                <a:graphic xmlns:a="http://schemas.openxmlformats.org/drawingml/2006/main">
                                  <a:graphicData uri="http://schemas.openxmlformats.org/drawingml/2006/picture">
                                    <pic:pic xmlns:pic="http://schemas.openxmlformats.org/drawingml/2006/picture">
                                      <pic:nvPicPr>
                                        <pic:cNvPr id="247748609" name="BZK_standaard"/>
                                        <pic:cNvPicPr/>
                                      </pic:nvPicPr>
                                      <pic:blipFill>
                                        <a:blip xmlns:r="http://schemas.openxmlformats.org/officeDocument/2006/relationships"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 o:spid="_x0000_s2054" type="#_x0000_t202" style="width:184.25pt;height:124.7pt;margin-top:0;margin-left:316.05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730197" w14:paraId="0FB11F54" w14:textId="77777777">
                    <w:pPr>
                      <w:pStyle w:val="MarginlessContainer"/>
                    </w:p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xmlns:r="http://schemas.openxmlformats.org/officeDocument/2006/relationships" r:embed="rId1"/>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319905" cy="107950"/>
              <wp:effectExtent l="0" t="0" r="0" b="0"/>
              <wp:wrapNone/>
              <wp:docPr id="4" name="Retouradres"/>
              <wp:cNvGraphicFramePr/>
              <a:graphic xmlns:a="http://schemas.openxmlformats.org/drawingml/2006/main">
                <a:graphicData uri="http://schemas.microsoft.com/office/word/2010/wordprocessingShape">
                  <wps:wsp xmlns:wps="http://schemas.microsoft.com/office/word/2010/wordprocessingShape">
                    <wps:cNvSpPr txBox="1"/>
                    <wps:spPr>
                      <a:xfrm>
                        <a:off x="0" y="0"/>
                        <a:ext cx="4319905" cy="107950"/>
                      </a:xfrm>
                      <a:prstGeom prst="rect">
                        <a:avLst/>
                      </a:prstGeom>
                      <a:noFill/>
                    </wps:spPr>
                    <wps:txbx>
                      <w:txbxContent>
                        <w:p w:rsidR="00730197"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Retouradres" o:spid="_x0000_s2055" type="#_x0000_t202" style="width:340.15pt;height:8.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730197" w14:paraId="6C82CE8E"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1967864</wp:posOffset>
              </wp:positionV>
              <wp:extent cx="3352165" cy="1186180"/>
              <wp:effectExtent l="0" t="0" r="0" b="0"/>
              <wp:wrapNone/>
              <wp:docPr id="5" name="Toezendgegevens"/>
              <wp:cNvGraphicFramePr/>
              <a:graphic xmlns:a="http://schemas.openxmlformats.org/drawingml/2006/main">
                <a:graphicData uri="http://schemas.microsoft.com/office/word/2010/wordprocessingShape">
                  <wps:wsp xmlns:wps="http://schemas.microsoft.com/office/word/2010/wordprocessingShape">
                    <wps:cNvSpPr txBox="1"/>
                    <wps:spPr>
                      <a:xfrm>
                        <a:off x="0" y="0"/>
                        <a:ext cx="3352165" cy="1186180"/>
                      </a:xfrm>
                      <a:prstGeom prst="rect">
                        <a:avLst/>
                      </a:prstGeom>
                      <a:noFill/>
                    </wps:spPr>
                    <wps:txbx>
                      <w:txbxContent>
                        <w:p w:rsidR="00730197" w14:textId="77777777">
                          <w:pPr>
                            <w:pStyle w:val="WitregelW1bodytekst"/>
                          </w:pPr>
                          <w:r>
                            <w:t xml:space="preserve"> </w:t>
                          </w:r>
                        </w:p>
                        <w:p w:rsidR="00730197" w14:textId="77777777">
                          <w:r>
                            <w:t>Aan 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id="Toezendgegevens" o:spid="_x0000_s2056" type="#_x0000_t202" style="width:263.95pt;height:93.4pt;margin-top:154.95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730197" w14:paraId="7F60B4B0" w14:textId="77777777">
                    <w:pPr>
                      <w:pStyle w:val="WitregelW1bodytekst"/>
                    </w:pPr>
                    <w:r>
                      <w:t xml:space="preserve"> </w:t>
                    </w:r>
                  </w:p>
                  <w:p w:rsidR="00730197" w14:paraId="3C00B90D" w14:textId="77777777">
                    <w:r>
                      <w:t>Aan de Voorzitter van de Tweede Kamer</w:t>
                    </w:r>
                    <w:r>
                      <w:br/>
                      <w:t>der Staten-Generaal</w:t>
                    </w:r>
                    <w:r>
                      <w:br/>
                      <w:t>Postbus 20018</w:t>
                    </w:r>
                    <w:r>
                      <w:b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1007744</wp:posOffset>
              </wp:positionH>
              <wp:positionV relativeFrom="page">
                <wp:posOffset>3725545</wp:posOffset>
              </wp:positionV>
              <wp:extent cx="4761865" cy="800100"/>
              <wp:effectExtent l="0" t="0" r="0" b="0"/>
              <wp:wrapNone/>
              <wp:docPr id="6" name="Documenteigenschappen"/>
              <wp:cNvGraphicFramePr/>
              <a:graphic xmlns:a="http://schemas.openxmlformats.org/drawingml/2006/main">
                <a:graphicData uri="http://schemas.microsoft.com/office/word/2010/wordprocessingShape">
                  <wps:wsp xmlns:wps="http://schemas.microsoft.com/office/word/2010/wordprocessingShape">
                    <wps:cNvSpPr txBox="1"/>
                    <wps:spPr>
                      <a:xfrm>
                        <a:off x="0" y="0"/>
                        <a:ext cx="4761865" cy="800100"/>
                      </a:xfrm>
                      <a:prstGeom prst="rect">
                        <a:avLst/>
                      </a:prstGeom>
                      <a:noFill/>
                    </wps:spPr>
                    <wps:txbx>
                      <w:txbxContent>
                        <w:tbl>
                          <w:tblPr>
                            <w:tblW w:w="0" w:type="auto"/>
                            <w:tblLayout w:type="fixed"/>
                            <w:tblLook w:val="07E0"/>
                          </w:tblPr>
                          <w:tblGrid>
                            <w:gridCol w:w="1140"/>
                            <w:gridCol w:w="5918"/>
                          </w:tblGrid>
                          <w:tr w14:paraId="10AED0B1" w14:textId="77777777">
                            <w:tblPrEx>
                              <w:tblW w:w="0" w:type="auto"/>
                              <w:tblLayout w:type="fixed"/>
                              <w:tblLook w:val="07E0"/>
                            </w:tblPrEx>
                            <w:trPr>
                              <w:trHeight w:val="200"/>
                            </w:trPr>
                            <w:tc>
                              <w:tcPr>
                                <w:tcW w:w="1140" w:type="dxa"/>
                              </w:tcPr>
                              <w:p w:rsidR="00730197" w14:textId="77777777"/>
                            </w:tc>
                            <w:tc>
                              <w:tcPr>
                                <w:tcW w:w="5918" w:type="dxa"/>
                              </w:tcPr>
                              <w:p w:rsidR="00730197" w14:textId="77777777"/>
                            </w:tc>
                          </w:tr>
                          <w:tr w14:paraId="5156C00A" w14:textId="77777777">
                            <w:tblPrEx>
                              <w:tblW w:w="0" w:type="auto"/>
                              <w:tblLayout w:type="fixed"/>
                              <w:tblLook w:val="07E0"/>
                            </w:tblPrEx>
                            <w:trPr>
                              <w:trHeight w:val="300"/>
                            </w:trPr>
                            <w:tc>
                              <w:tcPr>
                                <w:tcW w:w="1140" w:type="dxa"/>
                              </w:tcPr>
                              <w:p w:rsidR="00730197" w14:textId="77777777">
                                <w:r>
                                  <w:t>Datum</w:t>
                                </w:r>
                              </w:p>
                            </w:tc>
                            <w:tc>
                              <w:tcPr>
                                <w:tcW w:w="5918" w:type="dxa"/>
                              </w:tcPr>
                              <w:p w:rsidR="00730197" w:rsidP="00B25884" w14:textId="3A2DAEA6">
                                <w:pPr>
                                  <w:pStyle w:val="Gegevensdocument"/>
                                </w:pPr>
                                <w:r>
                                  <w:t>3 juli 2026</w:t>
                                </w:r>
                              </w:p>
                            </w:tc>
                          </w:tr>
                          <w:tr w14:paraId="40F6F37F" w14:textId="77777777">
                            <w:tblPrEx>
                              <w:tblW w:w="0" w:type="auto"/>
                              <w:tblLayout w:type="fixed"/>
                              <w:tblLook w:val="07E0"/>
                            </w:tblPrEx>
                            <w:trPr>
                              <w:trHeight w:val="300"/>
                            </w:trPr>
                            <w:tc>
                              <w:tcPr>
                                <w:tcW w:w="1140" w:type="dxa"/>
                              </w:tcPr>
                              <w:p w:rsidR="00730197" w14:textId="77777777">
                                <w:r>
                                  <w:t>Betreft</w:t>
                                </w:r>
                              </w:p>
                            </w:tc>
                            <w:tc>
                              <w:tcPr>
                                <w:tcW w:w="5918" w:type="dxa"/>
                              </w:tcPr>
                              <w:p w:rsidR="00730197" w:rsidP="0044664C" w14:textId="77777777">
                                <w:bookmarkStart w:id="1" w:name="_Hlk233971528"/>
                                <w:r w:rsidRPr="00D0379F">
                                  <w:t xml:space="preserve">Brief </w:t>
                                </w:r>
                                <w:r w:rsidRPr="00D0379F">
                                  <w:t>inzake</w:t>
                                </w:r>
                                <w:r w:rsidRPr="00D0379F">
                                  <w:t xml:space="preserve"> de op 21 mei 2025 door de Tweede Kamer aangenomen motie over</w:t>
                                </w:r>
                                <w:r w:rsidRPr="00D0379F">
                                  <w:rPr>
                                    <w:rFonts w:asciiTheme="minorHAnsi" w:eastAsiaTheme="minorHAnsi" w:hAnsiTheme="minorHAnsi" w:cstheme="minorBidi"/>
                                    <w:color w:val="auto"/>
                                    <w:kern w:val="2"/>
                                    <w:sz w:val="22"/>
                                    <w:szCs w:val="22"/>
                                    <w:lang w:eastAsia="en-US"/>
                                    <w14:ligatures w14:val="standardContextual"/>
                                  </w:rPr>
                                  <w:t xml:space="preserve"> </w:t>
                                </w:r>
                                <w:r w:rsidRPr="00D0379F">
                                  <w:t>een effectievere naleving van de W</w:t>
                                </w:r>
                                <w:r>
                                  <w:t>et Normering Topinkomens</w:t>
                                </w:r>
                                <w:r w:rsidR="00A62077">
                                  <w:t xml:space="preserve"> (WNT)</w:t>
                                </w:r>
                                <w:r>
                                  <w:t xml:space="preserve">. </w:t>
                                </w:r>
                                <w:bookmarkEnd w:id="1"/>
                              </w:p>
                            </w:tc>
                          </w:tr>
                          <w:tr w14:paraId="6C6B364F" w14:textId="77777777">
                            <w:tblPrEx>
                              <w:tblW w:w="0" w:type="auto"/>
                              <w:tblLayout w:type="fixed"/>
                              <w:tblLook w:val="07E0"/>
                            </w:tblPrEx>
                            <w:trPr>
                              <w:trHeight w:val="200"/>
                            </w:trPr>
                            <w:tc>
                              <w:tcPr>
                                <w:tcW w:w="1140" w:type="dxa"/>
                              </w:tcPr>
                              <w:p w:rsidR="00730197" w14:textId="77777777"/>
                            </w:tc>
                            <w:tc>
                              <w:tcPr>
                                <w:tcW w:w="5918" w:type="dxa"/>
                              </w:tcPr>
                              <w:p w:rsidR="00730197" w14:textId="77777777"/>
                            </w:tc>
                          </w:tr>
                        </w:tbl>
                        <w:p w:rsidR="00812DF8" w14:textId="77777777"/>
                      </w:txbxContent>
                    </wps:txbx>
                    <wps:bodyPr vert="horz" wrap="square" lIns="0" tIns="0" rIns="0" bIns="0" anchor="t" anchorCtr="0"/>
                  </wps:wsp>
                </a:graphicData>
              </a:graphic>
            </wp:anchor>
          </w:drawing>
        </mc:Choice>
        <mc:Fallback>
          <w:pict>
            <v:shape id="Documenteigenschappen" o:spid="_x0000_s2057" type="#_x0000_t202" style="width:374.95pt;height:63pt;margin-top:293.35pt;margin-left:79.35pt;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10AED0B0" w14:textId="77777777">
                      <w:tblPrEx>
                        <w:tblW w:w="0" w:type="auto"/>
                        <w:tblLayout w:type="fixed"/>
                        <w:tblLook w:val="07E0"/>
                      </w:tblPrEx>
                      <w:trPr>
                        <w:trHeight w:val="200"/>
                      </w:trPr>
                      <w:tc>
                        <w:tcPr>
                          <w:tcW w:w="1140" w:type="dxa"/>
                        </w:tcPr>
                        <w:p w:rsidR="00730197" w14:paraId="4D66C931" w14:textId="77777777"/>
                      </w:tc>
                      <w:tc>
                        <w:tcPr>
                          <w:tcW w:w="5918" w:type="dxa"/>
                        </w:tcPr>
                        <w:p w:rsidR="00730197" w14:paraId="7B413C2F" w14:textId="77777777"/>
                      </w:tc>
                    </w:tr>
                    <w:tr w14:paraId="5156C009" w14:textId="77777777">
                      <w:tblPrEx>
                        <w:tblW w:w="0" w:type="auto"/>
                        <w:tblLayout w:type="fixed"/>
                        <w:tblLook w:val="07E0"/>
                      </w:tblPrEx>
                      <w:trPr>
                        <w:trHeight w:val="300"/>
                      </w:trPr>
                      <w:tc>
                        <w:tcPr>
                          <w:tcW w:w="1140" w:type="dxa"/>
                        </w:tcPr>
                        <w:p w:rsidR="00730197" w14:paraId="1D889BEC" w14:textId="77777777">
                          <w:r>
                            <w:t>Datum</w:t>
                          </w:r>
                        </w:p>
                      </w:tc>
                      <w:tc>
                        <w:tcPr>
                          <w:tcW w:w="5918" w:type="dxa"/>
                        </w:tcPr>
                        <w:p w:rsidR="00730197" w:rsidP="00B25884" w14:paraId="1CD2781D" w14:textId="3A2DAEA6">
                          <w:pPr>
                            <w:pStyle w:val="Gegevensdocument"/>
                          </w:pPr>
                          <w:r>
                            <w:t>3 juli 2026</w:t>
                          </w:r>
                        </w:p>
                      </w:tc>
                    </w:tr>
                    <w:tr w14:paraId="40F6F37E" w14:textId="77777777">
                      <w:tblPrEx>
                        <w:tblW w:w="0" w:type="auto"/>
                        <w:tblLayout w:type="fixed"/>
                        <w:tblLook w:val="07E0"/>
                      </w:tblPrEx>
                      <w:trPr>
                        <w:trHeight w:val="300"/>
                      </w:trPr>
                      <w:tc>
                        <w:tcPr>
                          <w:tcW w:w="1140" w:type="dxa"/>
                        </w:tcPr>
                        <w:p w:rsidR="00730197" w14:paraId="0811E866" w14:textId="77777777">
                          <w:r>
                            <w:t>Betreft</w:t>
                          </w:r>
                        </w:p>
                      </w:tc>
                      <w:tc>
                        <w:tcPr>
                          <w:tcW w:w="5918" w:type="dxa"/>
                        </w:tcPr>
                        <w:p w:rsidR="00730197" w:rsidP="0044664C" w14:paraId="320D3D57" w14:textId="77777777">
                          <w:bookmarkStart w:id="1" w:name="_Hlk233971528"/>
                          <w:r w:rsidRPr="00D0379F">
                            <w:t xml:space="preserve">Brief </w:t>
                          </w:r>
                          <w:r w:rsidRPr="00D0379F">
                            <w:t>inzake</w:t>
                          </w:r>
                          <w:r w:rsidRPr="00D0379F">
                            <w:t xml:space="preserve"> de op 21 mei 2025 door de Tweede Kamer aangenomen motie over</w:t>
                          </w:r>
                          <w:r w:rsidRPr="00D0379F">
                            <w:rPr>
                              <w:rFonts w:asciiTheme="minorHAnsi" w:eastAsiaTheme="minorHAnsi" w:hAnsiTheme="minorHAnsi" w:cstheme="minorBidi"/>
                              <w:color w:val="auto"/>
                              <w:kern w:val="2"/>
                              <w:sz w:val="22"/>
                              <w:szCs w:val="22"/>
                              <w:lang w:eastAsia="en-US"/>
                              <w14:ligatures w14:val="standardContextual"/>
                            </w:rPr>
                            <w:t xml:space="preserve"> </w:t>
                          </w:r>
                          <w:r w:rsidRPr="00D0379F">
                            <w:t>een effectievere naleving van de W</w:t>
                          </w:r>
                          <w:r>
                            <w:t>et Normering Topinkomens</w:t>
                          </w:r>
                          <w:r w:rsidR="00A62077">
                            <w:t xml:space="preserve"> (WNT)</w:t>
                          </w:r>
                          <w:r>
                            <w:t xml:space="preserve">. </w:t>
                          </w:r>
                          <w:bookmarkEnd w:id="1"/>
                        </w:p>
                      </w:tc>
                    </w:tr>
                    <w:tr w14:paraId="6C6B364E" w14:textId="77777777">
                      <w:tblPrEx>
                        <w:tblW w:w="0" w:type="auto"/>
                        <w:tblLayout w:type="fixed"/>
                        <w:tblLook w:val="07E0"/>
                      </w:tblPrEx>
                      <w:trPr>
                        <w:trHeight w:val="200"/>
                      </w:trPr>
                      <w:tc>
                        <w:tcPr>
                          <w:tcW w:w="1140" w:type="dxa"/>
                        </w:tcPr>
                        <w:p w:rsidR="00730197" w14:paraId="5CE80E26" w14:textId="77777777"/>
                      </w:tc>
                      <w:tc>
                        <w:tcPr>
                          <w:tcW w:w="5918" w:type="dxa"/>
                        </w:tcPr>
                        <w:p w:rsidR="00730197" w14:paraId="4D73BECA" w14:textId="77777777"/>
                      </w:tc>
                    </w:tr>
                  </w:tbl>
                  <w:p w:rsidR="00812DF8" w14:paraId="680F2FE4"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1961514</wp:posOffset>
              </wp:positionV>
              <wp:extent cx="1277620" cy="8009890"/>
              <wp:effectExtent l="0" t="0" r="0" b="0"/>
              <wp:wrapNone/>
              <wp:docPr id="7" name="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30197" w14:textId="77777777">
                          <w:pPr>
                            <w:pStyle w:val="Kopjeafzendgegevens"/>
                          </w:pPr>
                          <w:r>
                            <w:t>Ministerie van Binnenlandse Zaken en Koninkrijksrelaties</w:t>
                          </w:r>
                        </w:p>
                        <w:p w:rsidR="00730197" w14:textId="77777777">
                          <w:pPr>
                            <w:pStyle w:val="WitregelW1"/>
                          </w:pPr>
                        </w:p>
                        <w:p w:rsidR="00730197" w:rsidRPr="006B0949" w14:textId="77777777">
                          <w:pPr>
                            <w:pStyle w:val="Afzendgegevens"/>
                            <w:rPr>
                              <w:lang w:val="de-DE"/>
                            </w:rPr>
                          </w:pPr>
                          <w:r w:rsidRPr="006B0949">
                            <w:rPr>
                              <w:lang w:val="de-DE"/>
                            </w:rPr>
                            <w:t>Turfmarkt</w:t>
                          </w:r>
                          <w:r w:rsidRPr="006B0949">
                            <w:rPr>
                              <w:lang w:val="de-DE"/>
                            </w:rPr>
                            <w:t xml:space="preserve"> 147</w:t>
                          </w:r>
                        </w:p>
                        <w:p w:rsidR="00730197" w:rsidRPr="006B0949" w14:textId="77777777">
                          <w:pPr>
                            <w:pStyle w:val="Afzendgegevens"/>
                            <w:rPr>
                              <w:lang w:val="de-DE"/>
                            </w:rPr>
                          </w:pPr>
                          <w:r w:rsidRPr="006B0949">
                            <w:rPr>
                              <w:lang w:val="de-DE"/>
                            </w:rPr>
                            <w:t>Den Haag</w:t>
                          </w:r>
                        </w:p>
                        <w:p w:rsidR="00730197" w:rsidRPr="006B0949" w14:textId="77777777">
                          <w:pPr>
                            <w:pStyle w:val="Afzendgegevens"/>
                            <w:rPr>
                              <w:lang w:val="de-DE"/>
                            </w:rPr>
                          </w:pPr>
                          <w:r w:rsidRPr="006B0949">
                            <w:rPr>
                              <w:lang w:val="de-DE"/>
                            </w:rPr>
                            <w:t>Postbus 20011</w:t>
                          </w:r>
                        </w:p>
                        <w:p w:rsidR="00730197" w:rsidRPr="006B0949" w14:textId="77777777">
                          <w:pPr>
                            <w:pStyle w:val="Afzendgegevens"/>
                            <w:rPr>
                              <w:lang w:val="de-DE"/>
                            </w:rPr>
                          </w:pPr>
                          <w:r w:rsidRPr="006B0949">
                            <w:rPr>
                              <w:lang w:val="de-DE"/>
                            </w:rPr>
                            <w:t xml:space="preserve">2500 EA </w:t>
                          </w:r>
                          <w:r w:rsidRPr="006B0949" w:rsidR="006672DD">
                            <w:rPr>
                              <w:lang w:val="de-DE"/>
                            </w:rPr>
                            <w:t>Den Haag</w:t>
                          </w:r>
                        </w:p>
                        <w:p w:rsidR="00730197" w:rsidRPr="006B0949" w14:textId="77777777">
                          <w:pPr>
                            <w:pStyle w:val="WitregelW1"/>
                            <w:rPr>
                              <w:lang w:val="de-DE"/>
                            </w:rPr>
                          </w:pPr>
                        </w:p>
                        <w:p w:rsidR="00730197" w:rsidRPr="006B0949" w14:textId="77777777">
                          <w:pPr>
                            <w:pStyle w:val="WitregelW1"/>
                            <w:rPr>
                              <w:lang w:val="de-DE"/>
                            </w:rPr>
                          </w:pPr>
                        </w:p>
                        <w:p w:rsidR="00730197" w:rsidP="00D0379F" w14:textId="77777777">
                          <w:pPr>
                            <w:pStyle w:val="Kopjereferentiegegevens"/>
                          </w:pPr>
                          <w:r>
                            <w:t>Kenmerk</w:t>
                          </w:r>
                        </w:p>
                        <w:p w:rsidR="00D0379F" w:rsidRPr="00CD5BAC" w:rsidP="00D0379F" w14:textId="6991ECEB">
                          <w:pPr>
                            <w:rPr>
                              <w:sz w:val="13"/>
                              <w:szCs w:val="13"/>
                            </w:rPr>
                          </w:pPr>
                          <w:r w:rsidRPr="00CD5BAC">
                            <w:rPr>
                              <w:sz w:val="13"/>
                              <w:szCs w:val="13"/>
                            </w:rPr>
                            <w:t>2026-0000312262</w:t>
                          </w:r>
                        </w:p>
                        <w:p w:rsidR="00730197" w14:textId="77777777">
                          <w:pPr>
                            <w:pStyle w:val="WitregelW1"/>
                          </w:pPr>
                        </w:p>
                        <w:p w:rsidR="00730197" w14:textId="77777777">
                          <w:pPr>
                            <w:pStyle w:val="Kopjereferentiegegevens"/>
                          </w:pPr>
                          <w:r>
                            <w:t>Uw kenmerk</w:t>
                          </w:r>
                        </w:p>
                        <w:p w:rsidR="00224143" w14:textId="77777777">
                          <w:pPr>
                            <w:pStyle w:val="Referentiegegevens"/>
                          </w:pPr>
                          <w:r>
                            <w:fldChar w:fldCharType="begin"/>
                          </w:r>
                          <w:r>
                            <w:instrText xml:space="preserve"> DOCPROPERTY  "UwKenmerk"  \* MERGEFORMAT </w:instrText>
                          </w:r>
                          <w:r>
                            <w:fldChar w:fldCharType="separate"/>
                          </w:r>
                          <w:r>
                            <w:fldChar w:fldCharType="end"/>
                          </w:r>
                        </w:p>
                        <w:p w:rsidR="00730197" w14:textId="77777777">
                          <w:pPr>
                            <w:pStyle w:val="WitregelW1"/>
                          </w:pPr>
                        </w:p>
                        <w:p w:rsidR="00730197" w14:textId="77777777">
                          <w:pPr>
                            <w:pStyle w:val="Kopjereferentiegegevens"/>
                          </w:pPr>
                          <w:r>
                            <w:t>Bijlage(n)</w:t>
                          </w:r>
                        </w:p>
                        <w:p w:rsidR="00730197" w14:textId="77777777">
                          <w:pPr>
                            <w:pStyle w:val="Referentiegegevens"/>
                          </w:pPr>
                          <w:r>
                            <w:t xml:space="preserve">Onderzoeksrapport uitbreiding </w:t>
                          </w:r>
                          <w:r w:rsidR="00846742">
                            <w:t>sanctie</w:t>
                          </w:r>
                          <w:r>
                            <w:t xml:space="preserve">regime WNT </w:t>
                          </w:r>
                          <w:r w:rsidR="001529F9">
                            <w:t xml:space="preserve">inclusief </w:t>
                          </w:r>
                          <w:r w:rsidR="00297BD5">
                            <w:t>3</w:t>
                          </w:r>
                          <w:r w:rsidR="00B30E9F">
                            <w:t xml:space="preserve"> </w:t>
                          </w:r>
                          <w:r w:rsidR="001529F9">
                            <w:t>bijlagen.</w:t>
                          </w:r>
                        </w:p>
                      </w:txbxContent>
                    </wps:txbx>
                    <wps:bodyPr vert="horz" wrap="square" lIns="0" tIns="0" rIns="0" bIns="0" anchor="t" anchorCtr="0"/>
                  </wps:wsp>
                </a:graphicData>
              </a:graphic>
            </wp:anchor>
          </w:drawing>
        </mc:Choice>
        <mc:Fallback>
          <w:pict>
            <v:shape id="Colofon" o:spid="_x0000_s2058" type="#_x0000_t202" style="width:100.6pt;height:630.7pt;margin-top:154.45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730197" w14:paraId="7351ABAF" w14:textId="77777777">
                    <w:pPr>
                      <w:pStyle w:val="Kopjeafzendgegevens"/>
                    </w:pPr>
                    <w:r>
                      <w:t>Ministerie van Binnenlandse Zaken en Koninkrijksrelaties</w:t>
                    </w:r>
                  </w:p>
                  <w:p w:rsidR="00730197" w14:paraId="1F344526" w14:textId="77777777">
                    <w:pPr>
                      <w:pStyle w:val="WitregelW1"/>
                    </w:pPr>
                  </w:p>
                  <w:p w:rsidR="00730197" w:rsidRPr="006B0949" w14:paraId="334D7DED" w14:textId="77777777">
                    <w:pPr>
                      <w:pStyle w:val="Afzendgegevens"/>
                      <w:rPr>
                        <w:lang w:val="de-DE"/>
                      </w:rPr>
                    </w:pPr>
                    <w:r w:rsidRPr="006B0949">
                      <w:rPr>
                        <w:lang w:val="de-DE"/>
                      </w:rPr>
                      <w:t>Turfmarkt</w:t>
                    </w:r>
                    <w:r w:rsidRPr="006B0949">
                      <w:rPr>
                        <w:lang w:val="de-DE"/>
                      </w:rPr>
                      <w:t xml:space="preserve"> 147</w:t>
                    </w:r>
                  </w:p>
                  <w:p w:rsidR="00730197" w:rsidRPr="006B0949" w14:paraId="3EE4ACA3" w14:textId="77777777">
                    <w:pPr>
                      <w:pStyle w:val="Afzendgegevens"/>
                      <w:rPr>
                        <w:lang w:val="de-DE"/>
                      </w:rPr>
                    </w:pPr>
                    <w:r w:rsidRPr="006B0949">
                      <w:rPr>
                        <w:lang w:val="de-DE"/>
                      </w:rPr>
                      <w:t>Den Haag</w:t>
                    </w:r>
                  </w:p>
                  <w:p w:rsidR="00730197" w:rsidRPr="006B0949" w14:paraId="65BFC440" w14:textId="77777777">
                    <w:pPr>
                      <w:pStyle w:val="Afzendgegevens"/>
                      <w:rPr>
                        <w:lang w:val="de-DE"/>
                      </w:rPr>
                    </w:pPr>
                    <w:r w:rsidRPr="006B0949">
                      <w:rPr>
                        <w:lang w:val="de-DE"/>
                      </w:rPr>
                      <w:t>Postbus 20011</w:t>
                    </w:r>
                  </w:p>
                  <w:p w:rsidR="00730197" w:rsidRPr="006B0949" w14:paraId="08D8BFB1" w14:textId="77777777">
                    <w:pPr>
                      <w:pStyle w:val="Afzendgegevens"/>
                      <w:rPr>
                        <w:lang w:val="de-DE"/>
                      </w:rPr>
                    </w:pPr>
                    <w:r w:rsidRPr="006B0949">
                      <w:rPr>
                        <w:lang w:val="de-DE"/>
                      </w:rPr>
                      <w:t xml:space="preserve">2500 EA </w:t>
                    </w:r>
                    <w:r w:rsidRPr="006B0949" w:rsidR="006672DD">
                      <w:rPr>
                        <w:lang w:val="de-DE"/>
                      </w:rPr>
                      <w:t>Den Haag</w:t>
                    </w:r>
                  </w:p>
                  <w:p w:rsidR="00730197" w:rsidRPr="006B0949" w14:paraId="7E3EA71D" w14:textId="77777777">
                    <w:pPr>
                      <w:pStyle w:val="WitregelW1"/>
                      <w:rPr>
                        <w:lang w:val="de-DE"/>
                      </w:rPr>
                    </w:pPr>
                  </w:p>
                  <w:p w:rsidR="00730197" w:rsidRPr="006B0949" w14:paraId="449DFE1E" w14:textId="77777777">
                    <w:pPr>
                      <w:pStyle w:val="WitregelW1"/>
                      <w:rPr>
                        <w:lang w:val="de-DE"/>
                      </w:rPr>
                    </w:pPr>
                  </w:p>
                  <w:p w:rsidR="00730197" w:rsidP="00D0379F" w14:paraId="7C2AA507" w14:textId="77777777">
                    <w:pPr>
                      <w:pStyle w:val="Kopjereferentiegegevens"/>
                    </w:pPr>
                    <w:r>
                      <w:t>Kenmerk</w:t>
                    </w:r>
                  </w:p>
                  <w:p w:rsidR="00D0379F" w:rsidRPr="00CD5BAC" w:rsidP="00D0379F" w14:paraId="0B09FF79" w14:textId="6991ECEB">
                    <w:pPr>
                      <w:rPr>
                        <w:sz w:val="13"/>
                        <w:szCs w:val="13"/>
                      </w:rPr>
                    </w:pPr>
                    <w:r w:rsidRPr="00CD5BAC">
                      <w:rPr>
                        <w:sz w:val="13"/>
                        <w:szCs w:val="13"/>
                      </w:rPr>
                      <w:t>2026-0000312262</w:t>
                    </w:r>
                  </w:p>
                  <w:p w:rsidR="00730197" w14:paraId="199A773D" w14:textId="77777777">
                    <w:pPr>
                      <w:pStyle w:val="WitregelW1"/>
                    </w:pPr>
                  </w:p>
                  <w:p w:rsidR="00730197" w14:paraId="55DD0E10" w14:textId="77777777">
                    <w:pPr>
                      <w:pStyle w:val="Kopjereferentiegegevens"/>
                    </w:pPr>
                    <w:r>
                      <w:t>Uw kenmerk</w:t>
                    </w:r>
                  </w:p>
                  <w:p w:rsidR="00224143" w14:paraId="1C7170C7" w14:textId="77777777">
                    <w:pPr>
                      <w:pStyle w:val="Referentiegegevens"/>
                    </w:pPr>
                    <w:r>
                      <w:fldChar w:fldCharType="begin"/>
                    </w:r>
                    <w:r>
                      <w:instrText xml:space="preserve"> DOCPROPERTY  "UwKenmerk"  \* MERGEFORMAT </w:instrText>
                    </w:r>
                    <w:r>
                      <w:fldChar w:fldCharType="separate"/>
                    </w:r>
                    <w:r>
                      <w:fldChar w:fldCharType="end"/>
                    </w:r>
                  </w:p>
                  <w:p w:rsidR="00730197" w14:paraId="47004A86" w14:textId="77777777">
                    <w:pPr>
                      <w:pStyle w:val="WitregelW1"/>
                    </w:pPr>
                  </w:p>
                  <w:p w:rsidR="00730197" w14:paraId="7137D46A" w14:textId="77777777">
                    <w:pPr>
                      <w:pStyle w:val="Kopjereferentiegegevens"/>
                    </w:pPr>
                    <w:r>
                      <w:t>Bijlage(n)</w:t>
                    </w:r>
                  </w:p>
                  <w:p w:rsidR="00730197" w14:paraId="05DCC944" w14:textId="77777777">
                    <w:pPr>
                      <w:pStyle w:val="Referentiegegevens"/>
                    </w:pPr>
                    <w:r>
                      <w:t xml:space="preserve">Onderzoeksrapport uitbreiding </w:t>
                    </w:r>
                    <w:r w:rsidR="00846742">
                      <w:t>sanctie</w:t>
                    </w:r>
                    <w:r>
                      <w:t xml:space="preserve">regime WNT </w:t>
                    </w:r>
                    <w:r w:rsidR="001529F9">
                      <w:t xml:space="preserve">inclusief </w:t>
                    </w:r>
                    <w:r w:rsidR="00297BD5">
                      <w:t>3</w:t>
                    </w:r>
                    <w:r w:rsidR="00B30E9F">
                      <w:t xml:space="preserve"> </w:t>
                    </w:r>
                    <w:r w:rsidR="001529F9">
                      <w:t>bijlagen.</w:t>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5932170</wp:posOffset>
              </wp:positionH>
              <wp:positionV relativeFrom="page">
                <wp:posOffset>10197465</wp:posOffset>
              </wp:positionV>
              <wp:extent cx="1247140" cy="142875"/>
              <wp:effectExtent l="0" t="0" r="0" b="0"/>
              <wp:wrapNone/>
              <wp:docPr id="8" name="Paginanumme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140" cy="142875"/>
                      </a:xfrm>
                      <a:prstGeom prst="rect">
                        <a:avLst/>
                      </a:prstGeom>
                      <a:noFill/>
                    </wps:spPr>
                    <wps:txbx>
                      <w:txbxContent>
                        <w:p w:rsidR="0022414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6</w:t>
                          </w:r>
                          <w:r>
                            <w:fldChar w:fldCharType="end"/>
                          </w:r>
                        </w:p>
                      </w:txbxContent>
                    </wps:txbx>
                    <wps:bodyPr vert="horz" wrap="square" lIns="0" tIns="0" rIns="0" bIns="0" anchor="t" anchorCtr="0"/>
                  </wps:wsp>
                </a:graphicData>
              </a:graphic>
            </wp:anchor>
          </w:drawing>
        </mc:Choice>
        <mc:Fallback>
          <w:pict>
            <v:shape id="Paginanummer" o:spid="_x0000_s2059" type="#_x0000_t202" style="width:98.2pt;height:11.25pt;margin-top:802.95pt;margin-left:467.1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224143" w14:paraId="6C51407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6</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10197465</wp:posOffset>
              </wp:positionV>
              <wp:extent cx="1800225" cy="151765"/>
              <wp:effectExtent l="0" t="0" r="0" b="0"/>
              <wp:wrapNone/>
              <wp:docPr id="9" name="Rubricering onder"/>
              <wp:cNvGraphicFramePr/>
              <a:graphic xmlns:a="http://schemas.openxmlformats.org/drawingml/2006/main">
                <a:graphicData uri="http://schemas.microsoft.com/office/word/2010/wordprocessingShape">
                  <wps:wsp xmlns:wps="http://schemas.microsoft.com/office/word/2010/wordprocessingShape">
                    <wps:cNvSpPr txBox="1"/>
                    <wps:spPr>
                      <a:xfrm>
                        <a:off x="0" y="0"/>
                        <a:ext cx="1800225" cy="151765"/>
                      </a:xfrm>
                      <a:prstGeom prst="rect">
                        <a:avLst/>
                      </a:prstGeom>
                      <a:noFill/>
                    </wps:spPr>
                    <wps:txbx>
                      <w:txbxContent>
                        <w:p w:rsidR="00812DF8" w14:textId="77777777"/>
                      </w:txbxContent>
                    </wps:txbx>
                    <wps:bodyPr vert="horz" wrap="square" lIns="0" tIns="0" rIns="0" bIns="0" anchor="t" anchorCtr="0"/>
                  </wps:wsp>
                </a:graphicData>
              </a:graphic>
            </wp:anchor>
          </w:drawing>
        </mc:Choice>
        <mc:Fallback>
          <w:pict>
            <v:shape id="Rubricering onder" o:spid="_x0000_s2060" type="#_x0000_t202" style="width:141.75pt;height:11.95pt;margin-top:802.9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812DF8" w14:paraId="65EDFAAD" w14:textId="77777777"/>
                </w:txbxContent>
              </v:textbox>
              <w10:anchorlock/>
            </v:shape>
          </w:pict>
        </mc:Fallback>
      </mc:AlternateContent>
    </w:r>
    <w:r>
      <w:rPr>
        <w:noProof/>
      </w:rPr>
      <mc:AlternateContent>
        <mc:Choice Requires="wps">
          <w:drawing>
            <wp:anchor distT="0" distB="0" distL="0" distR="0" simplePos="0" relativeHeight="251682816" behindDoc="0" locked="1" layoutInCell="1" allowOverlap="1">
              <wp:simplePos x="0" y="0"/>
              <wp:positionH relativeFrom="page">
                <wp:posOffset>1007744</wp:posOffset>
              </wp:positionH>
              <wp:positionV relativeFrom="page">
                <wp:posOffset>3161665</wp:posOffset>
              </wp:positionV>
              <wp:extent cx="1247140" cy="476250"/>
              <wp:effectExtent l="0" t="0" r="0" b="0"/>
              <wp:wrapNone/>
              <wp:docPr id="10" name="Documentnaam"/>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140" cy="476250"/>
                      </a:xfrm>
                      <a:prstGeom prst="rect">
                        <a:avLst/>
                      </a:prstGeom>
                      <a:noFill/>
                    </wps:spPr>
                    <wps:txbx>
                      <w:txbxContent>
                        <w:p w:rsidR="00812DF8" w14:textId="77777777"/>
                      </w:txbxContent>
                    </wps:txbx>
                    <wps:bodyPr vert="horz" wrap="square" lIns="0" tIns="0" rIns="0" bIns="0" anchor="t" anchorCtr="0"/>
                  </wps:wsp>
                </a:graphicData>
              </a:graphic>
            </wp:anchor>
          </w:drawing>
        </mc:Choice>
        <mc:Fallback>
          <w:pict>
            <v:shape id="Documentnaam" o:spid="_x0000_s2061" type="#_x0000_t202" style="width:98.2pt;height:37.5pt;margin-top:248.95pt;margin-left:79.35pt;mso-position-horizontal-relative:page;mso-position-vertical-relative:page;mso-wrap-distance-bottom:0;mso-wrap-distance-left:0;mso-wrap-distance-right:0;mso-wrap-distance-top:0;mso-wrap-style:square;position:absolute;v-text-anchor:top;visibility:visible;z-index:251683840" filled="f" stroked="f">
              <v:textbox inset="0,0,0,0">
                <w:txbxContent>
                  <w:p w:rsidR="00812DF8" w14:paraId="7AC9F590"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006A3F9"/>
    <w:multiLevelType w:val="multilevel"/>
    <w:tmpl w:val="893393E1"/>
    <w:name w:val="Bijlage_Lid_Artikel"/>
    <w:lvl w:ilvl="0">
      <w:start w:val="1"/>
      <w:numFmt w:val="lowerLetter"/>
      <w:pStyle w:val="WOBBesluitBijlageLidArtikel"/>
      <w:lvlText w:val="%1."/>
      <w:lvlJc w:val="left"/>
      <w:pPr>
        <w:ind w:left="400" w:hanging="40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873F5F30"/>
    <w:multiLevelType w:val="multilevel"/>
    <w:tmpl w:val="AD63A3E9"/>
    <w:name w:val="RVIG Letteropsomming"/>
    <w:lvl w:ilvl="0">
      <w:start w:val="1"/>
      <w:numFmt w:val="upperLetter"/>
      <w:pStyle w:val="RVIGTekstbesluitmetletters"/>
      <w:lvlText w:val="%1."/>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8A916911"/>
    <w:multiLevelType w:val="multilevel"/>
    <w:tmpl w:val="506C83EB"/>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Jc w:val="left"/>
      <w:pPr>
        <w:ind w:left="1120" w:hanging="1120"/>
      </w:pPr>
    </w:lvl>
    <w:lvl w:ilvl="4">
      <w:start w:val="1"/>
      <w:numFmt w:val="bullet"/>
      <w:pStyle w:val="RapportNiveau5"/>
      <w:lvlText w:val="●"/>
      <w:lvlJc w:val="left"/>
      <w:pPr>
        <w:ind w:left="1600" w:hanging="360"/>
      </w:p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92D8BA33"/>
    <w:multiLevelType w:val="multilevel"/>
    <w:tmpl w:val="3980E19F"/>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948EBB7D"/>
    <w:multiLevelType w:val="multilevel"/>
    <w:tmpl w:val="EA748200"/>
    <w:name w:val="Convenant lettering Artikel"/>
    <w:lvl w:ilvl="0">
      <w:start w:val="1"/>
      <w:numFmt w:val="lowerLetter"/>
      <w:pStyle w:val="ConvenantLidletterstijl"/>
      <w:lvlText w:val="%1."/>
      <w:lvlJc w:val="left"/>
      <w:pPr>
        <w:ind w:left="714" w:hanging="714"/>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AE0C7A3F"/>
    <w:multiLevelType w:val="multilevel"/>
    <w:tmpl w:val="CC9AA690"/>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Jc w:val="left"/>
      <w:pPr>
        <w:ind w:left="740" w:hanging="320"/>
      </w:pPr>
    </w:lvl>
    <w:lvl w:ilvl="4">
      <w:start w:val="1"/>
      <w:numFmt w:val="decimal"/>
      <w:pStyle w:val="Robrfvniv5"/>
      <w:lvlJc w:val="left"/>
      <w:pPr>
        <w:ind w:left="420" w:hanging="420"/>
      </w:pPr>
    </w:lvl>
    <w:lvl w:ilvl="5">
      <w:start w:val="1"/>
      <w:numFmt w:val="lowerLetter"/>
      <w:pStyle w:val="Robrfvabc"/>
      <w:lvlText w:val="%6."/>
      <w:lvlJc w:val="left"/>
      <w:pPr>
        <w:ind w:left="740" w:hanging="320"/>
      </w:pPr>
    </w:lvl>
    <w:lvl w:ilvl="6">
      <w:start w:val="0"/>
      <w:numFmt w:val="decimal"/>
      <w:lvlJc w:val="left"/>
    </w:lvl>
    <w:lvl w:ilvl="7">
      <w:start w:val="0"/>
      <w:numFmt w:val="decimal"/>
      <w:lvlJc w:val="left"/>
    </w:lvl>
    <w:lvl w:ilvl="8">
      <w:start w:val="0"/>
      <w:numFmt w:val="decimal"/>
      <w:lvlJc w:val="left"/>
    </w:lvl>
  </w:abstractNum>
  <w:abstractNum w:abstractNumId="6">
    <w:nsid w:val="B11FA06C"/>
    <w:multiLevelType w:val="multilevel"/>
    <w:tmpl w:val="A37C1261"/>
    <w:name w:val="Logius Bullets"/>
    <w:lvl w:ilvl="0">
      <w:start w:val="1"/>
      <w:numFmt w:val="bullet"/>
      <w:pStyle w:val="LogiusBulletsRapport"/>
      <w:lvlText w:val="●"/>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D648CBCF"/>
    <w:multiLevelType w:val="multilevel"/>
    <w:tmpl w:val="43FF5383"/>
    <w:name w:val="RC_abc"/>
    <w:lvl w:ilvl="0">
      <w:start w:val="1"/>
      <w:numFmt w:val="lowerLetter"/>
      <w:pStyle w:val="RCabcalinea"/>
      <w:lvlText w:val="%1."/>
      <w:lvlJc w:val="left"/>
      <w:pPr>
        <w:ind w:left="740" w:hanging="3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DFFD650B"/>
    <w:multiLevelType w:val="multilevel"/>
    <w:tmpl w:val="CAAD2040"/>
    <w:name w:val="RVIG Cijferopsomming"/>
    <w:lvl w:ilvl="0">
      <w:start w:val="1"/>
      <w:numFmt w:val="decimal"/>
      <w:pStyle w:val="RvIGTekstbesluitmetcijfers"/>
      <w:lvlText w:val="%1."/>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E4375A3C"/>
    <w:multiLevelType w:val="multilevel"/>
    <w:tmpl w:val="37551AB9"/>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EAED6F78"/>
    <w:multiLevelType w:val="multilevel"/>
    <w:tmpl w:val="54EF7A11"/>
    <w:name w:val="Opsomming hoofdletters"/>
    <w:lvl w:ilvl="0">
      <w:start w:val="1"/>
      <w:numFmt w:val="upperLetter"/>
      <w:pStyle w:val="LogiusOpsommingHoofdletters"/>
      <w:lvlText w:val="%1."/>
      <w:lvlJc w:val="left"/>
      <w:pPr>
        <w:ind w:left="714"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F0D07658"/>
    <w:multiLevelType w:val="multilevel"/>
    <w:tmpl w:val="FE752B94"/>
    <w:name w:val="RC Streepje"/>
    <w:lvl w:ilvl="0">
      <w:start w:val="1"/>
      <w:numFmt w:val="decimal"/>
      <w:pStyle w:val="RCOpsommingstreepje"/>
      <w:lvlText w:val="-"/>
      <w:lvlJc w:val="left"/>
      <w:pPr>
        <w:ind w:left="740" w:hanging="3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F3115AB6"/>
    <w:multiLevelType w:val="multilevel"/>
    <w:tmpl w:val="A5D44987"/>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F971B0EC"/>
    <w:multiLevelType w:val="multilevel"/>
    <w:tmpl w:val="7B1A6C47"/>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Jc w:val="left"/>
      <w:pPr>
        <w:ind w:left="340" w:hanging="34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FC9E8EE4"/>
    <w:multiLevelType w:val="multilevel"/>
    <w:tmpl w:val="343FE420"/>
    <w:name w:val="Convenant lettering inspring"/>
    <w:lvl w:ilvl="0">
      <w:start w:val="1"/>
      <w:numFmt w:val="lowerLetter"/>
      <w:pStyle w:val="Convenantlidletterstijlinspring"/>
      <w:lvlText w:val="%1."/>
      <w:lvlJc w:val="left"/>
      <w:pPr>
        <w:ind w:left="2120" w:hanging="702"/>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021F69FB"/>
    <w:multiLevelType w:val="multilevel"/>
    <w:tmpl w:val="F32E2A16"/>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04CA78F0"/>
    <w:multiLevelType w:val="hybridMultilevel"/>
    <w:tmpl w:val="DA601C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A106F28"/>
    <w:multiLevelType w:val="multilevel"/>
    <w:tmpl w:val="9A052EB4"/>
    <w:name w:val="Logius MT Notitie opsomming nummering"/>
    <w:lvl w:ilvl="0">
      <w:start w:val="1"/>
      <w:numFmt w:val="decimal"/>
      <w:pStyle w:val="LogiusMTNotitieopsomming"/>
      <w:lvlText w:val="%1."/>
      <w:lvlJc w:val="left"/>
      <w:pPr>
        <w:ind w:left="680" w:hanging="34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0BABA970"/>
    <w:multiLevelType w:val="multilevel"/>
    <w:tmpl w:val="34C14E44"/>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0CBB1447"/>
    <w:multiLevelType w:val="hybridMultilevel"/>
    <w:tmpl w:val="5D4228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189078ED"/>
    <w:multiLevelType w:val="hybridMultilevel"/>
    <w:tmpl w:val="304074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2990ABC"/>
    <w:multiLevelType w:val="hybridMultilevel"/>
    <w:tmpl w:val="DC8216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243FA4B8"/>
    <w:multiLevelType w:val="multilevel"/>
    <w:tmpl w:val="92955906"/>
    <w:name w:val="Bijlage_Lid_Artikel_Genummerd"/>
    <w:lvl w:ilvl="0">
      <w:start w:val="1"/>
      <w:numFmt w:val="decimal"/>
      <w:pStyle w:val="WOBBesluitLidgenummerd"/>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34BD58CC"/>
    <w:multiLevelType w:val="multilevel"/>
    <w:tmpl w:val="37BD95FB"/>
    <w:name w:val="Bullets kantlijn"/>
    <w:lvl w:ilvl="0">
      <w:start w:val="1"/>
      <w:numFmt w:val="bullet"/>
      <w:pStyle w:val="Bulletkantlijn"/>
      <w:lvlText w:val="●"/>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380E4E78"/>
    <w:multiLevelType w:val="multilevel"/>
    <w:tmpl w:val="C52061D1"/>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38317E9F"/>
    <w:multiLevelType w:val="hybridMultilevel"/>
    <w:tmpl w:val="A61AB7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FC11F5B"/>
    <w:multiLevelType w:val="hybridMultilevel"/>
    <w:tmpl w:val="19B481E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849296C"/>
    <w:multiLevelType w:val="multilevel"/>
    <w:tmpl w:val="7D599226"/>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
    <w:nsid w:val="51667CDF"/>
    <w:multiLevelType w:val="multilevel"/>
    <w:tmpl w:val="C9D4583A"/>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nsid w:val="58B64DAA"/>
    <w:multiLevelType w:val="multilevel"/>
    <w:tmpl w:val="75D16812"/>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5C4D4D52"/>
    <w:multiLevelType w:val="hybridMultilevel"/>
    <w:tmpl w:val="8E6E96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089232F"/>
    <w:multiLevelType w:val="multilevel"/>
    <w:tmpl w:val="5998B3C6"/>
    <w:lvl w:ilvl="0">
      <w:start w:val="1"/>
      <w:numFmt w:val="decimal"/>
      <w:lvlText w:val="%1."/>
      <w:lvlJc w:val="left"/>
      <w:pPr>
        <w:ind w:left="360" w:hanging="360"/>
      </w:pPr>
      <w:rPr>
        <w:b/>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2">
    <w:nsid w:val="6996FA2B"/>
    <w:multiLevelType w:val="multilevel"/>
    <w:tmpl w:val="CA53F43A"/>
    <w:name w:val="Wob_Bijlage_Leden_Artikel_11"/>
    <w:lvl w:ilvl="0">
      <w:start w:val="1"/>
      <w:numFmt w:val="decimal"/>
      <w:pStyle w:val="LedenArt11"/>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3">
    <w:nsid w:val="69A36C64"/>
    <w:multiLevelType w:val="hybridMultilevel"/>
    <w:tmpl w:val="BBD693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D6DCBBC"/>
    <w:multiLevelType w:val="multilevel"/>
    <w:tmpl w:val="7D36465F"/>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5">
    <w:nsid w:val="6D79F479"/>
    <w:multiLevelType w:val="multilevel"/>
    <w:tmpl w:val="261296F5"/>
    <w:name w:val="Wob_Bijlage_Leden_Artikel_3"/>
    <w:lvl w:ilvl="0">
      <w:start w:val="1"/>
      <w:numFmt w:val="decimal"/>
      <w:pStyle w:val="LedenArt3"/>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6">
    <w:nsid w:val="6D7D3072"/>
    <w:multiLevelType w:val="hybridMultilevel"/>
    <w:tmpl w:val="9E7C7C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DD56524"/>
    <w:multiLevelType w:val="multilevel"/>
    <w:tmpl w:val="70F04B4A"/>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8">
    <w:nsid w:val="75982296"/>
    <w:multiLevelType w:val="multilevel"/>
    <w:tmpl w:val="82736BDE"/>
    <w:name w:val="Bijlage_Kop"/>
    <w:lvl w:ilvl="0">
      <w:start w:val="1"/>
      <w:numFmt w:val="decimal"/>
      <w:pStyle w:val="WOBBesluitBijlageKop"/>
      <w:lvlText w:val="Bijlage %1. -"/>
      <w:lvlJc w:val="left"/>
      <w:pPr>
        <w:ind w:left="1120" w:hanging="11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9">
    <w:nsid w:val="7FB5F261"/>
    <w:multiLevelType w:val="multilevel"/>
    <w:tmpl w:val="319BDB51"/>
    <w:name w:val="Logius Nummering Extra Lijst"/>
    <w:lvl w:ilvl="0">
      <w:start w:val="1"/>
      <w:numFmt w:val="decimal"/>
      <w:pStyle w:val="LogiusNummeringExtra"/>
      <w:lvlText w:val="%1."/>
      <w:lvlJc w:val="left"/>
      <w:pPr>
        <w:ind w:left="1120" w:hanging="11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567154163">
    <w:abstractNumId w:val="12"/>
  </w:num>
  <w:num w:numId="2" w16cid:durableId="1598442733">
    <w:abstractNumId w:val="37"/>
  </w:num>
  <w:num w:numId="3" w16cid:durableId="428156568">
    <w:abstractNumId w:val="38"/>
  </w:num>
  <w:num w:numId="4" w16cid:durableId="320818590">
    <w:abstractNumId w:val="0"/>
  </w:num>
  <w:num w:numId="5" w16cid:durableId="2125882906">
    <w:abstractNumId w:val="22"/>
  </w:num>
  <w:num w:numId="6" w16cid:durableId="352079066">
    <w:abstractNumId w:val="23"/>
  </w:num>
  <w:num w:numId="7" w16cid:durableId="1378358368">
    <w:abstractNumId w:val="4"/>
  </w:num>
  <w:num w:numId="8" w16cid:durableId="45766465">
    <w:abstractNumId w:val="14"/>
  </w:num>
  <w:num w:numId="9" w16cid:durableId="839848971">
    <w:abstractNumId w:val="27"/>
  </w:num>
  <w:num w:numId="10" w16cid:durableId="2105832042">
    <w:abstractNumId w:val="9"/>
  </w:num>
  <w:num w:numId="11" w16cid:durableId="987825272">
    <w:abstractNumId w:val="6"/>
  </w:num>
  <w:num w:numId="12" w16cid:durableId="2009670914">
    <w:abstractNumId w:val="13"/>
  </w:num>
  <w:num w:numId="13" w16cid:durableId="465121836">
    <w:abstractNumId w:val="17"/>
  </w:num>
  <w:num w:numId="14" w16cid:durableId="1429740769">
    <w:abstractNumId w:val="39"/>
  </w:num>
  <w:num w:numId="15" w16cid:durableId="1607618509">
    <w:abstractNumId w:val="3"/>
  </w:num>
  <w:num w:numId="16" w16cid:durableId="1214853885">
    <w:abstractNumId w:val="18"/>
  </w:num>
  <w:num w:numId="17" w16cid:durableId="459812395">
    <w:abstractNumId w:val="10"/>
  </w:num>
  <w:num w:numId="18" w16cid:durableId="448167329">
    <w:abstractNumId w:val="2"/>
  </w:num>
  <w:num w:numId="19" w16cid:durableId="718868646">
    <w:abstractNumId w:val="11"/>
  </w:num>
  <w:num w:numId="20" w16cid:durableId="1680694799">
    <w:abstractNumId w:val="7"/>
  </w:num>
  <w:num w:numId="21" w16cid:durableId="394668039">
    <w:abstractNumId w:val="5"/>
  </w:num>
  <w:num w:numId="22" w16cid:durableId="634332857">
    <w:abstractNumId w:val="8"/>
  </w:num>
  <w:num w:numId="23" w16cid:durableId="300380376">
    <w:abstractNumId w:val="1"/>
  </w:num>
  <w:num w:numId="24" w16cid:durableId="1197622972">
    <w:abstractNumId w:val="29"/>
  </w:num>
  <w:num w:numId="25" w16cid:durableId="1994749822">
    <w:abstractNumId w:val="15"/>
  </w:num>
  <w:num w:numId="26" w16cid:durableId="1891264914">
    <w:abstractNumId w:val="32"/>
  </w:num>
  <w:num w:numId="27" w16cid:durableId="1610044269">
    <w:abstractNumId w:val="35"/>
  </w:num>
  <w:num w:numId="28" w16cid:durableId="904072116">
    <w:abstractNumId w:val="24"/>
  </w:num>
  <w:num w:numId="29" w16cid:durableId="533423685">
    <w:abstractNumId w:val="34"/>
  </w:num>
  <w:num w:numId="30" w16cid:durableId="1609388153">
    <w:abstractNumId w:val="33"/>
  </w:num>
  <w:num w:numId="31" w16cid:durableId="328951262">
    <w:abstractNumId w:val="19"/>
  </w:num>
  <w:num w:numId="32" w16cid:durableId="798257747">
    <w:abstractNumId w:val="36"/>
  </w:num>
  <w:num w:numId="33" w16cid:durableId="11406851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29123385">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493147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8799403">
    <w:abstractNumId w:val="16"/>
  </w:num>
  <w:num w:numId="37" w16cid:durableId="1827164875">
    <w:abstractNumId w:val="26"/>
  </w:num>
  <w:num w:numId="38" w16cid:durableId="1538931208">
    <w:abstractNumId w:val="21"/>
  </w:num>
  <w:num w:numId="39" w16cid:durableId="2099213231">
    <w:abstractNumId w:val="30"/>
  </w:num>
  <w:num w:numId="40" w16cid:durableId="1859003941">
    <w:abstractNumId w:val="25"/>
  </w:num>
  <w:num w:numId="41" w16cid:durableId="14606846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197"/>
    <w:rsid w:val="00001EA7"/>
    <w:rsid w:val="0000758E"/>
    <w:rsid w:val="00010ECF"/>
    <w:rsid w:val="0001493B"/>
    <w:rsid w:val="000221C7"/>
    <w:rsid w:val="00033D38"/>
    <w:rsid w:val="00036790"/>
    <w:rsid w:val="00040B4A"/>
    <w:rsid w:val="0004226C"/>
    <w:rsid w:val="00044513"/>
    <w:rsid w:val="00044DDC"/>
    <w:rsid w:val="0005171F"/>
    <w:rsid w:val="00051A31"/>
    <w:rsid w:val="00051B24"/>
    <w:rsid w:val="00055092"/>
    <w:rsid w:val="00061C8B"/>
    <w:rsid w:val="00063ADE"/>
    <w:rsid w:val="00067D55"/>
    <w:rsid w:val="00074C04"/>
    <w:rsid w:val="0008523B"/>
    <w:rsid w:val="000854D2"/>
    <w:rsid w:val="00094558"/>
    <w:rsid w:val="000A1CE5"/>
    <w:rsid w:val="000A7396"/>
    <w:rsid w:val="000B184F"/>
    <w:rsid w:val="000C1C59"/>
    <w:rsid w:val="000C2F21"/>
    <w:rsid w:val="000E4AA9"/>
    <w:rsid w:val="000E5156"/>
    <w:rsid w:val="001006D3"/>
    <w:rsid w:val="00114764"/>
    <w:rsid w:val="001174D3"/>
    <w:rsid w:val="001266F6"/>
    <w:rsid w:val="00130FE0"/>
    <w:rsid w:val="00132207"/>
    <w:rsid w:val="001366D0"/>
    <w:rsid w:val="00137888"/>
    <w:rsid w:val="00140067"/>
    <w:rsid w:val="0014039A"/>
    <w:rsid w:val="00141968"/>
    <w:rsid w:val="001515DE"/>
    <w:rsid w:val="001529F9"/>
    <w:rsid w:val="001633B4"/>
    <w:rsid w:val="001924D5"/>
    <w:rsid w:val="00193F3E"/>
    <w:rsid w:val="001A06AD"/>
    <w:rsid w:val="001A0726"/>
    <w:rsid w:val="001B1650"/>
    <w:rsid w:val="001C6A85"/>
    <w:rsid w:val="001C77F2"/>
    <w:rsid w:val="001D36D8"/>
    <w:rsid w:val="001E7ED4"/>
    <w:rsid w:val="002006DB"/>
    <w:rsid w:val="0021363E"/>
    <w:rsid w:val="00221723"/>
    <w:rsid w:val="00224143"/>
    <w:rsid w:val="00232706"/>
    <w:rsid w:val="00233A65"/>
    <w:rsid w:val="002415BB"/>
    <w:rsid w:val="00252FEA"/>
    <w:rsid w:val="0026219B"/>
    <w:rsid w:val="00274D47"/>
    <w:rsid w:val="00276143"/>
    <w:rsid w:val="00277939"/>
    <w:rsid w:val="00284918"/>
    <w:rsid w:val="00287F6C"/>
    <w:rsid w:val="002925C4"/>
    <w:rsid w:val="00297BD5"/>
    <w:rsid w:val="002A27DD"/>
    <w:rsid w:val="002A2EF3"/>
    <w:rsid w:val="002C6209"/>
    <w:rsid w:val="002C66CB"/>
    <w:rsid w:val="002D0761"/>
    <w:rsid w:val="00305749"/>
    <w:rsid w:val="003057F2"/>
    <w:rsid w:val="003117DC"/>
    <w:rsid w:val="00313E39"/>
    <w:rsid w:val="00314452"/>
    <w:rsid w:val="00316CD0"/>
    <w:rsid w:val="003214A2"/>
    <w:rsid w:val="00324017"/>
    <w:rsid w:val="0033120D"/>
    <w:rsid w:val="00332BC2"/>
    <w:rsid w:val="0035103D"/>
    <w:rsid w:val="003572AB"/>
    <w:rsid w:val="00360EA2"/>
    <w:rsid w:val="003627AD"/>
    <w:rsid w:val="00370E23"/>
    <w:rsid w:val="00375DC5"/>
    <w:rsid w:val="00386B87"/>
    <w:rsid w:val="00386E2D"/>
    <w:rsid w:val="003873A3"/>
    <w:rsid w:val="003A34A3"/>
    <w:rsid w:val="003A5CDE"/>
    <w:rsid w:val="003B39EE"/>
    <w:rsid w:val="003B514D"/>
    <w:rsid w:val="003C15B4"/>
    <w:rsid w:val="003C49C4"/>
    <w:rsid w:val="003C5F20"/>
    <w:rsid w:val="003C61A0"/>
    <w:rsid w:val="003C63D7"/>
    <w:rsid w:val="003C69DC"/>
    <w:rsid w:val="003D1DFD"/>
    <w:rsid w:val="003D349D"/>
    <w:rsid w:val="003D7C3D"/>
    <w:rsid w:val="003D7D22"/>
    <w:rsid w:val="003E0ACE"/>
    <w:rsid w:val="003E0DCF"/>
    <w:rsid w:val="003E2272"/>
    <w:rsid w:val="003F5ED8"/>
    <w:rsid w:val="00407EE8"/>
    <w:rsid w:val="00411C26"/>
    <w:rsid w:val="00421C13"/>
    <w:rsid w:val="004240C6"/>
    <w:rsid w:val="00425587"/>
    <w:rsid w:val="00432D24"/>
    <w:rsid w:val="00442101"/>
    <w:rsid w:val="00442211"/>
    <w:rsid w:val="0044664C"/>
    <w:rsid w:val="0044708A"/>
    <w:rsid w:val="004473DB"/>
    <w:rsid w:val="00457DC1"/>
    <w:rsid w:val="0046696A"/>
    <w:rsid w:val="00467871"/>
    <w:rsid w:val="004774E5"/>
    <w:rsid w:val="004814F6"/>
    <w:rsid w:val="0048299A"/>
    <w:rsid w:val="00484641"/>
    <w:rsid w:val="0049153F"/>
    <w:rsid w:val="00494B6D"/>
    <w:rsid w:val="004A1B52"/>
    <w:rsid w:val="004A1B54"/>
    <w:rsid w:val="004A4912"/>
    <w:rsid w:val="004A5D2A"/>
    <w:rsid w:val="004B0B4C"/>
    <w:rsid w:val="004C0B6C"/>
    <w:rsid w:val="004C0BCC"/>
    <w:rsid w:val="004D6B61"/>
    <w:rsid w:val="004D759F"/>
    <w:rsid w:val="004E2C81"/>
    <w:rsid w:val="004E3155"/>
    <w:rsid w:val="004E5A3C"/>
    <w:rsid w:val="004F297C"/>
    <w:rsid w:val="004F2BAB"/>
    <w:rsid w:val="004F708E"/>
    <w:rsid w:val="0050150C"/>
    <w:rsid w:val="005137FD"/>
    <w:rsid w:val="00515CA9"/>
    <w:rsid w:val="00523BBC"/>
    <w:rsid w:val="00553267"/>
    <w:rsid w:val="00564E1C"/>
    <w:rsid w:val="00570A53"/>
    <w:rsid w:val="00570C01"/>
    <w:rsid w:val="00576104"/>
    <w:rsid w:val="00576D9D"/>
    <w:rsid w:val="005841B8"/>
    <w:rsid w:val="00587A2C"/>
    <w:rsid w:val="0059734D"/>
    <w:rsid w:val="00597756"/>
    <w:rsid w:val="005979DC"/>
    <w:rsid w:val="005A3EF3"/>
    <w:rsid w:val="005A785C"/>
    <w:rsid w:val="005B5464"/>
    <w:rsid w:val="005C5B4F"/>
    <w:rsid w:val="005E285D"/>
    <w:rsid w:val="005F7067"/>
    <w:rsid w:val="00616EE1"/>
    <w:rsid w:val="0062101B"/>
    <w:rsid w:val="00621361"/>
    <w:rsid w:val="0062227D"/>
    <w:rsid w:val="00622E7F"/>
    <w:rsid w:val="00623E15"/>
    <w:rsid w:val="00630462"/>
    <w:rsid w:val="00635456"/>
    <w:rsid w:val="006431B9"/>
    <w:rsid w:val="006434EF"/>
    <w:rsid w:val="00645F14"/>
    <w:rsid w:val="0064761C"/>
    <w:rsid w:val="00661493"/>
    <w:rsid w:val="0066288A"/>
    <w:rsid w:val="00663C85"/>
    <w:rsid w:val="006672DD"/>
    <w:rsid w:val="00677F2A"/>
    <w:rsid w:val="00680459"/>
    <w:rsid w:val="0068720B"/>
    <w:rsid w:val="006874C8"/>
    <w:rsid w:val="00697BFA"/>
    <w:rsid w:val="006A08B3"/>
    <w:rsid w:val="006A7B81"/>
    <w:rsid w:val="006B0949"/>
    <w:rsid w:val="006B1402"/>
    <w:rsid w:val="006C28A4"/>
    <w:rsid w:val="006C365D"/>
    <w:rsid w:val="006D30AA"/>
    <w:rsid w:val="006E080E"/>
    <w:rsid w:val="006E3CD0"/>
    <w:rsid w:val="006F4375"/>
    <w:rsid w:val="006F5913"/>
    <w:rsid w:val="00706365"/>
    <w:rsid w:val="0070784A"/>
    <w:rsid w:val="00713804"/>
    <w:rsid w:val="00730197"/>
    <w:rsid w:val="00744861"/>
    <w:rsid w:val="00753E8D"/>
    <w:rsid w:val="007711D4"/>
    <w:rsid w:val="0077132F"/>
    <w:rsid w:val="00775228"/>
    <w:rsid w:val="00777B62"/>
    <w:rsid w:val="00777E40"/>
    <w:rsid w:val="00780615"/>
    <w:rsid w:val="00793088"/>
    <w:rsid w:val="00797DD0"/>
    <w:rsid w:val="007A2BF8"/>
    <w:rsid w:val="007B7D93"/>
    <w:rsid w:val="007D7093"/>
    <w:rsid w:val="007D7EEC"/>
    <w:rsid w:val="007E0828"/>
    <w:rsid w:val="007E1928"/>
    <w:rsid w:val="007E1A2D"/>
    <w:rsid w:val="007E718C"/>
    <w:rsid w:val="007F2312"/>
    <w:rsid w:val="007F2D3D"/>
    <w:rsid w:val="00812DF8"/>
    <w:rsid w:val="00813DF0"/>
    <w:rsid w:val="00815260"/>
    <w:rsid w:val="00817E62"/>
    <w:rsid w:val="00832B6A"/>
    <w:rsid w:val="00842C2B"/>
    <w:rsid w:val="00846742"/>
    <w:rsid w:val="00846E4E"/>
    <w:rsid w:val="0086125A"/>
    <w:rsid w:val="00862268"/>
    <w:rsid w:val="00865B3D"/>
    <w:rsid w:val="008709C9"/>
    <w:rsid w:val="00871A23"/>
    <w:rsid w:val="0087459B"/>
    <w:rsid w:val="00875614"/>
    <w:rsid w:val="00885753"/>
    <w:rsid w:val="00885B03"/>
    <w:rsid w:val="008A2CEF"/>
    <w:rsid w:val="008A438D"/>
    <w:rsid w:val="008B58B5"/>
    <w:rsid w:val="008B70DF"/>
    <w:rsid w:val="008D6426"/>
    <w:rsid w:val="008E2EA9"/>
    <w:rsid w:val="008E71F0"/>
    <w:rsid w:val="008F04FF"/>
    <w:rsid w:val="008F4CCC"/>
    <w:rsid w:val="009024A1"/>
    <w:rsid w:val="00907568"/>
    <w:rsid w:val="009157DC"/>
    <w:rsid w:val="009409E4"/>
    <w:rsid w:val="00953C25"/>
    <w:rsid w:val="009631A3"/>
    <w:rsid w:val="009727EA"/>
    <w:rsid w:val="009746CD"/>
    <w:rsid w:val="00984DE9"/>
    <w:rsid w:val="00985225"/>
    <w:rsid w:val="00993787"/>
    <w:rsid w:val="009A5BA4"/>
    <w:rsid w:val="009B0DBC"/>
    <w:rsid w:val="009B1508"/>
    <w:rsid w:val="009B3CF0"/>
    <w:rsid w:val="009B65C0"/>
    <w:rsid w:val="009D1E46"/>
    <w:rsid w:val="009D228F"/>
    <w:rsid w:val="009D6367"/>
    <w:rsid w:val="009D6BA6"/>
    <w:rsid w:val="009E72FC"/>
    <w:rsid w:val="009F45B2"/>
    <w:rsid w:val="009F64B1"/>
    <w:rsid w:val="00A06FEC"/>
    <w:rsid w:val="00A20E2A"/>
    <w:rsid w:val="00A26CD0"/>
    <w:rsid w:val="00A45A6D"/>
    <w:rsid w:val="00A46FE0"/>
    <w:rsid w:val="00A53021"/>
    <w:rsid w:val="00A60370"/>
    <w:rsid w:val="00A62077"/>
    <w:rsid w:val="00A703D8"/>
    <w:rsid w:val="00A75B75"/>
    <w:rsid w:val="00A858DE"/>
    <w:rsid w:val="00AA1582"/>
    <w:rsid w:val="00AA184F"/>
    <w:rsid w:val="00AB5CF6"/>
    <w:rsid w:val="00AC72AA"/>
    <w:rsid w:val="00AD2083"/>
    <w:rsid w:val="00AD7E70"/>
    <w:rsid w:val="00AE4666"/>
    <w:rsid w:val="00AE5D4A"/>
    <w:rsid w:val="00AE623C"/>
    <w:rsid w:val="00AF16ED"/>
    <w:rsid w:val="00B11B34"/>
    <w:rsid w:val="00B1466D"/>
    <w:rsid w:val="00B14906"/>
    <w:rsid w:val="00B15571"/>
    <w:rsid w:val="00B25406"/>
    <w:rsid w:val="00B2548B"/>
    <w:rsid w:val="00B25884"/>
    <w:rsid w:val="00B30E9F"/>
    <w:rsid w:val="00B3551C"/>
    <w:rsid w:val="00B442B4"/>
    <w:rsid w:val="00B46AA0"/>
    <w:rsid w:val="00B51E0B"/>
    <w:rsid w:val="00B533A7"/>
    <w:rsid w:val="00B71AC5"/>
    <w:rsid w:val="00B7216D"/>
    <w:rsid w:val="00B8268B"/>
    <w:rsid w:val="00B8506D"/>
    <w:rsid w:val="00B858E3"/>
    <w:rsid w:val="00B86364"/>
    <w:rsid w:val="00B957ED"/>
    <w:rsid w:val="00B9595C"/>
    <w:rsid w:val="00BA2A67"/>
    <w:rsid w:val="00BB07BB"/>
    <w:rsid w:val="00BC1B7B"/>
    <w:rsid w:val="00BC5BD2"/>
    <w:rsid w:val="00BC7D5B"/>
    <w:rsid w:val="00BD0B2F"/>
    <w:rsid w:val="00BD12A2"/>
    <w:rsid w:val="00BD47B4"/>
    <w:rsid w:val="00BE3A1B"/>
    <w:rsid w:val="00BF0EFF"/>
    <w:rsid w:val="00BF1506"/>
    <w:rsid w:val="00BF26A9"/>
    <w:rsid w:val="00C11710"/>
    <w:rsid w:val="00C11DDC"/>
    <w:rsid w:val="00C1214C"/>
    <w:rsid w:val="00C12395"/>
    <w:rsid w:val="00C12AA2"/>
    <w:rsid w:val="00C176F1"/>
    <w:rsid w:val="00C22A92"/>
    <w:rsid w:val="00C255E4"/>
    <w:rsid w:val="00C25A3B"/>
    <w:rsid w:val="00C31307"/>
    <w:rsid w:val="00C32DA7"/>
    <w:rsid w:val="00C37ED6"/>
    <w:rsid w:val="00C559C0"/>
    <w:rsid w:val="00C6087C"/>
    <w:rsid w:val="00C66F3D"/>
    <w:rsid w:val="00C72B3E"/>
    <w:rsid w:val="00C807F1"/>
    <w:rsid w:val="00C8359C"/>
    <w:rsid w:val="00C865DD"/>
    <w:rsid w:val="00C93706"/>
    <w:rsid w:val="00CA3E1D"/>
    <w:rsid w:val="00CB5BD2"/>
    <w:rsid w:val="00CB7B62"/>
    <w:rsid w:val="00CC0FBA"/>
    <w:rsid w:val="00CC6A4C"/>
    <w:rsid w:val="00CD55D0"/>
    <w:rsid w:val="00CD5BAC"/>
    <w:rsid w:val="00CE6CA9"/>
    <w:rsid w:val="00CF19F9"/>
    <w:rsid w:val="00D015D5"/>
    <w:rsid w:val="00D01E5D"/>
    <w:rsid w:val="00D0379F"/>
    <w:rsid w:val="00D04309"/>
    <w:rsid w:val="00D07A64"/>
    <w:rsid w:val="00D11D15"/>
    <w:rsid w:val="00D11EAE"/>
    <w:rsid w:val="00D14397"/>
    <w:rsid w:val="00D27138"/>
    <w:rsid w:val="00D734FA"/>
    <w:rsid w:val="00D754E4"/>
    <w:rsid w:val="00D81D17"/>
    <w:rsid w:val="00D901E6"/>
    <w:rsid w:val="00D90D93"/>
    <w:rsid w:val="00D918DB"/>
    <w:rsid w:val="00D953D9"/>
    <w:rsid w:val="00D9647D"/>
    <w:rsid w:val="00DA48EA"/>
    <w:rsid w:val="00DB21F9"/>
    <w:rsid w:val="00DB45D1"/>
    <w:rsid w:val="00DC2300"/>
    <w:rsid w:val="00DD07E3"/>
    <w:rsid w:val="00DD2415"/>
    <w:rsid w:val="00DE10F3"/>
    <w:rsid w:val="00DE2A58"/>
    <w:rsid w:val="00DE7B6F"/>
    <w:rsid w:val="00DF1412"/>
    <w:rsid w:val="00DF2376"/>
    <w:rsid w:val="00E114D1"/>
    <w:rsid w:val="00E16A22"/>
    <w:rsid w:val="00E17F7D"/>
    <w:rsid w:val="00E266AF"/>
    <w:rsid w:val="00E37A87"/>
    <w:rsid w:val="00E425B5"/>
    <w:rsid w:val="00E4293A"/>
    <w:rsid w:val="00E436D1"/>
    <w:rsid w:val="00E535AA"/>
    <w:rsid w:val="00E537CA"/>
    <w:rsid w:val="00E627F4"/>
    <w:rsid w:val="00E6329E"/>
    <w:rsid w:val="00E80879"/>
    <w:rsid w:val="00E91E19"/>
    <w:rsid w:val="00E92EB8"/>
    <w:rsid w:val="00EA14D4"/>
    <w:rsid w:val="00EA4421"/>
    <w:rsid w:val="00EB3989"/>
    <w:rsid w:val="00EC46CD"/>
    <w:rsid w:val="00ED3D40"/>
    <w:rsid w:val="00EE7747"/>
    <w:rsid w:val="00EF1920"/>
    <w:rsid w:val="00EF3AE2"/>
    <w:rsid w:val="00F157D7"/>
    <w:rsid w:val="00F2735E"/>
    <w:rsid w:val="00F350E1"/>
    <w:rsid w:val="00F35CE7"/>
    <w:rsid w:val="00F4759C"/>
    <w:rsid w:val="00F53D3A"/>
    <w:rsid w:val="00F61CA7"/>
    <w:rsid w:val="00F872CF"/>
    <w:rsid w:val="00FA02C2"/>
    <w:rsid w:val="00FA3828"/>
    <w:rsid w:val="00FA3A19"/>
    <w:rsid w:val="00FC0136"/>
    <w:rsid w:val="00FC2A44"/>
    <w:rsid w:val="00FE2968"/>
    <w:rsid w:val="00FE464A"/>
    <w:rsid w:val="00FF1966"/>
    <w:rsid w:val="00FF32FA"/>
    <w:rsid w:val="00FF3A33"/>
    <w:rsid w:val="00FF5994"/>
    <w:rsid w:val="2B8754C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F9F70D5"/>
  <w15:docId w15:val="{419CACB6-3A85-4D35-BA54-688DABD6C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rtikel">
    <w:name w:val="Artikel"/>
    <w:basedOn w:val="Normal"/>
    <w:next w:val="Normal"/>
    <w:pPr>
      <w:spacing w:line="240" w:lineRule="exact"/>
    </w:pPr>
  </w:style>
  <w:style w:type="paragraph" w:customStyle="1" w:styleId="Artikelniveau2">
    <w:name w:val="Artikel niveau 2"/>
    <w:basedOn w:val="Normal"/>
    <w:next w:val="Normal"/>
    <w:pPr>
      <w:spacing w:line="240" w:lineRule="exact"/>
    </w:pPr>
  </w:style>
  <w:style w:type="paragraph" w:customStyle="1" w:styleId="ArtikelenAutorisatiebesluit">
    <w:name w:val="Artikelen Autorisatiebesluit"/>
    <w:basedOn w:val="Normal"/>
    <w:pPr>
      <w:tabs>
        <w:tab w:val="left" w:pos="10091"/>
      </w:tabs>
      <w:spacing w:line="240" w:lineRule="exact"/>
    </w:pPr>
  </w:style>
  <w:style w:type="paragraph" w:customStyle="1" w:styleId="Begrotingsbehandeling">
    <w:name w:val="Begrotingsbehandeling"/>
    <w:basedOn w:val="Normal"/>
    <w:next w:val="Normal"/>
    <w:pPr>
      <w:spacing w:line="440" w:lineRule="exact"/>
    </w:pPr>
    <w:rPr>
      <w:sz w:val="44"/>
      <w:szCs w:val="44"/>
    </w:rPr>
  </w:style>
  <w:style w:type="paragraph" w:customStyle="1" w:styleId="Bezoekadres">
    <w:name w:val="Bezoekadres"/>
    <w:next w:val="Normal"/>
    <w:pPr>
      <w:spacing w:line="180" w:lineRule="exact"/>
    </w:pPr>
    <w:rPr>
      <w:rFonts w:ascii="Verdana" w:hAnsi="Verdana"/>
      <w:b/>
      <w:color w:val="000000"/>
      <w:sz w:val="13"/>
      <w:szCs w:val="13"/>
    </w:rPr>
  </w:style>
  <w:style w:type="paragraph" w:customStyle="1" w:styleId="BijlageKop">
    <w:name w:val="Bijlage_Kop"/>
    <w:basedOn w:val="Normal"/>
    <w:next w:val="Normal"/>
    <w:pPr>
      <w:spacing w:before="180" w:after="180" w:line="240" w:lineRule="exact"/>
    </w:pPr>
  </w:style>
  <w:style w:type="paragraph" w:customStyle="1" w:styleId="BijlageLidArtikel">
    <w:name w:val="Bijlage_Lid_Artikel"/>
    <w:basedOn w:val="Normal"/>
    <w:next w:val="Normal"/>
    <w:pPr>
      <w:spacing w:line="240" w:lineRule="exact"/>
      <w:ind w:left="400"/>
    </w:pPr>
  </w:style>
  <w:style w:type="paragraph" w:customStyle="1" w:styleId="BijlageLidArtikelGenummerd">
    <w:name w:val="Bijlage_Lid_Artikel_Genummerd"/>
    <w:basedOn w:val="Normal"/>
    <w:next w:val="Normal"/>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Normal"/>
    <w:next w:val="Normal"/>
    <w:pPr>
      <w:numPr>
        <w:numId w:val="6"/>
      </w:numPr>
    </w:pPr>
  </w:style>
  <w:style w:type="paragraph" w:customStyle="1" w:styleId="Bulletskantlijn">
    <w:name w:val="Bullets kantlijn"/>
    <w:basedOn w:val="Normal"/>
    <w:next w:val="Normal"/>
    <w:pPr>
      <w:spacing w:line="240" w:lineRule="exact"/>
    </w:pPr>
  </w:style>
  <w:style w:type="paragraph" w:customStyle="1" w:styleId="Colofon">
    <w:name w:val="Colofon"/>
    <w:basedOn w:val="Normal"/>
    <w:next w:val="Normal"/>
    <w:pPr>
      <w:spacing w:after="700" w:line="300" w:lineRule="exact"/>
    </w:pPr>
    <w:rPr>
      <w:sz w:val="24"/>
      <w:szCs w:val="24"/>
    </w:rPr>
  </w:style>
  <w:style w:type="paragraph" w:customStyle="1" w:styleId="Communicatietabel">
    <w:name w:val="Communicatie tabel"/>
    <w:basedOn w:val="Normal"/>
    <w:next w:val="Normal"/>
    <w:pPr>
      <w:spacing w:before="60" w:after="60" w:line="240" w:lineRule="exact"/>
      <w:ind w:left="40"/>
    </w:pPr>
  </w:style>
  <w:style w:type="paragraph" w:customStyle="1" w:styleId="ConvenantArtikel">
    <w:name w:val="Convenant Artikel"/>
    <w:basedOn w:val="Normal"/>
    <w:next w:val="Normal"/>
    <w:pPr>
      <w:numPr>
        <w:numId w:val="9"/>
      </w:numPr>
      <w:spacing w:before="200" w:after="200" w:line="240" w:lineRule="exact"/>
    </w:pPr>
    <w:rPr>
      <w:b/>
      <w:sz w:val="20"/>
      <w:szCs w:val="20"/>
    </w:rPr>
  </w:style>
  <w:style w:type="paragraph" w:customStyle="1" w:styleId="ConvenantletteringArtikel">
    <w:name w:val="Convenant lettering Artikel"/>
    <w:basedOn w:val="Normal"/>
    <w:next w:val="Normal"/>
    <w:pPr>
      <w:spacing w:line="240" w:lineRule="exact"/>
    </w:pPr>
  </w:style>
  <w:style w:type="paragraph" w:customStyle="1" w:styleId="Convenantletteringinspring">
    <w:name w:val="Convenant lettering inspring"/>
    <w:basedOn w:val="Normal"/>
    <w:next w:val="Normal"/>
    <w:pPr>
      <w:spacing w:line="240" w:lineRule="exact"/>
    </w:pPr>
    <w:rPr>
      <w:sz w:val="20"/>
      <w:szCs w:val="20"/>
    </w:rPr>
  </w:style>
  <w:style w:type="paragraph" w:customStyle="1" w:styleId="ConvenantLid">
    <w:name w:val="Convenant Lid"/>
    <w:basedOn w:val="Normal"/>
    <w:next w:val="Normal"/>
    <w:pPr>
      <w:numPr>
        <w:ilvl w:val="1"/>
        <w:numId w:val="9"/>
      </w:numPr>
      <w:spacing w:line="240" w:lineRule="exact"/>
    </w:pPr>
    <w:rPr>
      <w:sz w:val="20"/>
      <w:szCs w:val="20"/>
    </w:rPr>
  </w:style>
  <w:style w:type="paragraph" w:customStyle="1" w:styleId="Convenantlidletterstijlinspring">
    <w:name w:val="Convenant lid (letterstijl inspring)"/>
    <w:basedOn w:val="Normal"/>
    <w:next w:val="Normal"/>
    <w:pPr>
      <w:numPr>
        <w:numId w:val="8"/>
      </w:numPr>
      <w:spacing w:line="240" w:lineRule="exact"/>
    </w:pPr>
    <w:rPr>
      <w:sz w:val="20"/>
      <w:szCs w:val="20"/>
    </w:rPr>
  </w:style>
  <w:style w:type="paragraph" w:customStyle="1" w:styleId="ConvenantLidletterstijl">
    <w:name w:val="Convenant Lid (letterstijl)"/>
    <w:basedOn w:val="Normal"/>
    <w:next w:val="Normal"/>
    <w:pPr>
      <w:numPr>
        <w:numId w:val="7"/>
      </w:numPr>
      <w:spacing w:line="240" w:lineRule="exact"/>
    </w:pPr>
    <w:rPr>
      <w:sz w:val="20"/>
      <w:szCs w:val="20"/>
    </w:rPr>
  </w:style>
  <w:style w:type="paragraph" w:customStyle="1" w:styleId="ConvenantnummeringArtikel">
    <w:name w:val="Convenant nummering Artikel"/>
    <w:basedOn w:val="Normal"/>
    <w:next w:val="Normal"/>
    <w:pPr>
      <w:spacing w:line="240" w:lineRule="exact"/>
    </w:pPr>
  </w:style>
  <w:style w:type="paragraph" w:customStyle="1" w:styleId="Convenantstandaard">
    <w:name w:val="Convenant standaard"/>
    <w:basedOn w:val="Normal"/>
    <w:next w:val="Normal"/>
    <w:pPr>
      <w:spacing w:line="240" w:lineRule="exact"/>
    </w:pPr>
    <w:rPr>
      <w:sz w:val="20"/>
      <w:szCs w:val="20"/>
    </w:rPr>
  </w:style>
  <w:style w:type="paragraph" w:customStyle="1" w:styleId="ConvenantTitel">
    <w:name w:val="Convenant Titel"/>
    <w:next w:val="Normal"/>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Normal"/>
    <w:next w:val="Normal"/>
    <w:pPr>
      <w:spacing w:after="700" w:line="300" w:lineRule="exact"/>
    </w:pPr>
    <w:rPr>
      <w:sz w:val="24"/>
      <w:szCs w:val="24"/>
    </w:rPr>
  </w:style>
  <w:style w:type="paragraph" w:customStyle="1" w:styleId="Embargo">
    <w:name w:val="Embargo"/>
    <w:next w:val="Normal"/>
    <w:pPr>
      <w:spacing w:line="130" w:lineRule="exact"/>
    </w:pPr>
    <w:rPr>
      <w:rFonts w:ascii="Verdana" w:hAnsi="Verdana"/>
      <w:b/>
      <w:smallCaps/>
      <w:color w:val="000000"/>
      <w:sz w:val="13"/>
      <w:szCs w:val="13"/>
    </w:rPr>
  </w:style>
  <w:style w:type="paragraph" w:customStyle="1" w:styleId="FMHDechargeverklaring">
    <w:name w:val="FMH_Dechargeverklaring"/>
    <w:basedOn w:val="Normal"/>
    <w:next w:val="Normal"/>
    <w:pPr>
      <w:spacing w:line="240" w:lineRule="exact"/>
    </w:pPr>
    <w:rPr>
      <w:sz w:val="15"/>
      <w:szCs w:val="15"/>
    </w:rPr>
  </w:style>
  <w:style w:type="paragraph" w:customStyle="1" w:styleId="FMHDechargeverklaringKop">
    <w:name w:val="FMH_Dechargeverklaring_Kop"/>
    <w:basedOn w:val="Normal"/>
    <w:next w:val="Normal"/>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Normal"/>
    <w:pPr>
      <w:spacing w:line="240" w:lineRule="exact"/>
    </w:pPr>
    <w:rPr>
      <w:rFonts w:ascii="Arial Narrow" w:hAnsi="Arial Narrow"/>
      <w:color w:val="000000"/>
      <w:sz w:val="15"/>
      <w:szCs w:val="15"/>
    </w:rPr>
  </w:style>
  <w:style w:type="paragraph" w:customStyle="1" w:styleId="FmhKopjeprojectgegevens">
    <w:name w:val="Fmh_Kopje_(project)gegevens"/>
    <w:next w:val="Normal"/>
    <w:pPr>
      <w:spacing w:line="240" w:lineRule="exact"/>
    </w:pPr>
    <w:rPr>
      <w:rFonts w:ascii="Verdana" w:hAnsi="Verdana"/>
      <w:b/>
      <w:color w:val="000000"/>
      <w:sz w:val="15"/>
      <w:szCs w:val="15"/>
    </w:rPr>
  </w:style>
  <w:style w:type="paragraph" w:customStyle="1" w:styleId="FmhKopjekapitalen">
    <w:name w:val="Fmh_Kopje_kapitalen"/>
    <w:next w:val="Normal"/>
    <w:pPr>
      <w:spacing w:line="240" w:lineRule="exact"/>
    </w:pPr>
    <w:rPr>
      <w:rFonts w:ascii="Verdana" w:hAnsi="Verdana"/>
      <w:b/>
      <w:caps/>
      <w:color w:val="000000"/>
      <w:sz w:val="18"/>
      <w:szCs w:val="18"/>
    </w:rPr>
  </w:style>
  <w:style w:type="paragraph" w:customStyle="1" w:styleId="FmhProcesVerbaalGegevens">
    <w:name w:val="Fmh_Proces_Verbaal_Gegevens"/>
    <w:basedOn w:val="Normal"/>
    <w:next w:val="Normal"/>
    <w:pPr>
      <w:tabs>
        <w:tab w:val="left" w:pos="2437"/>
      </w:tabs>
      <w:spacing w:line="240" w:lineRule="exact"/>
    </w:pPr>
  </w:style>
  <w:style w:type="paragraph" w:customStyle="1" w:styleId="FmhProcesVerbaalOndertekening">
    <w:name w:val="Fmh_Proces_Verbaal_Ondertekening"/>
    <w:basedOn w:val="Normal"/>
    <w:next w:val="Normal"/>
    <w:pPr>
      <w:tabs>
        <w:tab w:val="left" w:pos="2834"/>
      </w:tabs>
      <w:spacing w:line="240" w:lineRule="exact"/>
    </w:pPr>
  </w:style>
  <w:style w:type="paragraph" w:customStyle="1" w:styleId="FmhProcesVerbaalProjectgegevens">
    <w:name w:val="Fmh_Proces_Verbaal_Projectgegevens"/>
    <w:next w:val="Normal"/>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Normal"/>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Normal"/>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Normal"/>
    <w:next w:val="Normal"/>
    <w:pPr>
      <w:numPr>
        <w:numId w:val="16"/>
      </w:numPr>
      <w:spacing w:after="700" w:line="300" w:lineRule="exact"/>
    </w:pPr>
    <w:rPr>
      <w:sz w:val="24"/>
      <w:szCs w:val="24"/>
    </w:rPr>
  </w:style>
  <w:style w:type="paragraph" w:customStyle="1" w:styleId="Hoofdstukzondernummering">
    <w:name w:val="Hoofdstuk zonder nummering"/>
    <w:basedOn w:val="Normal"/>
    <w:next w:val="Normal"/>
    <w:pPr>
      <w:spacing w:after="700" w:line="300" w:lineRule="exact"/>
    </w:pPr>
    <w:rPr>
      <w:sz w:val="24"/>
      <w:szCs w:val="24"/>
    </w:rPr>
  </w:style>
  <w:style w:type="paragraph" w:styleId="TOC1">
    <w:name w:val="toc 1"/>
    <w:basedOn w:val="Normal"/>
    <w:next w:val="Normal"/>
    <w:pPr>
      <w:spacing w:before="240" w:after="120" w:line="240" w:lineRule="exact"/>
    </w:pPr>
    <w:rPr>
      <w:b/>
      <w:sz w:val="20"/>
      <w:szCs w:val="20"/>
    </w:rPr>
  </w:style>
  <w:style w:type="paragraph" w:styleId="TOC2">
    <w:name w:val="toc 2"/>
    <w:basedOn w:val="TOC1"/>
    <w:next w:val="Normal"/>
    <w:pPr>
      <w:spacing w:before="120" w:after="0"/>
      <w:ind w:left="180"/>
    </w:pPr>
    <w:rPr>
      <w:b w:val="0"/>
      <w:i/>
    </w:rPr>
  </w:style>
  <w:style w:type="paragraph" w:styleId="TOC3">
    <w:name w:val="toc 3"/>
    <w:basedOn w:val="TOC2"/>
    <w:next w:val="Normal"/>
    <w:pPr>
      <w:spacing w:before="0"/>
      <w:ind w:left="360"/>
    </w:pPr>
    <w:rPr>
      <w:i w:val="0"/>
    </w:rPr>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Normal"/>
    <w:pPr>
      <w:spacing w:line="220" w:lineRule="exact"/>
    </w:pPr>
    <w:rPr>
      <w:rFonts w:ascii="Arial" w:hAnsi="Arial"/>
      <w:color w:val="000000"/>
      <w:sz w:val="16"/>
      <w:szCs w:val="16"/>
    </w:rPr>
  </w:style>
  <w:style w:type="paragraph" w:customStyle="1" w:styleId="Kiesraadafzendgegevensbold">
    <w:name w:val="Kiesraad_afzendgegevens_bold"/>
    <w:next w:val="Normal"/>
    <w:pPr>
      <w:spacing w:line="220" w:lineRule="exact"/>
    </w:pPr>
    <w:rPr>
      <w:rFonts w:ascii="Arial" w:hAnsi="Arial"/>
      <w:b/>
      <w:color w:val="000000"/>
      <w:sz w:val="16"/>
      <w:szCs w:val="16"/>
    </w:rPr>
  </w:style>
  <w:style w:type="paragraph" w:customStyle="1" w:styleId="Kiesraadfax">
    <w:name w:val="Kiesraad_fax"/>
    <w:basedOn w:val="Normal"/>
    <w:next w:val="Normal"/>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Normal"/>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Normal"/>
    <w:pPr>
      <w:spacing w:line="220" w:lineRule="exact"/>
    </w:pPr>
    <w:rPr>
      <w:rFonts w:ascii="Arial" w:hAnsi="Arial"/>
      <w:color w:val="000000"/>
      <w:sz w:val="16"/>
      <w:szCs w:val="16"/>
    </w:rPr>
  </w:style>
  <w:style w:type="paragraph" w:customStyle="1" w:styleId="KopDocumentgegevens">
    <w:name w:val="Kop Documentgegevens"/>
    <w:next w:val="Normal"/>
    <w:pPr>
      <w:spacing w:line="240" w:lineRule="exact"/>
    </w:pPr>
    <w:rPr>
      <w:rFonts w:ascii="Verdana" w:hAnsi="Verdana"/>
      <w:color w:val="000000"/>
      <w:sz w:val="13"/>
      <w:szCs w:val="13"/>
    </w:rPr>
  </w:style>
  <w:style w:type="paragraph" w:customStyle="1" w:styleId="KopgegevensAgenda">
    <w:name w:val="Kop gegevens Agenda"/>
    <w:basedOn w:val="KopDocumentgegevens"/>
    <w:next w:val="Normal"/>
    <w:pPr>
      <w:tabs>
        <w:tab w:val="left" w:pos="2267"/>
      </w:tabs>
    </w:pPr>
  </w:style>
  <w:style w:type="paragraph" w:customStyle="1" w:styleId="KopNotitiegegevens">
    <w:name w:val="Kop Notitie gegevens"/>
    <w:basedOn w:val="KopDocumentgegevens"/>
    <w:next w:val="Normal"/>
    <w:pPr>
      <w:spacing w:before="80" w:after="160"/>
    </w:pPr>
  </w:style>
  <w:style w:type="paragraph" w:customStyle="1" w:styleId="KopBesluitRVIGAutorisatiebesluitExperian">
    <w:name w:val="Kop_Besluit_RVIG_Autorisatiebesluit_Experian"/>
    <w:basedOn w:val="Normal"/>
    <w:next w:val="Normal"/>
    <w:pPr>
      <w:spacing w:line="240" w:lineRule="exact"/>
    </w:pPr>
    <w:rPr>
      <w:b/>
      <w:sz w:val="22"/>
      <w:szCs w:val="22"/>
    </w:rPr>
  </w:style>
  <w:style w:type="paragraph" w:customStyle="1" w:styleId="KopContractuitbreiding">
    <w:name w:val="Kop_Contractuitbreiding"/>
    <w:basedOn w:val="Normal"/>
    <w:next w:val="Normal"/>
    <w:pPr>
      <w:spacing w:line="480" w:lineRule="exact"/>
    </w:pPr>
    <w:rPr>
      <w:sz w:val="48"/>
      <w:szCs w:val="48"/>
    </w:rPr>
  </w:style>
  <w:style w:type="paragraph" w:customStyle="1" w:styleId="KopProcesVerbaalvanOplevering">
    <w:name w:val="Kop_Proces_Verbaal_van_Oplevering"/>
    <w:basedOn w:val="Normal"/>
    <w:next w:val="Normal"/>
    <w:pPr>
      <w:spacing w:after="720" w:line="240" w:lineRule="exact"/>
    </w:pPr>
    <w:rPr>
      <w:b/>
    </w:rPr>
  </w:style>
  <w:style w:type="paragraph" w:customStyle="1" w:styleId="Kopjeafzendgegevens">
    <w:name w:val="Kopje afzendgegevens"/>
    <w:basedOn w:val="Afzendgegevens"/>
    <w:next w:val="Normal"/>
    <w:rPr>
      <w:b/>
    </w:rPr>
  </w:style>
  <w:style w:type="paragraph" w:customStyle="1" w:styleId="Kopjegegevensdocument">
    <w:name w:val="Kopje gegevens document"/>
    <w:basedOn w:val="Gegevensdocument"/>
    <w:next w:val="Normal"/>
    <w:rPr>
      <w:sz w:val="13"/>
      <w:szCs w:val="13"/>
    </w:rPr>
  </w:style>
  <w:style w:type="paragraph" w:customStyle="1" w:styleId="KopjeNota">
    <w:name w:val="Kopje Nota"/>
    <w:next w:val="Normal"/>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Normal"/>
    <w:rPr>
      <w:b/>
    </w:rPr>
  </w:style>
  <w:style w:type="paragraph" w:customStyle="1" w:styleId="LedenArt1">
    <w:name w:val="Leden_Art_1"/>
    <w:basedOn w:val="Normal"/>
    <w:next w:val="Normal"/>
    <w:pPr>
      <w:numPr>
        <w:numId w:val="24"/>
      </w:numPr>
      <w:spacing w:line="240" w:lineRule="exact"/>
    </w:pPr>
  </w:style>
  <w:style w:type="paragraph" w:customStyle="1" w:styleId="LedenArt1niv2">
    <w:name w:val="Leden_Art_1_niv2"/>
    <w:basedOn w:val="Normal"/>
    <w:next w:val="Normal"/>
    <w:pPr>
      <w:numPr>
        <w:ilvl w:val="1"/>
        <w:numId w:val="24"/>
      </w:numPr>
      <w:spacing w:line="240" w:lineRule="exact"/>
    </w:pPr>
  </w:style>
  <w:style w:type="paragraph" w:customStyle="1" w:styleId="LedenArt10">
    <w:name w:val="Leden_Art_10"/>
    <w:basedOn w:val="Normal"/>
    <w:next w:val="Normal"/>
    <w:pPr>
      <w:numPr>
        <w:numId w:val="25"/>
      </w:numPr>
      <w:spacing w:line="240" w:lineRule="exact"/>
    </w:pPr>
  </w:style>
  <w:style w:type="paragraph" w:customStyle="1" w:styleId="LedenArt10niv2">
    <w:name w:val="Leden_Art_10_niv2"/>
    <w:basedOn w:val="Normal"/>
    <w:next w:val="Normal"/>
    <w:pPr>
      <w:numPr>
        <w:ilvl w:val="1"/>
        <w:numId w:val="25"/>
      </w:numPr>
      <w:spacing w:line="240" w:lineRule="exact"/>
    </w:pPr>
  </w:style>
  <w:style w:type="paragraph" w:customStyle="1" w:styleId="LedenArt11">
    <w:name w:val="Leden_Art_11"/>
    <w:basedOn w:val="Normal"/>
    <w:next w:val="Normal"/>
    <w:pPr>
      <w:numPr>
        <w:numId w:val="26"/>
      </w:numPr>
      <w:spacing w:line="240" w:lineRule="exact"/>
    </w:pPr>
  </w:style>
  <w:style w:type="paragraph" w:customStyle="1" w:styleId="LedenArt3">
    <w:name w:val="Leden_Art_3"/>
    <w:basedOn w:val="Normal"/>
    <w:next w:val="Normal"/>
    <w:pPr>
      <w:numPr>
        <w:numId w:val="27"/>
      </w:numPr>
      <w:spacing w:line="240" w:lineRule="exact"/>
    </w:pPr>
  </w:style>
  <w:style w:type="paragraph" w:customStyle="1" w:styleId="LedenArt6">
    <w:name w:val="Leden_Art_6"/>
    <w:basedOn w:val="Normal"/>
    <w:next w:val="Normal"/>
    <w:pPr>
      <w:numPr>
        <w:numId w:val="28"/>
      </w:numPr>
      <w:spacing w:line="240" w:lineRule="exact"/>
    </w:pPr>
  </w:style>
  <w:style w:type="paragraph" w:customStyle="1" w:styleId="LedenArt6niv2">
    <w:name w:val="Leden_Art_6_niv2"/>
    <w:basedOn w:val="Normal"/>
    <w:next w:val="Normal"/>
    <w:pPr>
      <w:numPr>
        <w:ilvl w:val="1"/>
        <w:numId w:val="28"/>
      </w:numPr>
      <w:spacing w:line="240" w:lineRule="exact"/>
    </w:pPr>
  </w:style>
  <w:style w:type="paragraph" w:customStyle="1" w:styleId="LedenArt7">
    <w:name w:val="Leden_Art_7"/>
    <w:basedOn w:val="Normal"/>
    <w:next w:val="Normal"/>
    <w:pPr>
      <w:numPr>
        <w:numId w:val="29"/>
      </w:numPr>
      <w:spacing w:line="240" w:lineRule="exact"/>
    </w:pPr>
  </w:style>
  <w:style w:type="paragraph" w:customStyle="1" w:styleId="LedenArt7niv2">
    <w:name w:val="Leden_Art_7_niv2"/>
    <w:basedOn w:val="Normal"/>
    <w:next w:val="Normal"/>
    <w:pPr>
      <w:numPr>
        <w:ilvl w:val="1"/>
        <w:numId w:val="29"/>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Normal"/>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Normal"/>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Normal"/>
    <w:next w:val="Normal"/>
    <w:pPr>
      <w:spacing w:line="240" w:lineRule="exact"/>
    </w:pPr>
  </w:style>
  <w:style w:type="paragraph" w:customStyle="1" w:styleId="LogiusBullets">
    <w:name w:val="Logius Bullets"/>
    <w:basedOn w:val="Normal"/>
    <w:next w:val="Normal"/>
    <w:pPr>
      <w:spacing w:line="240" w:lineRule="exact"/>
    </w:pPr>
  </w:style>
  <w:style w:type="paragraph" w:customStyle="1" w:styleId="LogiusBulletsRapport">
    <w:name w:val="Logius Bullets Rapport"/>
    <w:basedOn w:val="Normal"/>
    <w:next w:val="Normal"/>
    <w:pPr>
      <w:numPr>
        <w:numId w:val="11"/>
      </w:numPr>
      <w:spacing w:line="240" w:lineRule="exact"/>
    </w:pPr>
  </w:style>
  <w:style w:type="paragraph" w:customStyle="1" w:styleId="LogiusMTNotitiebullet">
    <w:name w:val="Logius MT Notitie bullet"/>
    <w:basedOn w:val="Normal"/>
    <w:next w:val="Normal"/>
    <w:pPr>
      <w:numPr>
        <w:numId w:val="12"/>
      </w:numPr>
      <w:spacing w:line="240" w:lineRule="exact"/>
    </w:pPr>
  </w:style>
  <w:style w:type="paragraph" w:customStyle="1" w:styleId="LogiusMTNotitieopsomming">
    <w:name w:val="Logius MT Notitie opsomming"/>
    <w:basedOn w:val="Normal"/>
    <w:next w:val="Normal"/>
    <w:pPr>
      <w:numPr>
        <w:numId w:val="13"/>
      </w:numPr>
      <w:spacing w:line="240" w:lineRule="exact"/>
    </w:pPr>
    <w:rPr>
      <w:b/>
    </w:rPr>
  </w:style>
  <w:style w:type="paragraph" w:customStyle="1" w:styleId="LogiusMTNotitieopsommingbullet">
    <w:name w:val="Logius MT Notitie opsomming bullet"/>
    <w:basedOn w:val="Normal"/>
    <w:next w:val="Normal"/>
    <w:pPr>
      <w:spacing w:line="240" w:lineRule="exact"/>
    </w:pPr>
  </w:style>
  <w:style w:type="paragraph" w:customStyle="1" w:styleId="LogiusMTNotitieopsommingniv2">
    <w:name w:val="Logius MT Notitie opsomming niv 2"/>
    <w:basedOn w:val="Normal"/>
    <w:next w:val="Normal"/>
    <w:pPr>
      <w:numPr>
        <w:ilvl w:val="1"/>
        <w:numId w:val="12"/>
      </w:numPr>
      <w:spacing w:line="240" w:lineRule="exact"/>
    </w:pPr>
  </w:style>
  <w:style w:type="paragraph" w:customStyle="1" w:styleId="LogiusMTNotitieopsommingnummering">
    <w:name w:val="Logius MT Notitie opsomming nummering"/>
    <w:basedOn w:val="Normal"/>
    <w:next w:val="Normal"/>
    <w:pPr>
      <w:spacing w:line="240" w:lineRule="exact"/>
    </w:pPr>
  </w:style>
  <w:style w:type="paragraph" w:customStyle="1" w:styleId="LogiusNummeringExtra">
    <w:name w:val="Logius Nummering Extra"/>
    <w:basedOn w:val="Normal"/>
    <w:next w:val="Normal"/>
    <w:pPr>
      <w:numPr>
        <w:numId w:val="14"/>
      </w:numPr>
      <w:spacing w:line="240" w:lineRule="exact"/>
    </w:pPr>
  </w:style>
  <w:style w:type="paragraph" w:customStyle="1" w:styleId="LogiusNummeringExtraLijst">
    <w:name w:val="Logius Nummering Extra Lijst"/>
    <w:basedOn w:val="Normal"/>
    <w:next w:val="Normal"/>
    <w:pPr>
      <w:spacing w:line="240" w:lineRule="exact"/>
    </w:pPr>
  </w:style>
  <w:style w:type="paragraph" w:customStyle="1" w:styleId="LogiusonderschriftOpdrOvereenkomst">
    <w:name w:val="Logius onderschrift Opdr.Overeenkomst"/>
    <w:basedOn w:val="Normal"/>
    <w:next w:val="Normal"/>
    <w:pPr>
      <w:spacing w:line="200" w:lineRule="exact"/>
      <w:ind w:left="1831"/>
    </w:pPr>
    <w:rPr>
      <w:i/>
      <w:sz w:val="16"/>
      <w:szCs w:val="16"/>
    </w:rPr>
  </w:style>
  <w:style w:type="paragraph" w:customStyle="1" w:styleId="LogiusOpsomming1a">
    <w:name w:val="Logius Opsomming 1a"/>
    <w:basedOn w:val="Normal"/>
    <w:next w:val="Normal"/>
    <w:pPr>
      <w:spacing w:line="240" w:lineRule="exact"/>
    </w:pPr>
  </w:style>
  <w:style w:type="paragraph" w:customStyle="1" w:styleId="LogiusOpsomming1aniv1">
    <w:name w:val="Logius Opsomming 1a niv1"/>
    <w:basedOn w:val="Normal"/>
    <w:next w:val="Normal"/>
    <w:pPr>
      <w:numPr>
        <w:numId w:val="15"/>
      </w:numPr>
      <w:spacing w:line="240" w:lineRule="exact"/>
    </w:pPr>
  </w:style>
  <w:style w:type="paragraph" w:customStyle="1" w:styleId="LogiusOpsomming1aniv2">
    <w:name w:val="Logius Opsomming 1a niv2"/>
    <w:basedOn w:val="Normal"/>
    <w:next w:val="Normal"/>
    <w:pPr>
      <w:numPr>
        <w:ilvl w:val="1"/>
        <w:numId w:val="15"/>
      </w:numPr>
      <w:spacing w:line="240" w:lineRule="exact"/>
    </w:pPr>
  </w:style>
  <w:style w:type="paragraph" w:customStyle="1" w:styleId="LogiusOpsommingHoofdletters">
    <w:name w:val="Logius Opsomming Hoofdletters"/>
    <w:basedOn w:val="Normal"/>
    <w:next w:val="Normal"/>
    <w:pPr>
      <w:numPr>
        <w:numId w:val="17"/>
      </w:numPr>
      <w:spacing w:line="240" w:lineRule="exact"/>
    </w:pPr>
  </w:style>
  <w:style w:type="paragraph" w:customStyle="1" w:styleId="LogiusRapportsoorten">
    <w:name w:val="Logius Rapportsoorten"/>
    <w:basedOn w:val="Normal"/>
    <w:next w:val="Normal"/>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Normal"/>
    <w:next w:val="Normal"/>
    <w:pPr>
      <w:numPr>
        <w:numId w:val="10"/>
      </w:numPr>
      <w:spacing w:line="240" w:lineRule="exact"/>
    </w:pPr>
  </w:style>
  <w:style w:type="paragraph" w:customStyle="1" w:styleId="Logiustekstmetopsommingniveau2">
    <w:name w:val="Logius tekst met opsomming niveau 2"/>
    <w:basedOn w:val="Normal"/>
    <w:next w:val="Normal"/>
    <w:pPr>
      <w:numPr>
        <w:ilvl w:val="1"/>
        <w:numId w:val="10"/>
      </w:numPr>
      <w:spacing w:line="240" w:lineRule="exact"/>
    </w:pPr>
  </w:style>
  <w:style w:type="paragraph" w:customStyle="1" w:styleId="Logiusverdana12">
    <w:name w:val="Logius verdana 12"/>
    <w:basedOn w:val="Normal"/>
    <w:next w:val="Normal"/>
    <w:pPr>
      <w:spacing w:line="320" w:lineRule="exact"/>
    </w:pPr>
    <w:rPr>
      <w:sz w:val="24"/>
      <w:szCs w:val="24"/>
    </w:rPr>
  </w:style>
  <w:style w:type="paragraph" w:customStyle="1" w:styleId="Logiusverdana12bold">
    <w:name w:val="Logius verdana 12 bold"/>
    <w:basedOn w:val="Normal"/>
    <w:next w:val="Normal"/>
    <w:pPr>
      <w:spacing w:line="320" w:lineRule="exact"/>
    </w:pPr>
    <w:rPr>
      <w:b/>
      <w:sz w:val="24"/>
      <w:szCs w:val="24"/>
    </w:rPr>
  </w:style>
  <w:style w:type="paragraph" w:customStyle="1" w:styleId="LogiusVerdana12Italic">
    <w:name w:val="Logius Verdana 12 Italic"/>
    <w:basedOn w:val="Normal"/>
    <w:next w:val="Normal"/>
    <w:pPr>
      <w:spacing w:line="240" w:lineRule="exact"/>
    </w:pPr>
    <w:rPr>
      <w:i/>
      <w:sz w:val="24"/>
      <w:szCs w:val="24"/>
    </w:rPr>
  </w:style>
  <w:style w:type="paragraph" w:customStyle="1" w:styleId="Logiusbasisnummering">
    <w:name w:val="Logius_basis_nummering"/>
    <w:basedOn w:val="Normal"/>
    <w:next w:val="Normal"/>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Normal"/>
    <w:pPr>
      <w:spacing w:line="240" w:lineRule="exact"/>
    </w:pPr>
    <w:rPr>
      <w:i/>
    </w:rPr>
  </w:style>
  <w:style w:type="paragraph" w:customStyle="1" w:styleId="Opsomminghoofdletters">
    <w:name w:val="Opsomming hoofdletters"/>
    <w:basedOn w:val="Normal"/>
    <w:next w:val="Normal"/>
    <w:pPr>
      <w:spacing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aragraaf">
    <w:name w:val="Paragraaf"/>
    <w:basedOn w:val="Normal"/>
    <w:next w:val="Normal"/>
    <w:pPr>
      <w:numPr>
        <w:ilvl w:val="1"/>
        <w:numId w:val="16"/>
      </w:numPr>
      <w:spacing w:line="240" w:lineRule="exact"/>
    </w:pPr>
    <w:rPr>
      <w:b/>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
    <w:name w:val="Rapport"/>
    <w:basedOn w:val="Normal"/>
    <w:next w:val="Normal"/>
    <w:pPr>
      <w:spacing w:line="240" w:lineRule="exact"/>
    </w:pPr>
    <w:rPr>
      <w:b/>
    </w:rPr>
  </w:style>
  <w:style w:type="paragraph" w:customStyle="1" w:styleId="RapportNiveau1">
    <w:name w:val="Rapport_Niveau_1"/>
    <w:basedOn w:val="Normal"/>
    <w:next w:val="Normal"/>
    <w:pPr>
      <w:numPr>
        <w:numId w:val="18"/>
      </w:numPr>
      <w:spacing w:after="700" w:line="300" w:lineRule="exact"/>
    </w:pPr>
    <w:rPr>
      <w:sz w:val="24"/>
      <w:szCs w:val="24"/>
    </w:rPr>
  </w:style>
  <w:style w:type="paragraph" w:customStyle="1" w:styleId="RapportNiveau2">
    <w:name w:val="Rapport_Niveau_2"/>
    <w:basedOn w:val="Normal"/>
    <w:next w:val="Normal"/>
    <w:pPr>
      <w:numPr>
        <w:ilvl w:val="1"/>
        <w:numId w:val="18"/>
      </w:numPr>
      <w:spacing w:line="240" w:lineRule="exact"/>
    </w:pPr>
    <w:rPr>
      <w:b/>
    </w:rPr>
  </w:style>
  <w:style w:type="paragraph" w:customStyle="1" w:styleId="RapportNiveau3">
    <w:name w:val="Rapport_Niveau_3"/>
    <w:basedOn w:val="Normal"/>
    <w:next w:val="Normal"/>
    <w:pPr>
      <w:numPr>
        <w:ilvl w:val="2"/>
        <w:numId w:val="18"/>
      </w:numPr>
      <w:spacing w:line="240" w:lineRule="exact"/>
    </w:pPr>
    <w:rPr>
      <w:i/>
    </w:rPr>
  </w:style>
  <w:style w:type="paragraph" w:customStyle="1" w:styleId="RapportNiveau4">
    <w:name w:val="Rapport_Niveau_4"/>
    <w:basedOn w:val="Normal"/>
    <w:next w:val="Normal"/>
    <w:pPr>
      <w:numPr>
        <w:ilvl w:val="3"/>
        <w:numId w:val="18"/>
      </w:numPr>
      <w:spacing w:line="240" w:lineRule="exact"/>
    </w:pPr>
  </w:style>
  <w:style w:type="paragraph" w:customStyle="1" w:styleId="RapportNiveau5">
    <w:name w:val="Rapport_Niveau_5"/>
    <w:basedOn w:val="Normal"/>
    <w:next w:val="Normal"/>
    <w:pPr>
      <w:numPr>
        <w:ilvl w:val="4"/>
        <w:numId w:val="18"/>
      </w:num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COpsommingstreepje">
    <w:name w:val="RC Opsomming streepje"/>
    <w:basedOn w:val="Normal"/>
    <w:next w:val="Normal"/>
    <w:pPr>
      <w:numPr>
        <w:numId w:val="19"/>
      </w:numPr>
      <w:spacing w:line="240" w:lineRule="exact"/>
    </w:pPr>
  </w:style>
  <w:style w:type="paragraph" w:customStyle="1" w:styleId="RCStreepje">
    <w:name w:val="RC Streepje"/>
    <w:basedOn w:val="Normal"/>
    <w:next w:val="Normal"/>
    <w:pPr>
      <w:spacing w:line="240" w:lineRule="exact"/>
    </w:pPr>
  </w:style>
  <w:style w:type="paragraph" w:customStyle="1" w:styleId="RCabc">
    <w:name w:val="RC_abc"/>
    <w:basedOn w:val="Normal"/>
    <w:next w:val="Normal"/>
    <w:pPr>
      <w:spacing w:line="240" w:lineRule="exact"/>
    </w:pPr>
  </w:style>
  <w:style w:type="paragraph" w:customStyle="1" w:styleId="RCabcalinea">
    <w:name w:val="RC_abc alinea"/>
    <w:basedOn w:val="Normal"/>
    <w:next w:val="Normal"/>
    <w:pPr>
      <w:numPr>
        <w:numId w:val="20"/>
      </w:numPr>
      <w:spacing w:line="240" w:lineRule="exact"/>
    </w:p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Normal"/>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Normal"/>
    <w:next w:val="Normal"/>
    <w:pPr>
      <w:numPr>
        <w:ilvl w:val="2"/>
        <w:numId w:val="21"/>
      </w:numPr>
      <w:spacing w:before="180" w:line="300" w:lineRule="exact"/>
    </w:pPr>
    <w:rPr>
      <w:b/>
    </w:rPr>
  </w:style>
  <w:style w:type="paragraph" w:customStyle="1" w:styleId="Rob-RfvRaadsnotadocumentnaam">
    <w:name w:val="Rob-Rfv Raadsnota documentnaam"/>
    <w:next w:val="Normal"/>
    <w:pPr>
      <w:spacing w:line="440" w:lineRule="exact"/>
    </w:pPr>
    <w:rPr>
      <w:rFonts w:ascii="Verdana" w:hAnsi="Verdana"/>
      <w:color w:val="FF0000"/>
      <w:sz w:val="44"/>
      <w:szCs w:val="44"/>
    </w:rPr>
  </w:style>
  <w:style w:type="paragraph" w:customStyle="1" w:styleId="RobRfvStandaardTAB">
    <w:name w:val="Rob/Rfv Standaard TAB"/>
    <w:basedOn w:val="Normal"/>
    <w:next w:val="Normal"/>
    <w:pPr>
      <w:tabs>
        <w:tab w:val="left" w:pos="1133"/>
      </w:tabs>
      <w:spacing w:line="240" w:lineRule="exact"/>
    </w:pPr>
  </w:style>
  <w:style w:type="paragraph" w:customStyle="1" w:styleId="Robrfvabc">
    <w:name w:val="Robrfv_abc"/>
    <w:basedOn w:val="Normal"/>
    <w:next w:val="Normal"/>
    <w:pPr>
      <w:numPr>
        <w:ilvl w:val="5"/>
        <w:numId w:val="21"/>
      </w:numPr>
      <w:spacing w:before="180" w:line="300" w:lineRule="exact"/>
    </w:pPr>
  </w:style>
  <w:style w:type="paragraph" w:customStyle="1" w:styleId="Robrfvniv1b11">
    <w:name w:val="Robrfvniv1_b11"/>
    <w:basedOn w:val="Normal"/>
    <w:next w:val="Normal"/>
    <w:pPr>
      <w:numPr>
        <w:numId w:val="21"/>
      </w:numPr>
      <w:spacing w:before="360" w:line="300" w:lineRule="exact"/>
    </w:pPr>
    <w:rPr>
      <w:b/>
      <w:sz w:val="22"/>
      <w:szCs w:val="22"/>
    </w:rPr>
  </w:style>
  <w:style w:type="paragraph" w:customStyle="1" w:styleId="Robrfvniv2">
    <w:name w:val="Robrfvniv2"/>
    <w:basedOn w:val="Normal"/>
    <w:next w:val="Normal"/>
    <w:pPr>
      <w:numPr>
        <w:ilvl w:val="1"/>
        <w:numId w:val="21"/>
      </w:numPr>
      <w:spacing w:before="180" w:line="300" w:lineRule="exact"/>
    </w:pPr>
    <w:rPr>
      <w:b/>
    </w:rPr>
  </w:style>
  <w:style w:type="paragraph" w:customStyle="1" w:styleId="Robrfvniv3standaard">
    <w:name w:val="Robrfvniv3_standaard"/>
    <w:basedOn w:val="Normal"/>
    <w:next w:val="Normal"/>
    <w:pPr>
      <w:numPr>
        <w:ilvl w:val="3"/>
        <w:numId w:val="21"/>
      </w:numPr>
      <w:spacing w:line="240" w:lineRule="exact"/>
    </w:pPr>
  </w:style>
  <w:style w:type="paragraph" w:customStyle="1" w:styleId="Robrfvniv5">
    <w:name w:val="Robrfvniv5"/>
    <w:basedOn w:val="Normal"/>
    <w:next w:val="Normal"/>
    <w:pPr>
      <w:numPr>
        <w:ilvl w:val="4"/>
        <w:numId w:val="21"/>
      </w:numPr>
      <w:spacing w:line="240" w:lineRule="exact"/>
    </w:pPr>
  </w:style>
  <w:style w:type="paragraph" w:customStyle="1" w:styleId="Robrfvopsommingslijst">
    <w:name w:val="Robrfvopsommingslijst"/>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Normal"/>
    <w:next w:val="Normal"/>
    <w:pPr>
      <w:spacing w:line="240" w:lineRule="exact"/>
    </w:pPr>
  </w:style>
  <w:style w:type="paragraph" w:customStyle="1" w:styleId="RVIGLetteropsomming">
    <w:name w:val="RVIG Letteropsomming"/>
    <w:basedOn w:val="Normal"/>
    <w:next w:val="Normal"/>
    <w:pPr>
      <w:spacing w:line="240" w:lineRule="exact"/>
    </w:pPr>
  </w:style>
  <w:style w:type="paragraph" w:customStyle="1" w:styleId="RvIGOpsomming">
    <w:name w:val="RvIG Opsomming"/>
    <w:basedOn w:val="Normal"/>
    <w:next w:val="Normal"/>
    <w:pPr>
      <w:spacing w:line="240" w:lineRule="exact"/>
      <w:ind w:left="1260"/>
    </w:pPr>
  </w:style>
  <w:style w:type="paragraph" w:customStyle="1" w:styleId="RVIGOpsommingGebruikersgegevens">
    <w:name w:val="RVIG Opsomming Gebruikersgegevens"/>
    <w:basedOn w:val="Normal"/>
    <w:next w:val="Normal"/>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Normal"/>
    <w:next w:val="Normal"/>
    <w:pPr>
      <w:numPr>
        <w:numId w:val="22"/>
      </w:numPr>
      <w:spacing w:after="240" w:line="240" w:lineRule="exact"/>
    </w:pPr>
  </w:style>
  <w:style w:type="paragraph" w:customStyle="1" w:styleId="RVIGTekstbesluitmetletters">
    <w:name w:val="RVIG Tekst besluit met letters"/>
    <w:basedOn w:val="Normal"/>
    <w:next w:val="Normal"/>
    <w:pPr>
      <w:numPr>
        <w:numId w:val="23"/>
      </w:numPr>
      <w:spacing w:after="240" w:line="240" w:lineRule="exact"/>
    </w:pPr>
  </w:style>
  <w:style w:type="paragraph" w:customStyle="1" w:styleId="Slotzin">
    <w:name w:val="Slotzin"/>
    <w:basedOn w:val="Normal"/>
    <w:next w:val="Normal"/>
    <w:pPr>
      <w:spacing w:line="240" w:lineRule="exact"/>
    </w:pPr>
  </w:style>
  <w:style w:type="paragraph" w:customStyle="1" w:styleId="SSCICTslotzin">
    <w:name w:val="SSC_ICT_slotzin"/>
    <w:basedOn w:val="Normal"/>
    <w:next w:val="Normal"/>
    <w:pPr>
      <w:spacing w:before="240" w:line="240" w:lineRule="exact"/>
    </w:pPr>
  </w:style>
  <w:style w:type="paragraph" w:customStyle="1" w:styleId="SSC-ICTAanhef">
    <w:name w:val="SSC-ICT Aanhef"/>
    <w:basedOn w:val="Normal"/>
    <w:next w:val="Normal"/>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Normal"/>
    <w:next w:val="Normal"/>
    <w:pPr>
      <w:spacing w:before="40" w:after="40" w:line="240" w:lineRule="exact"/>
      <w:ind w:left="40"/>
    </w:p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Grijsgemarkeerd">
    <w:name w:val="Standaard Grijs gemarkeerd"/>
    <w:basedOn w:val="Normal"/>
    <w:next w:val="Normal"/>
    <w:pPr>
      <w:shd w:val="clear" w:color="auto" w:fill="B2B2B2"/>
      <w:spacing w:line="240" w:lineRule="exact"/>
    </w:pPr>
  </w:style>
  <w:style w:type="paragraph" w:customStyle="1" w:styleId="StandaardHvK">
    <w:name w:val="Standaard HvK"/>
    <w:next w:val="Normal"/>
    <w:pPr>
      <w:spacing w:line="300" w:lineRule="exact"/>
    </w:pPr>
    <w:rPr>
      <w:rFonts w:ascii="Helvetica" w:hAnsi="Helvetica"/>
      <w:color w:val="000000"/>
    </w:rPr>
  </w:style>
  <w:style w:type="paragraph" w:customStyle="1" w:styleId="StandaardKleinKapitaal">
    <w:name w:val="Standaard Klein Kapitaal"/>
    <w:basedOn w:val="Normal"/>
    <w:next w:val="Normal"/>
    <w:pPr>
      <w:spacing w:line="240" w:lineRule="exact"/>
    </w:pPr>
    <w:rPr>
      <w:smallCaps/>
    </w:rPr>
  </w:style>
  <w:style w:type="paragraph" w:customStyle="1" w:styleId="Standaardrechts">
    <w:name w:val="Standaard rechts"/>
    <w:basedOn w:val="Normal"/>
    <w:next w:val="Normal"/>
    <w:pPr>
      <w:spacing w:line="240" w:lineRule="exact"/>
      <w:jc w:val="right"/>
    </w:pPr>
  </w:style>
  <w:style w:type="paragraph" w:customStyle="1" w:styleId="Standaardregelafstandtenminste">
    <w:name w:val="Standaard regelafstand ten minste"/>
    <w:basedOn w:val="Normal"/>
    <w:next w:val="Normal"/>
  </w:style>
  <w:style w:type="paragraph" w:customStyle="1" w:styleId="Standaardtabeltekst">
    <w:name w:val="Standaard tabel tekst"/>
    <w:basedOn w:val="Normal"/>
    <w:next w:val="Normal"/>
    <w:pPr>
      <w:spacing w:line="220" w:lineRule="exact"/>
    </w:p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rdana16Projectcontract">
    <w:name w:val="Standaard Verdana 16 Projectcontract"/>
    <w:basedOn w:val="Normal"/>
    <w:next w:val="Normal"/>
    <w:pPr>
      <w:spacing w:after="900" w:line="380" w:lineRule="exact"/>
    </w:pPr>
    <w:rPr>
      <w:sz w:val="32"/>
      <w:szCs w:val="32"/>
    </w:rPr>
  </w:style>
  <w:style w:type="paragraph" w:customStyle="1" w:styleId="StandaardVerdana8">
    <w:name w:val="Standaard Verdana 8"/>
    <w:basedOn w:val="Normal"/>
    <w:next w:val="Normal"/>
    <w:pPr>
      <w:spacing w:line="240" w:lineRule="exact"/>
    </w:pPr>
    <w:rPr>
      <w:sz w:val="16"/>
      <w:szCs w:val="16"/>
    </w:rPr>
  </w:style>
  <w:style w:type="paragraph" w:customStyle="1" w:styleId="StandaardVet">
    <w:name w:val="Standaard Vet"/>
    <w:basedOn w:val="Normal"/>
    <w:next w:val="Normal"/>
    <w:pPr>
      <w:spacing w:line="240" w:lineRule="exact"/>
    </w:pPr>
    <w:rPr>
      <w:b/>
    </w:r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Normal"/>
    <w:next w:val="Normal"/>
    <w:pPr>
      <w:numPr>
        <w:ilvl w:val="2"/>
        <w:numId w:val="16"/>
      </w:numPr>
      <w:spacing w:line="240" w:lineRule="exact"/>
    </w:pPr>
    <w:rPr>
      <w:i/>
    </w:rPr>
  </w:style>
  <w:style w:type="paragraph" w:customStyle="1" w:styleId="Subparagraaf2">
    <w:name w:val="Subparagraaf 2"/>
    <w:basedOn w:val="Normal"/>
    <w:next w:val="Normal"/>
    <w:pPr>
      <w:numPr>
        <w:ilvl w:val="3"/>
        <w:numId w:val="16"/>
      </w:numPr>
      <w:spacing w:line="240" w:lineRule="exact"/>
    </w:pPr>
  </w:style>
  <w:style w:type="paragraph" w:customStyle="1" w:styleId="Subtitelpersbericht">
    <w:name w:val="Subtitel persbericht"/>
    <w:basedOn w:val="Titelpersbericht"/>
    <w:next w:val="Normal"/>
    <w:rPr>
      <w:b w:val="0"/>
    </w:rPr>
  </w:style>
  <w:style w:type="paragraph" w:customStyle="1" w:styleId="SubtitelRapport">
    <w:name w:val="Subtitel Rapport"/>
    <w:next w:val="Normal"/>
    <w:pPr>
      <w:spacing w:line="240" w:lineRule="exact"/>
    </w:pPr>
    <w:rPr>
      <w:rFonts w:ascii="Verdana" w:hAnsi="Verdana"/>
      <w:color w:val="000000"/>
      <w:sz w:val="16"/>
      <w:szCs w:val="16"/>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Normal"/>
    <w:pPr>
      <w:spacing w:line="240" w:lineRule="exact"/>
    </w:pPr>
    <w:rPr>
      <w:rFonts w:ascii="Verdana" w:hAnsi="Verdana"/>
      <w:b/>
      <w:color w:val="000000"/>
      <w:sz w:val="16"/>
      <w:szCs w:val="16"/>
    </w:rPr>
  </w:style>
  <w:style w:type="paragraph" w:customStyle="1" w:styleId="Titelpersbericht">
    <w:name w:val="Titel persbericht"/>
    <w:next w:val="Normal"/>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VetStandaard">
    <w:name w:val="Vet (Standaard)"/>
    <w:basedOn w:val="Normal"/>
    <w:next w:val="Normal"/>
    <w:pPr>
      <w:spacing w:line="240" w:lineRule="exact"/>
    </w:pPr>
    <w:rPr>
      <w:b/>
    </w:rPr>
  </w:style>
  <w:style w:type="paragraph" w:customStyle="1" w:styleId="Voetnoot">
    <w:name w:val="Voetnoot"/>
    <w:basedOn w:val="Normal"/>
    <w:pPr>
      <w:spacing w:line="240" w:lineRule="exact"/>
    </w:pPr>
    <w:rPr>
      <w:sz w:val="16"/>
      <w:szCs w:val="16"/>
    </w:rPr>
  </w:style>
  <w:style w:type="paragraph" w:customStyle="1" w:styleId="VoetnootVorderingsbrief">
    <w:name w:val="Voetnoot Vorderingsbrief"/>
    <w:basedOn w:val="Normal"/>
    <w:pPr>
      <w:spacing w:line="200" w:lineRule="exact"/>
    </w:pPr>
    <w:rPr>
      <w:sz w:val="14"/>
      <w:szCs w:val="14"/>
    </w:rPr>
  </w:style>
  <w:style w:type="paragraph" w:customStyle="1" w:styleId="VTWmeldingrood">
    <w:name w:val="VTW melding rood"/>
    <w:basedOn w:val="Normal"/>
    <w:next w:val="Normal"/>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Normal"/>
    <w:next w:val="Normal"/>
    <w:pPr>
      <w:shd w:val="clear" w:color="auto" w:fill="EEEEEE"/>
      <w:spacing w:line="240" w:lineRule="exact"/>
    </w:pPr>
  </w:style>
  <w:style w:type="paragraph" w:customStyle="1" w:styleId="VTWVerdana">
    <w:name w:val="VTW Verdana"/>
    <w:basedOn w:val="Normal"/>
    <w:next w:val="Normal"/>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Normal"/>
    <w:next w:val="Normal"/>
    <w:pPr>
      <w:spacing w:line="280" w:lineRule="exact"/>
    </w:pPr>
    <w:rPr>
      <w:b/>
      <w:sz w:val="24"/>
      <w:szCs w:val="24"/>
    </w:rPr>
  </w:style>
  <w:style w:type="paragraph" w:customStyle="1" w:styleId="VTWOndertitel">
    <w:name w:val="VTW_Ondertitel"/>
    <w:basedOn w:val="Normal"/>
    <w:next w:val="Normal"/>
    <w:pPr>
      <w:spacing w:line="240" w:lineRule="exact"/>
    </w:pPr>
    <w:rPr>
      <w:sz w:val="20"/>
      <w:szCs w:val="20"/>
    </w:rPr>
  </w:style>
  <w:style w:type="paragraph" w:customStyle="1" w:styleId="WitregelNota8pt">
    <w:name w:val="Witregel Nota 8pt"/>
    <w:next w:val="Normal"/>
    <w:pPr>
      <w:spacing w:line="160" w:lineRule="exact"/>
    </w:pPr>
    <w:rPr>
      <w:rFonts w:ascii="Verdana" w:hAnsi="Verdana"/>
      <w:color w:val="000000"/>
      <w:sz w:val="16"/>
      <w:szCs w:val="16"/>
    </w:rPr>
  </w:style>
  <w:style w:type="paragraph" w:customStyle="1" w:styleId="WitregelNota9pt">
    <w:name w:val="Witregel Nota 9pt"/>
    <w:next w:val="Normal"/>
    <w:pPr>
      <w:spacing w:line="180" w:lineRule="exact"/>
    </w:pPr>
    <w:rPr>
      <w:rFonts w:ascii="Verdana" w:hAnsi="Verdana"/>
      <w:color w:val="000000"/>
      <w:sz w:val="18"/>
      <w:szCs w:val="18"/>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Normal"/>
    <w:next w:val="Normal"/>
    <w:pPr>
      <w:pageBreakBefore/>
      <w:numPr>
        <w:numId w:val="3"/>
      </w:numPr>
      <w:spacing w:before="180" w:line="240" w:lineRule="exact"/>
    </w:pPr>
    <w:rPr>
      <w:b/>
    </w:rPr>
  </w:style>
  <w:style w:type="paragraph" w:customStyle="1" w:styleId="WOBBesluitBijlageLidArtikel">
    <w:name w:val="WOB Besluit Bijlage Lid Artikel"/>
    <w:basedOn w:val="Normal"/>
    <w:next w:val="Normal"/>
    <w:pPr>
      <w:numPr>
        <w:numId w:val="4"/>
      </w:numPr>
      <w:spacing w:line="240" w:lineRule="exact"/>
      <w:ind w:firstLine="0"/>
    </w:pPr>
  </w:style>
  <w:style w:type="paragraph" w:customStyle="1" w:styleId="WOBBesluitKop">
    <w:name w:val="WOB Besluit Kop"/>
    <w:basedOn w:val="Normal"/>
    <w:next w:val="Normal"/>
    <w:pPr>
      <w:spacing w:before="180" w:line="240" w:lineRule="exact"/>
    </w:pPr>
    <w:rPr>
      <w:b/>
    </w:rPr>
  </w:style>
  <w:style w:type="paragraph" w:customStyle="1" w:styleId="WOBBesluitLidgenummerd">
    <w:name w:val="WOB Besluit Lid genummerd"/>
    <w:basedOn w:val="Normal"/>
    <w:next w:val="Normal"/>
    <w:pPr>
      <w:numPr>
        <w:numId w:val="5"/>
      </w:numPr>
      <w:spacing w:line="240" w:lineRule="exact"/>
    </w:pPr>
  </w:style>
  <w:style w:type="paragraph" w:customStyle="1" w:styleId="WOBBesluitStandaard">
    <w:name w:val="WOB Besluit Standaard"/>
    <w:basedOn w:val="Normal"/>
    <w:next w:val="Normal"/>
    <w:pPr>
      <w:spacing w:after="180" w:line="240" w:lineRule="exact"/>
    </w:pPr>
  </w:style>
  <w:style w:type="paragraph" w:customStyle="1" w:styleId="WOBBesluitSubkop">
    <w:name w:val="WOB Besluit Subkop"/>
    <w:basedOn w:val="Normal"/>
    <w:next w:val="Normal"/>
    <w:pPr>
      <w:spacing w:before="180" w:after="180" w:line="240" w:lineRule="exact"/>
    </w:pPr>
    <w:rPr>
      <w:i/>
    </w:rPr>
  </w:style>
  <w:style w:type="paragraph" w:customStyle="1" w:styleId="WobBijlageLedenArtikel1">
    <w:name w:val="Wob_Bijlage_Leden_Artikel_1"/>
    <w:basedOn w:val="Normal"/>
    <w:next w:val="Normal"/>
    <w:pPr>
      <w:spacing w:line="240" w:lineRule="exact"/>
    </w:pPr>
  </w:style>
  <w:style w:type="paragraph" w:customStyle="1" w:styleId="WobBijlageLedenArtikel10">
    <w:name w:val="Wob_Bijlage_Leden_Artikel_10"/>
    <w:basedOn w:val="Normal"/>
    <w:next w:val="Normal"/>
    <w:pPr>
      <w:spacing w:line="240" w:lineRule="exact"/>
    </w:pPr>
  </w:style>
  <w:style w:type="paragraph" w:customStyle="1" w:styleId="WobBijlageLedenArtikel11">
    <w:name w:val="Wob_Bijlage_Leden_Artikel_11"/>
    <w:basedOn w:val="Normal"/>
    <w:next w:val="Normal"/>
    <w:pPr>
      <w:spacing w:line="240" w:lineRule="exact"/>
    </w:pPr>
  </w:style>
  <w:style w:type="paragraph" w:customStyle="1" w:styleId="WobBijlageLedenArtikel3">
    <w:name w:val="Wob_Bijlage_Leden_Artikel_3"/>
    <w:basedOn w:val="Normal"/>
    <w:next w:val="Normal"/>
    <w:pPr>
      <w:spacing w:line="240" w:lineRule="exact"/>
    </w:pPr>
  </w:style>
  <w:style w:type="paragraph" w:customStyle="1" w:styleId="WobBijlageLedenArtikel6">
    <w:name w:val="Wob_Bijlage_Leden_Artikel_6"/>
    <w:basedOn w:val="Normal"/>
    <w:next w:val="Normal"/>
    <w:pPr>
      <w:spacing w:line="240" w:lineRule="exact"/>
    </w:pPr>
  </w:style>
  <w:style w:type="paragraph" w:customStyle="1" w:styleId="WobBijlageLedenArtikel7">
    <w:name w:val="Wob_Bijlage_Leden_Artikel_7"/>
    <w:basedOn w:val="Normal"/>
    <w:next w:val="Normal"/>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Normal"/>
    <w:pPr>
      <w:spacing w:line="240" w:lineRule="exact"/>
    </w:pPr>
    <w:rPr>
      <w:rFonts w:ascii="Verdana" w:hAnsi="Verdana"/>
      <w:i/>
      <w:color w:val="000000"/>
      <w:sz w:val="18"/>
      <w:szCs w:val="18"/>
    </w:rPr>
  </w:style>
  <w:style w:type="paragraph" w:customStyle="1" w:styleId="Workaroundgroetregel">
    <w:name w:val="Workaround groetregel"/>
    <w:next w:val="Normal"/>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Normal"/>
    <w:pPr>
      <w:spacing w:after="720" w:line="240" w:lineRule="exact"/>
    </w:pPr>
    <w:rPr>
      <w:rFonts w:ascii="Verdana" w:hAnsi="Verdana"/>
      <w:color w:val="000000"/>
      <w:sz w:val="18"/>
      <w:szCs w:val="18"/>
    </w:rPr>
  </w:style>
  <w:style w:type="paragraph" w:customStyle="1" w:styleId="Workaroundnaamondertekenaar">
    <w:name w:val="Workaround naam ondertekenaar"/>
    <w:next w:val="Normal"/>
    <w:pPr>
      <w:spacing w:line="240" w:lineRule="exact"/>
    </w:pPr>
    <w:rPr>
      <w:rFonts w:ascii="Verdana" w:hAnsi="Verdana"/>
      <w:color w:val="000000"/>
      <w:sz w:val="18"/>
      <w:szCs w:val="18"/>
    </w:rPr>
  </w:style>
  <w:style w:type="paragraph" w:styleId="Header">
    <w:name w:val="header"/>
    <w:basedOn w:val="Normal"/>
    <w:link w:val="KoptekstChar"/>
    <w:uiPriority w:val="99"/>
    <w:unhideWhenUsed/>
    <w:rsid w:val="006672DD"/>
    <w:pPr>
      <w:tabs>
        <w:tab w:val="center" w:pos="4536"/>
        <w:tab w:val="right" w:pos="9072"/>
      </w:tabs>
      <w:spacing w:line="240" w:lineRule="auto"/>
    </w:pPr>
  </w:style>
  <w:style w:type="character" w:customStyle="1" w:styleId="KoptekstChar">
    <w:name w:val="Koptekst Char"/>
    <w:basedOn w:val="DefaultParagraphFont"/>
    <w:link w:val="Header"/>
    <w:uiPriority w:val="99"/>
    <w:rsid w:val="006672DD"/>
    <w:rPr>
      <w:rFonts w:ascii="Verdana" w:hAnsi="Verdana"/>
      <w:color w:val="000000"/>
      <w:sz w:val="18"/>
      <w:szCs w:val="18"/>
    </w:rPr>
  </w:style>
  <w:style w:type="paragraph" w:styleId="Footer">
    <w:name w:val="footer"/>
    <w:basedOn w:val="Normal"/>
    <w:link w:val="VoettekstChar"/>
    <w:uiPriority w:val="99"/>
    <w:unhideWhenUsed/>
    <w:rsid w:val="006672DD"/>
    <w:pPr>
      <w:tabs>
        <w:tab w:val="center" w:pos="4536"/>
        <w:tab w:val="right" w:pos="9072"/>
      </w:tabs>
      <w:spacing w:line="240" w:lineRule="auto"/>
    </w:pPr>
  </w:style>
  <w:style w:type="character" w:customStyle="1" w:styleId="VoettekstChar">
    <w:name w:val="Voettekst Char"/>
    <w:basedOn w:val="DefaultParagraphFont"/>
    <w:link w:val="Footer"/>
    <w:uiPriority w:val="99"/>
    <w:rsid w:val="006672DD"/>
    <w:rPr>
      <w:rFonts w:ascii="Verdana" w:hAnsi="Verdana"/>
      <w:color w:val="000000"/>
      <w:sz w:val="18"/>
      <w:szCs w:val="18"/>
    </w:rPr>
  </w:style>
  <w:style w:type="paragraph" w:styleId="FootnoteText">
    <w:name w:val="footnote text"/>
    <w:aliases w:val="Voetnootteksta,Fodnotetekst Tegn Tegn Tegn Tegn Tegn Tegn Tegn Char Char,Fodnotetekst Tegn Tegn Tegn Tegn Tegn Tegn Tegn Char Char Char Char,Fodnotetekst Tegn Tegn Tegn Tegn Tegn Tegn Tegn,fn"/>
    <w:basedOn w:val="Normal"/>
    <w:link w:val="VoetnoottekstChar"/>
    <w:uiPriority w:val="99"/>
    <w:semiHidden/>
    <w:unhideWhenUsed/>
    <w:qFormat/>
    <w:rsid w:val="00494B6D"/>
    <w:pPr>
      <w:spacing w:line="240" w:lineRule="auto"/>
    </w:pPr>
    <w:rPr>
      <w:sz w:val="20"/>
      <w:szCs w:val="20"/>
    </w:rPr>
  </w:style>
  <w:style w:type="character" w:customStyle="1" w:styleId="VoetnoottekstChar">
    <w:name w:val="Voetnoottekst Char"/>
    <w:aliases w:val="Voetnootteksta Char,Fodnotetekst Tegn Tegn Tegn Tegn Tegn Tegn Tegn Char Char Char,Fodnotetekst Tegn Tegn Tegn Tegn Tegn Tegn Tegn Char Char Char Char Char,Fodnotetekst Tegn Tegn Tegn Tegn Tegn Tegn Tegn Char,fn Char"/>
    <w:basedOn w:val="DefaultParagraphFont"/>
    <w:link w:val="FootnoteText"/>
    <w:uiPriority w:val="99"/>
    <w:semiHidden/>
    <w:rsid w:val="00494B6D"/>
    <w:rPr>
      <w:rFonts w:ascii="Verdana" w:hAnsi="Verdana"/>
      <w:color w:val="000000"/>
    </w:rPr>
  </w:style>
  <w:style w:type="character" w:styleId="FootnoteReference">
    <w:name w:val="footnote reference"/>
    <w:basedOn w:val="DefaultParagraphFont"/>
    <w:uiPriority w:val="99"/>
    <w:semiHidden/>
    <w:unhideWhenUsed/>
    <w:rsid w:val="00494B6D"/>
    <w:rPr>
      <w:vertAlign w:val="superscript"/>
    </w:rPr>
  </w:style>
  <w:style w:type="paragraph" w:styleId="ListParagraph">
    <w:name w:val="List Paragraph"/>
    <w:basedOn w:val="Normal"/>
    <w:uiPriority w:val="34"/>
    <w:qFormat/>
    <w:rsid w:val="004473DB"/>
    <w:pPr>
      <w:ind w:left="720"/>
      <w:contextualSpacing/>
    </w:pPr>
  </w:style>
  <w:style w:type="character" w:styleId="CommentReference">
    <w:name w:val="annotation reference"/>
    <w:basedOn w:val="DefaultParagraphFont"/>
    <w:uiPriority w:val="99"/>
    <w:semiHidden/>
    <w:unhideWhenUsed/>
    <w:rsid w:val="000A1CE5"/>
    <w:rPr>
      <w:sz w:val="16"/>
      <w:szCs w:val="16"/>
    </w:rPr>
  </w:style>
  <w:style w:type="paragraph" w:styleId="CommentText">
    <w:name w:val="annotation text"/>
    <w:basedOn w:val="Normal"/>
    <w:link w:val="TekstopmerkingChar"/>
    <w:uiPriority w:val="99"/>
    <w:unhideWhenUsed/>
    <w:rsid w:val="000A1CE5"/>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DefaultParagraphFont"/>
    <w:link w:val="CommentText"/>
    <w:uiPriority w:val="99"/>
    <w:rsid w:val="000A1CE5"/>
    <w:rPr>
      <w:rFonts w:asciiTheme="minorHAnsi" w:eastAsiaTheme="minorHAnsi" w:hAnsiTheme="minorHAnsi" w:cstheme="minorBidi"/>
      <w:lang w:eastAsia="en-US"/>
    </w:rPr>
  </w:style>
  <w:style w:type="paragraph" w:styleId="BalloonText">
    <w:name w:val="Balloon Text"/>
    <w:basedOn w:val="Normal"/>
    <w:link w:val="BallontekstChar"/>
    <w:uiPriority w:val="99"/>
    <w:semiHidden/>
    <w:unhideWhenUsed/>
    <w:rsid w:val="000A1CE5"/>
    <w:pPr>
      <w:spacing w:line="240" w:lineRule="auto"/>
    </w:pPr>
    <w:rPr>
      <w:rFonts w:ascii="Segoe UI" w:hAnsi="Segoe UI" w:cs="Segoe UI"/>
    </w:rPr>
  </w:style>
  <w:style w:type="character" w:customStyle="1" w:styleId="BallontekstChar">
    <w:name w:val="Ballontekst Char"/>
    <w:basedOn w:val="DefaultParagraphFont"/>
    <w:link w:val="BalloonText"/>
    <w:uiPriority w:val="99"/>
    <w:semiHidden/>
    <w:rsid w:val="000A1CE5"/>
    <w:rPr>
      <w:rFonts w:ascii="Segoe UI" w:hAnsi="Segoe UI" w:cs="Segoe UI"/>
      <w:color w:val="000000"/>
      <w:sz w:val="18"/>
      <w:szCs w:val="18"/>
    </w:rPr>
  </w:style>
  <w:style w:type="paragraph" w:styleId="CommentSubject">
    <w:name w:val="annotation subject"/>
    <w:basedOn w:val="CommentText"/>
    <w:next w:val="CommentText"/>
    <w:link w:val="OnderwerpvanopmerkingChar"/>
    <w:uiPriority w:val="99"/>
    <w:semiHidden/>
    <w:unhideWhenUsed/>
    <w:rsid w:val="00287F6C"/>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CommentSubject"/>
    <w:uiPriority w:val="99"/>
    <w:semiHidden/>
    <w:rsid w:val="00287F6C"/>
    <w:rPr>
      <w:rFonts w:ascii="Verdana" w:hAnsi="Verdana" w:eastAsiaTheme="minorHAnsi" w:cstheme="minorBidi"/>
      <w:b/>
      <w:bCs/>
      <w:color w:val="000000"/>
      <w:lang w:eastAsia="en-US"/>
    </w:rPr>
  </w:style>
  <w:style w:type="character" w:styleId="Hyperlink">
    <w:name w:val="Hyperlink"/>
    <w:basedOn w:val="DefaultParagraphFont"/>
    <w:uiPriority w:val="99"/>
    <w:unhideWhenUsed/>
    <w:rsid w:val="009024A1"/>
    <w:rPr>
      <w:color w:val="0563C1" w:themeColor="hyperlink"/>
      <w:u w:val="single"/>
    </w:rPr>
  </w:style>
  <w:style w:type="table" w:styleId="TableGrid">
    <w:name w:val="Table Grid"/>
    <w:basedOn w:val="TableNormal"/>
    <w:uiPriority w:val="39"/>
    <w:rsid w:val="00777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TableNormal"/>
    <w:next w:val="TableGrid"/>
    <w:uiPriority w:val="39"/>
    <w:rsid w:val="00777B62"/>
    <w:pPr>
      <w:autoSpaceDN/>
      <w:textAlignment w:val="auto"/>
    </w:pPr>
    <w:rPr>
      <w:rFonts w:ascii="Aptos" w:eastAsia="Aptos" w:hAnsi="Aptos" w:cs="Times New Roman"/>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A14D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1081</ap:Words>
  <ap:Characters>5951</ap:Characters>
  <ap:DocSecurity>0</ap:DocSecurity>
  <ap:Lines>49</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lastPrinted>2025-12-22T13:17:00.0000000Z</lastPrinted>
  <dcterms:created xsi:type="dcterms:W3CDTF">2026-07-03T09:46:00.0000000Z</dcterms:created>
  <dcterms:modified xsi:type="dcterms:W3CDTF">2026-07-03T09:46:00.0000000Z</dcterms:modified>
  <dc:creator/>
  <lastModifiedBy/>
  <dc:description>------------------------</dc:description>
  <dc:subject/>
  <dc:title/>
  <keywords/>
  <version/>
  <category/>
</coreProperties>
</file>