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71A0" w:rsidR="002F5C45" w:rsidP="004B0DF0" w:rsidRDefault="007521A4" w14:paraId="2EA32D84" w14:textId="77777777">
      <w:pPr>
        <w:suppressAutoHyphens/>
        <w:spacing w:line="240" w:lineRule="exact"/>
      </w:pPr>
      <w:r w:rsidRPr="005D71A0">
        <w:t>Geachte voorzitter,</w:t>
      </w:r>
    </w:p>
    <w:p w:rsidRPr="005D71A0" w:rsidR="002F5C45" w:rsidP="004B0DF0" w:rsidRDefault="002F5C45" w14:paraId="4515E729" w14:textId="77777777">
      <w:pPr>
        <w:suppressAutoHyphens/>
        <w:spacing w:line="240" w:lineRule="exact"/>
      </w:pPr>
    </w:p>
    <w:p w:rsidRPr="005D71A0" w:rsidR="006A6F95" w:rsidP="004B0DF0" w:rsidRDefault="009D7AE9" w14:paraId="151C7ACD" w14:textId="6380C395">
      <w:pPr>
        <w:suppressAutoHyphens/>
        <w:spacing w:line="240" w:lineRule="exact"/>
      </w:pPr>
      <w:r w:rsidRPr="005D71A0">
        <w:t>Bij motie</w:t>
      </w:r>
      <w:r w:rsidRPr="005D71A0">
        <w:rPr>
          <w:rStyle w:val="Voetnootmarkering"/>
        </w:rPr>
        <w:footnoteReference w:id="1"/>
      </w:r>
      <w:r w:rsidRPr="005D71A0">
        <w:t xml:space="preserve"> van het lid Ceder is </w:t>
      </w:r>
      <w:r w:rsidRPr="005D71A0" w:rsidR="00AB0045">
        <w:t xml:space="preserve">het kabinet gevraagd om de Kamer voor het zomerreces te informeren </w:t>
      </w:r>
      <w:r w:rsidR="00E71998">
        <w:t xml:space="preserve">over </w:t>
      </w:r>
      <w:r w:rsidRPr="005D71A0" w:rsidR="00AB0045">
        <w:t xml:space="preserve">wat er nodig zou zijn om </w:t>
      </w:r>
      <w:r w:rsidRPr="005D71A0">
        <w:t>de</w:t>
      </w:r>
      <w:r w:rsidRPr="005D71A0" w:rsidR="00AB0045">
        <w:t xml:space="preserve"> opslag van 10% - onderdeel van de</w:t>
      </w:r>
      <w:r w:rsidRPr="005D71A0">
        <w:t xml:space="preserve"> </w:t>
      </w:r>
      <w:r w:rsidRPr="005D71A0" w:rsidR="006A6F95">
        <w:t>bestuursrechtelijke premie die verzekerden in de regeling betalingsachterstand zorgpremie (BAZ-regeling) krijgen opgelegd</w:t>
      </w:r>
      <w:r w:rsidRPr="005D71A0" w:rsidR="00AB0045">
        <w:t xml:space="preserve"> -</w:t>
      </w:r>
      <w:r w:rsidRPr="005D71A0" w:rsidR="006A6F95">
        <w:t xml:space="preserve"> af te schaffen. </w:t>
      </w:r>
      <w:r w:rsidRPr="005D71A0" w:rsidR="009A529C">
        <w:t xml:space="preserve">In deze brief </w:t>
      </w:r>
      <w:r w:rsidRPr="005D71A0" w:rsidR="005B6206">
        <w:t xml:space="preserve">wordt </w:t>
      </w:r>
      <w:r w:rsidRPr="005D71A0" w:rsidR="009A529C">
        <w:t>toe</w:t>
      </w:r>
      <w:r w:rsidRPr="005D71A0" w:rsidR="005B6206">
        <w:t>ge</w:t>
      </w:r>
      <w:r w:rsidRPr="005D71A0" w:rsidR="009A529C">
        <w:t xml:space="preserve">licht hoe de BAZ-regeling werkt en welke beleidsstappen </w:t>
      </w:r>
      <w:r w:rsidRPr="005D71A0" w:rsidR="006B52D5">
        <w:t>al</w:t>
      </w:r>
      <w:r w:rsidRPr="005D71A0" w:rsidR="009A529C">
        <w:t xml:space="preserve"> zijn genomen</w:t>
      </w:r>
      <w:r w:rsidRPr="005D71A0" w:rsidR="00AB0045">
        <w:t xml:space="preserve"> om deze regeling te verbeteren</w:t>
      </w:r>
      <w:r w:rsidRPr="005D71A0" w:rsidR="009A529C">
        <w:t xml:space="preserve">. Daarna zal </w:t>
      </w:r>
      <w:r w:rsidRPr="005D71A0" w:rsidR="005B6206">
        <w:t xml:space="preserve">worden </w:t>
      </w:r>
      <w:r w:rsidRPr="005D71A0" w:rsidR="009A529C">
        <w:t>toe</w:t>
      </w:r>
      <w:r w:rsidRPr="005D71A0" w:rsidR="005B6206">
        <w:t>ge</w:t>
      </w:r>
      <w:r w:rsidRPr="005D71A0" w:rsidR="009A529C">
        <w:t xml:space="preserve">licht </w:t>
      </w:r>
      <w:r w:rsidRPr="005D71A0" w:rsidR="005E1E39">
        <w:t xml:space="preserve">wat er bekend is over de motiverende werking van de bestuursrechtelijke premie, </w:t>
      </w:r>
      <w:r w:rsidRPr="005D71A0" w:rsidR="009A529C">
        <w:t xml:space="preserve">wat </w:t>
      </w:r>
      <w:r w:rsidRPr="005D71A0" w:rsidR="00C92AC5">
        <w:t>er</w:t>
      </w:r>
      <w:r w:rsidRPr="005D71A0" w:rsidR="00AB0045">
        <w:t xml:space="preserve"> in theorie </w:t>
      </w:r>
      <w:r w:rsidRPr="005D71A0" w:rsidR="00C92AC5">
        <w:t>voor</w:t>
      </w:r>
      <w:r w:rsidRPr="005D71A0" w:rsidR="009A529C">
        <w:t xml:space="preserve"> nodig </w:t>
      </w:r>
      <w:r w:rsidRPr="005D71A0" w:rsidR="00AB0045">
        <w:t>zou zijn</w:t>
      </w:r>
      <w:r w:rsidRPr="005D71A0" w:rsidR="009A529C">
        <w:t xml:space="preserve"> om de opslag af te schaffen, </w:t>
      </w:r>
      <w:r w:rsidRPr="005D71A0" w:rsidR="005E1E39">
        <w:t xml:space="preserve">en </w:t>
      </w:r>
      <w:r w:rsidRPr="005D71A0" w:rsidR="009A529C">
        <w:t xml:space="preserve">welke overwegingen </w:t>
      </w:r>
      <w:r w:rsidRPr="005D71A0" w:rsidR="002F72C6">
        <w:t xml:space="preserve">en </w:t>
      </w:r>
      <w:r w:rsidRPr="005D71A0" w:rsidR="009A529C">
        <w:t xml:space="preserve">voorwaarden hierbij gelden. </w:t>
      </w:r>
    </w:p>
    <w:p w:rsidRPr="005D71A0" w:rsidR="002F72C6" w:rsidP="004B0DF0" w:rsidRDefault="002F72C6" w14:paraId="603FA57E" w14:textId="77777777">
      <w:pPr>
        <w:suppressAutoHyphens/>
        <w:spacing w:line="240" w:lineRule="exact"/>
      </w:pPr>
    </w:p>
    <w:p w:rsidRPr="005D71A0" w:rsidR="006A6F95" w:rsidP="004B0DF0" w:rsidRDefault="005E1E39" w14:paraId="7A0A3CAF" w14:textId="31C06C00">
      <w:pPr>
        <w:suppressAutoHyphens/>
        <w:spacing w:line="240" w:lineRule="exact"/>
        <w:rPr>
          <w:b/>
          <w:bCs/>
        </w:rPr>
      </w:pPr>
      <w:r w:rsidRPr="005D71A0">
        <w:rPr>
          <w:b/>
          <w:bCs/>
        </w:rPr>
        <w:t>Werking</w:t>
      </w:r>
      <w:r w:rsidRPr="005D71A0" w:rsidR="006A6F95">
        <w:rPr>
          <w:b/>
          <w:bCs/>
        </w:rPr>
        <w:t xml:space="preserve"> BAZ-regeling</w:t>
      </w:r>
    </w:p>
    <w:p w:rsidRPr="005D71A0" w:rsidR="00F25B7E" w:rsidP="004B0DF0" w:rsidRDefault="003F5775" w14:paraId="6BEA74FF" w14:textId="2834C71B">
      <w:pPr>
        <w:suppressAutoHyphens/>
        <w:spacing w:line="240" w:lineRule="exact"/>
      </w:pPr>
      <w:r w:rsidRPr="005D71A0">
        <w:t xml:space="preserve">Het Nederlandse </w:t>
      </w:r>
      <w:r w:rsidRPr="005D71A0" w:rsidR="005B6206">
        <w:t>zorg</w:t>
      </w:r>
      <w:r w:rsidRPr="005D71A0">
        <w:t xml:space="preserve">stelsel is gebouwd op solidariteit: als samenleving dragen we collectief zorg voor iedereen die in Nederland woont of werkt. Daar hoort wederkerigheid bij: van iedereen wordt verwacht dat hij of zij deelneemt aan het stelsel en het beroep op collectieve middelen beperkt tot het noodzakelijke. Waar nodig worden mensen met zorgtoeslag en gemeentelijke regelingen financieel ondersteund om de zorgpremie en het eigen risico te kunnen betalen. </w:t>
      </w:r>
      <w:r w:rsidRPr="005D71A0" w:rsidR="006A6F95">
        <w:t>De BAZ-regeling (voorheen wanbetalersregeling) draagt bij aan het solidariteitsbeginsel van ons zorgstelsel, doordat de regeling</w:t>
      </w:r>
      <w:r w:rsidRPr="005D71A0" w:rsidR="00F25B7E">
        <w:t>:</w:t>
      </w:r>
      <w:r w:rsidRPr="005D71A0" w:rsidR="00F25B7E">
        <w:br/>
      </w:r>
      <w:r w:rsidRPr="005D71A0" w:rsidR="006A6F95">
        <w:t>1. voorkomt dat verzekerden met een betalingsachterstand onverzekerd raken</w:t>
      </w:r>
      <w:r w:rsidRPr="005D71A0" w:rsidR="005B6206">
        <w:t>;</w:t>
      </w:r>
      <w:r w:rsidRPr="005D71A0" w:rsidR="00F25B7E">
        <w:br/>
      </w:r>
      <w:r w:rsidRPr="005D71A0" w:rsidR="006A6F95">
        <w:t xml:space="preserve">2. waar mogelijk </w:t>
      </w:r>
      <w:r w:rsidRPr="005D71A0" w:rsidR="00F25B7E">
        <w:t>zorg</w:t>
      </w:r>
      <w:r w:rsidRPr="005D71A0" w:rsidR="006A6F95">
        <w:t xml:space="preserve">premie </w:t>
      </w:r>
      <w:r w:rsidRPr="005D71A0" w:rsidR="00F25B7E">
        <w:t xml:space="preserve">int </w:t>
      </w:r>
      <w:r w:rsidRPr="005D71A0" w:rsidR="005B6206">
        <w:t xml:space="preserve">en </w:t>
      </w:r>
      <w:r w:rsidRPr="005D71A0" w:rsidR="000A7188">
        <w:t>de verzekerde</w:t>
      </w:r>
      <w:r w:rsidRPr="005D71A0" w:rsidR="005B6206">
        <w:t xml:space="preserve"> </w:t>
      </w:r>
      <w:r w:rsidRPr="005D71A0" w:rsidR="000A7188">
        <w:t xml:space="preserve">daarmee </w:t>
      </w:r>
      <w:r w:rsidRPr="005D71A0" w:rsidR="005B6206">
        <w:t>mee blijft betalen;</w:t>
      </w:r>
      <w:r w:rsidRPr="005D71A0" w:rsidR="00F25B7E">
        <w:br/>
      </w:r>
      <w:r w:rsidRPr="005D71A0" w:rsidR="006A6F95">
        <w:t xml:space="preserve">3. verzekerden aanzet tot het treffen van een betalingsregeling. </w:t>
      </w:r>
    </w:p>
    <w:p w:rsidRPr="005D71A0" w:rsidR="00F25B7E" w:rsidP="004B0DF0" w:rsidRDefault="00F25B7E" w14:paraId="749346B6" w14:textId="77777777">
      <w:pPr>
        <w:suppressAutoHyphens/>
        <w:spacing w:line="240" w:lineRule="exact"/>
      </w:pPr>
    </w:p>
    <w:p w:rsidRPr="005D71A0" w:rsidR="00A6173B" w:rsidP="004B0DF0" w:rsidRDefault="006A6F95" w14:paraId="5209A19A" w14:textId="1C97548C">
      <w:pPr>
        <w:suppressAutoHyphens/>
        <w:spacing w:line="240" w:lineRule="exact"/>
      </w:pPr>
      <w:r w:rsidRPr="005D71A0">
        <w:t xml:space="preserve">De regeling werkt als volgt: </w:t>
      </w:r>
    </w:p>
    <w:p w:rsidRPr="005D71A0" w:rsidR="00A6173B" w:rsidP="004B0DF0" w:rsidRDefault="006A6F95" w14:paraId="2329C101" w14:textId="3B15CE65">
      <w:pPr>
        <w:pStyle w:val="Lijstalinea"/>
        <w:numPr>
          <w:ilvl w:val="0"/>
          <w:numId w:val="11"/>
        </w:numPr>
        <w:suppressAutoHyphens/>
      </w:pPr>
      <w:bookmarkStart w:name="_Hlk230174801" w:id="0"/>
      <w:r w:rsidRPr="005D71A0">
        <w:t>Zorgverzekeraars melden verzekerden met een betalingsachterstand van zes of meer maanden zorgpremie aan bij het CAK.</w:t>
      </w:r>
      <w:bookmarkEnd w:id="0"/>
      <w:r w:rsidRPr="005D71A0">
        <w:t xml:space="preserve"> Het CAK legt hun een bestuursrechtelijke premie</w:t>
      </w:r>
      <w:r w:rsidRPr="005D71A0" w:rsidR="00E43B2D">
        <w:t xml:space="preserve"> op</w:t>
      </w:r>
      <w:r w:rsidRPr="005D71A0">
        <w:t xml:space="preserve"> en int </w:t>
      </w:r>
      <w:r w:rsidRPr="005D71A0" w:rsidR="009A03D3">
        <w:t xml:space="preserve">deze </w:t>
      </w:r>
      <w:r w:rsidRPr="005D71A0">
        <w:t xml:space="preserve">onder andere door broninhouding op het inkomen en omleiding van de zorgtoeslag. </w:t>
      </w:r>
    </w:p>
    <w:p w:rsidRPr="005D71A0" w:rsidR="00A6173B" w:rsidP="004B0DF0" w:rsidRDefault="00C351C5" w14:paraId="083E7273" w14:textId="1DF34B21">
      <w:pPr>
        <w:pStyle w:val="Lijstalinea"/>
        <w:numPr>
          <w:ilvl w:val="0"/>
          <w:numId w:val="11"/>
        </w:numPr>
        <w:suppressAutoHyphens/>
      </w:pPr>
      <w:r w:rsidRPr="005D71A0">
        <w:t>Verzekerden in de BAZ-regeling</w:t>
      </w:r>
      <w:r w:rsidRPr="005D71A0" w:rsidR="006A6F95">
        <w:t xml:space="preserve"> blijven verzekerd voor de basisverzekering (polis) die zij hebben afgesloten. Zorgverzekeraars ontvangen hiervoor een bijdrage uit het Zorgverzekeringsfonds. </w:t>
      </w:r>
    </w:p>
    <w:p w:rsidRPr="005D71A0" w:rsidR="00A6173B" w:rsidP="004B0DF0" w:rsidRDefault="006A6F95" w14:paraId="0745E86D" w14:textId="5136D5E9">
      <w:pPr>
        <w:pStyle w:val="Lijstalinea"/>
        <w:numPr>
          <w:ilvl w:val="0"/>
          <w:numId w:val="11"/>
        </w:numPr>
        <w:suppressAutoHyphens/>
      </w:pPr>
      <w:r w:rsidRPr="005D71A0">
        <w:t xml:space="preserve">Na het treffen van een betalingsregeling met de zorgverzekeraar betalen verzekerden direct weer de premie van hun </w:t>
      </w:r>
      <w:r w:rsidRPr="005D71A0" w:rsidR="00A71C18">
        <w:t xml:space="preserve">reguliere </w:t>
      </w:r>
      <w:r w:rsidRPr="005D71A0">
        <w:t xml:space="preserve">polis. </w:t>
      </w:r>
    </w:p>
    <w:p w:rsidRPr="005D71A0" w:rsidR="00A6173B" w:rsidP="004B0DF0" w:rsidRDefault="006A6F95" w14:paraId="308FBB62" w14:textId="47E096C1">
      <w:pPr>
        <w:pStyle w:val="Lijstalinea"/>
        <w:numPr>
          <w:ilvl w:val="0"/>
          <w:numId w:val="11"/>
        </w:numPr>
        <w:suppressAutoHyphens/>
      </w:pPr>
      <w:r w:rsidRPr="005D71A0">
        <w:t>Na definitieve afmelding bij he</w:t>
      </w:r>
      <w:r w:rsidRPr="005D71A0" w:rsidR="00B52A2D">
        <w:t xml:space="preserve">t CAK </w:t>
      </w:r>
      <w:r w:rsidRPr="005D71A0">
        <w:t>word</w:t>
      </w:r>
      <w:r w:rsidRPr="005D71A0" w:rsidR="00B52A2D">
        <w:t>t eventuele</w:t>
      </w:r>
      <w:r w:rsidRPr="005D71A0">
        <w:t xml:space="preserve"> openstaande </w:t>
      </w:r>
      <w:r w:rsidRPr="005D71A0" w:rsidR="00B52A2D">
        <w:t>vorderingen</w:t>
      </w:r>
      <w:r w:rsidRPr="005D71A0">
        <w:t xml:space="preserve"> </w:t>
      </w:r>
      <w:r w:rsidRPr="005D71A0" w:rsidR="00B52A2D">
        <w:t xml:space="preserve">bij het CAK (zoals niet-betaalde bestuursrechtelijke premie) niet meer geïnd. </w:t>
      </w:r>
    </w:p>
    <w:p w:rsidRPr="005D71A0" w:rsidR="00C92AC5" w:rsidP="004B0DF0" w:rsidRDefault="00C92AC5" w14:paraId="0F03D23F" w14:textId="3976A90C">
      <w:pPr>
        <w:pStyle w:val="Kop1"/>
        <w:suppressAutoHyphens/>
        <w:spacing w:before="0" w:line="240" w:lineRule="exact"/>
        <w:rPr>
          <w:b w:val="0"/>
        </w:rPr>
      </w:pPr>
      <w:r w:rsidRPr="005D71A0">
        <w:rPr>
          <w:b w:val="0"/>
        </w:rPr>
        <w:lastRenderedPageBreak/>
        <w:t>In de Zorgverzekeringswet (</w:t>
      </w:r>
      <w:proofErr w:type="spellStart"/>
      <w:r w:rsidRPr="005D71A0">
        <w:rPr>
          <w:b w:val="0"/>
        </w:rPr>
        <w:t>Zvw</w:t>
      </w:r>
      <w:proofErr w:type="spellEnd"/>
      <w:r w:rsidRPr="005D71A0">
        <w:rPr>
          <w:b w:val="0"/>
        </w:rPr>
        <w:t xml:space="preserve">) is </w:t>
      </w:r>
      <w:r w:rsidRPr="005D71A0" w:rsidR="00F25B7E">
        <w:rPr>
          <w:b w:val="0"/>
        </w:rPr>
        <w:t xml:space="preserve">wettelijk </w:t>
      </w:r>
      <w:r w:rsidRPr="005D71A0">
        <w:rPr>
          <w:b w:val="0"/>
        </w:rPr>
        <w:t xml:space="preserve">geregeld dat de bestuursrechtelijke premie tussen de 110% en 130% van de geraamde gemiddelde premie bedraagt. De hoogte is over de jaren heen </w:t>
      </w:r>
      <w:r w:rsidRPr="005D71A0" w:rsidR="00F25B7E">
        <w:rPr>
          <w:b w:val="0"/>
        </w:rPr>
        <w:t>bijgesteld</w:t>
      </w:r>
      <w:r w:rsidRPr="005D71A0">
        <w:rPr>
          <w:b w:val="0"/>
        </w:rPr>
        <w:t xml:space="preserve"> van 130% van de standaardpremie</w:t>
      </w:r>
      <w:r w:rsidRPr="005D71A0">
        <w:rPr>
          <w:rStyle w:val="Voetnootmarkering"/>
          <w:b w:val="0"/>
        </w:rPr>
        <w:footnoteReference w:id="2"/>
      </w:r>
      <w:r w:rsidRPr="005D71A0">
        <w:rPr>
          <w:b w:val="0"/>
        </w:rPr>
        <w:t xml:space="preserve"> tot – per 1 juli 2024 – 110% van deze gemiddelde premie. </w:t>
      </w:r>
    </w:p>
    <w:p w:rsidRPr="005D71A0" w:rsidR="00F76D5D" w:rsidP="004B0DF0" w:rsidRDefault="00F76D5D" w14:paraId="5115D1A5" w14:textId="77777777">
      <w:pPr>
        <w:pStyle w:val="Kop1"/>
        <w:suppressAutoHyphens/>
        <w:spacing w:before="0" w:line="240" w:lineRule="exact"/>
        <w:rPr>
          <w:b w:val="0"/>
        </w:rPr>
      </w:pPr>
    </w:p>
    <w:p w:rsidRPr="005D71A0" w:rsidR="006A6F95" w:rsidP="004B0DF0" w:rsidRDefault="006A6F95" w14:paraId="7AB54E82" w14:textId="1EC7AA50">
      <w:pPr>
        <w:suppressAutoHyphens/>
        <w:spacing w:line="240" w:lineRule="exact"/>
      </w:pPr>
      <w:r w:rsidRPr="005D71A0">
        <w:t xml:space="preserve">De afgelopen </w:t>
      </w:r>
      <w:r w:rsidRPr="005D71A0" w:rsidR="00A6173B">
        <w:t>12 jaar</w:t>
      </w:r>
      <w:r w:rsidRPr="005D71A0">
        <w:t xml:space="preserve"> is het aantal </w:t>
      </w:r>
      <w:r w:rsidRPr="005D71A0" w:rsidR="00C351C5">
        <w:t>verzekerden in de BAZ-regeling</w:t>
      </w:r>
      <w:r w:rsidRPr="005D71A0">
        <w:t xml:space="preserve"> gedaald van ca. 325.000 eind 2014 tot ca. 1</w:t>
      </w:r>
      <w:r w:rsidRPr="005D71A0" w:rsidR="00A6173B">
        <w:t>9</w:t>
      </w:r>
      <w:r w:rsidRPr="005D71A0">
        <w:t xml:space="preserve">5.000 </w:t>
      </w:r>
      <w:r w:rsidRPr="005D71A0" w:rsidR="00A6173B">
        <w:t>heden</w:t>
      </w:r>
      <w:r w:rsidRPr="005D71A0">
        <w:t>. Deze daling is voornamelijk het gevolg van de inspanningen van zorgverzekeraars (betalingsregelingen op maat) en de genomen beleidsmaatregelen.</w:t>
      </w:r>
      <w:r w:rsidRPr="005D71A0" w:rsidR="00294B68">
        <w:t xml:space="preserve"> Zie </w:t>
      </w:r>
      <w:r w:rsidRPr="005D71A0" w:rsidR="00F25B7E">
        <w:t xml:space="preserve">ter illustratie deze trend in </w:t>
      </w:r>
      <w:r w:rsidRPr="005D71A0" w:rsidR="00294B68">
        <w:t>onderstaande figuur.</w:t>
      </w:r>
    </w:p>
    <w:p w:rsidRPr="005D71A0" w:rsidR="006A6F95" w:rsidP="004B0DF0" w:rsidRDefault="006A6F95" w14:paraId="62F561C9" w14:textId="62E4FFB3">
      <w:pPr>
        <w:suppressAutoHyphens/>
        <w:spacing w:line="240" w:lineRule="exact"/>
      </w:pPr>
    </w:p>
    <w:p w:rsidRPr="005D71A0" w:rsidR="00A6173B" w:rsidP="004B0DF0" w:rsidRDefault="00E71998" w14:paraId="6D2EE0B6" w14:textId="06325B69">
      <w:pPr>
        <w:suppressAutoHyphens/>
        <w:spacing w:line="240" w:lineRule="exact"/>
      </w:pPr>
      <w:r w:rsidRPr="005D71A0">
        <w:rPr>
          <w:noProof/>
        </w:rPr>
        <w:drawing>
          <wp:anchor distT="0" distB="0" distL="114300" distR="114300" simplePos="0" relativeHeight="251659264" behindDoc="0" locked="0" layoutInCell="1" allowOverlap="1" wp14:editId="454AD5B5" wp14:anchorId="1AF1DFC2">
            <wp:simplePos x="0" y="0"/>
            <wp:positionH relativeFrom="margin">
              <wp:align>left</wp:align>
            </wp:positionH>
            <wp:positionV relativeFrom="paragraph">
              <wp:posOffset>6350</wp:posOffset>
            </wp:positionV>
            <wp:extent cx="4438650" cy="2492010"/>
            <wp:effectExtent l="0" t="0" r="0" b="3810"/>
            <wp:wrapNone/>
            <wp:docPr id="1214716910" name="Afbeelding 2"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schermopname, lijn, Perceel&#10;&#10;Door AI gegenereerde inhoud is mogelijk onjuist."/>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t="8591"/>
                    <a:stretch>
                      <a:fillRect/>
                    </a:stretch>
                  </pic:blipFill>
                  <pic:spPr bwMode="auto">
                    <a:xfrm>
                      <a:off x="0" y="0"/>
                      <a:ext cx="4438650" cy="2492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5D71A0" w:rsidR="00A6173B" w:rsidP="004B0DF0" w:rsidRDefault="00A6173B" w14:paraId="672A16AC" w14:textId="7CCE1189">
      <w:pPr>
        <w:suppressAutoHyphens/>
        <w:spacing w:line="240" w:lineRule="exact"/>
      </w:pPr>
    </w:p>
    <w:p w:rsidRPr="005D71A0" w:rsidR="00A6173B" w:rsidP="004B0DF0" w:rsidRDefault="00A6173B" w14:paraId="6029B8D9" w14:textId="65B6E6C8">
      <w:pPr>
        <w:suppressAutoHyphens/>
        <w:spacing w:line="240" w:lineRule="exact"/>
      </w:pPr>
    </w:p>
    <w:p w:rsidRPr="005D71A0" w:rsidR="00A6173B" w:rsidP="004B0DF0" w:rsidRDefault="00A6173B" w14:paraId="5025E881" w14:textId="2B655A9B">
      <w:pPr>
        <w:suppressAutoHyphens/>
        <w:spacing w:line="240" w:lineRule="exact"/>
      </w:pPr>
    </w:p>
    <w:p w:rsidRPr="005D71A0" w:rsidR="00A6173B" w:rsidP="004B0DF0" w:rsidRDefault="00A6173B" w14:paraId="3F1C4489" w14:textId="168B14C0">
      <w:pPr>
        <w:suppressAutoHyphens/>
        <w:spacing w:line="240" w:lineRule="exact"/>
      </w:pPr>
    </w:p>
    <w:p w:rsidRPr="005D71A0" w:rsidR="00A6173B" w:rsidP="004B0DF0" w:rsidRDefault="00A6173B" w14:paraId="13602437" w14:textId="77F81D4C">
      <w:pPr>
        <w:suppressAutoHyphens/>
        <w:spacing w:line="240" w:lineRule="exact"/>
      </w:pPr>
    </w:p>
    <w:p w:rsidRPr="005D71A0" w:rsidR="00A6173B" w:rsidP="004B0DF0" w:rsidRDefault="00A6173B" w14:paraId="1CFA2F60" w14:textId="77777777">
      <w:pPr>
        <w:suppressAutoHyphens/>
        <w:spacing w:line="240" w:lineRule="exact"/>
      </w:pPr>
    </w:p>
    <w:p w:rsidRPr="005D71A0" w:rsidR="00A6173B" w:rsidP="004B0DF0" w:rsidRDefault="00A6173B" w14:paraId="7EB91A7A" w14:textId="77777777">
      <w:pPr>
        <w:suppressAutoHyphens/>
        <w:spacing w:line="240" w:lineRule="exact"/>
      </w:pPr>
    </w:p>
    <w:p w:rsidRPr="005D71A0" w:rsidR="00A6173B" w:rsidP="004B0DF0" w:rsidRDefault="00A6173B" w14:paraId="271D1F5C" w14:textId="77777777">
      <w:pPr>
        <w:suppressAutoHyphens/>
        <w:spacing w:line="240" w:lineRule="exact"/>
      </w:pPr>
    </w:p>
    <w:p w:rsidRPr="005D71A0" w:rsidR="00A6173B" w:rsidP="004B0DF0" w:rsidRDefault="00A6173B" w14:paraId="3938C941" w14:textId="77777777">
      <w:pPr>
        <w:suppressAutoHyphens/>
        <w:spacing w:line="240" w:lineRule="exact"/>
      </w:pPr>
    </w:p>
    <w:p w:rsidRPr="005D71A0" w:rsidR="006A6F95" w:rsidP="004B0DF0" w:rsidRDefault="006A6F95" w14:paraId="7CBC3A7A" w14:textId="77777777">
      <w:pPr>
        <w:suppressAutoHyphens/>
        <w:spacing w:line="240" w:lineRule="exact"/>
      </w:pPr>
    </w:p>
    <w:p w:rsidRPr="005D71A0" w:rsidR="007E14C0" w:rsidP="004B0DF0" w:rsidRDefault="007E14C0" w14:paraId="33534667" w14:textId="77777777">
      <w:pPr>
        <w:suppressAutoHyphens/>
        <w:spacing w:line="240" w:lineRule="exact"/>
      </w:pPr>
    </w:p>
    <w:p w:rsidRPr="005D71A0" w:rsidR="007E14C0" w:rsidP="004B0DF0" w:rsidRDefault="007E14C0" w14:paraId="26EFFFE9" w14:textId="77777777">
      <w:pPr>
        <w:suppressAutoHyphens/>
        <w:spacing w:line="240" w:lineRule="exact"/>
      </w:pPr>
    </w:p>
    <w:p w:rsidRPr="005D71A0" w:rsidR="007E14C0" w:rsidP="004B0DF0" w:rsidRDefault="007E14C0" w14:paraId="135567F7" w14:textId="77777777">
      <w:pPr>
        <w:suppressAutoHyphens/>
        <w:spacing w:line="240" w:lineRule="exact"/>
      </w:pPr>
    </w:p>
    <w:p w:rsidRPr="005D71A0" w:rsidR="003E3942" w:rsidP="004B0DF0" w:rsidRDefault="003E3942" w14:paraId="0E4F25C7" w14:textId="77777777">
      <w:pPr>
        <w:suppressAutoHyphens/>
        <w:spacing w:line="240" w:lineRule="exact"/>
        <w:rPr>
          <w:b/>
          <w:bCs/>
        </w:rPr>
      </w:pPr>
    </w:p>
    <w:p w:rsidRPr="005D71A0" w:rsidR="00F25B7E" w:rsidP="004B0DF0" w:rsidRDefault="00F25B7E" w14:paraId="1742D74B" w14:textId="77777777">
      <w:pPr>
        <w:suppressAutoHyphens/>
        <w:spacing w:line="240" w:lineRule="exact"/>
        <w:rPr>
          <w:b/>
          <w:bCs/>
        </w:rPr>
      </w:pPr>
    </w:p>
    <w:p w:rsidRPr="005D71A0" w:rsidR="00F25B7E" w:rsidP="004B0DF0" w:rsidRDefault="00F25B7E" w14:paraId="083A2CA8" w14:textId="77777777">
      <w:pPr>
        <w:suppressAutoHyphens/>
        <w:spacing w:line="240" w:lineRule="exact"/>
        <w:rPr>
          <w:b/>
          <w:bCs/>
        </w:rPr>
      </w:pPr>
    </w:p>
    <w:p w:rsidRPr="005D71A0" w:rsidR="00D02CCF" w:rsidP="004B0DF0" w:rsidRDefault="001144A5" w14:paraId="503B5B21" w14:textId="3ACFD16B">
      <w:pPr>
        <w:suppressAutoHyphens/>
        <w:spacing w:line="240" w:lineRule="exact"/>
        <w:rPr>
          <w:b/>
          <w:bCs/>
        </w:rPr>
      </w:pPr>
      <w:r w:rsidRPr="005D71A0">
        <w:rPr>
          <w:b/>
          <w:bCs/>
        </w:rPr>
        <w:t>Doorgevoerde b</w:t>
      </w:r>
      <w:r w:rsidRPr="005D71A0" w:rsidR="00D02CCF">
        <w:rPr>
          <w:b/>
          <w:bCs/>
        </w:rPr>
        <w:t>eleidswijzigingen</w:t>
      </w:r>
    </w:p>
    <w:p w:rsidRPr="005D71A0" w:rsidR="00731ECB" w:rsidP="004B0DF0" w:rsidRDefault="003F5775" w14:paraId="08E8EF44" w14:textId="4285D95B">
      <w:pPr>
        <w:suppressAutoHyphens/>
        <w:spacing w:line="240" w:lineRule="exact"/>
      </w:pPr>
      <w:r w:rsidRPr="005D71A0">
        <w:t xml:space="preserve">Op 1 september </w:t>
      </w:r>
      <w:r w:rsidRPr="005D71A0" w:rsidR="002A58E1">
        <w:t>2009 is de Wet structurele maatregelen wanbetalers zorgverzekering (onderdeel Zvw) in werking getreden</w:t>
      </w:r>
      <w:r w:rsidRPr="005D71A0" w:rsidR="002A58E1">
        <w:rPr>
          <w:rStyle w:val="Voetnootmarkering"/>
        </w:rPr>
        <w:footnoteReference w:id="3"/>
      </w:r>
      <w:r w:rsidRPr="005D71A0" w:rsidR="002A58E1">
        <w:t xml:space="preserve">. Sinds 2009 zijn er diverse maatregelen genomen om de </w:t>
      </w:r>
      <w:r w:rsidRPr="005D71A0" w:rsidR="00731ECB">
        <w:t>BAZ-</w:t>
      </w:r>
      <w:r w:rsidRPr="005D71A0" w:rsidR="002A58E1">
        <w:t xml:space="preserve">regeling te verbeteren. </w:t>
      </w:r>
      <w:r w:rsidRPr="005D71A0">
        <w:t>Op 1 juli</w:t>
      </w:r>
      <w:r w:rsidRPr="005D71A0" w:rsidR="00731ECB">
        <w:t xml:space="preserve"> 2016 is de </w:t>
      </w:r>
      <w:r w:rsidRPr="005D71A0" w:rsidR="00C92AC5">
        <w:t>Wet verbetering wanbetalersmaatregelen</w:t>
      </w:r>
      <w:r w:rsidRPr="005D71A0" w:rsidR="00731ECB">
        <w:t xml:space="preserve"> in werking getreden met als belangrijkste wijzigingen:</w:t>
      </w:r>
    </w:p>
    <w:p w:rsidRPr="005D71A0" w:rsidR="00731ECB" w:rsidP="004B0DF0" w:rsidRDefault="00731ECB" w14:paraId="1CAE30B9" w14:textId="6CD73CFA">
      <w:pPr>
        <w:pStyle w:val="Lijstalinea"/>
        <w:numPr>
          <w:ilvl w:val="0"/>
          <w:numId w:val="14"/>
        </w:numPr>
        <w:suppressAutoHyphens/>
      </w:pPr>
      <w:r w:rsidRPr="005D71A0">
        <w:t>verzekerden betalen direct weer de zorgpremie</w:t>
      </w:r>
      <w:r w:rsidRPr="005D71A0" w:rsidR="00A71C18">
        <w:t xml:space="preserve"> van hun polis</w:t>
      </w:r>
      <w:r w:rsidRPr="005D71A0">
        <w:t xml:space="preserve"> bij het aangaan van een betalingsregeling met de zorgverzekeraar;</w:t>
      </w:r>
    </w:p>
    <w:p w:rsidRPr="005D71A0" w:rsidR="00731ECB" w:rsidP="004B0DF0" w:rsidRDefault="00731ECB" w14:paraId="01EB338A" w14:textId="06FCEA10">
      <w:pPr>
        <w:pStyle w:val="Lijstalinea"/>
        <w:numPr>
          <w:ilvl w:val="0"/>
          <w:numId w:val="14"/>
        </w:numPr>
        <w:suppressAutoHyphens/>
      </w:pPr>
      <w:r w:rsidRPr="005D71A0">
        <w:t>specifieke groepen</w:t>
      </w:r>
      <w:r w:rsidRPr="005D71A0" w:rsidR="00B62070">
        <w:t xml:space="preserve"> kunnen</w:t>
      </w:r>
      <w:r w:rsidRPr="005D71A0">
        <w:t xml:space="preserve"> worden aangewezen die onder (gunstige) voorwaarden kunnen uitstromen (bijstands</w:t>
      </w:r>
      <w:r w:rsidRPr="005D71A0" w:rsidR="00B62070">
        <w:t xml:space="preserve">gerechtigden </w:t>
      </w:r>
      <w:r w:rsidRPr="005D71A0">
        <w:t xml:space="preserve">en onder bewind </w:t>
      </w:r>
      <w:r w:rsidRPr="005D71A0" w:rsidR="00B62070">
        <w:t xml:space="preserve">gestelde personen </w:t>
      </w:r>
      <w:r w:rsidRPr="005D71A0">
        <w:t xml:space="preserve">zijn </w:t>
      </w:r>
      <w:r w:rsidRPr="005D71A0" w:rsidR="00B62070">
        <w:t xml:space="preserve">later </w:t>
      </w:r>
      <w:r w:rsidRPr="005D71A0">
        <w:t xml:space="preserve">aangewezen als bijzondere groepen); en </w:t>
      </w:r>
    </w:p>
    <w:p w:rsidRPr="005D71A0" w:rsidR="00C92AC5" w:rsidP="004B0DF0" w:rsidRDefault="00731ECB" w14:paraId="242CBBF3" w14:textId="46551884">
      <w:pPr>
        <w:pStyle w:val="Lijstalinea"/>
        <w:numPr>
          <w:ilvl w:val="0"/>
          <w:numId w:val="14"/>
        </w:numPr>
        <w:suppressAutoHyphens/>
        <w:rPr>
          <w:b/>
          <w:bCs/>
        </w:rPr>
      </w:pPr>
      <w:r w:rsidRPr="005D71A0">
        <w:t>de bestuursrechtelijke premie wordt</w:t>
      </w:r>
      <w:r w:rsidRPr="005D71A0" w:rsidR="00B62070">
        <w:t xml:space="preserve"> 110% tot 130% </w:t>
      </w:r>
      <w:r w:rsidRPr="005D71A0">
        <w:t xml:space="preserve">van de </w:t>
      </w:r>
      <w:r w:rsidRPr="005D71A0" w:rsidR="00DB5D3C">
        <w:t xml:space="preserve">geraamde </w:t>
      </w:r>
      <w:r w:rsidRPr="005D71A0">
        <w:t xml:space="preserve">gemiddelde nominale premie (lager dan de standaardpremie). </w:t>
      </w:r>
    </w:p>
    <w:p w:rsidRPr="005D71A0" w:rsidR="001743CE" w:rsidP="004B0DF0" w:rsidRDefault="001743CE" w14:paraId="0B2E69DF" w14:textId="77777777">
      <w:pPr>
        <w:suppressAutoHyphens/>
        <w:spacing w:line="240" w:lineRule="exact"/>
      </w:pPr>
    </w:p>
    <w:p w:rsidR="004078AF" w:rsidP="004B0DF0" w:rsidRDefault="00731ECB" w14:paraId="655C275D" w14:textId="77777777">
      <w:pPr>
        <w:suppressAutoHyphens/>
        <w:spacing w:line="240" w:lineRule="exact"/>
      </w:pPr>
      <w:r w:rsidRPr="005D71A0">
        <w:t xml:space="preserve">Daarna is de bestuursrechtelijke premie in </w:t>
      </w:r>
      <w:r w:rsidRPr="005D71A0" w:rsidR="00B62070">
        <w:t>stappen verlaagd</w:t>
      </w:r>
      <w:r w:rsidRPr="005D71A0">
        <w:t xml:space="preserve"> </w:t>
      </w:r>
      <w:r w:rsidRPr="005D71A0" w:rsidR="00B62070">
        <w:t>naar uiteindelijk 110% van de gemiddelde zorgpremie per 1 juli</w:t>
      </w:r>
      <w:r w:rsidRPr="005D71A0">
        <w:t xml:space="preserve"> 2024. </w:t>
      </w:r>
      <w:r w:rsidRPr="005D71A0" w:rsidR="00B62070">
        <w:t>Ook is i</w:t>
      </w:r>
      <w:r w:rsidRPr="005D71A0">
        <w:t>n 2018</w:t>
      </w:r>
      <w:r w:rsidRPr="005D71A0" w:rsidR="00B62070">
        <w:t xml:space="preserve"> d</w:t>
      </w:r>
      <w:r w:rsidRPr="005D71A0">
        <w:t>e eindafrekening afgeschaft</w:t>
      </w:r>
      <w:r w:rsidRPr="005D71A0" w:rsidR="00B62070">
        <w:t xml:space="preserve">, waardoor </w:t>
      </w:r>
      <w:r w:rsidRPr="005D71A0">
        <w:t xml:space="preserve">verzekerden die worden afgemeld voor de </w:t>
      </w:r>
    </w:p>
    <w:p w:rsidRPr="005D71A0" w:rsidR="00CF3348" w:rsidP="004B0DF0" w:rsidRDefault="00731ECB" w14:paraId="65BA28BC" w14:textId="4BE0D5B3">
      <w:pPr>
        <w:suppressAutoHyphens/>
        <w:spacing w:line="240" w:lineRule="exact"/>
      </w:pPr>
      <w:r w:rsidRPr="005D71A0">
        <w:t xml:space="preserve">BAZ-regeling de openstaande vorderingen bij het CAK niet meer hoeven te betalen. </w:t>
      </w:r>
      <w:r w:rsidRPr="005D71A0" w:rsidR="002501AA">
        <w:t>Tot slot zijn maatregelen genomen in het kader van de bredere schuldhulpverlening. Zorgverzekeraars versturen bij een betalingsachterstand van twee maanden zorgpremie een signaal naar de gemeente (</w:t>
      </w:r>
      <w:proofErr w:type="spellStart"/>
      <w:r w:rsidRPr="005D71A0" w:rsidR="002501AA">
        <w:t>vroegsignalering</w:t>
      </w:r>
      <w:proofErr w:type="spellEnd"/>
      <w:r w:rsidRPr="005D71A0" w:rsidR="002501AA">
        <w:t>)</w:t>
      </w:r>
      <w:r w:rsidRPr="005D71A0" w:rsidR="00CF3348">
        <w:t>.</w:t>
      </w:r>
    </w:p>
    <w:p w:rsidRPr="005D71A0" w:rsidR="00F25B7E" w:rsidP="004B0DF0" w:rsidRDefault="00F25B7E" w14:paraId="564BCB1E" w14:textId="77777777">
      <w:pPr>
        <w:suppressAutoHyphens/>
        <w:spacing w:line="240" w:lineRule="exact"/>
      </w:pPr>
    </w:p>
    <w:p w:rsidRPr="005D71A0" w:rsidR="00731ECB" w:rsidP="004B0DF0" w:rsidRDefault="002501AA" w14:paraId="63CBDD1D" w14:textId="3AA7D72F">
      <w:pPr>
        <w:suppressAutoHyphens/>
        <w:spacing w:line="240" w:lineRule="exact"/>
      </w:pPr>
      <w:r w:rsidRPr="005D71A0">
        <w:t xml:space="preserve">Ook kunnen gemeenten sinds 2018 een lijst opvragen bij het CAK (op maat) met daarop de inwoners van die gemeente die zijn aangemeld voor de BAZ-regeling. Deze lijst blijkt een waardevolle lijst om huisbezoeken af te leggen en bredere schuldhulpverlening te bieden. </w:t>
      </w:r>
    </w:p>
    <w:p w:rsidRPr="005D71A0" w:rsidR="006B52D5" w:rsidP="004B0DF0" w:rsidRDefault="006B52D5" w14:paraId="6D36EA5D" w14:textId="77777777">
      <w:pPr>
        <w:suppressAutoHyphens/>
        <w:spacing w:line="240" w:lineRule="exact"/>
        <w:rPr>
          <w:b/>
          <w:bCs/>
        </w:rPr>
      </w:pPr>
    </w:p>
    <w:p w:rsidRPr="005D71A0" w:rsidR="00D37D3B" w:rsidP="004B0DF0" w:rsidRDefault="002501AA" w14:paraId="3DDC5569" w14:textId="7C01D435">
      <w:pPr>
        <w:suppressAutoHyphens/>
        <w:spacing w:line="240" w:lineRule="exact"/>
        <w:rPr>
          <w:b/>
          <w:bCs/>
        </w:rPr>
      </w:pPr>
      <w:r w:rsidRPr="005D71A0">
        <w:rPr>
          <w:b/>
          <w:bCs/>
        </w:rPr>
        <w:t>Werking van de b</w:t>
      </w:r>
      <w:r w:rsidRPr="005D71A0" w:rsidR="00D37D3B">
        <w:rPr>
          <w:b/>
          <w:bCs/>
        </w:rPr>
        <w:t>estuursrechtelijke premie</w:t>
      </w:r>
    </w:p>
    <w:p w:rsidRPr="005D71A0" w:rsidR="00C82FFF" w:rsidP="004B0DF0" w:rsidRDefault="00C82FFF" w14:paraId="73C3EBD2" w14:textId="0BC91CFF">
      <w:pPr>
        <w:suppressAutoHyphens/>
        <w:spacing w:line="240" w:lineRule="exact"/>
      </w:pPr>
      <w:r w:rsidRPr="005D71A0">
        <w:t xml:space="preserve">In de memorie van toelichting bij de wet structurele maatregelen wanbetalers </w:t>
      </w:r>
      <w:r w:rsidRPr="005D71A0" w:rsidR="00D02CCF">
        <w:t>is opgenomen: “</w:t>
      </w:r>
      <w:r w:rsidRPr="005D71A0" w:rsidR="00D02CCF">
        <w:rPr>
          <w:i/>
          <w:iCs/>
        </w:rPr>
        <w:t>De bestuursrechtelijke premie dient op een zo hoog bedrag te worden vastgesteld, dat het voor de verzekeringnemer aantrekkelijk blijft buiten het bestuursrechtelijk premieregim</w:t>
      </w:r>
      <w:r w:rsidRPr="005D71A0" w:rsidR="00303F28">
        <w:rPr>
          <w:i/>
          <w:iCs/>
        </w:rPr>
        <w:t>e</w:t>
      </w:r>
      <w:r w:rsidRPr="005D71A0" w:rsidR="00D02CCF">
        <w:rPr>
          <w:i/>
          <w:iCs/>
        </w:rPr>
        <w:t xml:space="preserve"> te blijven. Dat wil zeggen: om zijn nominale premie aan zijn zorgverzekeraar te voldoen. Dat betekent dat de vervangende premie hoger moet zijn dan de nominale premie bij de duurste zorgverzekeraar. Dit wordt bereikt door de bestuursrechtelijke premie te stellen op 130% van de standaardpremie</w:t>
      </w:r>
      <w:r w:rsidRPr="005D71A0" w:rsidR="00D02CCF">
        <w:rPr>
          <w:rStyle w:val="Voetnootmarkering"/>
          <w:i/>
          <w:iCs/>
        </w:rPr>
        <w:footnoteReference w:id="4"/>
      </w:r>
      <w:r w:rsidRPr="005D71A0" w:rsidR="00D02CCF">
        <w:t xml:space="preserve">.” Ook is </w:t>
      </w:r>
      <w:r w:rsidRPr="005D71A0">
        <w:t>toegelicht dat de dekking van de uitvoeringskosten</w:t>
      </w:r>
      <w:r w:rsidRPr="005D71A0" w:rsidR="00D02CCF">
        <w:t xml:space="preserve"> (de compensatie voor zorgverzekeraars en de uitvoeringskosten CAK)</w:t>
      </w:r>
      <w:r w:rsidRPr="005D71A0">
        <w:t xml:space="preserve"> is voorzien in de hoogte van de bestuursrechtelijke premie</w:t>
      </w:r>
      <w:r w:rsidRPr="005D71A0" w:rsidR="00D02CCF">
        <w:t xml:space="preserve">. </w:t>
      </w:r>
    </w:p>
    <w:p w:rsidRPr="005D71A0" w:rsidR="00C82FFF" w:rsidP="004B0DF0" w:rsidRDefault="00C82FFF" w14:paraId="3CA634EE" w14:textId="77777777">
      <w:pPr>
        <w:suppressAutoHyphens/>
        <w:spacing w:line="240" w:lineRule="exact"/>
      </w:pPr>
    </w:p>
    <w:p w:rsidRPr="005D71A0" w:rsidR="001144A5" w:rsidP="004B0DF0" w:rsidRDefault="001743CE" w14:paraId="315B15B5" w14:textId="298FF3B2">
      <w:pPr>
        <w:suppressAutoHyphens/>
        <w:spacing w:line="240" w:lineRule="exact"/>
      </w:pPr>
      <w:r w:rsidRPr="005D71A0">
        <w:t>De gedachte achter de bestuursrechtelijke premie is dat verzekerden werk maken van hun betalingsachterstand zorgpremie zodat voorkomen wordt dat zij worden aangemeld voor de BAZ-regeling (preventie</w:t>
      </w:r>
      <w:r w:rsidRPr="005D71A0" w:rsidR="00C86916">
        <w:t>ve prikke</w:t>
      </w:r>
      <w:r w:rsidRPr="005D71A0" w:rsidR="001144A5">
        <w:t>l</w:t>
      </w:r>
      <w:r w:rsidRPr="005D71A0">
        <w:t>)</w:t>
      </w:r>
      <w:r w:rsidRPr="005D71A0" w:rsidR="00F25B7E">
        <w:t>,</w:t>
      </w:r>
      <w:r w:rsidRPr="005D71A0">
        <w:t xml:space="preserve"> dan wel dat zij worden afgemeld voor de BAZ-regeling</w:t>
      </w:r>
      <w:r w:rsidRPr="005D71A0" w:rsidR="00C86916">
        <w:t xml:space="preserve"> (</w:t>
      </w:r>
      <w:r w:rsidRPr="005D71A0" w:rsidR="00F25B7E">
        <w:t>prikkel om uit te stromen</w:t>
      </w:r>
      <w:r w:rsidRPr="005D71A0" w:rsidR="00C86916">
        <w:t>)</w:t>
      </w:r>
      <w:r w:rsidRPr="005D71A0">
        <w:t xml:space="preserve">. </w:t>
      </w:r>
      <w:r w:rsidRPr="005D71A0" w:rsidR="00007674">
        <w:t>In opdracht van VWS heeft adviesbureau AEF in 2024 onderzoek gedaan naar de</w:t>
      </w:r>
      <w:r w:rsidRPr="005D71A0" w:rsidR="00C86916">
        <w:t>ze</w:t>
      </w:r>
      <w:r w:rsidRPr="005D71A0" w:rsidR="00007674">
        <w:t xml:space="preserve"> motiverende werking van de opslag. Hierover is </w:t>
      </w:r>
      <w:r w:rsidRPr="005D71A0" w:rsidR="005B6206">
        <w:t xml:space="preserve">de Tweede </w:t>
      </w:r>
      <w:r w:rsidRPr="005D71A0" w:rsidR="00007674">
        <w:t>Kamer geïnformeerd</w:t>
      </w:r>
      <w:r w:rsidRPr="005D71A0" w:rsidR="00007674">
        <w:rPr>
          <w:rStyle w:val="Voetnootmarkering"/>
        </w:rPr>
        <w:footnoteReference w:id="5"/>
      </w:r>
      <w:r w:rsidRPr="005D71A0" w:rsidR="00007674">
        <w:t xml:space="preserve">. </w:t>
      </w:r>
      <w:r w:rsidRPr="005D71A0" w:rsidR="00E221FD">
        <w:t xml:space="preserve">De conclusie </w:t>
      </w:r>
      <w:r w:rsidRPr="005D71A0" w:rsidR="00A71C18">
        <w:t xml:space="preserve">van dit onderzoek </w:t>
      </w:r>
      <w:r w:rsidRPr="005D71A0" w:rsidR="00E221FD">
        <w:t xml:space="preserve">is dat </w:t>
      </w:r>
      <w:r w:rsidRPr="005D71A0" w:rsidR="00C86916">
        <w:t xml:space="preserve">het onduidelijk blijft of personen niet instromen en wel uitstromen als gevolg van de prikkels. De inschatting </w:t>
      </w:r>
      <w:r w:rsidRPr="005D71A0" w:rsidR="00F25B7E">
        <w:t xml:space="preserve">van het onderzoeksbureau </w:t>
      </w:r>
      <w:r w:rsidRPr="005D71A0" w:rsidR="00C86916">
        <w:t>is dat de motiverende werking wordt overschat. De onderzoekers concluderen dat de opslag alleen motiverend kan werken als iemand voldoende leesvaardig is, genoeg inkomen heeft en niet al te veel schulden heeft. Wordt hier niet aan voldaan, dan kan de opslag juist averechts werken en leiden tot stress en verdere financiële problemen. Bovendien zijn er veel andere gelijktijdige factoren die het betaalgedrag beïnvloeden — zoals aanmaningen, deurwaardersbezoeken en het stopzetten van de aanvullende verzekering — waardoor niet vast te stellen is welk effect specifiek aan de opslag is toe te schrijven.</w:t>
      </w:r>
      <w:r w:rsidRPr="005D71A0" w:rsidR="001144A5">
        <w:t xml:space="preserve"> De onderzoekers zien duurzame uitstroom als een groot probleem. Het merendeel van de jaarlijkse instroom (56%–62%) bestaat uit mensen bij wie eerder gemaakte betalingsregelingen zijn stukgelopen. </w:t>
      </w:r>
    </w:p>
    <w:p w:rsidRPr="005D71A0" w:rsidR="00C86916" w:rsidP="004B0DF0" w:rsidRDefault="00C86916" w14:paraId="68E144C2" w14:textId="77777777">
      <w:pPr>
        <w:suppressAutoHyphens/>
        <w:spacing w:line="240" w:lineRule="exact"/>
      </w:pPr>
    </w:p>
    <w:p w:rsidRPr="005D71A0" w:rsidR="006A715E" w:rsidP="004B0DF0" w:rsidRDefault="001144A5" w14:paraId="5FCD879F" w14:textId="1CFC0E77">
      <w:pPr>
        <w:suppressAutoHyphens/>
        <w:spacing w:line="240" w:lineRule="exact"/>
      </w:pPr>
      <w:r w:rsidRPr="005D71A0">
        <w:t>Onder andere g</w:t>
      </w:r>
      <w:r w:rsidRPr="005D71A0" w:rsidR="004D1E6B">
        <w:t>emeenten</w:t>
      </w:r>
      <w:r w:rsidRPr="005D71A0" w:rsidR="006A6F95">
        <w:t xml:space="preserve"> </w:t>
      </w:r>
      <w:r w:rsidRPr="005D71A0">
        <w:t>en het</w:t>
      </w:r>
      <w:r w:rsidRPr="005D71A0" w:rsidR="006A6F95">
        <w:t xml:space="preserve"> CAK </w:t>
      </w:r>
      <w:r w:rsidR="00637DEA">
        <w:t xml:space="preserve">onderschrijven </w:t>
      </w:r>
      <w:r w:rsidRPr="005D71A0" w:rsidR="006A6F95">
        <w:t>dat de motiverende werking</w:t>
      </w:r>
      <w:r w:rsidRPr="005D71A0">
        <w:t xml:space="preserve"> van de opslag</w:t>
      </w:r>
      <w:r w:rsidRPr="005D71A0" w:rsidR="006A6F95">
        <w:t xml:space="preserve"> </w:t>
      </w:r>
      <w:r w:rsidR="00637DEA">
        <w:t>er niet</w:t>
      </w:r>
      <w:r w:rsidR="00B72F78">
        <w:t xml:space="preserve"> is</w:t>
      </w:r>
      <w:r w:rsidR="00637DEA">
        <w:t xml:space="preserve"> bij </w:t>
      </w:r>
      <w:r w:rsidRPr="005D71A0" w:rsidR="00034A63">
        <w:t>met name personen</w:t>
      </w:r>
      <w:r w:rsidRPr="005D71A0">
        <w:t xml:space="preserve"> met</w:t>
      </w:r>
      <w:r w:rsidRPr="005D71A0" w:rsidR="00034A63">
        <w:t xml:space="preserve"> </w:t>
      </w:r>
      <w:r w:rsidRPr="005D71A0">
        <w:t xml:space="preserve">bredere schuldenproblematiek. </w:t>
      </w:r>
      <w:r w:rsidR="00637DEA">
        <w:t>Ook z</w:t>
      </w:r>
      <w:r w:rsidRPr="005D71A0" w:rsidR="006A6F95">
        <w:t xml:space="preserve">orgverzekeraars </w:t>
      </w:r>
      <w:r w:rsidR="00637DEA">
        <w:t xml:space="preserve">stellen voor </w:t>
      </w:r>
      <w:r w:rsidRPr="00637DEA" w:rsidR="00637DEA">
        <w:t xml:space="preserve">om de opslag terug te brengen van 10% naar 0%, zodat </w:t>
      </w:r>
      <w:r w:rsidR="00637DEA">
        <w:t xml:space="preserve">deze </w:t>
      </w:r>
      <w:r w:rsidRPr="00637DEA" w:rsidR="00637DEA">
        <w:t>kwetsbare verzekerden niet verder worden belast</w:t>
      </w:r>
      <w:r w:rsidR="00637DEA">
        <w:t xml:space="preserve">. </w:t>
      </w:r>
      <w:r w:rsidRPr="005D71A0" w:rsidR="006A6F95">
        <w:t xml:space="preserve"> </w:t>
      </w:r>
      <w:r w:rsidR="00235633">
        <w:t xml:space="preserve">Tegelijkertijd zijn er aandachtspunten. Het verlagen van de opslag naar 0% betekent dat </w:t>
      </w:r>
      <w:r w:rsidRPr="005D71A0" w:rsidR="006A6F95">
        <w:t xml:space="preserve">de bestuursrechtelijke premie voor een deel van </w:t>
      </w:r>
      <w:r w:rsidR="00235633">
        <w:t>de</w:t>
      </w:r>
      <w:r w:rsidRPr="005D71A0" w:rsidR="006A6F95">
        <w:t xml:space="preserve"> verzekerden iets lager wordt dan de premie van de polis die verzekerden houden als zij in de </w:t>
      </w:r>
      <w:r w:rsidRPr="005D71A0">
        <w:t>BAZ-</w:t>
      </w:r>
      <w:r w:rsidRPr="005D71A0" w:rsidR="006A6F95">
        <w:t xml:space="preserve">regeling komen. </w:t>
      </w:r>
      <w:r w:rsidR="00235633">
        <w:t>Verder is</w:t>
      </w:r>
      <w:r w:rsidRPr="005D71A0" w:rsidR="00A71C18">
        <w:t xml:space="preserve"> flankerend beleid</w:t>
      </w:r>
      <w:r w:rsidR="00235633">
        <w:t xml:space="preserve"> nodig</w:t>
      </w:r>
      <w:r w:rsidRPr="005D71A0" w:rsidR="00A71C18">
        <w:t xml:space="preserve"> om betalingsachterstand</w:t>
      </w:r>
      <w:r w:rsidR="00235633">
        <w:t>en te voorkomen</w:t>
      </w:r>
      <w:r w:rsidR="00484238">
        <w:t>,</w:t>
      </w:r>
      <w:r w:rsidR="00235633">
        <w:t xml:space="preserve"> op te lossen,</w:t>
      </w:r>
      <w:r w:rsidRPr="005D71A0" w:rsidR="00A71C18">
        <w:t xml:space="preserve"> en recidive te voorkomen. </w:t>
      </w:r>
    </w:p>
    <w:p w:rsidRPr="005D71A0" w:rsidR="00A71C18" w:rsidP="004B0DF0" w:rsidRDefault="00A71C18" w14:paraId="12D0B8D9" w14:textId="77777777">
      <w:pPr>
        <w:suppressAutoHyphens/>
        <w:spacing w:line="240" w:lineRule="exact"/>
      </w:pPr>
    </w:p>
    <w:p w:rsidRPr="005D71A0" w:rsidR="00EF1170" w:rsidP="004B0DF0" w:rsidRDefault="006A50D3" w14:paraId="351C1168" w14:textId="71A21138">
      <w:pPr>
        <w:suppressAutoHyphens/>
        <w:spacing w:line="240" w:lineRule="exact"/>
        <w:rPr>
          <w:b/>
          <w:bCs/>
        </w:rPr>
      </w:pPr>
      <w:r w:rsidRPr="005D71A0">
        <w:rPr>
          <w:b/>
          <w:bCs/>
        </w:rPr>
        <w:lastRenderedPageBreak/>
        <w:t xml:space="preserve">Wat is </w:t>
      </w:r>
      <w:r w:rsidRPr="005D71A0" w:rsidR="00007674">
        <w:rPr>
          <w:b/>
          <w:bCs/>
        </w:rPr>
        <w:t>ervoor</w:t>
      </w:r>
      <w:r w:rsidRPr="005D71A0">
        <w:rPr>
          <w:b/>
          <w:bCs/>
        </w:rPr>
        <w:t xml:space="preserve"> nodig om de opslag af te schaffen</w:t>
      </w:r>
    </w:p>
    <w:p w:rsidRPr="005D71A0" w:rsidR="00B32346" w:rsidP="004B0DF0" w:rsidRDefault="00B32346" w14:paraId="3A39EF10" w14:textId="77777777">
      <w:pPr>
        <w:pStyle w:val="Kop2"/>
        <w:suppressAutoHyphens/>
        <w:spacing w:before="0"/>
      </w:pPr>
    </w:p>
    <w:p w:rsidRPr="005D71A0" w:rsidR="002A58E1" w:rsidP="004B0DF0" w:rsidRDefault="002A58E1" w14:paraId="70403747" w14:textId="7B9C6775">
      <w:pPr>
        <w:pStyle w:val="Kop2"/>
        <w:suppressAutoHyphens/>
        <w:spacing w:before="0"/>
        <w:rPr>
          <w:i w:val="0"/>
          <w:iCs/>
        </w:rPr>
      </w:pPr>
      <w:r w:rsidRPr="005D71A0">
        <w:t>Juridisch</w:t>
      </w:r>
    </w:p>
    <w:p w:rsidRPr="005D71A0" w:rsidR="003F5775" w:rsidP="004B0DF0" w:rsidRDefault="003F5775" w14:paraId="771B62CF" w14:textId="18930679">
      <w:pPr>
        <w:pStyle w:val="Kop2"/>
        <w:suppressAutoHyphens/>
        <w:spacing w:before="0"/>
        <w:rPr>
          <w:i w:val="0"/>
          <w:color w:val="auto"/>
        </w:rPr>
      </w:pPr>
      <w:r w:rsidRPr="005D71A0">
        <w:rPr>
          <w:i w:val="0"/>
          <w:color w:val="auto"/>
        </w:rPr>
        <w:t xml:space="preserve">In het eerste lid, artikel 18d, </w:t>
      </w:r>
      <w:r w:rsidRPr="005D71A0" w:rsidR="00B32346">
        <w:rPr>
          <w:i w:val="0"/>
          <w:color w:val="auto"/>
        </w:rPr>
        <w:t>Zorgverzekeringswet (hierna Zvw)</w:t>
      </w:r>
      <w:r w:rsidRPr="005D71A0">
        <w:rPr>
          <w:i w:val="0"/>
          <w:color w:val="auto"/>
        </w:rPr>
        <w:t xml:space="preserve">, is geregeld dat de bestuursrechtelijke premie tussen de 110% en 130% van de geraamde gemiddelde premie bedraagt. Het schrappen van de opslag vergt daarom een wijziging van dit artikel. Met alleen het schrappen van de opslag kan het voor een verzekerde met een wat duurdere zorgverzekering aantrekkelijk zijn om de BAZ-regeling in te komen of niet meer te verlaten. De bestuursrechtelijke premie zal dan immers lager zijn dan zijn zorgpremie voor de wat uitgebreidere verzekering. Om dit te voorkomen, is het aangewezen de polis van iemand in de regeling bij aanmelding bij het CAK 'om te zetten' naar de goedkoopste zorgverzekering </w:t>
      </w:r>
      <w:r w:rsidRPr="005D71A0" w:rsidR="00C2657F">
        <w:rPr>
          <w:i w:val="0"/>
          <w:color w:val="auto"/>
        </w:rPr>
        <w:t xml:space="preserve">(maar zonder vrijwillig eigen risico) </w:t>
      </w:r>
      <w:r w:rsidRPr="005D71A0">
        <w:rPr>
          <w:i w:val="0"/>
          <w:color w:val="auto"/>
        </w:rPr>
        <w:t xml:space="preserve">die zijn zorgverzekeraar heeft. Ook dit zal </w:t>
      </w:r>
      <w:r w:rsidRPr="005D71A0" w:rsidR="00B32346">
        <w:rPr>
          <w:i w:val="0"/>
          <w:color w:val="auto"/>
        </w:rPr>
        <w:t xml:space="preserve">met een wetstraject </w:t>
      </w:r>
      <w:r w:rsidRPr="005D71A0">
        <w:rPr>
          <w:i w:val="0"/>
          <w:color w:val="auto"/>
        </w:rPr>
        <w:t xml:space="preserve">in de Zvw moeten worden geregeld, samen met </w:t>
      </w:r>
      <w:r w:rsidRPr="005D71A0" w:rsidR="00B32346">
        <w:rPr>
          <w:i w:val="0"/>
          <w:color w:val="auto"/>
        </w:rPr>
        <w:t xml:space="preserve">creëren van </w:t>
      </w:r>
      <w:r w:rsidRPr="005D71A0">
        <w:rPr>
          <w:i w:val="0"/>
          <w:color w:val="auto"/>
        </w:rPr>
        <w:t>een uitzondering op artikel 7:940, vierde lid, Burgerlijk Wetboek. Dat artikellid geeft een verzekerde opzegrecht bij poliswijzigingen 'ten nadele'</w:t>
      </w:r>
      <w:r w:rsidRPr="005D71A0" w:rsidR="00B32346">
        <w:rPr>
          <w:i w:val="0"/>
          <w:color w:val="auto"/>
        </w:rPr>
        <w:t xml:space="preserve">. De insteek is om </w:t>
      </w:r>
      <w:r w:rsidRPr="005D71A0" w:rsidR="00C7758C">
        <w:rPr>
          <w:i w:val="0"/>
          <w:color w:val="auto"/>
        </w:rPr>
        <w:t>verzekerden in de BAZ-regeling geen opzegrecht geven, omdat ze dan onverzekerd zouden raken</w:t>
      </w:r>
      <w:r w:rsidRPr="005D71A0">
        <w:rPr>
          <w:i w:val="0"/>
          <w:color w:val="auto"/>
        </w:rPr>
        <w:t xml:space="preserve">. Bij het uitwerken van deze </w:t>
      </w:r>
      <w:r w:rsidRPr="005D71A0" w:rsidR="00B32346">
        <w:rPr>
          <w:i w:val="0"/>
          <w:color w:val="auto"/>
        </w:rPr>
        <w:t xml:space="preserve">wettelijke </w:t>
      </w:r>
      <w:r w:rsidRPr="005D71A0">
        <w:rPr>
          <w:i w:val="0"/>
          <w:color w:val="auto"/>
        </w:rPr>
        <w:t>wijzigingen zal aandacht moeten worden besteed aan diverse vraagstukken, zoals de ongelijkheid die ontstaat vanwege de verschillen tussen de goedkopere polissen van zorgverzekeraars</w:t>
      </w:r>
      <w:r w:rsidRPr="005D71A0" w:rsidR="0008681A">
        <w:rPr>
          <w:i w:val="0"/>
          <w:color w:val="auto"/>
        </w:rPr>
        <w:t xml:space="preserve"> en de vraag of de omzetting naar de goedkoopste zorgverzekeringsvariant van de zorgverzekeraar de verzekerde niet meer stress oplevert dan de opslag</w:t>
      </w:r>
      <w:r w:rsidRPr="005D71A0">
        <w:rPr>
          <w:i w:val="0"/>
          <w:color w:val="auto"/>
        </w:rPr>
        <w:t>.</w:t>
      </w:r>
      <w:r w:rsidRPr="005D71A0" w:rsidR="00A71C18">
        <w:rPr>
          <w:i w:val="0"/>
          <w:color w:val="auto"/>
        </w:rPr>
        <w:t xml:space="preserve"> De doorlooptijd van dit wetstraject zal circa twee jaar zijn.</w:t>
      </w:r>
    </w:p>
    <w:p w:rsidRPr="005D71A0" w:rsidR="002A58E1" w:rsidP="004B0DF0" w:rsidRDefault="002A58E1" w14:paraId="05E81215" w14:textId="77777777">
      <w:pPr>
        <w:suppressAutoHyphens/>
        <w:spacing w:line="240" w:lineRule="exact"/>
      </w:pPr>
    </w:p>
    <w:p w:rsidRPr="005D71A0" w:rsidR="002A58E1" w:rsidP="004B0DF0" w:rsidRDefault="002A58E1" w14:paraId="330A5C23" w14:textId="77777777">
      <w:pPr>
        <w:suppressAutoHyphens/>
        <w:spacing w:line="240" w:lineRule="exact"/>
      </w:pPr>
      <w:r w:rsidRPr="005D71A0">
        <w:rPr>
          <w:i/>
          <w:iCs/>
        </w:rPr>
        <w:t>Financieel</w:t>
      </w:r>
    </w:p>
    <w:p w:rsidRPr="005D71A0" w:rsidR="002A58E1" w:rsidP="004B0DF0" w:rsidRDefault="002A58E1" w14:paraId="2F7D8082" w14:textId="35852636">
      <w:pPr>
        <w:suppressAutoHyphens/>
        <w:spacing w:line="240" w:lineRule="exact"/>
        <w:rPr>
          <w:iCs/>
        </w:rPr>
      </w:pPr>
      <w:r w:rsidRPr="005D71A0">
        <w:rPr>
          <w:iCs/>
        </w:rPr>
        <w:t xml:space="preserve">De ontvangsten aan bestuursrechtelijke premie komen voor 23% op de VWS-begroting in verband met de uitvoeringskosten van de BAZ-regeling en voor 77% in het Zorgverzekeringsfonds. Het afschaffen van de opslag leidt tot € 7 mln lagere ontvangsten voor de VWS-begroting en € 24 mln lagere ontvangsten voor het Zorgverzekeringsfonds. </w:t>
      </w:r>
      <w:r w:rsidRPr="005D71A0" w:rsidR="00FB4FD3">
        <w:rPr>
          <w:iCs/>
        </w:rPr>
        <w:t xml:space="preserve">Voor de structurele lagere ontvangsten op de begroting van VWS dient dekking gevonden te worden. </w:t>
      </w:r>
      <w:r w:rsidRPr="005D71A0" w:rsidR="00294B68">
        <w:rPr>
          <w:iCs/>
        </w:rPr>
        <w:t>De lagere ontvangsten voor het Zorgverzekeringsfonds lopen mee in de vaststelling van de Inkomensafhankelijke Bijdrage (IAB) en de rekenpremie</w:t>
      </w:r>
      <w:r w:rsidRPr="005D71A0" w:rsidR="00950944">
        <w:rPr>
          <w:iCs/>
        </w:rPr>
        <w:t xml:space="preserve"> (en leiden dus tot hogere kosten voor het collectief)</w:t>
      </w:r>
      <w:r w:rsidRPr="005D71A0" w:rsidR="00294B68">
        <w:rPr>
          <w:iCs/>
        </w:rPr>
        <w:t>.</w:t>
      </w:r>
    </w:p>
    <w:p w:rsidRPr="005D71A0" w:rsidR="002A58E1" w:rsidP="004B0DF0" w:rsidRDefault="002A58E1" w14:paraId="7CB7D43D" w14:textId="77777777">
      <w:pPr>
        <w:suppressAutoHyphens/>
        <w:spacing w:line="240" w:lineRule="exact"/>
      </w:pPr>
    </w:p>
    <w:p w:rsidRPr="005D71A0" w:rsidR="002A58E1" w:rsidP="004B0DF0" w:rsidRDefault="002A58E1" w14:paraId="33562045" w14:textId="77777777">
      <w:pPr>
        <w:suppressAutoHyphens/>
        <w:spacing w:line="240" w:lineRule="exact"/>
        <w:rPr>
          <w:i/>
          <w:iCs/>
        </w:rPr>
      </w:pPr>
      <w:r w:rsidRPr="005D71A0">
        <w:rPr>
          <w:i/>
          <w:iCs/>
        </w:rPr>
        <w:t>Aanpassing bestuursrechtelijke premie ambtshalve verzekerden</w:t>
      </w:r>
    </w:p>
    <w:p w:rsidR="002A58E1" w:rsidP="004B0DF0" w:rsidRDefault="00FB4FD3" w14:paraId="0A20D781" w14:textId="37EFB8BE">
      <w:pPr>
        <w:suppressAutoHyphens/>
        <w:spacing w:line="240" w:lineRule="exact"/>
        <w:rPr>
          <w:iCs/>
        </w:rPr>
      </w:pPr>
      <w:r w:rsidRPr="005D71A0">
        <w:t>A</w:t>
      </w:r>
      <w:r w:rsidRPr="005D71A0" w:rsidR="002A58E1">
        <w:t xml:space="preserve">ls de bestuursrechtelijke premie BAZ-regeling </w:t>
      </w:r>
      <w:r w:rsidRPr="005D71A0">
        <w:t>lager wordt</w:t>
      </w:r>
      <w:r w:rsidRPr="005D71A0" w:rsidR="002A58E1">
        <w:t>, dan beweegt de bestuursrechtelijke premie</w:t>
      </w:r>
      <w:r w:rsidRPr="005D71A0">
        <w:t xml:space="preserve"> die </w:t>
      </w:r>
      <w:r w:rsidRPr="005D71A0" w:rsidR="002A58E1">
        <w:t xml:space="preserve">ambtshalve verzekerden </w:t>
      </w:r>
      <w:r w:rsidRPr="005D71A0">
        <w:t xml:space="preserve">betalen </w:t>
      </w:r>
      <w:r w:rsidRPr="005D71A0" w:rsidR="002A58E1">
        <w:t>mee.</w:t>
      </w:r>
      <w:r w:rsidRPr="005D71A0">
        <w:t xml:space="preserve"> Onverzekerde verzekeringsplichtigen worden aangeschreven, eventueel beboet en na negen maanden (als zij geen actie ondernemen) een jaar lang ambtshalve verzekerd bij één van de zorgverzekeraars. Ambtshalve verzekerden betalen een bestuursrechtelijke premie die gelijk is aan de bestuursrechtelijke premie </w:t>
      </w:r>
      <w:r w:rsidRPr="005D71A0" w:rsidR="00083866">
        <w:t xml:space="preserve">die verzekerden in de BAZ-regeling betalen. Het afschaffen van de opslag bij de BAZ-regeling leidt tot structureel € 1 mln lagere ontvangsten voor </w:t>
      </w:r>
      <w:r w:rsidRPr="005D71A0" w:rsidR="00AB33BA">
        <w:rPr>
          <w:iCs/>
        </w:rPr>
        <w:t>het Zorgverzekeringsfonds. De lagere ontvangsten voor het Zorgverzekeringsfonds lopen mee in de vaststelling van de IAB en de rekenpremie.</w:t>
      </w:r>
    </w:p>
    <w:p w:rsidRPr="005D71A0" w:rsidR="00235633" w:rsidP="004B0DF0" w:rsidRDefault="00235633" w14:paraId="6AB8B271" w14:textId="77777777">
      <w:pPr>
        <w:suppressAutoHyphens/>
        <w:spacing w:line="240" w:lineRule="exact"/>
        <w:rPr>
          <w:iCs/>
        </w:rPr>
      </w:pPr>
    </w:p>
    <w:p w:rsidRPr="005D71A0" w:rsidR="002A58E1" w:rsidP="004B0DF0" w:rsidRDefault="00083866" w14:paraId="3D46B53B" w14:textId="0CC9A67B">
      <w:pPr>
        <w:suppressAutoHyphens/>
        <w:spacing w:line="240" w:lineRule="exact"/>
        <w:rPr>
          <w:i/>
          <w:iCs/>
        </w:rPr>
      </w:pPr>
      <w:r w:rsidRPr="005D71A0">
        <w:rPr>
          <w:i/>
          <w:iCs/>
        </w:rPr>
        <w:t>Flankerend beleid</w:t>
      </w:r>
    </w:p>
    <w:p w:rsidR="00326C40" w:rsidP="004B0DF0" w:rsidRDefault="00C21797" w14:paraId="507CD595" w14:textId="34E5EA1E">
      <w:pPr>
        <w:suppressAutoHyphens/>
        <w:spacing w:line="240" w:lineRule="exact"/>
      </w:pPr>
      <w:r w:rsidRPr="005D71A0">
        <w:t xml:space="preserve">Om een afschaffing van de premieopslag op een verantwoorde en doordachte wijze door te voeren, </w:t>
      </w:r>
      <w:r>
        <w:t>is</w:t>
      </w:r>
      <w:r w:rsidRPr="005D71A0">
        <w:t xml:space="preserve"> flankerend beleid </w:t>
      </w:r>
      <w:r>
        <w:t>nodig</w:t>
      </w:r>
      <w:r w:rsidR="005709B2">
        <w:t>, waarbij waar mogelijk rekening moet worden gehouden met de (financiële) situatie van verzekerden</w:t>
      </w:r>
      <w:r>
        <w:t xml:space="preserve">. </w:t>
      </w:r>
      <w:r w:rsidRPr="005D71A0">
        <w:t xml:space="preserve"> Zo zal bijvoorbeeld moeten worden bezien of de huidige inspanningsverplichtingen van </w:t>
      </w:r>
      <w:r w:rsidRPr="005D71A0">
        <w:lastRenderedPageBreak/>
        <w:t xml:space="preserve">zorgverzekeraars nog effectief zijn zonder de premieopslag als stok achter de deur. </w:t>
      </w:r>
      <w:r w:rsidR="00034D13">
        <w:t xml:space="preserve">Dit zal vooral gelden voor verzekerden met een beginnende betalingsachterstand. </w:t>
      </w:r>
      <w:r w:rsidRPr="005D71A0">
        <w:t>En indien dit niet het geval is, of er maatregelen genomen zouden kunnen worden om de inspanningsverplichtingen alsnog weer effectief te krijgen.</w:t>
      </w:r>
      <w:r w:rsidR="00B466B3">
        <w:t xml:space="preserve"> </w:t>
      </w:r>
      <w:r w:rsidR="005709B2">
        <w:t>Bij v</w:t>
      </w:r>
      <w:r w:rsidRPr="005D71A0" w:rsidR="007C30A7">
        <w:t xml:space="preserve">erzekerden in de BAZ-regeling </w:t>
      </w:r>
      <w:r w:rsidR="005709B2">
        <w:t xml:space="preserve">die </w:t>
      </w:r>
      <w:r w:rsidRPr="005D71A0" w:rsidR="007C30A7">
        <w:t>kampen met bredere schuldenproblematiek</w:t>
      </w:r>
      <w:r w:rsidR="00B466B3">
        <w:t>,</w:t>
      </w:r>
      <w:r w:rsidR="00034D13">
        <w:t xml:space="preserve"> en waarbij die stok achter de deur niet goed werkt</w:t>
      </w:r>
      <w:r w:rsidRPr="005D71A0" w:rsidR="007C30A7">
        <w:t xml:space="preserve">, </w:t>
      </w:r>
      <w:r w:rsidR="00034D13">
        <w:t>is</w:t>
      </w:r>
      <w:r w:rsidRPr="005D71A0" w:rsidR="007C30A7">
        <w:t xml:space="preserve"> de zorgpremie-achterstand slechts een symptoom van dieperliggende financiële problemen</w:t>
      </w:r>
      <w:r w:rsidR="00CB012B">
        <w:t xml:space="preserve">. </w:t>
      </w:r>
      <w:r w:rsidR="00034D13">
        <w:t>Om hen te helpen zal</w:t>
      </w:r>
      <w:r w:rsidRPr="005D71A0" w:rsidR="005A6276">
        <w:t xml:space="preserve"> gekeken </w:t>
      </w:r>
      <w:r w:rsidR="00034D13">
        <w:t xml:space="preserve">moeten worden </w:t>
      </w:r>
      <w:r w:rsidRPr="005D71A0" w:rsidR="005A6276">
        <w:t xml:space="preserve">naar mogelijkheden om de </w:t>
      </w:r>
      <w:proofErr w:type="spellStart"/>
      <w:r w:rsidRPr="005D71A0" w:rsidR="005A6276">
        <w:t>domeinoverstijgende</w:t>
      </w:r>
      <w:proofErr w:type="spellEnd"/>
      <w:r w:rsidRPr="005D71A0" w:rsidR="007C30A7">
        <w:t xml:space="preserve"> samenwerking</w:t>
      </w:r>
      <w:r w:rsidRPr="005D71A0" w:rsidR="005A6276">
        <w:t xml:space="preserve"> te verbeteren</w:t>
      </w:r>
      <w:r w:rsidR="00B466B3">
        <w:t>.</w:t>
      </w:r>
      <w:r w:rsidRPr="005D71A0" w:rsidR="005A6276">
        <w:t xml:space="preserve"> </w:t>
      </w:r>
      <w:r w:rsidR="00B466B3">
        <w:t xml:space="preserve">Hierbij moet ook </w:t>
      </w:r>
      <w:r w:rsidR="00326C40">
        <w:t xml:space="preserve">aandacht zijn </w:t>
      </w:r>
      <w:r w:rsidRPr="005D71A0" w:rsidR="005A6276">
        <w:t xml:space="preserve">voor </w:t>
      </w:r>
      <w:r w:rsidRPr="005D71A0" w:rsidR="007C30A7">
        <w:t>verzekerden die herhaaldelijk terugkeren in de BAZ-regeling</w:t>
      </w:r>
      <w:r w:rsidRPr="005D71A0" w:rsidR="005A6276">
        <w:t xml:space="preserve">. </w:t>
      </w:r>
      <w:r w:rsidRPr="005D71A0" w:rsidR="00B466B3">
        <w:t>In de praktijk blijkt dat een aanzienlijk deel van de verzekerden na het doorlopen van een betalingsregeling opnieuw in de BAZ-regeling terechtkomt. Dit draaideureffect toont aan dat duurzame uitstroom flankerend beleid vereist dat verder gaat dan premie-inning alleen.</w:t>
      </w:r>
      <w:r w:rsidR="00B466B3">
        <w:t xml:space="preserve"> </w:t>
      </w:r>
    </w:p>
    <w:p w:rsidRPr="005D71A0" w:rsidR="00034D13" w:rsidP="004B0DF0" w:rsidRDefault="005A6276" w14:paraId="0120565A" w14:textId="60BB6B99">
      <w:pPr>
        <w:suppressAutoHyphens/>
        <w:spacing w:line="240" w:lineRule="exact"/>
      </w:pPr>
      <w:r w:rsidRPr="005D71A0">
        <w:t>Het uitwerken van</w:t>
      </w:r>
      <w:r w:rsidR="00B466B3">
        <w:t xml:space="preserve"> het benodigde flankerende beleid</w:t>
      </w:r>
      <w:r w:rsidRPr="005D71A0">
        <w:t xml:space="preserve"> zal tijd vergen, net als de benodigde juridische aanpassingen</w:t>
      </w:r>
      <w:r w:rsidR="00B466B3">
        <w:t>.</w:t>
      </w:r>
      <w:r w:rsidRPr="005D71A0">
        <w:t xml:space="preserve"> </w:t>
      </w:r>
    </w:p>
    <w:p w:rsidRPr="005D71A0" w:rsidR="005A6276" w:rsidP="004B0DF0" w:rsidRDefault="005A6276" w14:paraId="2A1C86A2" w14:textId="77777777">
      <w:pPr>
        <w:suppressAutoHyphens/>
        <w:spacing w:line="240" w:lineRule="exact"/>
        <w:rPr>
          <w:b/>
          <w:bCs/>
        </w:rPr>
      </w:pPr>
    </w:p>
    <w:p w:rsidRPr="005D71A0" w:rsidR="002F5C45" w:rsidP="004B0DF0" w:rsidRDefault="006A50D3" w14:paraId="0E58A05E" w14:textId="75ED427C">
      <w:pPr>
        <w:suppressAutoHyphens/>
        <w:spacing w:line="240" w:lineRule="exact"/>
        <w:rPr>
          <w:b/>
          <w:bCs/>
        </w:rPr>
      </w:pPr>
      <w:r w:rsidRPr="005D71A0">
        <w:rPr>
          <w:b/>
          <w:bCs/>
        </w:rPr>
        <w:t>Tot slot</w:t>
      </w:r>
    </w:p>
    <w:p w:rsidRPr="005D71A0" w:rsidR="00EE3A84" w:rsidP="004B0DF0" w:rsidRDefault="00EE3A84" w14:paraId="1BB718AA" w14:textId="46747E68">
      <w:pPr>
        <w:suppressAutoHyphens/>
        <w:spacing w:line="240" w:lineRule="exact"/>
      </w:pPr>
      <w:r w:rsidRPr="005D71A0">
        <w:t xml:space="preserve">In deze brief is, zoals is verzocht door de Kamer, toegelicht wat ervoor nodig zou zijn om de opslag af te schaffen, namelijk een wijziging van de Zvw (inclusief het aanpassen van de polis), een structurele financiële dekking en de verkenning en de uitvoering van enkele randvoorwaarden, waaronder een duurzame oplossing voor de kwetsbare groep verzekerden die steeds in en uit de BAZ-regeling stroomt. </w:t>
      </w:r>
    </w:p>
    <w:p w:rsidRPr="005D71A0" w:rsidR="00EE3A84" w:rsidP="004B0DF0" w:rsidRDefault="00EE3A84" w14:paraId="453E489C" w14:textId="77777777">
      <w:pPr>
        <w:suppressAutoHyphens/>
        <w:spacing w:line="240" w:lineRule="exact"/>
      </w:pPr>
    </w:p>
    <w:p w:rsidRPr="005D71A0" w:rsidR="00EE3A84" w:rsidP="004B0DF0" w:rsidRDefault="00EE3A84" w14:paraId="20B0D3F7" w14:textId="3FE5993A">
      <w:pPr>
        <w:suppressAutoHyphens/>
        <w:spacing w:line="240" w:lineRule="exact"/>
      </w:pPr>
      <w:r w:rsidRPr="005D71A0">
        <w:t>De laatste jaren is de bestuursrechtelijke premie i</w:t>
      </w:r>
      <w:r w:rsidR="00BC2523">
        <w:t>n</w:t>
      </w:r>
      <w:r w:rsidRPr="005D71A0">
        <w:t xml:space="preserve"> stapjes verlaagd. De stap naar 10% (de ondergrens in de Zvw) is gemaakt per juli 2024. Er bestaat een kans dat door het verlagen van de bestuursrechtelijke premie het aantal verzekerden in de BAZ-regeling weer gaat stijgen. Om die reden is door</w:t>
      </w:r>
      <w:r w:rsidR="00637DEA">
        <w:t xml:space="preserve"> de toenmalige</w:t>
      </w:r>
      <w:r w:rsidRPr="005D71A0">
        <w:t xml:space="preserve"> </w:t>
      </w:r>
      <w:r w:rsidRPr="005D71A0" w:rsidR="00ED365B">
        <w:t>minister</w:t>
      </w:r>
      <w:r w:rsidR="00637DEA">
        <w:t xml:space="preserve"> van VWS</w:t>
      </w:r>
      <w:r w:rsidRPr="005D71A0" w:rsidR="00ED365B">
        <w:t xml:space="preserve"> tijdens het</w:t>
      </w:r>
      <w:r w:rsidR="00637DEA">
        <w:t xml:space="preserve"> </w:t>
      </w:r>
      <w:r w:rsidRPr="005D71A0" w:rsidR="00ED365B">
        <w:t>Tweeminutendebat Verzekerdenmonitor 2024</w:t>
      </w:r>
      <w:r w:rsidRPr="005D71A0" w:rsidR="00ED365B">
        <w:rPr>
          <w:rStyle w:val="Voetnootmarkering"/>
        </w:rPr>
        <w:footnoteReference w:id="6"/>
      </w:r>
      <w:r w:rsidRPr="005D71A0" w:rsidR="00ED365B">
        <w:t xml:space="preserve"> </w:t>
      </w:r>
      <w:r w:rsidRPr="005D71A0" w:rsidR="00715F57">
        <w:t xml:space="preserve">op 19 maart 2025 </w:t>
      </w:r>
      <w:r w:rsidRPr="005D71A0">
        <w:t xml:space="preserve">aangegeven </w:t>
      </w:r>
      <w:r w:rsidRPr="005D71A0" w:rsidR="00682882">
        <w:t xml:space="preserve">dat </w:t>
      </w:r>
      <w:r w:rsidRPr="005D71A0">
        <w:t xml:space="preserve">de ontwikkelingen </w:t>
      </w:r>
      <w:r w:rsidRPr="005D71A0" w:rsidR="00ED365B">
        <w:t xml:space="preserve">van het aantal verzekerden in de BAZ-regeling </w:t>
      </w:r>
      <w:r w:rsidR="00484238">
        <w:t xml:space="preserve">en </w:t>
      </w:r>
      <w:r w:rsidRPr="005D71A0" w:rsidR="00ED365B">
        <w:t xml:space="preserve">het effect </w:t>
      </w:r>
      <w:r w:rsidR="00484238">
        <w:t xml:space="preserve">van </w:t>
      </w:r>
      <w:r w:rsidR="002D1949">
        <w:t xml:space="preserve">de verlaging van de opslag </w:t>
      </w:r>
      <w:r w:rsidR="00484238">
        <w:t xml:space="preserve">worden gemonitord. </w:t>
      </w:r>
      <w:r w:rsidRPr="005D71A0" w:rsidR="00ED365B">
        <w:t xml:space="preserve">Dit is wat dit kabinet nu doet. </w:t>
      </w:r>
    </w:p>
    <w:p w:rsidRPr="005D71A0" w:rsidR="00C4728C" w:rsidP="004B0DF0" w:rsidRDefault="00C4728C" w14:paraId="0B8AFEB8" w14:textId="77777777">
      <w:pPr>
        <w:suppressAutoHyphens/>
        <w:spacing w:line="240" w:lineRule="exact"/>
      </w:pPr>
    </w:p>
    <w:p w:rsidRPr="005D71A0" w:rsidR="00C4728C" w:rsidP="004B0DF0" w:rsidRDefault="00C4728C" w14:paraId="14F6265B" w14:textId="77777777">
      <w:pPr>
        <w:suppressAutoHyphens/>
        <w:spacing w:line="240" w:lineRule="exact"/>
      </w:pPr>
      <w:r w:rsidRPr="005D71A0">
        <w:t xml:space="preserve">Hoogachtend, </w:t>
      </w:r>
    </w:p>
    <w:p w:rsidRPr="005D71A0" w:rsidR="008200F5" w:rsidP="004B0DF0" w:rsidRDefault="008200F5" w14:paraId="78A4AF29" w14:textId="77777777">
      <w:pPr>
        <w:suppressAutoHyphens/>
        <w:spacing w:line="240" w:lineRule="exact"/>
      </w:pPr>
    </w:p>
    <w:p w:rsidRPr="005D71A0" w:rsidR="00C4728C" w:rsidP="004B0DF0" w:rsidRDefault="00C4728C" w14:paraId="6452BE40" w14:textId="77777777">
      <w:pPr>
        <w:suppressAutoHyphens/>
        <w:spacing w:line="240" w:lineRule="exact"/>
      </w:pPr>
      <w:r w:rsidRPr="005D71A0">
        <w:t xml:space="preserve">de minister van Volksgezondheid, </w:t>
      </w:r>
    </w:p>
    <w:p w:rsidRPr="005D71A0" w:rsidR="00C4728C" w:rsidP="004B0DF0" w:rsidRDefault="00C4728C" w14:paraId="69B53FEA" w14:textId="7738349E">
      <w:pPr>
        <w:suppressAutoHyphens/>
        <w:spacing w:line="240" w:lineRule="exact"/>
      </w:pPr>
      <w:r w:rsidRPr="005D71A0">
        <w:t xml:space="preserve">Welzijn en Sport, </w:t>
      </w:r>
    </w:p>
    <w:p w:rsidR="00C4728C" w:rsidP="004B0DF0" w:rsidRDefault="00C4728C" w14:paraId="6B6469FF" w14:textId="77777777">
      <w:pPr>
        <w:suppressAutoHyphens/>
        <w:spacing w:line="240" w:lineRule="exact"/>
      </w:pPr>
    </w:p>
    <w:p w:rsidRPr="005D71A0" w:rsidR="004B0DF0" w:rsidP="004B0DF0" w:rsidRDefault="004B0DF0" w14:paraId="6BE3FE22" w14:textId="77777777">
      <w:pPr>
        <w:suppressAutoHyphens/>
        <w:spacing w:line="240" w:lineRule="exact"/>
      </w:pPr>
    </w:p>
    <w:p w:rsidRPr="005D71A0" w:rsidR="00C4728C" w:rsidP="004B0DF0" w:rsidRDefault="00C4728C" w14:paraId="6035A3B7" w14:textId="77777777">
      <w:pPr>
        <w:suppressAutoHyphens/>
        <w:spacing w:line="240" w:lineRule="exact"/>
      </w:pPr>
    </w:p>
    <w:p w:rsidR="00C4728C" w:rsidP="004B0DF0" w:rsidRDefault="00C4728C" w14:paraId="34AF17A9" w14:textId="77777777">
      <w:pPr>
        <w:suppressAutoHyphens/>
        <w:spacing w:line="240" w:lineRule="exact"/>
      </w:pPr>
    </w:p>
    <w:p w:rsidR="00CA6AC9" w:rsidP="004B0DF0" w:rsidRDefault="00CA6AC9" w14:paraId="3234235B" w14:textId="77777777">
      <w:pPr>
        <w:suppressAutoHyphens/>
        <w:spacing w:line="240" w:lineRule="exact"/>
      </w:pPr>
    </w:p>
    <w:p w:rsidR="004078AF" w:rsidP="004B0DF0" w:rsidRDefault="004078AF" w14:paraId="2C805510" w14:textId="77777777">
      <w:pPr>
        <w:suppressAutoHyphens/>
        <w:spacing w:line="240" w:lineRule="exact"/>
      </w:pPr>
    </w:p>
    <w:p w:rsidRPr="005D71A0" w:rsidR="002F5C45" w:rsidP="004B0DF0" w:rsidRDefault="00C4728C" w14:paraId="7D0E0EBF" w14:textId="7A5C7541">
      <w:pPr>
        <w:suppressAutoHyphens/>
        <w:spacing w:line="240" w:lineRule="exact"/>
      </w:pPr>
      <w:r w:rsidRPr="005D71A0">
        <w:t>Sophie Herman</w:t>
      </w:r>
      <w:r w:rsidRPr="005D71A0" w:rsidR="004D1E6B">
        <w:rPr>
          <w:color w:val="auto"/>
        </w:rPr>
        <w:t>s</w:t>
      </w:r>
    </w:p>
    <w:sectPr w:rsidRPr="005D71A0" w:rsidR="002F5C45">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9A29" w14:textId="77777777" w:rsidR="00D45F75" w:rsidRDefault="00D45F75">
      <w:pPr>
        <w:spacing w:line="240" w:lineRule="auto"/>
      </w:pPr>
      <w:r>
        <w:separator/>
      </w:r>
    </w:p>
  </w:endnote>
  <w:endnote w:type="continuationSeparator" w:id="0">
    <w:p w14:paraId="52AEB6A6" w14:textId="77777777" w:rsidR="00D45F75" w:rsidRDefault="00D4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B602" w14:textId="77777777" w:rsidR="002F5C45" w:rsidRDefault="002F5C4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6BB60" w14:textId="77777777" w:rsidR="00D45F75" w:rsidRDefault="00D45F75">
      <w:pPr>
        <w:spacing w:line="240" w:lineRule="auto"/>
      </w:pPr>
      <w:r>
        <w:separator/>
      </w:r>
    </w:p>
  </w:footnote>
  <w:footnote w:type="continuationSeparator" w:id="0">
    <w:p w14:paraId="4E45AC86" w14:textId="77777777" w:rsidR="00D45F75" w:rsidRDefault="00D45F75">
      <w:pPr>
        <w:spacing w:line="240" w:lineRule="auto"/>
      </w:pPr>
      <w:r>
        <w:continuationSeparator/>
      </w:r>
    </w:p>
  </w:footnote>
  <w:footnote w:id="1">
    <w:p w14:paraId="1A87AE54" w14:textId="77777777" w:rsidR="009D7AE9" w:rsidRPr="003D47BD" w:rsidRDefault="009D7AE9" w:rsidP="009D7AE9">
      <w:pPr>
        <w:pStyle w:val="Voetnoottekst"/>
        <w:rPr>
          <w:sz w:val="16"/>
          <w:szCs w:val="16"/>
        </w:rPr>
      </w:pPr>
      <w:r w:rsidRPr="003D47BD">
        <w:rPr>
          <w:rStyle w:val="Voetnootmarkering"/>
          <w:sz w:val="16"/>
          <w:szCs w:val="16"/>
        </w:rPr>
        <w:footnoteRef/>
      </w:r>
      <w:r w:rsidRPr="003D47BD">
        <w:rPr>
          <w:sz w:val="16"/>
          <w:szCs w:val="16"/>
        </w:rPr>
        <w:t xml:space="preserve"> Kamerstukken II 2025</w:t>
      </w:r>
      <w:r>
        <w:rPr>
          <w:sz w:val="16"/>
          <w:szCs w:val="16"/>
        </w:rPr>
        <w:t>/</w:t>
      </w:r>
      <w:r w:rsidRPr="003D47BD">
        <w:rPr>
          <w:sz w:val="16"/>
          <w:szCs w:val="16"/>
        </w:rPr>
        <w:t>26, 36 800 XV, nr. 80</w:t>
      </w:r>
    </w:p>
  </w:footnote>
  <w:footnote w:id="2">
    <w:p w14:paraId="20A5867E" w14:textId="77777777" w:rsidR="00C92AC5" w:rsidRPr="00C92AC5" w:rsidRDefault="00C92AC5" w:rsidP="00192422">
      <w:pPr>
        <w:pStyle w:val="Voetnoottekst"/>
        <w:rPr>
          <w:sz w:val="16"/>
          <w:szCs w:val="16"/>
        </w:rPr>
      </w:pPr>
      <w:r w:rsidRPr="00C92AC5">
        <w:rPr>
          <w:rStyle w:val="Voetnootmarkering"/>
          <w:sz w:val="16"/>
          <w:szCs w:val="16"/>
        </w:rPr>
        <w:footnoteRef/>
      </w:r>
      <w:r w:rsidRPr="00C92AC5">
        <w:rPr>
          <w:sz w:val="16"/>
          <w:szCs w:val="16"/>
        </w:rPr>
        <w:t xml:space="preserve"> De standaardpremie is de berekende gemiddelde nominale premie die een verzekerde voor een zorgverzekering moet betalen, verhoogd met het geraamde gemiddelde bedrag dat een verzekerde naar verwachting betaalt als verplicht eigen risico.</w:t>
      </w:r>
    </w:p>
  </w:footnote>
  <w:footnote w:id="3">
    <w:p w14:paraId="10D82098" w14:textId="0A3A0320" w:rsidR="002A58E1" w:rsidRPr="00010A58" w:rsidRDefault="002A58E1" w:rsidP="00192422">
      <w:pPr>
        <w:spacing w:line="240" w:lineRule="auto"/>
        <w:rPr>
          <w:sz w:val="16"/>
          <w:szCs w:val="16"/>
        </w:rPr>
      </w:pPr>
      <w:r w:rsidRPr="00573AC3">
        <w:rPr>
          <w:rStyle w:val="Voetnootmarkering"/>
          <w:sz w:val="16"/>
          <w:szCs w:val="16"/>
        </w:rPr>
        <w:footnoteRef/>
      </w:r>
      <w:r w:rsidRPr="00010A58">
        <w:rPr>
          <w:rStyle w:val="Voetnootmarkering"/>
          <w:sz w:val="16"/>
          <w:szCs w:val="16"/>
        </w:rPr>
        <w:t xml:space="preserve"> </w:t>
      </w:r>
      <w:r w:rsidRPr="00010A58">
        <w:rPr>
          <w:sz w:val="16"/>
          <w:szCs w:val="16"/>
        </w:rPr>
        <w:t>Stb. 2009, 356</w:t>
      </w:r>
      <w:r w:rsidR="00DB5D3C" w:rsidRPr="00DB5D3C">
        <w:rPr>
          <w:sz w:val="16"/>
          <w:szCs w:val="16"/>
        </w:rPr>
        <w:t xml:space="preserve"> </w:t>
      </w:r>
      <w:r w:rsidR="00DB5D3C">
        <w:rPr>
          <w:sz w:val="16"/>
          <w:szCs w:val="16"/>
        </w:rPr>
        <w:t>en 357.</w:t>
      </w:r>
    </w:p>
  </w:footnote>
  <w:footnote w:id="4">
    <w:p w14:paraId="60448ED9" w14:textId="058483C0" w:rsidR="00D02CCF" w:rsidRDefault="00D02CCF" w:rsidP="00D02CCF">
      <w:pPr>
        <w:pStyle w:val="Voetnoottekst"/>
      </w:pPr>
      <w:r w:rsidRPr="00D02CCF">
        <w:rPr>
          <w:rStyle w:val="Voetnootmarkering"/>
          <w:sz w:val="16"/>
          <w:szCs w:val="16"/>
        </w:rPr>
        <w:footnoteRef/>
      </w:r>
      <w:r w:rsidRPr="00D02CCF">
        <w:rPr>
          <w:sz w:val="16"/>
          <w:szCs w:val="16"/>
        </w:rPr>
        <w:t xml:space="preserve"> De standaardpremie is de berekende gemiddelde nominale premie die een verzekerde voor een zorgverzekering moet betalen, verhoogd met het geraamde gemiddelde bedrag dat een verzekerde naar verwachting betaalt als verplicht eigen risico.</w:t>
      </w:r>
    </w:p>
  </w:footnote>
  <w:footnote w:id="5">
    <w:p w14:paraId="62B8F548" w14:textId="1501856D" w:rsidR="00007674" w:rsidRDefault="00007674">
      <w:pPr>
        <w:pStyle w:val="Voetnoottekst"/>
      </w:pPr>
      <w:r w:rsidRPr="00007674">
        <w:rPr>
          <w:rStyle w:val="Voetnootmarkering"/>
          <w:sz w:val="16"/>
          <w:szCs w:val="16"/>
        </w:rPr>
        <w:footnoteRef/>
      </w:r>
      <w:r w:rsidRPr="00007674">
        <w:rPr>
          <w:sz w:val="16"/>
          <w:szCs w:val="16"/>
        </w:rPr>
        <w:t xml:space="preserve"> </w:t>
      </w:r>
      <w:r w:rsidR="006F7DFC">
        <w:rPr>
          <w:sz w:val="16"/>
          <w:szCs w:val="16"/>
        </w:rPr>
        <w:t>Kamerstukken II</w:t>
      </w:r>
      <w:r w:rsidR="006F7DFC" w:rsidRPr="006F7DFC">
        <w:rPr>
          <w:sz w:val="16"/>
          <w:szCs w:val="16"/>
        </w:rPr>
        <w:t xml:space="preserve"> 2023–2024, 33 077, nr. 26</w:t>
      </w:r>
    </w:p>
  </w:footnote>
  <w:footnote w:id="6">
    <w:p w14:paraId="291916AA" w14:textId="346CABA6" w:rsidR="00ED365B" w:rsidRDefault="00ED365B">
      <w:pPr>
        <w:pStyle w:val="Voetnoottekst"/>
      </w:pPr>
      <w:r w:rsidRPr="005D71A0">
        <w:rPr>
          <w:rStyle w:val="Voetnootmarkering"/>
          <w:sz w:val="16"/>
          <w:szCs w:val="16"/>
        </w:rPr>
        <w:footnoteRef/>
      </w:r>
      <w:r w:rsidRPr="005D71A0">
        <w:rPr>
          <w:sz w:val="16"/>
          <w:szCs w:val="16"/>
        </w:rPr>
        <w:t xml:space="preserve"> 29689-1277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93C9" w14:textId="77777777" w:rsidR="002F5C45" w:rsidRDefault="007521A4">
    <w:r>
      <w:rPr>
        <w:noProof/>
      </w:rPr>
      <mc:AlternateContent>
        <mc:Choice Requires="wps">
          <w:drawing>
            <wp:anchor distT="0" distB="0" distL="0" distR="0" simplePos="0" relativeHeight="251652608" behindDoc="0" locked="1" layoutInCell="1" allowOverlap="1" wp14:anchorId="46F6A070" wp14:editId="7E75CA77">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544BDC" w14:textId="77777777" w:rsidR="002F5C45" w:rsidRDefault="002F5C45">
                          <w:pPr>
                            <w:pStyle w:val="WitregelW1"/>
                          </w:pPr>
                        </w:p>
                        <w:p w14:paraId="47C8ACA2" w14:textId="77777777" w:rsidR="00B52A2D" w:rsidRPr="00B52A2D" w:rsidRDefault="00B52A2D" w:rsidP="00B52A2D"/>
                        <w:p w14:paraId="28EF15DC" w14:textId="77777777" w:rsidR="002F5C45" w:rsidRDefault="007521A4">
                          <w:pPr>
                            <w:pStyle w:val="Referentiegegevensbold"/>
                          </w:pPr>
                          <w:r>
                            <w:t>Onze referentie</w:t>
                          </w:r>
                        </w:p>
                        <w:p w14:paraId="772651B7" w14:textId="1D5216DB" w:rsidR="002F5C45" w:rsidRDefault="00EF1170">
                          <w:pPr>
                            <w:pStyle w:val="Referentiegegevens"/>
                          </w:pPr>
                          <w:r w:rsidRPr="00EF1170">
                            <w:t>4388461-1098999-Z</w:t>
                          </w:r>
                          <w:r w:rsidR="007521A4">
                            <w:fldChar w:fldCharType="begin"/>
                          </w:r>
                          <w:r w:rsidR="007521A4">
                            <w:instrText xml:space="preserve"> DOCPROPERTY  "Kenmerk"  \* MERGEFORMAT </w:instrText>
                          </w:r>
                          <w:r w:rsidR="007521A4">
                            <w:fldChar w:fldCharType="end"/>
                          </w:r>
                        </w:p>
                      </w:txbxContent>
                    </wps:txbx>
                    <wps:bodyPr vert="horz" wrap="square" lIns="0" tIns="0" rIns="0" bIns="0" anchor="t" anchorCtr="0"/>
                  </wps:wsp>
                </a:graphicData>
              </a:graphic>
            </wp:anchor>
          </w:drawing>
        </mc:Choice>
        <mc:Fallback>
          <w:pict>
            <v:shapetype w14:anchorId="46F6A070"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C544BDC" w14:textId="77777777" w:rsidR="002F5C45" w:rsidRDefault="002F5C45">
                    <w:pPr>
                      <w:pStyle w:val="WitregelW1"/>
                    </w:pPr>
                  </w:p>
                  <w:p w14:paraId="47C8ACA2" w14:textId="77777777" w:rsidR="00B52A2D" w:rsidRPr="00B52A2D" w:rsidRDefault="00B52A2D" w:rsidP="00B52A2D"/>
                  <w:p w14:paraId="28EF15DC" w14:textId="77777777" w:rsidR="002F5C45" w:rsidRDefault="007521A4">
                    <w:pPr>
                      <w:pStyle w:val="Referentiegegevensbold"/>
                    </w:pPr>
                    <w:r>
                      <w:t>Onze referentie</w:t>
                    </w:r>
                  </w:p>
                  <w:p w14:paraId="772651B7" w14:textId="1D5216DB" w:rsidR="002F5C45" w:rsidRDefault="00EF1170">
                    <w:pPr>
                      <w:pStyle w:val="Referentiegegevens"/>
                    </w:pPr>
                    <w:r w:rsidRPr="00EF1170">
                      <w:t>4388461-1098999-Z</w:t>
                    </w:r>
                    <w:r w:rsidR="007521A4">
                      <w:fldChar w:fldCharType="begin"/>
                    </w:r>
                    <w:r w:rsidR="007521A4">
                      <w:instrText xml:space="preserve"> DOCPROPERTY  "Kenmerk"  \* MERGEFORMAT </w:instrText>
                    </w:r>
                    <w:r w:rsidR="007521A4">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07E53903" wp14:editId="7FC8CC47">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CEF3546" w14:textId="77777777" w:rsidR="00435204" w:rsidRDefault="00435204"/>
                      </w:txbxContent>
                    </wps:txbx>
                    <wps:bodyPr vert="horz" wrap="square" lIns="0" tIns="0" rIns="0" bIns="0" anchor="t" anchorCtr="0"/>
                  </wps:wsp>
                </a:graphicData>
              </a:graphic>
            </wp:anchor>
          </w:drawing>
        </mc:Choice>
        <mc:Fallback>
          <w:pict>
            <v:shape w14:anchorId="07E53903"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CEF3546" w14:textId="77777777" w:rsidR="00435204" w:rsidRDefault="00435204"/>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5551B5BB" wp14:editId="3AB59D2D">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F7DD0F" w14:textId="77777777" w:rsidR="002F5C45" w:rsidRDefault="007521A4">
                          <w:pPr>
                            <w:pStyle w:val="Referentiegegevens"/>
                          </w:pPr>
                          <w:r>
                            <w:t xml:space="preserve">Pagina </w:t>
                          </w:r>
                          <w:r>
                            <w:fldChar w:fldCharType="begin"/>
                          </w:r>
                          <w:r>
                            <w:instrText>PAGE</w:instrText>
                          </w:r>
                          <w:r>
                            <w:fldChar w:fldCharType="separate"/>
                          </w:r>
                          <w:r w:rsidR="009D7AE9">
                            <w:rPr>
                              <w:noProof/>
                            </w:rPr>
                            <w:t>1</w:t>
                          </w:r>
                          <w:r>
                            <w:fldChar w:fldCharType="end"/>
                          </w:r>
                          <w:r>
                            <w:t xml:space="preserve"> van </w:t>
                          </w:r>
                          <w:r>
                            <w:fldChar w:fldCharType="begin"/>
                          </w:r>
                          <w:r>
                            <w:instrText>NUMPAGES</w:instrText>
                          </w:r>
                          <w:r>
                            <w:fldChar w:fldCharType="separate"/>
                          </w:r>
                          <w:r w:rsidR="009D7AE9">
                            <w:rPr>
                              <w:noProof/>
                            </w:rPr>
                            <w:t>1</w:t>
                          </w:r>
                          <w:r>
                            <w:fldChar w:fldCharType="end"/>
                          </w:r>
                        </w:p>
                      </w:txbxContent>
                    </wps:txbx>
                    <wps:bodyPr vert="horz" wrap="square" lIns="0" tIns="0" rIns="0" bIns="0" anchor="t" anchorCtr="0"/>
                  </wps:wsp>
                </a:graphicData>
              </a:graphic>
            </wp:anchor>
          </w:drawing>
        </mc:Choice>
        <mc:Fallback>
          <w:pict>
            <v:shape w14:anchorId="5551B5BB"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3F7DD0F" w14:textId="77777777" w:rsidR="002F5C45" w:rsidRDefault="007521A4">
                    <w:pPr>
                      <w:pStyle w:val="Referentiegegevens"/>
                    </w:pPr>
                    <w:r>
                      <w:t xml:space="preserve">Pagina </w:t>
                    </w:r>
                    <w:r>
                      <w:fldChar w:fldCharType="begin"/>
                    </w:r>
                    <w:r>
                      <w:instrText>PAGE</w:instrText>
                    </w:r>
                    <w:r>
                      <w:fldChar w:fldCharType="separate"/>
                    </w:r>
                    <w:r w:rsidR="009D7AE9">
                      <w:rPr>
                        <w:noProof/>
                      </w:rPr>
                      <w:t>1</w:t>
                    </w:r>
                    <w:r>
                      <w:fldChar w:fldCharType="end"/>
                    </w:r>
                    <w:r>
                      <w:t xml:space="preserve"> van </w:t>
                    </w:r>
                    <w:r>
                      <w:fldChar w:fldCharType="begin"/>
                    </w:r>
                    <w:r>
                      <w:instrText>NUMPAGES</w:instrText>
                    </w:r>
                    <w:r>
                      <w:fldChar w:fldCharType="separate"/>
                    </w:r>
                    <w:r w:rsidR="009D7AE9">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5850" w14:textId="77777777" w:rsidR="002F5C45" w:rsidRDefault="007521A4">
    <w:pPr>
      <w:spacing w:after="6377" w:line="14" w:lineRule="exact"/>
    </w:pPr>
    <w:r>
      <w:rPr>
        <w:noProof/>
      </w:rPr>
      <mc:AlternateContent>
        <mc:Choice Requires="wps">
          <w:drawing>
            <wp:anchor distT="0" distB="0" distL="0" distR="0" simplePos="0" relativeHeight="251655680" behindDoc="0" locked="1" layoutInCell="1" allowOverlap="1" wp14:anchorId="645BA3CF" wp14:editId="2AA81B96">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C881DD" w14:textId="77777777" w:rsidR="008200F5" w:rsidRDefault="007521A4">
                          <w:r>
                            <w:t>Aan de Voorzitter van de Tweede Kamer</w:t>
                          </w:r>
                        </w:p>
                        <w:p w14:paraId="0F03808C" w14:textId="1F2AE576" w:rsidR="002F5C45" w:rsidRDefault="007521A4">
                          <w:r>
                            <w:t>der Staten-Generaal</w:t>
                          </w:r>
                        </w:p>
                        <w:p w14:paraId="14672439" w14:textId="77777777" w:rsidR="002F5C45" w:rsidRDefault="007521A4">
                          <w:r>
                            <w:t>Postbus 20018</w:t>
                          </w:r>
                        </w:p>
                        <w:p w14:paraId="53E55C5F" w14:textId="77777777" w:rsidR="002F5C45" w:rsidRDefault="007521A4">
                          <w:r>
                            <w:t>2500 EA  DEN HAAG</w:t>
                          </w:r>
                        </w:p>
                      </w:txbxContent>
                    </wps:txbx>
                    <wps:bodyPr vert="horz" wrap="square" lIns="0" tIns="0" rIns="0" bIns="0" anchor="t" anchorCtr="0"/>
                  </wps:wsp>
                </a:graphicData>
              </a:graphic>
            </wp:anchor>
          </w:drawing>
        </mc:Choice>
        <mc:Fallback>
          <w:pict>
            <v:shapetype w14:anchorId="645BA3CF"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8C881DD" w14:textId="77777777" w:rsidR="008200F5" w:rsidRDefault="007521A4">
                    <w:r>
                      <w:t>Aan de Voorzitter van de Tweede Kamer</w:t>
                    </w:r>
                  </w:p>
                  <w:p w14:paraId="0F03808C" w14:textId="1F2AE576" w:rsidR="002F5C45" w:rsidRDefault="007521A4">
                    <w:r>
                      <w:t>der Staten-Generaal</w:t>
                    </w:r>
                  </w:p>
                  <w:p w14:paraId="14672439" w14:textId="77777777" w:rsidR="002F5C45" w:rsidRDefault="007521A4">
                    <w:r>
                      <w:t>Postbus 20018</w:t>
                    </w:r>
                  </w:p>
                  <w:p w14:paraId="53E55C5F" w14:textId="77777777" w:rsidR="002F5C45" w:rsidRDefault="007521A4">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0E3705BD" wp14:editId="1AC522AA">
              <wp:simplePos x="0" y="0"/>
              <wp:positionH relativeFrom="margin">
                <wp:align>right</wp:align>
              </wp:positionH>
              <wp:positionV relativeFrom="paragraph">
                <wp:posOffset>3352800</wp:posOffset>
              </wp:positionV>
              <wp:extent cx="4787900" cy="5905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90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F5C45" w14:paraId="2D6FBA41" w14:textId="77777777" w:rsidTr="00B524D1">
                            <w:trPr>
                              <w:trHeight w:val="142"/>
                            </w:trPr>
                            <w:tc>
                              <w:tcPr>
                                <w:tcW w:w="1140" w:type="dxa"/>
                              </w:tcPr>
                              <w:p w14:paraId="540807E8" w14:textId="77777777" w:rsidR="002F5C45" w:rsidRDefault="007521A4">
                                <w:r>
                                  <w:t>Datum</w:t>
                                </w:r>
                              </w:p>
                            </w:tc>
                            <w:tc>
                              <w:tcPr>
                                <w:tcW w:w="5918" w:type="dxa"/>
                              </w:tcPr>
                              <w:p w14:paraId="53242A18" w14:textId="4A8CDE59" w:rsidR="002F5C45" w:rsidRDefault="00106484">
                                <w:r>
                                  <w:t>3 juli 2026</w:t>
                                </w:r>
                              </w:p>
                            </w:tc>
                          </w:tr>
                          <w:tr w:rsidR="002F5C45" w14:paraId="7EF049CD" w14:textId="77777777">
                            <w:trPr>
                              <w:trHeight w:val="240"/>
                            </w:trPr>
                            <w:tc>
                              <w:tcPr>
                                <w:tcW w:w="1140" w:type="dxa"/>
                              </w:tcPr>
                              <w:p w14:paraId="324919CB" w14:textId="77777777" w:rsidR="002F5C45" w:rsidRDefault="007521A4">
                                <w:r>
                                  <w:t>Betreft</w:t>
                                </w:r>
                              </w:p>
                            </w:tc>
                            <w:tc>
                              <w:tcPr>
                                <w:tcW w:w="5918" w:type="dxa"/>
                              </w:tcPr>
                              <w:p w14:paraId="396F53D8" w14:textId="446CDF19" w:rsidR="002F5C45" w:rsidRDefault="006B52D5">
                                <w:r>
                                  <w:t>Motie Ceder over</w:t>
                                </w:r>
                                <w:r w:rsidR="00EE3A84">
                                  <w:t xml:space="preserve"> de </w:t>
                                </w:r>
                                <w:r w:rsidR="007521A4">
                                  <w:t>BAZ-regeling</w:t>
                                </w:r>
                              </w:p>
                            </w:tc>
                          </w:tr>
                        </w:tbl>
                        <w:p w14:paraId="634C307C" w14:textId="77777777" w:rsidR="00435204" w:rsidRDefault="0043520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E3705BD" id="46feebd0-aa3c-11ea-a756-beb5f67e67be" o:spid="_x0000_s1030" type="#_x0000_t202" style="position:absolute;margin-left:325.8pt;margin-top:264pt;width:377pt;height:46.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F5C45" w14:paraId="2D6FBA41" w14:textId="77777777" w:rsidTr="00B524D1">
                      <w:trPr>
                        <w:trHeight w:val="142"/>
                      </w:trPr>
                      <w:tc>
                        <w:tcPr>
                          <w:tcW w:w="1140" w:type="dxa"/>
                        </w:tcPr>
                        <w:p w14:paraId="540807E8" w14:textId="77777777" w:rsidR="002F5C45" w:rsidRDefault="007521A4">
                          <w:r>
                            <w:t>Datum</w:t>
                          </w:r>
                        </w:p>
                      </w:tc>
                      <w:tc>
                        <w:tcPr>
                          <w:tcW w:w="5918" w:type="dxa"/>
                        </w:tcPr>
                        <w:p w14:paraId="53242A18" w14:textId="4A8CDE59" w:rsidR="002F5C45" w:rsidRDefault="00106484">
                          <w:r>
                            <w:t>3 juli 2026</w:t>
                          </w:r>
                        </w:p>
                      </w:tc>
                    </w:tr>
                    <w:tr w:rsidR="002F5C45" w14:paraId="7EF049CD" w14:textId="77777777">
                      <w:trPr>
                        <w:trHeight w:val="240"/>
                      </w:trPr>
                      <w:tc>
                        <w:tcPr>
                          <w:tcW w:w="1140" w:type="dxa"/>
                        </w:tcPr>
                        <w:p w14:paraId="324919CB" w14:textId="77777777" w:rsidR="002F5C45" w:rsidRDefault="007521A4">
                          <w:r>
                            <w:t>Betreft</w:t>
                          </w:r>
                        </w:p>
                      </w:tc>
                      <w:tc>
                        <w:tcPr>
                          <w:tcW w:w="5918" w:type="dxa"/>
                        </w:tcPr>
                        <w:p w14:paraId="396F53D8" w14:textId="446CDF19" w:rsidR="002F5C45" w:rsidRDefault="006B52D5">
                          <w:r>
                            <w:t>Motie Ceder over</w:t>
                          </w:r>
                          <w:r w:rsidR="00EE3A84">
                            <w:t xml:space="preserve"> de </w:t>
                          </w:r>
                          <w:r w:rsidR="007521A4">
                            <w:t>BAZ-regeling</w:t>
                          </w:r>
                        </w:p>
                      </w:tc>
                    </w:tr>
                  </w:tbl>
                  <w:p w14:paraId="634C307C" w14:textId="77777777" w:rsidR="00435204" w:rsidRDefault="00435204"/>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12FAA8CE" wp14:editId="352A9452">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FD30BE" w14:textId="77777777" w:rsidR="00CD0A71" w:rsidRDefault="00CD0A71" w:rsidP="00CD0A71">
                          <w:pPr>
                            <w:pStyle w:val="Referentiegegevensbold"/>
                          </w:pPr>
                          <w:r w:rsidRPr="00CD0A71">
                            <w:t xml:space="preserve">Bezoekadres: </w:t>
                          </w:r>
                        </w:p>
                        <w:p w14:paraId="66D446EF" w14:textId="46FB16F3" w:rsidR="00CD0A71" w:rsidRPr="00106484" w:rsidRDefault="00CD0A71" w:rsidP="00CD0A71">
                          <w:pPr>
                            <w:pStyle w:val="Referentiegegevensbold"/>
                          </w:pPr>
                          <w:r w:rsidRPr="00106484">
                            <w:rPr>
                              <w:b w:val="0"/>
                              <w:bCs/>
                            </w:rPr>
                            <w:t xml:space="preserve">Parnassusplein 5 2511 VX Den Haag T 070 340 79 11 F 070 340 78 34 </w:t>
                          </w:r>
                          <w:hyperlink r:id="rId1" w:history="1">
                            <w:r w:rsidRPr="00106484">
                              <w:rPr>
                                <w:rStyle w:val="Hyperlink"/>
                                <w:b w:val="0"/>
                                <w:bCs/>
                              </w:rPr>
                              <w:t>www.rijksoverheid.nl</w:t>
                            </w:r>
                          </w:hyperlink>
                          <w:r w:rsidRPr="00106484">
                            <w:t xml:space="preserve"> </w:t>
                          </w:r>
                        </w:p>
                        <w:p w14:paraId="7F9E548F" w14:textId="77777777" w:rsidR="00CD0A71" w:rsidRPr="00106484" w:rsidRDefault="00CD0A71" w:rsidP="00CD0A71">
                          <w:pPr>
                            <w:pStyle w:val="Referentiegegevensbold"/>
                          </w:pPr>
                        </w:p>
                        <w:p w14:paraId="39DC9749" w14:textId="77777777" w:rsidR="00CD0A71" w:rsidRDefault="00CD0A71" w:rsidP="00CD0A71">
                          <w:pPr>
                            <w:pStyle w:val="Referentiegegevensbold"/>
                          </w:pPr>
                          <w:r w:rsidRPr="00CD0A71">
                            <w:t xml:space="preserve">Ons kenmerk </w:t>
                          </w:r>
                        </w:p>
                        <w:p w14:paraId="164EF1F9" w14:textId="088CB251" w:rsidR="00CD0A71" w:rsidRPr="00EF1170" w:rsidRDefault="00EF1170" w:rsidP="00CD0A71">
                          <w:pPr>
                            <w:pStyle w:val="Referentiegegevensbold"/>
                            <w:rPr>
                              <w:b w:val="0"/>
                              <w:bCs/>
                            </w:rPr>
                          </w:pPr>
                          <w:r w:rsidRPr="00EF1170">
                            <w:rPr>
                              <w:b w:val="0"/>
                              <w:bCs/>
                            </w:rPr>
                            <w:t>4388461-1098999-Z</w:t>
                          </w:r>
                        </w:p>
                        <w:p w14:paraId="19459BE5" w14:textId="77777777" w:rsidR="00CD0A71" w:rsidRDefault="00CD0A71" w:rsidP="00CD0A71">
                          <w:pPr>
                            <w:pStyle w:val="Referentiegegevensbold"/>
                          </w:pPr>
                        </w:p>
                        <w:p w14:paraId="7BDC6AD9" w14:textId="77777777" w:rsidR="00B52A2D" w:rsidRPr="00B52A2D" w:rsidRDefault="00B52A2D" w:rsidP="00B52A2D"/>
                        <w:p w14:paraId="68032602" w14:textId="030357D5" w:rsidR="002F5C45" w:rsidRPr="00CD0A71" w:rsidRDefault="00CD0A71" w:rsidP="00CD0A71">
                          <w:pPr>
                            <w:pStyle w:val="Referentiegegevensbold"/>
                            <w:rPr>
                              <w:b w:val="0"/>
                              <w:bCs/>
                              <w:i/>
                              <w:iCs/>
                            </w:rPr>
                          </w:pPr>
                          <w:r w:rsidRPr="00CD0A71">
                            <w:rPr>
                              <w:b w:val="0"/>
                              <w:bCs/>
                              <w:i/>
                              <w:iCs/>
                            </w:rPr>
                            <w:t>Correspondentie uitsluitend richten aan het retouradres met vermelding van de datum en het kenmerk van deze brief</w:t>
                          </w:r>
                        </w:p>
                        <w:p w14:paraId="5BD5FFCE" w14:textId="77777777" w:rsidR="002F5C45" w:rsidRDefault="002F5C45">
                          <w:pPr>
                            <w:pStyle w:val="WitregelW2"/>
                          </w:pPr>
                        </w:p>
                        <w:p w14:paraId="3BC35CF3" w14:textId="77777777" w:rsidR="002F5C45" w:rsidRDefault="002F5C45"/>
                      </w:txbxContent>
                    </wps:txbx>
                    <wps:bodyPr vert="horz" wrap="square" lIns="0" tIns="0" rIns="0" bIns="0" anchor="t" anchorCtr="0"/>
                  </wps:wsp>
                </a:graphicData>
              </a:graphic>
            </wp:anchor>
          </w:drawing>
        </mc:Choice>
        <mc:Fallback>
          <w:pict>
            <v:shape w14:anchorId="12FAA8CE"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3FD30BE" w14:textId="77777777" w:rsidR="00CD0A71" w:rsidRDefault="00CD0A71" w:rsidP="00CD0A71">
                    <w:pPr>
                      <w:pStyle w:val="Referentiegegevensbold"/>
                    </w:pPr>
                    <w:r w:rsidRPr="00CD0A71">
                      <w:t xml:space="preserve">Bezoekadres: </w:t>
                    </w:r>
                  </w:p>
                  <w:p w14:paraId="66D446EF" w14:textId="46FB16F3" w:rsidR="00CD0A71" w:rsidRPr="00106484" w:rsidRDefault="00CD0A71" w:rsidP="00CD0A71">
                    <w:pPr>
                      <w:pStyle w:val="Referentiegegevensbold"/>
                    </w:pPr>
                    <w:r w:rsidRPr="00106484">
                      <w:rPr>
                        <w:b w:val="0"/>
                        <w:bCs/>
                      </w:rPr>
                      <w:t xml:space="preserve">Parnassusplein 5 2511 VX Den Haag T 070 340 79 11 F 070 340 78 34 </w:t>
                    </w:r>
                    <w:hyperlink r:id="rId2" w:history="1">
                      <w:r w:rsidRPr="00106484">
                        <w:rPr>
                          <w:rStyle w:val="Hyperlink"/>
                          <w:b w:val="0"/>
                          <w:bCs/>
                        </w:rPr>
                        <w:t>www.rijksoverheid.nl</w:t>
                      </w:r>
                    </w:hyperlink>
                    <w:r w:rsidRPr="00106484">
                      <w:t xml:space="preserve"> </w:t>
                    </w:r>
                  </w:p>
                  <w:p w14:paraId="7F9E548F" w14:textId="77777777" w:rsidR="00CD0A71" w:rsidRPr="00106484" w:rsidRDefault="00CD0A71" w:rsidP="00CD0A71">
                    <w:pPr>
                      <w:pStyle w:val="Referentiegegevensbold"/>
                    </w:pPr>
                  </w:p>
                  <w:p w14:paraId="39DC9749" w14:textId="77777777" w:rsidR="00CD0A71" w:rsidRDefault="00CD0A71" w:rsidP="00CD0A71">
                    <w:pPr>
                      <w:pStyle w:val="Referentiegegevensbold"/>
                    </w:pPr>
                    <w:r w:rsidRPr="00CD0A71">
                      <w:t xml:space="preserve">Ons kenmerk </w:t>
                    </w:r>
                  </w:p>
                  <w:p w14:paraId="164EF1F9" w14:textId="088CB251" w:rsidR="00CD0A71" w:rsidRPr="00EF1170" w:rsidRDefault="00EF1170" w:rsidP="00CD0A71">
                    <w:pPr>
                      <w:pStyle w:val="Referentiegegevensbold"/>
                      <w:rPr>
                        <w:b w:val="0"/>
                        <w:bCs/>
                      </w:rPr>
                    </w:pPr>
                    <w:r w:rsidRPr="00EF1170">
                      <w:rPr>
                        <w:b w:val="0"/>
                        <w:bCs/>
                      </w:rPr>
                      <w:t>4388461-1098999-Z</w:t>
                    </w:r>
                  </w:p>
                  <w:p w14:paraId="19459BE5" w14:textId="77777777" w:rsidR="00CD0A71" w:rsidRDefault="00CD0A71" w:rsidP="00CD0A71">
                    <w:pPr>
                      <w:pStyle w:val="Referentiegegevensbold"/>
                    </w:pPr>
                  </w:p>
                  <w:p w14:paraId="7BDC6AD9" w14:textId="77777777" w:rsidR="00B52A2D" w:rsidRPr="00B52A2D" w:rsidRDefault="00B52A2D" w:rsidP="00B52A2D"/>
                  <w:p w14:paraId="68032602" w14:textId="030357D5" w:rsidR="002F5C45" w:rsidRPr="00CD0A71" w:rsidRDefault="00CD0A71" w:rsidP="00CD0A71">
                    <w:pPr>
                      <w:pStyle w:val="Referentiegegevensbold"/>
                      <w:rPr>
                        <w:b w:val="0"/>
                        <w:bCs/>
                        <w:i/>
                        <w:iCs/>
                      </w:rPr>
                    </w:pPr>
                    <w:r w:rsidRPr="00CD0A71">
                      <w:rPr>
                        <w:b w:val="0"/>
                        <w:bCs/>
                        <w:i/>
                        <w:iCs/>
                      </w:rPr>
                      <w:t>Correspondentie uitsluitend richten aan het retouradres met vermelding van de datum en het kenmerk van deze brief</w:t>
                    </w:r>
                  </w:p>
                  <w:p w14:paraId="5BD5FFCE" w14:textId="77777777" w:rsidR="002F5C45" w:rsidRDefault="002F5C45">
                    <w:pPr>
                      <w:pStyle w:val="WitregelW2"/>
                    </w:pPr>
                  </w:p>
                  <w:p w14:paraId="3BC35CF3" w14:textId="77777777" w:rsidR="002F5C45" w:rsidRDefault="002F5C45"/>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D88CB15" wp14:editId="43E3AE6F">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A648DA" w14:textId="77777777" w:rsidR="00435204" w:rsidRDefault="00435204"/>
                      </w:txbxContent>
                    </wps:txbx>
                    <wps:bodyPr vert="horz" wrap="square" lIns="0" tIns="0" rIns="0" bIns="0" anchor="t" anchorCtr="0"/>
                  </wps:wsp>
                </a:graphicData>
              </a:graphic>
            </wp:anchor>
          </w:drawing>
        </mc:Choice>
        <mc:Fallback>
          <w:pict>
            <v:shape w14:anchorId="3D88CB15"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6A648DA" w14:textId="77777777" w:rsidR="00435204" w:rsidRDefault="00435204"/>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10A7AEF2" wp14:editId="0BEF2C7F">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830F35" w14:textId="77777777" w:rsidR="002F5C45" w:rsidRDefault="007521A4">
                          <w:pPr>
                            <w:pStyle w:val="Referentiegegevens"/>
                          </w:pPr>
                          <w:r>
                            <w:t xml:space="preserve">Pagina </w:t>
                          </w:r>
                          <w:r>
                            <w:fldChar w:fldCharType="begin"/>
                          </w:r>
                          <w:r>
                            <w:instrText>PAGE</w:instrText>
                          </w:r>
                          <w:r>
                            <w:fldChar w:fldCharType="separate"/>
                          </w:r>
                          <w:r w:rsidR="009D7AE9">
                            <w:rPr>
                              <w:noProof/>
                            </w:rPr>
                            <w:t>1</w:t>
                          </w:r>
                          <w:r>
                            <w:fldChar w:fldCharType="end"/>
                          </w:r>
                          <w:r>
                            <w:t xml:space="preserve"> van </w:t>
                          </w:r>
                          <w:r>
                            <w:fldChar w:fldCharType="begin"/>
                          </w:r>
                          <w:r>
                            <w:instrText>NUMPAGES</w:instrText>
                          </w:r>
                          <w:r>
                            <w:fldChar w:fldCharType="separate"/>
                          </w:r>
                          <w:r w:rsidR="009D7AE9">
                            <w:rPr>
                              <w:noProof/>
                            </w:rPr>
                            <w:t>1</w:t>
                          </w:r>
                          <w:r>
                            <w:fldChar w:fldCharType="end"/>
                          </w:r>
                        </w:p>
                      </w:txbxContent>
                    </wps:txbx>
                    <wps:bodyPr vert="horz" wrap="square" lIns="0" tIns="0" rIns="0" bIns="0" anchor="t" anchorCtr="0"/>
                  </wps:wsp>
                </a:graphicData>
              </a:graphic>
            </wp:anchor>
          </w:drawing>
        </mc:Choice>
        <mc:Fallback>
          <w:pict>
            <v:shape w14:anchorId="10A7AEF2"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9830F35" w14:textId="77777777" w:rsidR="002F5C45" w:rsidRDefault="007521A4">
                    <w:pPr>
                      <w:pStyle w:val="Referentiegegevens"/>
                    </w:pPr>
                    <w:r>
                      <w:t xml:space="preserve">Pagina </w:t>
                    </w:r>
                    <w:r>
                      <w:fldChar w:fldCharType="begin"/>
                    </w:r>
                    <w:r>
                      <w:instrText>PAGE</w:instrText>
                    </w:r>
                    <w:r>
                      <w:fldChar w:fldCharType="separate"/>
                    </w:r>
                    <w:r w:rsidR="009D7AE9">
                      <w:rPr>
                        <w:noProof/>
                      </w:rPr>
                      <w:t>1</w:t>
                    </w:r>
                    <w:r>
                      <w:fldChar w:fldCharType="end"/>
                    </w:r>
                    <w:r>
                      <w:t xml:space="preserve"> van </w:t>
                    </w:r>
                    <w:r>
                      <w:fldChar w:fldCharType="begin"/>
                    </w:r>
                    <w:r>
                      <w:instrText>NUMPAGES</w:instrText>
                    </w:r>
                    <w:r>
                      <w:fldChar w:fldCharType="separate"/>
                    </w:r>
                    <w:r w:rsidR="009D7AE9">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718AA88D" wp14:editId="6F710DB3">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5A54ED7" w14:textId="628A7099" w:rsidR="002F5C45" w:rsidRDefault="002F5C45">
                          <w:pPr>
                            <w:spacing w:line="240" w:lineRule="auto"/>
                          </w:pPr>
                        </w:p>
                      </w:txbxContent>
                    </wps:txbx>
                    <wps:bodyPr vert="horz" wrap="square" lIns="0" tIns="0" rIns="0" bIns="0" anchor="t" anchorCtr="0"/>
                  </wps:wsp>
                </a:graphicData>
              </a:graphic>
            </wp:anchor>
          </w:drawing>
        </mc:Choice>
        <mc:Fallback>
          <w:pict>
            <v:shape w14:anchorId="718AA88D"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5A54ED7" w14:textId="628A7099" w:rsidR="002F5C45" w:rsidRDefault="002F5C45">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5F277C32" wp14:editId="08D460DC">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D810AE" w14:textId="77777777" w:rsidR="002F5C45" w:rsidRDefault="007521A4">
                          <w:pPr>
                            <w:spacing w:line="240" w:lineRule="auto"/>
                          </w:pPr>
                          <w:r>
                            <w:rPr>
                              <w:noProof/>
                            </w:rPr>
                            <w:drawing>
                              <wp:inline distT="0" distB="0" distL="0" distR="0" wp14:anchorId="74F3941E" wp14:editId="3F864739">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277C32"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D810AE" w14:textId="77777777" w:rsidR="002F5C45" w:rsidRDefault="007521A4">
                    <w:pPr>
                      <w:spacing w:line="240" w:lineRule="auto"/>
                    </w:pPr>
                    <w:r>
                      <w:rPr>
                        <w:noProof/>
                      </w:rPr>
                      <w:drawing>
                        <wp:inline distT="0" distB="0" distL="0" distR="0" wp14:anchorId="74F3941E" wp14:editId="3F864739">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56949177" wp14:editId="1C9D6F41">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8ADC45" w14:textId="261EE419" w:rsidR="002F5C45" w:rsidRDefault="007521A4">
                          <w:pPr>
                            <w:pStyle w:val="Referentiegegevens"/>
                          </w:pPr>
                          <w:r>
                            <w:t>&gt; Retouradres</w:t>
                          </w:r>
                          <w:r w:rsidR="00CD0A71">
                            <w:t xml:space="preserve"> </w:t>
                          </w:r>
                          <w:r w:rsidR="00CD0A71" w:rsidRPr="00CD0A71">
                            <w:t>Postbus 20350 2500 EJ Den Haag</w:t>
                          </w:r>
                        </w:p>
                      </w:txbxContent>
                    </wps:txbx>
                    <wps:bodyPr vert="horz" wrap="square" lIns="0" tIns="0" rIns="0" bIns="0" anchor="t" anchorCtr="0"/>
                  </wps:wsp>
                </a:graphicData>
              </a:graphic>
            </wp:anchor>
          </w:drawing>
        </mc:Choice>
        <mc:Fallback>
          <w:pict>
            <v:shape w14:anchorId="5694917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A8ADC45" w14:textId="261EE419" w:rsidR="002F5C45" w:rsidRDefault="007521A4">
                    <w:pPr>
                      <w:pStyle w:val="Referentiegegevens"/>
                    </w:pPr>
                    <w:r>
                      <w:t>&gt; Retouradres</w:t>
                    </w:r>
                    <w:r w:rsidR="00CD0A71">
                      <w:t xml:space="preserve"> </w:t>
                    </w:r>
                    <w:r w:rsidR="00CD0A71" w:rsidRPr="00CD0A71">
                      <w:t>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1EBC72"/>
    <w:multiLevelType w:val="multilevel"/>
    <w:tmpl w:val="23603F8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53B5A06"/>
    <w:multiLevelType w:val="multilevel"/>
    <w:tmpl w:val="DECB76C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19C0489"/>
    <w:multiLevelType w:val="hybridMultilevel"/>
    <w:tmpl w:val="6A1E6474"/>
    <w:lvl w:ilvl="0" w:tplc="388017EA">
      <w:start w:val="1"/>
      <w:numFmt w:val="bullet"/>
      <w:lvlText w:val="−"/>
      <w:lvlJc w:val="left"/>
      <w:pPr>
        <w:ind w:left="360" w:hanging="360"/>
      </w:pPr>
      <w:rPr>
        <w:rFonts w:ascii="Verdana" w:hAnsi="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24A9331D"/>
    <w:multiLevelType w:val="hybridMultilevel"/>
    <w:tmpl w:val="57FA7524"/>
    <w:lvl w:ilvl="0" w:tplc="388017EA">
      <w:start w:val="1"/>
      <w:numFmt w:val="bullet"/>
      <w:lvlText w:val="−"/>
      <w:lvlJc w:val="left"/>
      <w:pPr>
        <w:ind w:left="360" w:hanging="360"/>
      </w:pPr>
      <w:rPr>
        <w:rFonts w:ascii="Verdana" w:hAnsi="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26386D24"/>
    <w:multiLevelType w:val="hybridMultilevel"/>
    <w:tmpl w:val="8D00C5E8"/>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F4639CB"/>
    <w:multiLevelType w:val="multilevel"/>
    <w:tmpl w:val="E02A51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5B408C0"/>
    <w:multiLevelType w:val="hybridMultilevel"/>
    <w:tmpl w:val="A378DA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2CF37F5"/>
    <w:multiLevelType w:val="multilevel"/>
    <w:tmpl w:val="F5A2E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122692E"/>
    <w:multiLevelType w:val="multilevel"/>
    <w:tmpl w:val="0D0B935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561D57F2"/>
    <w:multiLevelType w:val="hybridMultilevel"/>
    <w:tmpl w:val="56DA61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9DE6B26"/>
    <w:multiLevelType w:val="hybridMultilevel"/>
    <w:tmpl w:val="B11851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C527C0E"/>
    <w:multiLevelType w:val="hybridMultilevel"/>
    <w:tmpl w:val="D794D2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3EC110C"/>
    <w:multiLevelType w:val="hybridMultilevel"/>
    <w:tmpl w:val="9702C8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36B2750"/>
    <w:multiLevelType w:val="hybridMultilevel"/>
    <w:tmpl w:val="E3A4C6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4F77FFA"/>
    <w:multiLevelType w:val="hybridMultilevel"/>
    <w:tmpl w:val="F408A1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A45B7E9"/>
    <w:multiLevelType w:val="multilevel"/>
    <w:tmpl w:val="65177D5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180775">
    <w:abstractNumId w:val="8"/>
  </w:num>
  <w:num w:numId="2" w16cid:durableId="399716216">
    <w:abstractNumId w:val="0"/>
  </w:num>
  <w:num w:numId="3" w16cid:durableId="1075249967">
    <w:abstractNumId w:val="1"/>
  </w:num>
  <w:num w:numId="4" w16cid:durableId="1395741008">
    <w:abstractNumId w:val="15"/>
  </w:num>
  <w:num w:numId="5" w16cid:durableId="1692952234">
    <w:abstractNumId w:val="9"/>
  </w:num>
  <w:num w:numId="6" w16cid:durableId="1331712044">
    <w:abstractNumId w:val="13"/>
  </w:num>
  <w:num w:numId="7" w16cid:durableId="329910541">
    <w:abstractNumId w:val="7"/>
  </w:num>
  <w:num w:numId="8" w16cid:durableId="1961034926">
    <w:abstractNumId w:val="5"/>
  </w:num>
  <w:num w:numId="9" w16cid:durableId="745610831">
    <w:abstractNumId w:val="12"/>
  </w:num>
  <w:num w:numId="10" w16cid:durableId="1954021860">
    <w:abstractNumId w:val="6"/>
  </w:num>
  <w:num w:numId="11" w16cid:durableId="925067560">
    <w:abstractNumId w:val="14"/>
  </w:num>
  <w:num w:numId="12" w16cid:durableId="1604528398">
    <w:abstractNumId w:val="4"/>
  </w:num>
  <w:num w:numId="13" w16cid:durableId="33041858">
    <w:abstractNumId w:val="11"/>
  </w:num>
  <w:num w:numId="14" w16cid:durableId="1190681141">
    <w:abstractNumId w:val="10"/>
  </w:num>
  <w:num w:numId="15" w16cid:durableId="504130494">
    <w:abstractNumId w:val="2"/>
  </w:num>
  <w:num w:numId="16" w16cid:durableId="235214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E9"/>
    <w:rsid w:val="0000135D"/>
    <w:rsid w:val="00007674"/>
    <w:rsid w:val="00034A63"/>
    <w:rsid w:val="00034D13"/>
    <w:rsid w:val="000414E6"/>
    <w:rsid w:val="00060444"/>
    <w:rsid w:val="00062FA1"/>
    <w:rsid w:val="000735EA"/>
    <w:rsid w:val="00073639"/>
    <w:rsid w:val="00083866"/>
    <w:rsid w:val="0008681A"/>
    <w:rsid w:val="00095769"/>
    <w:rsid w:val="000A174F"/>
    <w:rsid w:val="000A7188"/>
    <w:rsid w:val="000C765C"/>
    <w:rsid w:val="000C7915"/>
    <w:rsid w:val="000C793E"/>
    <w:rsid w:val="000C7F2B"/>
    <w:rsid w:val="000F51E4"/>
    <w:rsid w:val="000F6ECB"/>
    <w:rsid w:val="00106484"/>
    <w:rsid w:val="001144A5"/>
    <w:rsid w:val="001158C7"/>
    <w:rsid w:val="00126E99"/>
    <w:rsid w:val="001450BA"/>
    <w:rsid w:val="001743CE"/>
    <w:rsid w:val="00181066"/>
    <w:rsid w:val="00191FAC"/>
    <w:rsid w:val="00192422"/>
    <w:rsid w:val="001933CC"/>
    <w:rsid w:val="00193A4B"/>
    <w:rsid w:val="00196B6E"/>
    <w:rsid w:val="001A710C"/>
    <w:rsid w:val="001C1E05"/>
    <w:rsid w:val="001E760B"/>
    <w:rsid w:val="0022518E"/>
    <w:rsid w:val="00235633"/>
    <w:rsid w:val="002501AA"/>
    <w:rsid w:val="002529CF"/>
    <w:rsid w:val="002747A4"/>
    <w:rsid w:val="00294B68"/>
    <w:rsid w:val="002A58E1"/>
    <w:rsid w:val="002D1949"/>
    <w:rsid w:val="002E740A"/>
    <w:rsid w:val="002F5C45"/>
    <w:rsid w:val="002F605F"/>
    <w:rsid w:val="002F72C6"/>
    <w:rsid w:val="00303F28"/>
    <w:rsid w:val="0031461F"/>
    <w:rsid w:val="00326C40"/>
    <w:rsid w:val="00337ADE"/>
    <w:rsid w:val="00344689"/>
    <w:rsid w:val="00392045"/>
    <w:rsid w:val="003949BD"/>
    <w:rsid w:val="003E3942"/>
    <w:rsid w:val="003E68E2"/>
    <w:rsid w:val="003F1DC4"/>
    <w:rsid w:val="003F41BF"/>
    <w:rsid w:val="003F5775"/>
    <w:rsid w:val="004078AF"/>
    <w:rsid w:val="0041006E"/>
    <w:rsid w:val="004165CD"/>
    <w:rsid w:val="00423709"/>
    <w:rsid w:val="00435204"/>
    <w:rsid w:val="00437726"/>
    <w:rsid w:val="004534CA"/>
    <w:rsid w:val="00466AB3"/>
    <w:rsid w:val="00466E42"/>
    <w:rsid w:val="00470C18"/>
    <w:rsid w:val="00477805"/>
    <w:rsid w:val="00484238"/>
    <w:rsid w:val="00485671"/>
    <w:rsid w:val="004B0DF0"/>
    <w:rsid w:val="004C42E0"/>
    <w:rsid w:val="004D1E6B"/>
    <w:rsid w:val="004D3E23"/>
    <w:rsid w:val="00502583"/>
    <w:rsid w:val="00514C0F"/>
    <w:rsid w:val="005430A2"/>
    <w:rsid w:val="005709B2"/>
    <w:rsid w:val="00571013"/>
    <w:rsid w:val="00577C11"/>
    <w:rsid w:val="005A6276"/>
    <w:rsid w:val="005B6206"/>
    <w:rsid w:val="005C741B"/>
    <w:rsid w:val="005D1EA3"/>
    <w:rsid w:val="005D71A0"/>
    <w:rsid w:val="005E1E39"/>
    <w:rsid w:val="005F5511"/>
    <w:rsid w:val="005F746B"/>
    <w:rsid w:val="00602965"/>
    <w:rsid w:val="006259BE"/>
    <w:rsid w:val="00637DEA"/>
    <w:rsid w:val="00641126"/>
    <w:rsid w:val="00682882"/>
    <w:rsid w:val="006A2D71"/>
    <w:rsid w:val="006A50D3"/>
    <w:rsid w:val="006A6F95"/>
    <w:rsid w:val="006A715E"/>
    <w:rsid w:val="006B52D5"/>
    <w:rsid w:val="006C4005"/>
    <w:rsid w:val="006F7DFC"/>
    <w:rsid w:val="007016BF"/>
    <w:rsid w:val="00715F57"/>
    <w:rsid w:val="0072375C"/>
    <w:rsid w:val="00731ECB"/>
    <w:rsid w:val="007521A4"/>
    <w:rsid w:val="00767464"/>
    <w:rsid w:val="00783A4E"/>
    <w:rsid w:val="007A6576"/>
    <w:rsid w:val="007A77B6"/>
    <w:rsid w:val="007B0AB1"/>
    <w:rsid w:val="007B1241"/>
    <w:rsid w:val="007B699F"/>
    <w:rsid w:val="007C30A7"/>
    <w:rsid w:val="007E14C0"/>
    <w:rsid w:val="00803094"/>
    <w:rsid w:val="00803464"/>
    <w:rsid w:val="008041BD"/>
    <w:rsid w:val="00816375"/>
    <w:rsid w:val="008200F5"/>
    <w:rsid w:val="008420A2"/>
    <w:rsid w:val="00880EB8"/>
    <w:rsid w:val="00896830"/>
    <w:rsid w:val="008A0784"/>
    <w:rsid w:val="008A1F74"/>
    <w:rsid w:val="008A6B54"/>
    <w:rsid w:val="008C02B9"/>
    <w:rsid w:val="008E6F21"/>
    <w:rsid w:val="00903ADD"/>
    <w:rsid w:val="00903D25"/>
    <w:rsid w:val="009159AD"/>
    <w:rsid w:val="00934348"/>
    <w:rsid w:val="00950944"/>
    <w:rsid w:val="0097524D"/>
    <w:rsid w:val="009863BC"/>
    <w:rsid w:val="00997826"/>
    <w:rsid w:val="009A03D3"/>
    <w:rsid w:val="009A529C"/>
    <w:rsid w:val="009C08A1"/>
    <w:rsid w:val="009D7AE9"/>
    <w:rsid w:val="009F27A2"/>
    <w:rsid w:val="009F371B"/>
    <w:rsid w:val="00A11C88"/>
    <w:rsid w:val="00A17005"/>
    <w:rsid w:val="00A244AE"/>
    <w:rsid w:val="00A4391A"/>
    <w:rsid w:val="00A506A8"/>
    <w:rsid w:val="00A51C28"/>
    <w:rsid w:val="00A601E7"/>
    <w:rsid w:val="00A6173B"/>
    <w:rsid w:val="00A7103B"/>
    <w:rsid w:val="00A71C18"/>
    <w:rsid w:val="00A77F92"/>
    <w:rsid w:val="00A825B7"/>
    <w:rsid w:val="00AB0045"/>
    <w:rsid w:val="00AB33BA"/>
    <w:rsid w:val="00AE57CF"/>
    <w:rsid w:val="00AF0D29"/>
    <w:rsid w:val="00AF44F4"/>
    <w:rsid w:val="00B00D33"/>
    <w:rsid w:val="00B32346"/>
    <w:rsid w:val="00B4228A"/>
    <w:rsid w:val="00B43350"/>
    <w:rsid w:val="00B466B3"/>
    <w:rsid w:val="00B524D1"/>
    <w:rsid w:val="00B52A2D"/>
    <w:rsid w:val="00B62070"/>
    <w:rsid w:val="00B72F78"/>
    <w:rsid w:val="00B75838"/>
    <w:rsid w:val="00B81646"/>
    <w:rsid w:val="00B81859"/>
    <w:rsid w:val="00BA05E1"/>
    <w:rsid w:val="00BA65F6"/>
    <w:rsid w:val="00BC2523"/>
    <w:rsid w:val="00BD5F91"/>
    <w:rsid w:val="00BD7530"/>
    <w:rsid w:val="00BE5B81"/>
    <w:rsid w:val="00BE753D"/>
    <w:rsid w:val="00BF2CDE"/>
    <w:rsid w:val="00C10992"/>
    <w:rsid w:val="00C21797"/>
    <w:rsid w:val="00C255E2"/>
    <w:rsid w:val="00C2657F"/>
    <w:rsid w:val="00C351C5"/>
    <w:rsid w:val="00C37D49"/>
    <w:rsid w:val="00C42F9D"/>
    <w:rsid w:val="00C4728C"/>
    <w:rsid w:val="00C60817"/>
    <w:rsid w:val="00C65A12"/>
    <w:rsid w:val="00C7758C"/>
    <w:rsid w:val="00C82FFF"/>
    <w:rsid w:val="00C83119"/>
    <w:rsid w:val="00C86916"/>
    <w:rsid w:val="00C92AC5"/>
    <w:rsid w:val="00C95B70"/>
    <w:rsid w:val="00C97EE3"/>
    <w:rsid w:val="00CA3891"/>
    <w:rsid w:val="00CA6AC9"/>
    <w:rsid w:val="00CB012B"/>
    <w:rsid w:val="00CB0290"/>
    <w:rsid w:val="00CD0A71"/>
    <w:rsid w:val="00CD2119"/>
    <w:rsid w:val="00CE71C9"/>
    <w:rsid w:val="00CF3348"/>
    <w:rsid w:val="00D006A6"/>
    <w:rsid w:val="00D02CCF"/>
    <w:rsid w:val="00D10ECA"/>
    <w:rsid w:val="00D12563"/>
    <w:rsid w:val="00D26E43"/>
    <w:rsid w:val="00D34BC9"/>
    <w:rsid w:val="00D36FE0"/>
    <w:rsid w:val="00D37A80"/>
    <w:rsid w:val="00D37D3B"/>
    <w:rsid w:val="00D45F75"/>
    <w:rsid w:val="00D4673A"/>
    <w:rsid w:val="00D65CBB"/>
    <w:rsid w:val="00D86829"/>
    <w:rsid w:val="00DA0FB1"/>
    <w:rsid w:val="00DB5D3C"/>
    <w:rsid w:val="00DE23E5"/>
    <w:rsid w:val="00DE5147"/>
    <w:rsid w:val="00E20373"/>
    <w:rsid w:val="00E221FD"/>
    <w:rsid w:val="00E373B2"/>
    <w:rsid w:val="00E43B2D"/>
    <w:rsid w:val="00E71998"/>
    <w:rsid w:val="00E75BEB"/>
    <w:rsid w:val="00EA082B"/>
    <w:rsid w:val="00EB70F4"/>
    <w:rsid w:val="00EB711A"/>
    <w:rsid w:val="00ED365B"/>
    <w:rsid w:val="00EE32FE"/>
    <w:rsid w:val="00EE3A84"/>
    <w:rsid w:val="00EF1170"/>
    <w:rsid w:val="00F03BB1"/>
    <w:rsid w:val="00F04556"/>
    <w:rsid w:val="00F17DCF"/>
    <w:rsid w:val="00F2245C"/>
    <w:rsid w:val="00F25B7E"/>
    <w:rsid w:val="00F32A6E"/>
    <w:rsid w:val="00F37848"/>
    <w:rsid w:val="00F477E5"/>
    <w:rsid w:val="00F55052"/>
    <w:rsid w:val="00F76D5D"/>
    <w:rsid w:val="00F83826"/>
    <w:rsid w:val="00FB4FD3"/>
    <w:rsid w:val="00FD431B"/>
    <w:rsid w:val="00FE2DF9"/>
    <w:rsid w:val="00FF12AE"/>
    <w:rsid w:val="00FF5096"/>
    <w:rsid w:val="00FF6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8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lsdException w:name="Intense Quote" w:semiHidden="1" w:uiPriority="30"/>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D7A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D7AE9"/>
    <w:rPr>
      <w:rFonts w:ascii="Verdana" w:hAnsi="Verdana"/>
      <w:color w:val="000000"/>
      <w:sz w:val="18"/>
      <w:szCs w:val="18"/>
    </w:rPr>
  </w:style>
  <w:style w:type="paragraph" w:styleId="Voettekst">
    <w:name w:val="footer"/>
    <w:basedOn w:val="Standaard"/>
    <w:link w:val="VoettekstChar"/>
    <w:uiPriority w:val="99"/>
    <w:unhideWhenUsed/>
    <w:rsid w:val="009D7AE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D7AE9"/>
    <w:rPr>
      <w:rFonts w:ascii="Verdana" w:hAnsi="Verdana"/>
      <w:color w:val="000000"/>
      <w:sz w:val="18"/>
      <w:szCs w:val="18"/>
    </w:rPr>
  </w:style>
  <w:style w:type="paragraph" w:styleId="Voetnoottekst">
    <w:name w:val="footnote text"/>
    <w:basedOn w:val="Standaard"/>
    <w:link w:val="VoetnoottekstChar"/>
    <w:uiPriority w:val="99"/>
    <w:semiHidden/>
    <w:unhideWhenUsed/>
    <w:rsid w:val="009D7AE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D7AE9"/>
    <w:rPr>
      <w:rFonts w:ascii="Verdana" w:hAnsi="Verdana"/>
      <w:color w:val="000000"/>
    </w:rPr>
  </w:style>
  <w:style w:type="character" w:styleId="Voetnootmarkering">
    <w:name w:val="footnote reference"/>
    <w:basedOn w:val="Standaardalinea-lettertype"/>
    <w:uiPriority w:val="99"/>
    <w:unhideWhenUsed/>
    <w:rsid w:val="009D7AE9"/>
    <w:rPr>
      <w:vertAlign w:val="superscript"/>
    </w:rPr>
  </w:style>
  <w:style w:type="paragraph" w:styleId="Lijstalinea">
    <w:name w:val="List Paragraph"/>
    <w:basedOn w:val="Standaard"/>
    <w:uiPriority w:val="99"/>
    <w:qFormat/>
    <w:rsid w:val="009D7AE9"/>
    <w:pPr>
      <w:spacing w:line="240" w:lineRule="exact"/>
      <w:ind w:left="720"/>
      <w:contextualSpacing/>
    </w:pPr>
  </w:style>
  <w:style w:type="character" w:styleId="Verwijzingopmerking">
    <w:name w:val="annotation reference"/>
    <w:basedOn w:val="Standaardalinea-lettertype"/>
    <w:uiPriority w:val="99"/>
    <w:semiHidden/>
    <w:unhideWhenUsed/>
    <w:rsid w:val="009D7AE9"/>
    <w:rPr>
      <w:sz w:val="16"/>
      <w:szCs w:val="16"/>
    </w:rPr>
  </w:style>
  <w:style w:type="paragraph" w:styleId="Tekstopmerking">
    <w:name w:val="annotation text"/>
    <w:basedOn w:val="Standaard"/>
    <w:link w:val="TekstopmerkingChar"/>
    <w:uiPriority w:val="99"/>
    <w:unhideWhenUsed/>
    <w:rsid w:val="009D7AE9"/>
    <w:pPr>
      <w:spacing w:line="240" w:lineRule="auto"/>
    </w:pPr>
    <w:rPr>
      <w:sz w:val="20"/>
      <w:szCs w:val="20"/>
    </w:rPr>
  </w:style>
  <w:style w:type="character" w:customStyle="1" w:styleId="TekstopmerkingChar">
    <w:name w:val="Tekst opmerking Char"/>
    <w:basedOn w:val="Standaardalinea-lettertype"/>
    <w:link w:val="Tekstopmerking"/>
    <w:uiPriority w:val="99"/>
    <w:rsid w:val="009D7AE9"/>
    <w:rPr>
      <w:rFonts w:ascii="Verdana" w:hAnsi="Verdana"/>
      <w:color w:val="000000"/>
    </w:rPr>
  </w:style>
  <w:style w:type="character" w:styleId="Onopgelostemelding">
    <w:name w:val="Unresolved Mention"/>
    <w:basedOn w:val="Standaardalinea-lettertype"/>
    <w:uiPriority w:val="99"/>
    <w:semiHidden/>
    <w:unhideWhenUsed/>
    <w:rsid w:val="004C42E0"/>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034A63"/>
    <w:rPr>
      <w:b/>
      <w:bCs/>
    </w:rPr>
  </w:style>
  <w:style w:type="character" w:customStyle="1" w:styleId="OnderwerpvanopmerkingChar">
    <w:name w:val="Onderwerp van opmerking Char"/>
    <w:basedOn w:val="TekstopmerkingChar"/>
    <w:link w:val="Onderwerpvanopmerking"/>
    <w:uiPriority w:val="99"/>
    <w:semiHidden/>
    <w:rsid w:val="00034A63"/>
    <w:rPr>
      <w:rFonts w:ascii="Verdana" w:hAnsi="Verdana"/>
      <w:b/>
      <w:bCs/>
      <w:color w:val="000000"/>
    </w:rPr>
  </w:style>
  <w:style w:type="paragraph" w:styleId="Revisie">
    <w:name w:val="Revision"/>
    <w:hidden/>
    <w:uiPriority w:val="99"/>
    <w:semiHidden/>
    <w:rsid w:val="00034A63"/>
    <w:pPr>
      <w:autoSpaceDN/>
      <w:textAlignment w:val="auto"/>
    </w:pPr>
    <w:rPr>
      <w:rFonts w:ascii="Verdana" w:hAnsi="Verdana"/>
      <w:color w:val="000000"/>
      <w:sz w:val="18"/>
      <w:szCs w:val="18"/>
    </w:rPr>
  </w:style>
  <w:style w:type="table" w:styleId="Gemiddeldraster1-accent1">
    <w:name w:val="Medium Grid 1 Accent 1"/>
    <w:basedOn w:val="Standaardtabel"/>
    <w:uiPriority w:val="99"/>
    <w:rsid w:val="00D02CCF"/>
    <w:pPr>
      <w:autoSpaceDN/>
      <w:textAlignment w:val="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3297">
      <w:bodyDiv w:val="1"/>
      <w:marLeft w:val="0"/>
      <w:marRight w:val="0"/>
      <w:marTop w:val="0"/>
      <w:marBottom w:val="0"/>
      <w:divBdr>
        <w:top w:val="none" w:sz="0" w:space="0" w:color="auto"/>
        <w:left w:val="none" w:sz="0" w:space="0" w:color="auto"/>
        <w:bottom w:val="none" w:sz="0" w:space="0" w:color="auto"/>
        <w:right w:val="none" w:sz="0" w:space="0" w:color="auto"/>
      </w:divBdr>
    </w:div>
    <w:div w:id="296767556">
      <w:bodyDiv w:val="1"/>
      <w:marLeft w:val="0"/>
      <w:marRight w:val="0"/>
      <w:marTop w:val="0"/>
      <w:marBottom w:val="0"/>
      <w:divBdr>
        <w:top w:val="none" w:sz="0" w:space="0" w:color="auto"/>
        <w:left w:val="none" w:sz="0" w:space="0" w:color="auto"/>
        <w:bottom w:val="none" w:sz="0" w:space="0" w:color="auto"/>
        <w:right w:val="none" w:sz="0" w:space="0" w:color="auto"/>
      </w:divBdr>
    </w:div>
    <w:div w:id="599949093">
      <w:bodyDiv w:val="1"/>
      <w:marLeft w:val="0"/>
      <w:marRight w:val="0"/>
      <w:marTop w:val="0"/>
      <w:marBottom w:val="0"/>
      <w:divBdr>
        <w:top w:val="none" w:sz="0" w:space="0" w:color="auto"/>
        <w:left w:val="none" w:sz="0" w:space="0" w:color="auto"/>
        <w:bottom w:val="none" w:sz="0" w:space="0" w:color="auto"/>
        <w:right w:val="none" w:sz="0" w:space="0" w:color="auto"/>
      </w:divBdr>
    </w:div>
    <w:div w:id="766999087">
      <w:bodyDiv w:val="1"/>
      <w:marLeft w:val="0"/>
      <w:marRight w:val="0"/>
      <w:marTop w:val="0"/>
      <w:marBottom w:val="0"/>
      <w:divBdr>
        <w:top w:val="none" w:sz="0" w:space="0" w:color="auto"/>
        <w:left w:val="none" w:sz="0" w:space="0" w:color="auto"/>
        <w:bottom w:val="none" w:sz="0" w:space="0" w:color="auto"/>
        <w:right w:val="none" w:sz="0" w:space="0" w:color="auto"/>
      </w:divBdr>
    </w:div>
    <w:div w:id="812329531">
      <w:bodyDiv w:val="1"/>
      <w:marLeft w:val="0"/>
      <w:marRight w:val="0"/>
      <w:marTop w:val="0"/>
      <w:marBottom w:val="0"/>
      <w:divBdr>
        <w:top w:val="none" w:sz="0" w:space="0" w:color="auto"/>
        <w:left w:val="none" w:sz="0" w:space="0" w:color="auto"/>
        <w:bottom w:val="none" w:sz="0" w:space="0" w:color="auto"/>
        <w:right w:val="none" w:sz="0" w:space="0" w:color="auto"/>
      </w:divBdr>
    </w:div>
    <w:div w:id="1167094712">
      <w:bodyDiv w:val="1"/>
      <w:marLeft w:val="0"/>
      <w:marRight w:val="0"/>
      <w:marTop w:val="0"/>
      <w:marBottom w:val="0"/>
      <w:divBdr>
        <w:top w:val="none" w:sz="0" w:space="0" w:color="auto"/>
        <w:left w:val="none" w:sz="0" w:space="0" w:color="auto"/>
        <w:bottom w:val="none" w:sz="0" w:space="0" w:color="auto"/>
        <w:right w:val="none" w:sz="0" w:space="0" w:color="auto"/>
      </w:divBdr>
    </w:div>
    <w:div w:id="1282147541">
      <w:bodyDiv w:val="1"/>
      <w:marLeft w:val="0"/>
      <w:marRight w:val="0"/>
      <w:marTop w:val="0"/>
      <w:marBottom w:val="0"/>
      <w:divBdr>
        <w:top w:val="none" w:sz="0" w:space="0" w:color="auto"/>
        <w:left w:val="none" w:sz="0" w:space="0" w:color="auto"/>
        <w:bottom w:val="none" w:sz="0" w:space="0" w:color="auto"/>
        <w:right w:val="none" w:sz="0" w:space="0" w:color="auto"/>
      </w:divBdr>
    </w:div>
    <w:div w:id="1307979067">
      <w:bodyDiv w:val="1"/>
      <w:marLeft w:val="0"/>
      <w:marRight w:val="0"/>
      <w:marTop w:val="0"/>
      <w:marBottom w:val="0"/>
      <w:divBdr>
        <w:top w:val="none" w:sz="0" w:space="0" w:color="auto"/>
        <w:left w:val="none" w:sz="0" w:space="0" w:color="auto"/>
        <w:bottom w:val="none" w:sz="0" w:space="0" w:color="auto"/>
        <w:right w:val="none" w:sz="0" w:space="0" w:color="auto"/>
      </w:divBdr>
    </w:div>
    <w:div w:id="1341153192">
      <w:bodyDiv w:val="1"/>
      <w:marLeft w:val="0"/>
      <w:marRight w:val="0"/>
      <w:marTop w:val="0"/>
      <w:marBottom w:val="0"/>
      <w:divBdr>
        <w:top w:val="none" w:sz="0" w:space="0" w:color="auto"/>
        <w:left w:val="none" w:sz="0" w:space="0" w:color="auto"/>
        <w:bottom w:val="none" w:sz="0" w:space="0" w:color="auto"/>
        <w:right w:val="none" w:sz="0" w:space="0" w:color="auto"/>
      </w:divBdr>
    </w:div>
    <w:div w:id="1381859038">
      <w:bodyDiv w:val="1"/>
      <w:marLeft w:val="0"/>
      <w:marRight w:val="0"/>
      <w:marTop w:val="0"/>
      <w:marBottom w:val="0"/>
      <w:divBdr>
        <w:top w:val="none" w:sz="0" w:space="0" w:color="auto"/>
        <w:left w:val="none" w:sz="0" w:space="0" w:color="auto"/>
        <w:bottom w:val="none" w:sz="0" w:space="0" w:color="auto"/>
        <w:right w:val="none" w:sz="0" w:space="0" w:color="auto"/>
      </w:divBdr>
    </w:div>
    <w:div w:id="1472795575">
      <w:bodyDiv w:val="1"/>
      <w:marLeft w:val="0"/>
      <w:marRight w:val="0"/>
      <w:marTop w:val="0"/>
      <w:marBottom w:val="0"/>
      <w:divBdr>
        <w:top w:val="none" w:sz="0" w:space="0" w:color="auto"/>
        <w:left w:val="none" w:sz="0" w:space="0" w:color="auto"/>
        <w:bottom w:val="none" w:sz="0" w:space="0" w:color="auto"/>
        <w:right w:val="none" w:sz="0" w:space="0" w:color="auto"/>
      </w:divBdr>
    </w:div>
    <w:div w:id="1489784420">
      <w:bodyDiv w:val="1"/>
      <w:marLeft w:val="0"/>
      <w:marRight w:val="0"/>
      <w:marTop w:val="0"/>
      <w:marBottom w:val="0"/>
      <w:divBdr>
        <w:top w:val="none" w:sz="0" w:space="0" w:color="auto"/>
        <w:left w:val="none" w:sz="0" w:space="0" w:color="auto"/>
        <w:bottom w:val="none" w:sz="0" w:space="0" w:color="auto"/>
        <w:right w:val="none" w:sz="0" w:space="0" w:color="auto"/>
      </w:divBdr>
    </w:div>
    <w:div w:id="1621691132">
      <w:bodyDiv w:val="1"/>
      <w:marLeft w:val="0"/>
      <w:marRight w:val="0"/>
      <w:marTop w:val="0"/>
      <w:marBottom w:val="0"/>
      <w:divBdr>
        <w:top w:val="none" w:sz="0" w:space="0" w:color="auto"/>
        <w:left w:val="none" w:sz="0" w:space="0" w:color="auto"/>
        <w:bottom w:val="none" w:sz="0" w:space="0" w:color="auto"/>
        <w:right w:val="none" w:sz="0" w:space="0" w:color="auto"/>
      </w:divBdr>
    </w:div>
    <w:div w:id="1683972518">
      <w:bodyDiv w:val="1"/>
      <w:marLeft w:val="0"/>
      <w:marRight w:val="0"/>
      <w:marTop w:val="0"/>
      <w:marBottom w:val="0"/>
      <w:divBdr>
        <w:top w:val="none" w:sz="0" w:space="0" w:color="auto"/>
        <w:left w:val="none" w:sz="0" w:space="0" w:color="auto"/>
        <w:bottom w:val="none" w:sz="0" w:space="0" w:color="auto"/>
        <w:right w:val="none" w:sz="0" w:space="0" w:color="auto"/>
      </w:divBdr>
    </w:div>
    <w:div w:id="1729263607">
      <w:bodyDiv w:val="1"/>
      <w:marLeft w:val="0"/>
      <w:marRight w:val="0"/>
      <w:marTop w:val="0"/>
      <w:marBottom w:val="0"/>
      <w:divBdr>
        <w:top w:val="none" w:sz="0" w:space="0" w:color="auto"/>
        <w:left w:val="none" w:sz="0" w:space="0" w:color="auto"/>
        <w:bottom w:val="none" w:sz="0" w:space="0" w:color="auto"/>
        <w:right w:val="none" w:sz="0" w:space="0" w:color="auto"/>
      </w:divBdr>
    </w:div>
    <w:div w:id="1762876308">
      <w:bodyDiv w:val="1"/>
      <w:marLeft w:val="0"/>
      <w:marRight w:val="0"/>
      <w:marTop w:val="0"/>
      <w:marBottom w:val="0"/>
      <w:divBdr>
        <w:top w:val="none" w:sz="0" w:space="0" w:color="auto"/>
        <w:left w:val="none" w:sz="0" w:space="0" w:color="auto"/>
        <w:bottom w:val="none" w:sz="0" w:space="0" w:color="auto"/>
        <w:right w:val="none" w:sz="0" w:space="0" w:color="auto"/>
      </w:divBdr>
    </w:div>
    <w:div w:id="1795949103">
      <w:bodyDiv w:val="1"/>
      <w:marLeft w:val="0"/>
      <w:marRight w:val="0"/>
      <w:marTop w:val="0"/>
      <w:marBottom w:val="0"/>
      <w:divBdr>
        <w:top w:val="none" w:sz="0" w:space="0" w:color="auto"/>
        <w:left w:val="none" w:sz="0" w:space="0" w:color="auto"/>
        <w:bottom w:val="none" w:sz="0" w:space="0" w:color="auto"/>
        <w:right w:val="none" w:sz="0" w:space="0" w:color="auto"/>
      </w:divBdr>
    </w:div>
    <w:div w:id="1960187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theme" Target="theme/theme1.xml" Id="rId15" /><Relationship Type="http://schemas.microsoft.com/office/2007/relationships/hdphoto" Target="media/hdphoto1.wdp"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1996</ap:Words>
  <ap:Characters>10981</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2026-07-03T11:53:00.0000000Z</dcterms:created>
  <dcterms:modified xsi:type="dcterms:W3CDTF">2026-07-03T11:53:00.0000000Z</dcterms:modified>
  <dc:description>------------------------</dc:description>
  <version/>
  <category/>
</coreProperties>
</file>