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36F8B" w:rsidR="00A70544" w:rsidP="2BF2466A" w14:paraId="5EC627E6" w14:textId="77777777">
      <w:pPr>
        <w:pStyle w:val="WitregelW1bodytekst"/>
        <w:rPr>
          <w:color w:val="auto"/>
        </w:rPr>
      </w:pPr>
      <w:r w:rsidRPr="2BF2466A">
        <w:rPr>
          <w:color w:val="auto"/>
        </w:rPr>
        <w:t>Geachte voorzitter,</w:t>
      </w:r>
    </w:p>
    <w:p w:rsidRPr="00736F8B" w:rsidR="002F5BDD" w:rsidP="002F5BDD" w14:paraId="72F5805D" w14:textId="77777777">
      <w:pPr>
        <w:rPr>
          <w:color w:val="auto"/>
        </w:rPr>
      </w:pPr>
    </w:p>
    <w:p w:rsidRPr="00790DBB" w:rsidR="002F5BDD" w:rsidP="002F5BDD" w14:paraId="4F4A64F9" w14:textId="77777777">
      <w:pPr>
        <w:rPr>
          <w:color w:val="auto"/>
        </w:rPr>
      </w:pPr>
      <w:r>
        <w:rPr>
          <w:color w:val="auto"/>
        </w:rPr>
        <w:t xml:space="preserve">Omdat de woningnood nog altijd hoog is, zijn sommige mensen voor hun woonsituatie aangewezen op een recreatiewoning. </w:t>
      </w:r>
      <w:r w:rsidR="002C4069">
        <w:rPr>
          <w:color w:val="auto"/>
        </w:rPr>
        <w:t xml:space="preserve">Zij leven vaak in onzekerheid. </w:t>
      </w:r>
      <w:r w:rsidRPr="00736F8B">
        <w:rPr>
          <w:color w:val="auto"/>
        </w:rPr>
        <w:t xml:space="preserve">In het coalitieakkoord </w:t>
      </w:r>
      <w:r w:rsidRPr="00736F8B" w:rsidR="00853B59">
        <w:rPr>
          <w:color w:val="auto"/>
        </w:rPr>
        <w:t>staat</w:t>
      </w:r>
      <w:r w:rsidRPr="00736F8B">
        <w:rPr>
          <w:color w:val="auto"/>
        </w:rPr>
        <w:t xml:space="preserve"> </w:t>
      </w:r>
      <w:r>
        <w:rPr>
          <w:color w:val="auto"/>
        </w:rPr>
        <w:t xml:space="preserve">daarom </w:t>
      </w:r>
      <w:r w:rsidRPr="00736F8B">
        <w:rPr>
          <w:color w:val="auto"/>
        </w:rPr>
        <w:t xml:space="preserve">dat het kabinet permanente bewoning van recreatiewoningen mogelijk wil maken. In deze brief licht ik </w:t>
      </w:r>
      <w:r w:rsidRPr="00736F8B" w:rsidR="005C27A5">
        <w:rPr>
          <w:color w:val="auto"/>
        </w:rPr>
        <w:t xml:space="preserve">aan uw Kamer </w:t>
      </w:r>
      <w:r w:rsidRPr="00736F8B">
        <w:rPr>
          <w:color w:val="auto"/>
        </w:rPr>
        <w:t xml:space="preserve">graag toe </w:t>
      </w:r>
      <w:r w:rsidR="004662EA">
        <w:rPr>
          <w:color w:val="auto"/>
        </w:rPr>
        <w:t xml:space="preserve">hoe ik </w:t>
      </w:r>
      <w:r w:rsidR="001A537C">
        <w:rPr>
          <w:color w:val="auto"/>
        </w:rPr>
        <w:t>hieraan</w:t>
      </w:r>
      <w:r w:rsidR="004662EA">
        <w:rPr>
          <w:color w:val="auto"/>
        </w:rPr>
        <w:t xml:space="preserve"> </w:t>
      </w:r>
      <w:r w:rsidRPr="00790DBB">
        <w:rPr>
          <w:color w:val="auto"/>
        </w:rPr>
        <w:t xml:space="preserve">invulling </w:t>
      </w:r>
      <w:r w:rsidR="00B36FCC">
        <w:rPr>
          <w:color w:val="auto"/>
        </w:rPr>
        <w:t>geef</w:t>
      </w:r>
      <w:r w:rsidRPr="00790DBB" w:rsidR="00A246D5">
        <w:rPr>
          <w:color w:val="auto"/>
        </w:rPr>
        <w:t xml:space="preserve"> en welke vervolgstappen ik hiervoor onderneem</w:t>
      </w:r>
      <w:r w:rsidR="004662EA">
        <w:rPr>
          <w:color w:val="auto"/>
        </w:rPr>
        <w:t>.</w:t>
      </w:r>
      <w:r w:rsidRPr="00790DBB" w:rsidR="004E52AB">
        <w:rPr>
          <w:color w:val="auto"/>
        </w:rPr>
        <w:t xml:space="preserve"> </w:t>
      </w:r>
      <w:r w:rsidR="004662EA">
        <w:rPr>
          <w:color w:val="auto"/>
        </w:rPr>
        <w:t>O</w:t>
      </w:r>
      <w:r w:rsidRPr="00790DBB" w:rsidR="004E52AB">
        <w:rPr>
          <w:color w:val="auto"/>
        </w:rPr>
        <w:t xml:space="preserve">ok in relatie tot de </w:t>
      </w:r>
      <w:r w:rsidRPr="00790DBB" w:rsidR="004E52AB">
        <w:rPr>
          <w:color w:val="auto"/>
        </w:rPr>
        <w:t>reeds</w:t>
      </w:r>
      <w:r w:rsidRPr="00790DBB" w:rsidR="004E52AB">
        <w:rPr>
          <w:color w:val="auto"/>
        </w:rPr>
        <w:t xml:space="preserve"> in voorhang zijnde </w:t>
      </w:r>
      <w:r w:rsidR="00BE07AE">
        <w:rPr>
          <w:color w:val="auto"/>
        </w:rPr>
        <w:t>concept-</w:t>
      </w:r>
      <w:r w:rsidRPr="00790DBB" w:rsidR="004E52AB">
        <w:rPr>
          <w:color w:val="auto"/>
        </w:rPr>
        <w:t>instructieregel</w:t>
      </w:r>
      <w:r w:rsidR="00BE07AE">
        <w:rPr>
          <w:color w:val="auto"/>
        </w:rPr>
        <w:t xml:space="preserve"> permanente bewoning recreatiewoningen</w:t>
      </w:r>
      <w:r w:rsidRPr="00790DBB" w:rsidR="004E52AB">
        <w:rPr>
          <w:color w:val="auto"/>
        </w:rPr>
        <w:t xml:space="preserve"> (AMvB)</w:t>
      </w:r>
      <w:r>
        <w:rPr>
          <w:rStyle w:val="FootnoteReference"/>
          <w:color w:val="auto"/>
        </w:rPr>
        <w:footnoteReference w:id="2"/>
      </w:r>
      <w:r w:rsidRPr="00790DBB">
        <w:rPr>
          <w:color w:val="auto"/>
        </w:rPr>
        <w:t xml:space="preserve">. </w:t>
      </w:r>
    </w:p>
    <w:p w:rsidRPr="00736F8B" w:rsidR="002F5BDD" w:rsidP="002F5BDD" w14:paraId="74108197" w14:textId="77777777">
      <w:pPr>
        <w:rPr>
          <w:color w:val="auto"/>
        </w:rPr>
      </w:pPr>
    </w:p>
    <w:p w:rsidR="00E111FA" w:rsidP="2BF2466A" w14:paraId="38487597" w14:textId="77777777">
      <w:pPr>
        <w:rPr>
          <w:rStyle w:val="CommentReference"/>
          <w:color w:val="auto"/>
          <w:sz w:val="18"/>
          <w:szCs w:val="18"/>
        </w:rPr>
      </w:pPr>
      <w:r>
        <w:rPr>
          <w:color w:val="auto"/>
        </w:rPr>
        <w:t xml:space="preserve">Om permanente bewoning van recreatiewoningen mogelijk te maken, </w:t>
      </w:r>
      <w:r w:rsidR="007755CE">
        <w:rPr>
          <w:color w:val="auto"/>
        </w:rPr>
        <w:t>is</w:t>
      </w:r>
      <w:r>
        <w:rPr>
          <w:color w:val="auto"/>
        </w:rPr>
        <w:t xml:space="preserve"> de hiervoor genoemde </w:t>
      </w:r>
      <w:r w:rsidRPr="00736F8B">
        <w:rPr>
          <w:color w:val="auto"/>
        </w:rPr>
        <w:t>concept instructieregel</w:t>
      </w:r>
      <w:r>
        <w:rPr>
          <w:color w:val="auto"/>
        </w:rPr>
        <w:t xml:space="preserve"> in oktober 2025</w:t>
      </w:r>
      <w:r w:rsidRPr="00736F8B">
        <w:rPr>
          <w:color w:val="auto"/>
        </w:rPr>
        <w:t xml:space="preserve"> in procedure gebra</w:t>
      </w:r>
      <w:r w:rsidRPr="00E111FA">
        <w:rPr>
          <w:color w:val="auto"/>
        </w:rPr>
        <w:t>c</w:t>
      </w:r>
      <w:r w:rsidRPr="00E02C76">
        <w:rPr>
          <w:rStyle w:val="CommentReference"/>
          <w:color w:val="auto"/>
          <w:sz w:val="18"/>
          <w:szCs w:val="18"/>
        </w:rPr>
        <w:t xml:space="preserve">ht. </w:t>
      </w:r>
      <w:r w:rsidR="007755CE">
        <w:rPr>
          <w:rStyle w:val="CommentReference"/>
          <w:color w:val="auto"/>
          <w:sz w:val="18"/>
          <w:szCs w:val="18"/>
        </w:rPr>
        <w:t>H</w:t>
      </w:r>
      <w:r w:rsidRPr="00E02C76">
        <w:rPr>
          <w:rStyle w:val="CommentReference"/>
          <w:color w:val="auto"/>
          <w:sz w:val="18"/>
          <w:szCs w:val="18"/>
        </w:rPr>
        <w:t xml:space="preserve">ierbij </w:t>
      </w:r>
      <w:r w:rsidR="007755CE">
        <w:rPr>
          <w:rStyle w:val="CommentReference"/>
          <w:color w:val="auto"/>
          <w:sz w:val="18"/>
          <w:szCs w:val="18"/>
        </w:rPr>
        <w:t xml:space="preserve">is </w:t>
      </w:r>
      <w:r w:rsidR="00C26C29">
        <w:rPr>
          <w:rStyle w:val="CommentReference"/>
          <w:color w:val="auto"/>
          <w:sz w:val="18"/>
          <w:szCs w:val="18"/>
        </w:rPr>
        <w:t xml:space="preserve">aan </w:t>
      </w:r>
      <w:r w:rsidR="007755CE">
        <w:rPr>
          <w:rStyle w:val="CommentReference"/>
          <w:color w:val="auto"/>
          <w:sz w:val="18"/>
          <w:szCs w:val="18"/>
        </w:rPr>
        <w:t xml:space="preserve">uw Kamer </w:t>
      </w:r>
      <w:r w:rsidRPr="00E02C76">
        <w:rPr>
          <w:rStyle w:val="CommentReference"/>
          <w:color w:val="auto"/>
          <w:sz w:val="18"/>
          <w:szCs w:val="18"/>
        </w:rPr>
        <w:t>tevens</w:t>
      </w:r>
      <w:r w:rsidRPr="00E02C76">
        <w:rPr>
          <w:rStyle w:val="CommentReference"/>
          <w:color w:val="auto"/>
          <w:sz w:val="18"/>
          <w:szCs w:val="18"/>
        </w:rPr>
        <w:t xml:space="preserve"> aangekondigd </w:t>
      </w:r>
      <w:r>
        <w:rPr>
          <w:rStyle w:val="CommentReference"/>
          <w:color w:val="auto"/>
          <w:sz w:val="18"/>
          <w:szCs w:val="18"/>
        </w:rPr>
        <w:t>dat uit de uitvoeringstoets van Dienst Toeslagen bl</w:t>
      </w:r>
      <w:r w:rsidR="00B25638">
        <w:rPr>
          <w:rStyle w:val="CommentReference"/>
          <w:color w:val="auto"/>
          <w:sz w:val="18"/>
          <w:szCs w:val="18"/>
        </w:rPr>
        <w:t>ijkt</w:t>
      </w:r>
      <w:r>
        <w:rPr>
          <w:rStyle w:val="CommentReference"/>
          <w:color w:val="auto"/>
          <w:sz w:val="18"/>
          <w:szCs w:val="18"/>
        </w:rPr>
        <w:t xml:space="preserve"> dat de instructieregel, in combinatie met het huidige huurtoeslagbeleid, niet uitvoerbaar </w:t>
      </w:r>
      <w:r w:rsidR="00B25638">
        <w:rPr>
          <w:rStyle w:val="CommentReference"/>
          <w:color w:val="auto"/>
          <w:sz w:val="18"/>
          <w:szCs w:val="18"/>
        </w:rPr>
        <w:t>is</w:t>
      </w:r>
      <w:r>
        <w:rPr>
          <w:rStyle w:val="CommentReference"/>
          <w:color w:val="auto"/>
          <w:sz w:val="18"/>
          <w:szCs w:val="18"/>
        </w:rPr>
        <w:t xml:space="preserve"> voor Dienst Toeslagen</w:t>
      </w:r>
      <w:r w:rsidR="000A4E68">
        <w:rPr>
          <w:rStyle w:val="CommentReference"/>
          <w:color w:val="auto"/>
          <w:sz w:val="18"/>
          <w:szCs w:val="18"/>
        </w:rPr>
        <w:t xml:space="preserve"> in het kader van de huurtoeslag</w:t>
      </w:r>
      <w:r>
        <w:rPr>
          <w:rStyle w:val="CommentReference"/>
          <w:color w:val="auto"/>
          <w:sz w:val="18"/>
          <w:szCs w:val="18"/>
        </w:rPr>
        <w:t>.</w:t>
      </w:r>
      <w:r w:rsidR="004E239D">
        <w:rPr>
          <w:rStyle w:val="CommentReference"/>
          <w:color w:val="auto"/>
          <w:sz w:val="18"/>
          <w:szCs w:val="18"/>
        </w:rPr>
        <w:t xml:space="preserve"> Dit komt </w:t>
      </w:r>
      <w:r w:rsidR="004E239D">
        <w:rPr>
          <w:color w:val="auto"/>
        </w:rPr>
        <w:t>o</w:t>
      </w:r>
      <w:r w:rsidR="00962219">
        <w:rPr>
          <w:color w:val="auto"/>
        </w:rPr>
        <w:t xml:space="preserve">nder andere </w:t>
      </w:r>
      <w:r w:rsidR="004E239D">
        <w:rPr>
          <w:color w:val="auto"/>
        </w:rPr>
        <w:t xml:space="preserve">door het ontbreken van volledige registraties van recreatiewoningen in de </w:t>
      </w:r>
      <w:r w:rsidR="00B25638">
        <w:rPr>
          <w:color w:val="auto"/>
        </w:rPr>
        <w:t>Basisregistratie Adressen Gebouwen (</w:t>
      </w:r>
      <w:r w:rsidR="004E239D">
        <w:rPr>
          <w:color w:val="auto"/>
        </w:rPr>
        <w:t>BAG</w:t>
      </w:r>
      <w:r w:rsidR="00B25638">
        <w:rPr>
          <w:color w:val="auto"/>
        </w:rPr>
        <w:t>)</w:t>
      </w:r>
      <w:r w:rsidR="004E239D">
        <w:rPr>
          <w:color w:val="auto"/>
        </w:rPr>
        <w:t xml:space="preserve"> en </w:t>
      </w:r>
      <w:r w:rsidR="00B25638">
        <w:rPr>
          <w:color w:val="auto"/>
        </w:rPr>
        <w:t>Basisregistratie Personen (</w:t>
      </w:r>
      <w:r w:rsidR="004E239D">
        <w:rPr>
          <w:color w:val="auto"/>
        </w:rPr>
        <w:t>BRP</w:t>
      </w:r>
      <w:r w:rsidR="00B25638">
        <w:rPr>
          <w:color w:val="auto"/>
        </w:rPr>
        <w:t>)</w:t>
      </w:r>
      <w:r w:rsidR="004E239D">
        <w:rPr>
          <w:color w:val="auto"/>
        </w:rPr>
        <w:t>, en gerelateerde benodigde capaciteit en handhavingsrisico’s</w:t>
      </w:r>
      <w:r>
        <w:rPr>
          <w:rStyle w:val="FootnoteReference"/>
          <w:color w:val="auto"/>
        </w:rPr>
        <w:footnoteReference w:id="3"/>
      </w:r>
      <w:r w:rsidRPr="00736F8B" w:rsidR="004E239D">
        <w:rPr>
          <w:color w:val="auto"/>
        </w:rPr>
        <w:t>.</w:t>
      </w:r>
      <w:r>
        <w:rPr>
          <w:rStyle w:val="CommentReference"/>
          <w:color w:val="auto"/>
          <w:sz w:val="18"/>
          <w:szCs w:val="18"/>
        </w:rPr>
        <w:t xml:space="preserve"> </w:t>
      </w:r>
      <w:r w:rsidR="00AD7BC2">
        <w:rPr>
          <w:rStyle w:val="CommentReference"/>
          <w:color w:val="auto"/>
          <w:sz w:val="18"/>
          <w:szCs w:val="18"/>
        </w:rPr>
        <w:t xml:space="preserve">De afgelopen maanden is door </w:t>
      </w:r>
      <w:r w:rsidR="00AD7BC2">
        <w:rPr>
          <w:rStyle w:val="CommentReference"/>
          <w:color w:val="auto"/>
          <w:sz w:val="18"/>
          <w:szCs w:val="18"/>
        </w:rPr>
        <w:t>Ipsos</w:t>
      </w:r>
      <w:r w:rsidR="00AD7BC2">
        <w:rPr>
          <w:rStyle w:val="CommentReference"/>
          <w:color w:val="auto"/>
          <w:sz w:val="18"/>
          <w:szCs w:val="18"/>
        </w:rPr>
        <w:t xml:space="preserve"> </w:t>
      </w:r>
      <w:r w:rsidR="00C64957">
        <w:rPr>
          <w:rStyle w:val="CommentReference"/>
          <w:color w:val="auto"/>
          <w:sz w:val="18"/>
          <w:szCs w:val="18"/>
        </w:rPr>
        <w:t xml:space="preserve">I&amp;O </w:t>
      </w:r>
      <w:r w:rsidR="00AD7BC2">
        <w:rPr>
          <w:rStyle w:val="CommentReference"/>
          <w:color w:val="auto"/>
          <w:sz w:val="18"/>
          <w:szCs w:val="18"/>
        </w:rPr>
        <w:t xml:space="preserve">en </w:t>
      </w:r>
      <w:r w:rsidR="00AD7BC2">
        <w:rPr>
          <w:rStyle w:val="CommentReference"/>
          <w:color w:val="auto"/>
          <w:sz w:val="18"/>
          <w:szCs w:val="18"/>
        </w:rPr>
        <w:t>RIGO onderzoek</w:t>
      </w:r>
      <w:r w:rsidR="00AD7BC2">
        <w:rPr>
          <w:rStyle w:val="CommentReference"/>
          <w:color w:val="auto"/>
          <w:sz w:val="18"/>
          <w:szCs w:val="18"/>
        </w:rPr>
        <w:t xml:space="preserve"> uitgevoerd naar woonsituaties op </w:t>
      </w:r>
      <w:r w:rsidR="00FB591A">
        <w:rPr>
          <w:rStyle w:val="CommentReference"/>
          <w:color w:val="auto"/>
          <w:sz w:val="18"/>
          <w:szCs w:val="18"/>
        </w:rPr>
        <w:t>vakantie</w:t>
      </w:r>
      <w:r w:rsidR="00254D39">
        <w:rPr>
          <w:rStyle w:val="CommentReference"/>
          <w:color w:val="auto"/>
          <w:sz w:val="18"/>
          <w:szCs w:val="18"/>
        </w:rPr>
        <w:t>parken</w:t>
      </w:r>
      <w:r w:rsidR="004E239D">
        <w:rPr>
          <w:rStyle w:val="CommentReference"/>
          <w:color w:val="auto"/>
          <w:sz w:val="18"/>
          <w:szCs w:val="18"/>
        </w:rPr>
        <w:t xml:space="preserve">, omdat de </w:t>
      </w:r>
      <w:r w:rsidR="000A4E68">
        <w:rPr>
          <w:rStyle w:val="CommentReference"/>
          <w:color w:val="auto"/>
          <w:sz w:val="18"/>
          <w:szCs w:val="18"/>
        </w:rPr>
        <w:t>schatting van de omvang van de doelgroep onzeker was</w:t>
      </w:r>
      <w:r w:rsidR="00254D39">
        <w:rPr>
          <w:rStyle w:val="CommentReference"/>
          <w:color w:val="auto"/>
          <w:sz w:val="18"/>
          <w:szCs w:val="18"/>
        </w:rPr>
        <w:t xml:space="preserve">. </w:t>
      </w:r>
      <w:r w:rsidR="004E239D">
        <w:rPr>
          <w:rStyle w:val="CommentReference"/>
          <w:color w:val="auto"/>
          <w:sz w:val="18"/>
          <w:szCs w:val="18"/>
        </w:rPr>
        <w:t>Op basis van deze onderzoeken valt niet met zekerheid te zeggen dat het aantal verwachte huurtoeslaggerechtigden lager is dan waar in eerste instantie vanuit is gegaan, waardoor de risico</w:t>
      </w:r>
      <w:r w:rsidR="000A4E68">
        <w:rPr>
          <w:rStyle w:val="CommentReference"/>
          <w:color w:val="auto"/>
          <w:sz w:val="18"/>
          <w:szCs w:val="18"/>
        </w:rPr>
        <w:t>’</w:t>
      </w:r>
      <w:r w:rsidR="004E239D">
        <w:rPr>
          <w:rStyle w:val="CommentReference"/>
          <w:color w:val="auto"/>
          <w:sz w:val="18"/>
          <w:szCs w:val="18"/>
        </w:rPr>
        <w:t xml:space="preserve">s </w:t>
      </w:r>
      <w:r w:rsidR="000A4E68">
        <w:rPr>
          <w:rStyle w:val="CommentReference"/>
          <w:color w:val="auto"/>
          <w:sz w:val="18"/>
          <w:szCs w:val="18"/>
        </w:rPr>
        <w:t>rondom de huurtoeslag</w:t>
      </w:r>
      <w:r w:rsidR="004E239D">
        <w:rPr>
          <w:rStyle w:val="CommentReference"/>
          <w:color w:val="auto"/>
          <w:sz w:val="18"/>
          <w:szCs w:val="18"/>
        </w:rPr>
        <w:t xml:space="preserve"> blijven.</w:t>
      </w:r>
      <w:r>
        <w:rPr>
          <w:rStyle w:val="FootnoteReference"/>
          <w:color w:val="auto"/>
        </w:rPr>
        <w:footnoteReference w:id="4"/>
      </w:r>
      <w:r w:rsidR="004E239D">
        <w:rPr>
          <w:rStyle w:val="CommentReference"/>
          <w:color w:val="auto"/>
          <w:sz w:val="18"/>
          <w:szCs w:val="18"/>
        </w:rPr>
        <w:t xml:space="preserve"> </w:t>
      </w:r>
      <w:r w:rsidR="00FC6E02">
        <w:rPr>
          <w:rStyle w:val="CommentReference"/>
          <w:color w:val="auto"/>
          <w:sz w:val="18"/>
          <w:szCs w:val="18"/>
        </w:rPr>
        <w:t>I</w:t>
      </w:r>
      <w:r w:rsidRPr="00736F8B" w:rsidR="00AD7BC2">
        <w:rPr>
          <w:color w:val="auto"/>
        </w:rPr>
        <w:t xml:space="preserve">n samenwerking met Dienst Toeslagen </w:t>
      </w:r>
      <w:r w:rsidR="00FC6E02">
        <w:rPr>
          <w:color w:val="auto"/>
        </w:rPr>
        <w:t xml:space="preserve">is </w:t>
      </w:r>
      <w:r w:rsidRPr="00736F8B" w:rsidR="00AD7BC2">
        <w:rPr>
          <w:color w:val="auto"/>
        </w:rPr>
        <w:t>gepoog</w:t>
      </w:r>
      <w:r w:rsidR="00AD7BC2">
        <w:rPr>
          <w:color w:val="auto"/>
        </w:rPr>
        <w:t xml:space="preserve">d </w:t>
      </w:r>
      <w:r w:rsidRPr="00736F8B" w:rsidR="00AD7BC2">
        <w:rPr>
          <w:color w:val="auto"/>
        </w:rPr>
        <w:t xml:space="preserve">mogelijkheden </w:t>
      </w:r>
      <w:r w:rsidR="00AD7BC2">
        <w:rPr>
          <w:color w:val="auto"/>
        </w:rPr>
        <w:t xml:space="preserve">te vinden </w:t>
      </w:r>
      <w:r w:rsidRPr="00736F8B" w:rsidR="00AD7BC2">
        <w:rPr>
          <w:color w:val="auto"/>
        </w:rPr>
        <w:t>om de uitvoerbaarheid</w:t>
      </w:r>
      <w:r w:rsidR="000A4E68">
        <w:rPr>
          <w:color w:val="auto"/>
        </w:rPr>
        <w:t xml:space="preserve"> van de instructieregel</w:t>
      </w:r>
      <w:r w:rsidRPr="00736F8B" w:rsidR="00AD7BC2">
        <w:rPr>
          <w:color w:val="auto"/>
        </w:rPr>
        <w:t xml:space="preserve"> te verbeteren,</w:t>
      </w:r>
      <w:r w:rsidR="00AD7BC2">
        <w:rPr>
          <w:color w:val="auto"/>
        </w:rPr>
        <w:t xml:space="preserve"> maar </w:t>
      </w:r>
      <w:r w:rsidR="000A4E68">
        <w:rPr>
          <w:color w:val="auto"/>
        </w:rPr>
        <w:t>er is geen</w:t>
      </w:r>
      <w:r w:rsidR="00AD7BC2">
        <w:rPr>
          <w:color w:val="auto"/>
        </w:rPr>
        <w:t xml:space="preserve"> werkbaar alternatief </w:t>
      </w:r>
      <w:r w:rsidR="000A4E68">
        <w:rPr>
          <w:color w:val="auto"/>
        </w:rPr>
        <w:t>gevonden</w:t>
      </w:r>
      <w:r w:rsidR="00AD7BC2">
        <w:rPr>
          <w:color w:val="auto"/>
        </w:rPr>
        <w:t>.</w:t>
      </w:r>
    </w:p>
    <w:p w:rsidR="00E111FA" w:rsidP="002F5BDD" w14:paraId="4ED405E2" w14:textId="77777777">
      <w:pPr>
        <w:rPr>
          <w:rStyle w:val="CommentReference"/>
          <w:color w:val="auto"/>
          <w:sz w:val="18"/>
          <w:szCs w:val="18"/>
        </w:rPr>
      </w:pPr>
    </w:p>
    <w:p w:rsidRPr="00736F8B" w:rsidR="00804B8E" w:rsidP="2BF2466A" w14:paraId="36F29BC0" w14:textId="77777777">
      <w:pPr>
        <w:rPr>
          <w:color w:val="auto"/>
        </w:rPr>
      </w:pPr>
      <w:r w:rsidRPr="2BF2466A">
        <w:rPr>
          <w:color w:val="auto"/>
        </w:rPr>
        <w:t>Tegen de achtergrond van de onuitvoerbare instructieregel, ben ik op zoek gegaan naar alternatieve manieren om invulling te geven aan</w:t>
      </w:r>
      <w:r w:rsidR="009764C3">
        <w:rPr>
          <w:color w:val="auto"/>
        </w:rPr>
        <w:t xml:space="preserve"> mijn uitgangspunt dat de situatie</w:t>
      </w:r>
      <w:r w:rsidR="00B36FCC">
        <w:rPr>
          <w:color w:val="auto"/>
        </w:rPr>
        <w:t xml:space="preserve"> van bewoning</w:t>
      </w:r>
      <w:r w:rsidR="009764C3">
        <w:rPr>
          <w:color w:val="auto"/>
        </w:rPr>
        <w:t xml:space="preserve"> onveranderd blijft voor bewoners van recreatiewoningen, tenzij er voor gemeenten redenen zijn om te handhaven zoals bijvoorbeeld bij ondermijning. Als permanente bewoners van </w:t>
      </w:r>
      <w:r w:rsidR="00DA273E">
        <w:rPr>
          <w:color w:val="auto"/>
        </w:rPr>
        <w:t>recreatiewoningen</w:t>
      </w:r>
      <w:r w:rsidR="009764C3">
        <w:rPr>
          <w:color w:val="auto"/>
        </w:rPr>
        <w:t xml:space="preserve"> in dat geval niet </w:t>
      </w:r>
      <w:r w:rsidR="009764C3">
        <w:rPr>
          <w:color w:val="auto"/>
        </w:rPr>
        <w:t>in</w:t>
      </w:r>
      <w:r w:rsidR="009764C3">
        <w:rPr>
          <w:color w:val="auto"/>
        </w:rPr>
        <w:t xml:space="preserve"> de recreatiewoning kunnen blijven wonen, dan </w:t>
      </w:r>
      <w:r w:rsidR="00DA73E9">
        <w:rPr>
          <w:color w:val="auto"/>
        </w:rPr>
        <w:t>zorgen we</w:t>
      </w:r>
      <w:r w:rsidR="009764C3">
        <w:rPr>
          <w:color w:val="auto"/>
        </w:rPr>
        <w:t xml:space="preserve"> ervoor dat zij</w:t>
      </w:r>
      <w:r w:rsidR="00DA273E">
        <w:rPr>
          <w:color w:val="auto"/>
        </w:rPr>
        <w:t xml:space="preserve"> niet zomaar op straat belanden in tijden van woningnood. </w:t>
      </w:r>
      <w:r w:rsidRPr="2BF2466A">
        <w:rPr>
          <w:color w:val="auto"/>
        </w:rPr>
        <w:t>Dit beleidsvoornemen heeft niet ten doel het woningtekort terug te dringen</w:t>
      </w:r>
      <w:r w:rsidR="002C4069">
        <w:rPr>
          <w:color w:val="auto"/>
        </w:rPr>
        <w:t>;</w:t>
      </w:r>
      <w:r w:rsidRPr="2BF2466A">
        <w:rPr>
          <w:color w:val="auto"/>
        </w:rPr>
        <w:t xml:space="preserve"> </w:t>
      </w:r>
      <w:r w:rsidR="007755CE">
        <w:rPr>
          <w:color w:val="auto"/>
        </w:rPr>
        <w:t xml:space="preserve">ik wil hiermee </w:t>
      </w:r>
      <w:r w:rsidRPr="2BF2466A">
        <w:rPr>
          <w:color w:val="auto"/>
        </w:rPr>
        <w:t xml:space="preserve">zekerheid bieden </w:t>
      </w:r>
      <w:r w:rsidR="007755CE">
        <w:rPr>
          <w:color w:val="auto"/>
        </w:rPr>
        <w:t xml:space="preserve">aan </w:t>
      </w:r>
      <w:r w:rsidRPr="2BF2466A">
        <w:rPr>
          <w:color w:val="auto"/>
        </w:rPr>
        <w:t xml:space="preserve">bewoners in recreatiewoningen.  </w:t>
      </w:r>
    </w:p>
    <w:p w:rsidRPr="00736F8B" w:rsidR="005C27A5" w:rsidP="002F5BDD" w14:paraId="144DD6C4" w14:textId="77777777">
      <w:pPr>
        <w:rPr>
          <w:color w:val="auto"/>
        </w:rPr>
      </w:pPr>
    </w:p>
    <w:p w:rsidRPr="00736F8B" w:rsidR="00797C22" w:rsidP="002F5BDD" w14:paraId="0934D1A8" w14:textId="77777777">
      <w:pPr>
        <w:rPr>
          <w:color w:val="auto"/>
        </w:rPr>
      </w:pPr>
      <w:r>
        <w:rPr>
          <w:color w:val="auto"/>
        </w:rPr>
        <w:t>Het is van belang om spoedig tot een heldere, gedragen aanpak te kome</w:t>
      </w:r>
      <w:r w:rsidR="00F11ADD">
        <w:rPr>
          <w:color w:val="auto"/>
        </w:rPr>
        <w:t>n</w:t>
      </w:r>
      <w:r>
        <w:rPr>
          <w:color w:val="auto"/>
        </w:rPr>
        <w:t>. Daarom heb ik i</w:t>
      </w:r>
      <w:r w:rsidRPr="00736F8B" w:rsidR="005C27A5">
        <w:rPr>
          <w:color w:val="auto"/>
        </w:rPr>
        <w:t>n de afgelopen periode waardevolle gesprekken gevoerd met diverse belanghebbenden bij dit vraagstuk. Zo heb ik gesproken met bewoners van recreatiewoningen, beheerders en eigenaren van vakantieparken, bestuurders namens VNG, IPO en vertegenwoordiging van de recreatiebranche</w:t>
      </w:r>
      <w:r>
        <w:rPr>
          <w:rStyle w:val="FootnoteReference"/>
          <w:color w:val="auto"/>
        </w:rPr>
        <w:footnoteReference w:id="5"/>
      </w:r>
      <w:r w:rsidRPr="00736F8B" w:rsidR="005C27A5">
        <w:rPr>
          <w:color w:val="auto"/>
        </w:rPr>
        <w:t xml:space="preserve">. </w:t>
      </w:r>
      <w:r w:rsidRPr="00736F8B" w:rsidR="0032006F">
        <w:rPr>
          <w:color w:val="auto"/>
        </w:rPr>
        <w:t xml:space="preserve">Deze gesprekken </w:t>
      </w:r>
      <w:r w:rsidRPr="00736F8B" w:rsidR="0032006F">
        <w:rPr>
          <w:color w:val="auto"/>
        </w:rPr>
        <w:t>onderstrepen</w:t>
      </w:r>
      <w:r w:rsidRPr="00736F8B" w:rsidR="0032006F">
        <w:rPr>
          <w:color w:val="auto"/>
        </w:rPr>
        <w:t xml:space="preserve"> dat permanente </w:t>
      </w:r>
      <w:r w:rsidR="001C47D4">
        <w:rPr>
          <w:color w:val="auto"/>
        </w:rPr>
        <w:t>bewoning</w:t>
      </w:r>
      <w:r w:rsidRPr="00736F8B" w:rsidR="001C47D4">
        <w:rPr>
          <w:color w:val="auto"/>
        </w:rPr>
        <w:t xml:space="preserve"> </w:t>
      </w:r>
      <w:r w:rsidRPr="00736F8B" w:rsidR="0032006F">
        <w:rPr>
          <w:color w:val="auto"/>
        </w:rPr>
        <w:t xml:space="preserve">van recreatiewoningen zeer divers van aard </w:t>
      </w:r>
      <w:r w:rsidR="001C47D4">
        <w:rPr>
          <w:color w:val="auto"/>
        </w:rPr>
        <w:t>is</w:t>
      </w:r>
      <w:r w:rsidRPr="00736F8B" w:rsidR="0032006F">
        <w:rPr>
          <w:color w:val="auto"/>
        </w:rPr>
        <w:t xml:space="preserve">. Er zijn mensen voor </w:t>
      </w:r>
      <w:r w:rsidRPr="00736F8B" w:rsidR="00B42A97">
        <w:rPr>
          <w:color w:val="auto"/>
        </w:rPr>
        <w:t>w</w:t>
      </w:r>
      <w:r w:rsidRPr="00736F8B" w:rsidR="0032006F">
        <w:rPr>
          <w:color w:val="auto"/>
        </w:rPr>
        <w:t xml:space="preserve">ie de recreatiewoning hun enige uitweg </w:t>
      </w:r>
      <w:r w:rsidRPr="00736F8B" w:rsidR="006C076C">
        <w:rPr>
          <w:color w:val="auto"/>
        </w:rPr>
        <w:t>is</w:t>
      </w:r>
      <w:r w:rsidRPr="00736F8B" w:rsidR="0032006F">
        <w:rPr>
          <w:color w:val="auto"/>
        </w:rPr>
        <w:t xml:space="preserve"> in deze tijden van woningnood, maar </w:t>
      </w:r>
      <w:r w:rsidRPr="00736F8B" w:rsidR="00976B62">
        <w:rPr>
          <w:color w:val="auto"/>
        </w:rPr>
        <w:t xml:space="preserve">dat is niet altijd het geval. </w:t>
      </w:r>
      <w:r w:rsidRPr="00736F8B" w:rsidR="0032006F">
        <w:rPr>
          <w:color w:val="auto"/>
        </w:rPr>
        <w:t xml:space="preserve">Daarnaast is mij duidelijk geworden dat dit vraagstuk al jarenlang speelt en </w:t>
      </w:r>
      <w:r w:rsidR="00C2165A">
        <w:rPr>
          <w:color w:val="auto"/>
        </w:rPr>
        <w:t>zich niet gemakkelijk laat oplossen</w:t>
      </w:r>
      <w:r w:rsidR="00180543">
        <w:rPr>
          <w:color w:val="auto"/>
        </w:rPr>
        <w:t>. P</w:t>
      </w:r>
      <w:r w:rsidR="00C2165A">
        <w:rPr>
          <w:color w:val="auto"/>
        </w:rPr>
        <w:t xml:space="preserve">ermanente bewoning </w:t>
      </w:r>
      <w:r w:rsidR="00180543">
        <w:rPr>
          <w:color w:val="auto"/>
        </w:rPr>
        <w:t xml:space="preserve">raakt namelijk </w:t>
      </w:r>
      <w:r w:rsidR="00C2165A">
        <w:rPr>
          <w:color w:val="auto"/>
        </w:rPr>
        <w:t>vele andere vraagstukken die op vakantieparken voorkomen</w:t>
      </w:r>
      <w:r w:rsidR="00180543">
        <w:rPr>
          <w:color w:val="auto"/>
        </w:rPr>
        <w:t>, zoals</w:t>
      </w:r>
      <w:r w:rsidR="00C2165A">
        <w:rPr>
          <w:color w:val="auto"/>
        </w:rPr>
        <w:t xml:space="preserve"> revitalisering, transformatie,</w:t>
      </w:r>
      <w:r w:rsidR="004662EA">
        <w:rPr>
          <w:color w:val="auto"/>
        </w:rPr>
        <w:t xml:space="preserve"> huisvesting van arbeidsmigranten</w:t>
      </w:r>
      <w:r w:rsidR="00C2165A">
        <w:rPr>
          <w:color w:val="auto"/>
        </w:rPr>
        <w:t xml:space="preserve"> en ondermijning.</w:t>
      </w:r>
      <w:r w:rsidR="00180543">
        <w:rPr>
          <w:color w:val="auto"/>
        </w:rPr>
        <w:t xml:space="preserve"> Mijns inziens is de instructieregel in </w:t>
      </w:r>
      <w:r w:rsidR="00F76F58">
        <w:rPr>
          <w:color w:val="auto"/>
        </w:rPr>
        <w:t>he</w:t>
      </w:r>
      <w:r w:rsidR="00180543">
        <w:rPr>
          <w:color w:val="auto"/>
        </w:rPr>
        <w:t xml:space="preserve">t licht </w:t>
      </w:r>
      <w:r w:rsidR="00F76F58">
        <w:rPr>
          <w:color w:val="auto"/>
        </w:rPr>
        <w:t xml:space="preserve">van het voorgaande </w:t>
      </w:r>
      <w:r w:rsidR="00180543">
        <w:rPr>
          <w:color w:val="auto"/>
        </w:rPr>
        <w:t>niet passend o</w:t>
      </w:r>
      <w:r w:rsidRPr="00736F8B" w:rsidR="00B42A97">
        <w:rPr>
          <w:color w:val="auto"/>
        </w:rPr>
        <w:t xml:space="preserve">m invulling te geven aan </w:t>
      </w:r>
      <w:r w:rsidR="00890814">
        <w:rPr>
          <w:color w:val="auto"/>
        </w:rPr>
        <w:t xml:space="preserve">de doelstelling </w:t>
      </w:r>
      <w:r w:rsidR="0099732E">
        <w:rPr>
          <w:color w:val="auto"/>
        </w:rPr>
        <w:t>van dit kabinet</w:t>
      </w:r>
      <w:r w:rsidRPr="00736F8B" w:rsidR="00F34648">
        <w:rPr>
          <w:color w:val="auto"/>
        </w:rPr>
        <w:t xml:space="preserve">. </w:t>
      </w:r>
      <w:r w:rsidRPr="00736F8B" w:rsidR="00C0762F">
        <w:rPr>
          <w:color w:val="auto"/>
        </w:rPr>
        <w:t>De inzet van é</w:t>
      </w:r>
      <w:r w:rsidRPr="00736F8B" w:rsidR="00976B62">
        <w:rPr>
          <w:color w:val="auto"/>
        </w:rPr>
        <w:t xml:space="preserve">én generiek </w:t>
      </w:r>
      <w:r w:rsidRPr="00736F8B" w:rsidR="00C0762F">
        <w:rPr>
          <w:color w:val="auto"/>
        </w:rPr>
        <w:t>juridisch instrument</w:t>
      </w:r>
      <w:r w:rsidRPr="00736F8B" w:rsidR="00976B62">
        <w:rPr>
          <w:color w:val="auto"/>
        </w:rPr>
        <w:t xml:space="preserve"> </w:t>
      </w:r>
      <w:r w:rsidRPr="00736F8B" w:rsidR="00C0762F">
        <w:rPr>
          <w:color w:val="auto"/>
        </w:rPr>
        <w:t xml:space="preserve">staat </w:t>
      </w:r>
      <w:r w:rsidR="0099732E">
        <w:rPr>
          <w:color w:val="auto"/>
        </w:rPr>
        <w:t xml:space="preserve">immers </w:t>
      </w:r>
      <w:r w:rsidR="004662EA">
        <w:rPr>
          <w:color w:val="auto"/>
        </w:rPr>
        <w:t xml:space="preserve">op </w:t>
      </w:r>
      <w:r w:rsidRPr="00736F8B" w:rsidR="00C0762F">
        <w:rPr>
          <w:color w:val="auto"/>
        </w:rPr>
        <w:t>gespannen voet</w:t>
      </w:r>
      <w:r w:rsidRPr="00736F8B" w:rsidR="00976B62">
        <w:rPr>
          <w:color w:val="auto"/>
        </w:rPr>
        <w:t xml:space="preserve"> met</w:t>
      </w:r>
      <w:r w:rsidRPr="00736F8B" w:rsidR="006C076C">
        <w:rPr>
          <w:color w:val="auto"/>
        </w:rPr>
        <w:t xml:space="preserve"> zowel</w:t>
      </w:r>
      <w:r w:rsidRPr="00736F8B" w:rsidR="00976B62">
        <w:rPr>
          <w:color w:val="auto"/>
        </w:rPr>
        <w:t xml:space="preserve"> de diversiteit van de woonsituaties</w:t>
      </w:r>
      <w:r w:rsidRPr="00736F8B" w:rsidR="00DD2057">
        <w:rPr>
          <w:color w:val="auto"/>
        </w:rPr>
        <w:t xml:space="preserve"> op de parken, </w:t>
      </w:r>
      <w:r w:rsidRPr="00736F8B" w:rsidR="006C076C">
        <w:rPr>
          <w:color w:val="auto"/>
        </w:rPr>
        <w:t>als</w:t>
      </w:r>
      <w:r w:rsidRPr="00736F8B" w:rsidR="00DD2057">
        <w:rPr>
          <w:color w:val="auto"/>
        </w:rPr>
        <w:t xml:space="preserve"> met de complexe samenhang met andere uitdagingen die op vakantieparken kunnen spelen. </w:t>
      </w:r>
    </w:p>
    <w:p w:rsidRPr="00736F8B" w:rsidR="002A5EB2" w:rsidP="002F5BDD" w14:paraId="4A5BD334" w14:textId="77777777">
      <w:pPr>
        <w:rPr>
          <w:color w:val="auto"/>
        </w:rPr>
      </w:pPr>
    </w:p>
    <w:p w:rsidR="00142F98" w:rsidP="00142F98" w14:paraId="3FC23C12" w14:textId="77777777">
      <w:pPr>
        <w:rPr>
          <w:color w:val="auto"/>
        </w:rPr>
      </w:pPr>
      <w:r w:rsidRPr="00142F98">
        <w:rPr>
          <w:i/>
          <w:iCs/>
          <w:color w:val="auto"/>
        </w:rPr>
        <w:t>Afspraken</w:t>
      </w:r>
      <w:r w:rsidRPr="00142F98">
        <w:rPr>
          <w:color w:val="auto"/>
        </w:rPr>
        <w:br/>
        <w:t>Permanente bewoners van recreatiewoningen hebben behoefte aan zekerheid en voorspelbaarheid; zij willen weten waar zij aan toe zijn. Deze zekerheid hebben zij nu nog niet altijd. Met VNG heb ik hierover afgelopen periode uitvoerig contact gehad en VNG deelt met mij de uitgangspunten dat: </w:t>
      </w:r>
    </w:p>
    <w:p w:rsidR="00142F98" w:rsidP="00142F98" w14:paraId="198751A3" w14:textId="77777777">
      <w:pPr>
        <w:pStyle w:val="ListParagraph"/>
        <w:numPr>
          <w:ilvl w:val="0"/>
          <w:numId w:val="10"/>
        </w:numPr>
        <w:rPr>
          <w:color w:val="auto"/>
        </w:rPr>
      </w:pPr>
      <w:r w:rsidRPr="00142F98">
        <w:rPr>
          <w:color w:val="auto"/>
        </w:rPr>
        <w:t xml:space="preserve">In beginsel geldt dat de gemeente ervoor zorgt dat permanente bewoners van recreatiewoningen nooit zomaar op straat komen te staan: de menselijke maat is het uitgangspunt. </w:t>
      </w:r>
    </w:p>
    <w:p w:rsidRPr="00704E61" w:rsidR="00704E61" w:rsidP="2BF2466A" w14:paraId="77539E8C" w14:textId="77777777">
      <w:pPr>
        <w:pStyle w:val="ListParagraph"/>
        <w:numPr>
          <w:ilvl w:val="0"/>
          <w:numId w:val="10"/>
        </w:numPr>
        <w:rPr>
          <w:color w:val="auto"/>
        </w:rPr>
      </w:pPr>
      <w:r w:rsidRPr="00142F98">
        <w:rPr>
          <w:color w:val="auto"/>
        </w:rPr>
        <w:t xml:space="preserve">Permanente bewoners in schrijnende situaties moeten worden beschermd: er wordt bekeken of hun woonsituatie kan worden gelegaliseerd. Als dit niet mogelijk blijkt, wordt door gemeenten ingezet op het vinden van een passende oplossing waaronder ondersteuning naar alternatieve huisvesting. </w:t>
      </w:r>
    </w:p>
    <w:p w:rsidRPr="00704E61" w:rsidR="00142F98" w:rsidP="00704E61" w14:paraId="5DF653DF" w14:textId="77777777">
      <w:pPr>
        <w:rPr>
          <w:color w:val="auto"/>
        </w:rPr>
      </w:pPr>
      <w:r w:rsidRPr="00704E61">
        <w:rPr>
          <w:color w:val="auto"/>
        </w:rPr>
        <w:t>Met VNG heb ik afgesproken dat deze uitgangspunten voor het einde van het jaar worden uitgewerkt</w:t>
      </w:r>
      <w:r w:rsidRPr="00704E61" w:rsidR="002C4069">
        <w:rPr>
          <w:color w:val="auto"/>
        </w:rPr>
        <w:t xml:space="preserve"> in een landelijk handelingskader</w:t>
      </w:r>
      <w:r w:rsidR="00D038EA">
        <w:rPr>
          <w:color w:val="auto"/>
        </w:rPr>
        <w:t xml:space="preserve"> als onderdeel van de werkafspraken</w:t>
      </w:r>
      <w:r w:rsidRPr="00704E61">
        <w:rPr>
          <w:color w:val="auto"/>
        </w:rPr>
        <w:t>, met het uitgangspunt dat gemeenten in lijn met het handelingskader van de afspraken handelen en beleid maken. Gemeenten kunnen dan ook</w:t>
      </w:r>
      <w:r w:rsidRPr="00704E61" w:rsidR="002C4069">
        <w:rPr>
          <w:color w:val="auto"/>
        </w:rPr>
        <w:t xml:space="preserve"> door mij</w:t>
      </w:r>
      <w:r w:rsidRPr="00704E61">
        <w:rPr>
          <w:color w:val="auto"/>
        </w:rPr>
        <w:t xml:space="preserve"> worden aangesproken als zij niet </w:t>
      </w:r>
      <w:r w:rsidRPr="00704E61">
        <w:rPr>
          <w:color w:val="auto"/>
        </w:rPr>
        <w:t>conform</w:t>
      </w:r>
      <w:r w:rsidRPr="00704E61">
        <w:rPr>
          <w:color w:val="auto"/>
        </w:rPr>
        <w:t xml:space="preserve"> het handelingskader handelen. Uiteraard dienen de werkafspraken voor alle betrokken partijen duidelijk, werkbaar en uitvoerbaar te zijn en er zal rekening worden gehouden met andere zaken die op het park spelen zoals ondermijning en transformatieprocessen. Ik zal ook in gesprek gaan met vertegenwoordiging vanuit de medeoverheden en de recreatiesector. Na het vaststellen van </w:t>
      </w:r>
      <w:r w:rsidR="00DA273E">
        <w:rPr>
          <w:color w:val="auto"/>
        </w:rPr>
        <w:t>het</w:t>
      </w:r>
      <w:r w:rsidRPr="00704E61" w:rsidR="00DA273E">
        <w:rPr>
          <w:color w:val="auto"/>
        </w:rPr>
        <w:t xml:space="preserve"> </w:t>
      </w:r>
      <w:r w:rsidR="00CE0E4A">
        <w:rPr>
          <w:color w:val="auto"/>
        </w:rPr>
        <w:t>handelingskader</w:t>
      </w:r>
      <w:r w:rsidRPr="00704E61">
        <w:rPr>
          <w:color w:val="auto"/>
        </w:rPr>
        <w:t xml:space="preserve"> zal ik de situatie op vakantieparken nauwlettend in de gaten </w:t>
      </w:r>
      <w:r w:rsidRPr="00704E61">
        <w:rPr>
          <w:color w:val="auto"/>
        </w:rPr>
        <w:t>houden. Mochten d</w:t>
      </w:r>
      <w:r w:rsidR="00CE0E4A">
        <w:rPr>
          <w:color w:val="auto"/>
        </w:rPr>
        <w:t xml:space="preserve">eze </w:t>
      </w:r>
      <w:r w:rsidRPr="00704E61">
        <w:rPr>
          <w:color w:val="auto"/>
        </w:rPr>
        <w:t xml:space="preserve">afspraken niet tot voldoende zekerheid voor bewoners leiden, zal ik dit beleid herzien. </w:t>
      </w:r>
    </w:p>
    <w:p w:rsidRPr="00142F98" w:rsidR="00142F98" w:rsidP="00142F98" w14:paraId="4DFC8B52" w14:textId="77777777">
      <w:pPr>
        <w:rPr>
          <w:color w:val="auto"/>
        </w:rPr>
      </w:pPr>
    </w:p>
    <w:p w:rsidRPr="00142F98" w:rsidR="00A5226A" w:rsidP="00142F98" w14:paraId="6C79A58C" w14:textId="77777777">
      <w:pPr>
        <w:rPr>
          <w:color w:val="auto"/>
        </w:rPr>
      </w:pPr>
      <w:r w:rsidRPr="00142F98">
        <w:rPr>
          <w:color w:val="auto"/>
        </w:rPr>
        <w:t xml:space="preserve">Ik kan mij voorstellen dat een deel van de bewoners van recreatiewoningen had gerekend op het uitvoeren van de instructieregel. Mijn beeld is dat afspraken </w:t>
      </w:r>
      <w:r w:rsidRPr="00142F98">
        <w:rPr>
          <w:color w:val="auto"/>
        </w:rPr>
        <w:t>conform</w:t>
      </w:r>
      <w:r w:rsidRPr="00142F98">
        <w:rPr>
          <w:color w:val="auto"/>
        </w:rPr>
        <w:t xml:space="preserve"> deze uitgangspunten aan bewoners, die in een schrijnende situatie zitten zonder alternatief, gerichter de zekerheid kunnen geven waar zij aan toe zijn. De afspraken waarborgen dat permanente bewoners van recreatiewoningen nooit zomaar op straat komen te staan. Tegelijkertijd doen de afspraken recht aan de diversiteit van de woonsituaties en de samenhang met andere uitdagingen op vakantieparken, en is de aanpak sneller uitvoerbaar. </w:t>
      </w:r>
    </w:p>
    <w:p w:rsidRPr="00142F98" w:rsidR="00142F98" w:rsidP="00142F98" w14:paraId="11D0E71F" w14:textId="77777777">
      <w:pPr>
        <w:rPr>
          <w:color w:val="auto"/>
        </w:rPr>
      </w:pPr>
      <w:r w:rsidRPr="00142F98">
        <w:rPr>
          <w:color w:val="auto"/>
        </w:rPr>
        <w:t> </w:t>
      </w:r>
    </w:p>
    <w:p w:rsidR="00142F98" w:rsidP="2BF2466A" w14:paraId="163F3C19" w14:textId="77777777">
      <w:pPr>
        <w:rPr>
          <w:color w:val="auto"/>
        </w:rPr>
      </w:pPr>
      <w:r w:rsidRPr="2BF2466A">
        <w:rPr>
          <w:color w:val="auto"/>
        </w:rPr>
        <w:t xml:space="preserve">Ik verzoek gemeenten om vooruitlopend op het </w:t>
      </w:r>
      <w:r w:rsidR="002C4069">
        <w:rPr>
          <w:color w:val="auto"/>
        </w:rPr>
        <w:t>maken</w:t>
      </w:r>
      <w:r w:rsidRPr="2BF2466A" w:rsidR="002C4069">
        <w:rPr>
          <w:color w:val="auto"/>
        </w:rPr>
        <w:t xml:space="preserve"> </w:t>
      </w:r>
      <w:r w:rsidRPr="2BF2466A">
        <w:rPr>
          <w:color w:val="auto"/>
        </w:rPr>
        <w:t xml:space="preserve">van </w:t>
      </w:r>
      <w:r w:rsidR="00CE0E4A">
        <w:rPr>
          <w:color w:val="auto"/>
        </w:rPr>
        <w:t>de bovenstaande afspraken</w:t>
      </w:r>
      <w:r w:rsidRPr="2BF2466A">
        <w:rPr>
          <w:color w:val="auto"/>
        </w:rPr>
        <w:t xml:space="preserve"> nadrukkelijk terughoudend te zijn met handhaving, en daarmee in lijn te handelen met de aangenomen motie </w:t>
      </w:r>
      <w:r w:rsidRPr="2BF2466A">
        <w:rPr>
          <w:color w:val="auto"/>
        </w:rPr>
        <w:t>Wijen-Nass</w:t>
      </w:r>
      <w:r w:rsidRPr="2BF2466A">
        <w:rPr>
          <w:color w:val="auto"/>
        </w:rPr>
        <w:t xml:space="preserve">, zodat daarmee kan worden voorkomen dat permanente bewoners van recreatiewoningen hun woonruimte verliezen en op straat terecht komen. Ik begrijp evenwel ook dat handhavend moet kunnen worden opgetreden in geval van bijvoorbeeld overlast of ondermijnende criminaliteit. Voor het eind van het jaar informeer ik uw Kamer over de uitwerking van de werkafspraken. </w:t>
      </w:r>
      <w:r w:rsidRPr="00513992" w:rsidR="00513992">
        <w:rPr>
          <w:color w:val="auto"/>
        </w:rPr>
        <w:t>De voorhang van de instructieregel beëindig ik hierbij. Dit betekent dat ik de instructieregel niet verder in behandeling zal brengen.</w:t>
      </w:r>
    </w:p>
    <w:p w:rsidRPr="00142F98" w:rsidR="00A5226A" w:rsidP="00142F98" w14:paraId="12F14887" w14:textId="77777777">
      <w:pPr>
        <w:rPr>
          <w:color w:val="auto"/>
        </w:rPr>
      </w:pPr>
    </w:p>
    <w:p w:rsidRPr="00F80713" w:rsidR="00A729DA" w:rsidP="00A729DA" w14:paraId="4D78146C" w14:textId="77777777">
      <w:pPr>
        <w:rPr>
          <w:i/>
          <w:iCs/>
          <w:color w:val="auto"/>
        </w:rPr>
      </w:pPr>
      <w:r w:rsidRPr="00F80713">
        <w:rPr>
          <w:i/>
          <w:iCs/>
          <w:color w:val="auto"/>
        </w:rPr>
        <w:t>Transformatie waar mogelijk en gewenst</w:t>
      </w:r>
    </w:p>
    <w:p w:rsidRPr="00F80713" w:rsidR="00A729DA" w:rsidP="00A729DA" w14:paraId="12B4419D" w14:textId="77777777">
      <w:pPr>
        <w:rPr>
          <w:color w:val="auto"/>
        </w:rPr>
      </w:pPr>
      <w:r w:rsidRPr="00F80713">
        <w:rPr>
          <w:color w:val="auto"/>
        </w:rPr>
        <w:t xml:space="preserve">Transformatie leidt tot beperkte aantallen extra woningen, maar kan op lokaal niveau veel impact hebben. Eerder is het Loket transformatiewens vakantieparken ingesteld. Eigenaren en VvE’s van recreatiewoningen konden via een vragenformulier hun transformatiewens tot eind mei 2024 kenbaar maken. Het loket heeft destijds vanuit 120 gemeenten meldingen ontvangen van 2.000 eigenaren van recreatiewoningen of VvE’s van vakantieparken, met een sterke transformatiewens. De 19 gemeenten met de meeste meldingen worden op dit moment proactief benaderd door het Expertteam Transformatie Vakantieparken (ETV) van RVO, waarvan inmiddels twee concrete mogelijkheden worden opgepakt. Doel van het ETV is om te helpen bij het oplossen van knelpunten en problemen bij transformatie van vakantieparken, die zich lokaal voordoen. </w:t>
      </w:r>
    </w:p>
    <w:p w:rsidRPr="00F80713" w:rsidR="00A729DA" w:rsidP="00A729DA" w14:paraId="2845D75D" w14:textId="77777777">
      <w:pPr>
        <w:rPr>
          <w:color w:val="auto"/>
        </w:rPr>
      </w:pPr>
    </w:p>
    <w:p w:rsidRPr="00F80713" w:rsidR="00A729DA" w:rsidP="00A729DA" w14:paraId="1A63CE86" w14:textId="77777777">
      <w:pPr>
        <w:rPr>
          <w:color w:val="auto"/>
        </w:rPr>
      </w:pPr>
      <w:r w:rsidRPr="00F80713">
        <w:rPr>
          <w:color w:val="auto"/>
        </w:rPr>
        <w:t>Gemeenten zijn primair verantwoordelijk voor het transformatieproces. Om meer sturing te geven aan daadwerkelijke transformatie daar waar gewenst en mogelijk, onderneem ik ter uitvoering van de motie lid-De Groot</w:t>
      </w:r>
      <w:r>
        <w:rPr>
          <w:rStyle w:val="FootnoteReference"/>
          <w:color w:val="auto"/>
        </w:rPr>
        <w:footnoteReference w:id="6"/>
      </w:r>
      <w:r w:rsidRPr="00F80713">
        <w:rPr>
          <w:color w:val="auto"/>
        </w:rPr>
        <w:t xml:space="preserve"> drie acties:</w:t>
      </w:r>
    </w:p>
    <w:p w:rsidRPr="00F80713" w:rsidR="00A729DA" w:rsidP="00A729DA" w14:paraId="01F6A5F4" w14:textId="77777777">
      <w:pPr>
        <w:rPr>
          <w:color w:val="auto"/>
        </w:rPr>
      </w:pPr>
    </w:p>
    <w:p w:rsidRPr="00A86752" w:rsidR="00A729DA" w:rsidP="00A729DA" w14:paraId="6E4928C0" w14:textId="77777777">
      <w:pPr>
        <w:pStyle w:val="ListParagraph"/>
        <w:numPr>
          <w:ilvl w:val="0"/>
          <w:numId w:val="13"/>
        </w:numPr>
        <w:autoSpaceDN/>
        <w:spacing w:after="160" w:line="259" w:lineRule="auto"/>
        <w:textAlignment w:val="auto"/>
        <w:rPr>
          <w:rFonts w:eastAsiaTheme="minorHAnsi" w:cstheme="minorBidi"/>
          <w:color w:val="auto"/>
          <w:lang w:eastAsia="en-US"/>
        </w:rPr>
      </w:pPr>
      <w:r w:rsidRPr="00F80713">
        <w:rPr>
          <w:rFonts w:eastAsiaTheme="minorHAnsi" w:cstheme="minorBidi"/>
          <w:color w:val="auto"/>
          <w:lang w:eastAsia="en-US"/>
        </w:rPr>
        <w:t xml:space="preserve">Ten eerste: het juridisch kader. Er wordt met de inwerkingtreding van het Besluit versterking regie volkshuisvesting, naar verwachting op 1 januari 2027, van gemeenten gevraagd om beleid ter voorziening in de woonbehoefte binnen de bestaande woningvoorraad. Dit omvat ook de transformatie van recreatiewoningen. </w:t>
      </w:r>
    </w:p>
    <w:p w:rsidRPr="00A86752" w:rsidR="00A729DA" w:rsidP="00A729DA" w14:paraId="07AD46EA" w14:textId="77777777">
      <w:pPr>
        <w:pStyle w:val="ListParagraph"/>
        <w:numPr>
          <w:ilvl w:val="0"/>
          <w:numId w:val="13"/>
        </w:numPr>
        <w:autoSpaceDN/>
        <w:spacing w:after="160" w:line="259" w:lineRule="auto"/>
        <w:textAlignment w:val="auto"/>
        <w:rPr>
          <w:rFonts w:eastAsiaTheme="minorHAnsi" w:cstheme="minorBidi"/>
          <w:color w:val="auto"/>
          <w:lang w:eastAsia="en-US"/>
        </w:rPr>
      </w:pPr>
      <w:r w:rsidRPr="00F80713">
        <w:rPr>
          <w:rFonts w:eastAsiaTheme="minorHAnsi" w:cstheme="minorBidi"/>
          <w:color w:val="auto"/>
          <w:lang w:eastAsia="en-US"/>
        </w:rPr>
        <w:t xml:space="preserve">Ten tweede: lokale initiatieven mogelijk maken. Ik zal gekoppeld aan het ETV deze zomer nog aanvullend opdracht verstrekken voor ondersteuning van gemeenten, eigenaren (waaronder nadrukkelijk ook VvE’s) in het gezamenlijk </w:t>
      </w:r>
      <w:r w:rsidRPr="00F80713">
        <w:rPr>
          <w:rFonts w:eastAsiaTheme="minorHAnsi" w:cstheme="minorBidi"/>
          <w:color w:val="auto"/>
          <w:lang w:eastAsia="en-US"/>
        </w:rPr>
        <w:t>uitwerken van plannen voor transformatie. Daar waar op aangeven van gemeenten of initiatiefnemers onvoldoende voortgang wordt geboekt en waar met goede afspraken over bijvoorbeeld verevening kan worden getransformeerd, worden zij ondersteund in het transformatieproces, zoals ook toegezegd aan lid-De Groot</w:t>
      </w:r>
      <w:r>
        <w:rPr>
          <w:rStyle w:val="FootnoteReference"/>
          <w:rFonts w:eastAsiaTheme="minorHAnsi" w:cstheme="minorBidi"/>
          <w:color w:val="auto"/>
          <w:lang w:eastAsia="en-US"/>
        </w:rPr>
        <w:footnoteReference w:id="7"/>
      </w:r>
      <w:r w:rsidRPr="00F80713">
        <w:rPr>
          <w:rFonts w:eastAsiaTheme="minorHAnsi" w:cstheme="minorBidi"/>
          <w:color w:val="auto"/>
          <w:lang w:eastAsia="en-US"/>
        </w:rPr>
        <w:t xml:space="preserve">. </w:t>
      </w:r>
    </w:p>
    <w:p w:rsidRPr="00A86752" w:rsidR="00A729DA" w:rsidP="00A729DA" w14:paraId="1D863E79" w14:textId="77777777">
      <w:pPr>
        <w:pStyle w:val="ListParagraph"/>
        <w:numPr>
          <w:ilvl w:val="0"/>
          <w:numId w:val="13"/>
        </w:numPr>
        <w:autoSpaceDN/>
        <w:spacing w:after="160" w:line="259" w:lineRule="auto"/>
        <w:textAlignment w:val="auto"/>
        <w:rPr>
          <w:rFonts w:eastAsiaTheme="minorHAnsi" w:cstheme="minorBidi"/>
          <w:color w:val="auto"/>
          <w:lang w:eastAsia="en-US"/>
        </w:rPr>
      </w:pPr>
      <w:r w:rsidRPr="00A86752">
        <w:rPr>
          <w:color w:val="auto"/>
        </w:rPr>
        <w:t>Ten derde: succesfactoren toepassen in gemeentelijk beleid. Het ETV zal mij na de zomer een beleidsadvies verstrekken over het verder aanjagen van transformaties; welke ik met u zal delen. Zij zullen daarbij ingaan op welke door de gemeente gehanteerde criteria en welke factoren het meest bepalend zijn voor het succesvol doorlopen van transformatie. Die inzichten kunnen worden benut voor het opstellen van gemeentelijk beleid in het kader van het Besluit versterking regie volkshuisvesting en het mogelijk maken van lokale initiatieven.</w:t>
      </w:r>
      <w:r w:rsidRPr="00A86752">
        <w:t xml:space="preserve"> </w:t>
      </w:r>
      <w:r w:rsidRPr="00F80713">
        <w:rPr>
          <w:rFonts w:eastAsiaTheme="minorHAnsi" w:cstheme="minorBidi"/>
          <w:color w:val="auto"/>
          <w:lang w:eastAsia="en-US"/>
        </w:rPr>
        <w:t>Tevens</w:t>
      </w:r>
      <w:r w:rsidRPr="00F80713">
        <w:rPr>
          <w:rFonts w:eastAsiaTheme="minorHAnsi" w:cstheme="minorBidi"/>
          <w:color w:val="auto"/>
          <w:lang w:eastAsia="en-US"/>
        </w:rPr>
        <w:t xml:space="preserve"> betrek ik de mogelijkheden voor transformatie waar nodig bij het handelingskader over permanente bewoning dat ik met gemeenten afspreek. </w:t>
      </w:r>
    </w:p>
    <w:p w:rsidR="00A729DA" w14:paraId="42177C07" w14:textId="77777777">
      <w:pPr>
        <w:rPr>
          <w:color w:val="auto"/>
        </w:rPr>
      </w:pPr>
    </w:p>
    <w:p w:rsidR="00736F8B" w14:paraId="19FDEABE" w14:textId="77777777">
      <w:pPr>
        <w:rPr>
          <w:color w:val="auto"/>
        </w:rPr>
      </w:pPr>
      <w:r>
        <w:rPr>
          <w:color w:val="auto"/>
        </w:rPr>
        <w:t>De minister van Volkshuisvesting en Ruimtelijke Ordening,</w:t>
      </w:r>
    </w:p>
    <w:p w:rsidR="00790DBB" w14:paraId="3D233877" w14:textId="77777777">
      <w:pPr>
        <w:rPr>
          <w:color w:val="auto"/>
        </w:rPr>
      </w:pPr>
    </w:p>
    <w:p w:rsidR="00790DBB" w14:paraId="0B3A04FA" w14:textId="77777777">
      <w:pPr>
        <w:rPr>
          <w:color w:val="auto"/>
        </w:rPr>
      </w:pPr>
    </w:p>
    <w:p w:rsidR="00790DBB" w14:paraId="4BDD92D5" w14:textId="77777777">
      <w:pPr>
        <w:rPr>
          <w:color w:val="auto"/>
        </w:rPr>
      </w:pPr>
    </w:p>
    <w:p w:rsidR="00DC7F35" w14:paraId="0E56CF12" w14:textId="77777777">
      <w:pPr>
        <w:rPr>
          <w:color w:val="auto"/>
        </w:rPr>
      </w:pPr>
    </w:p>
    <w:p w:rsidR="00790DBB" w14:paraId="3352A946" w14:textId="77777777">
      <w:pPr>
        <w:rPr>
          <w:color w:val="auto"/>
        </w:rPr>
      </w:pPr>
    </w:p>
    <w:p w:rsidRPr="00736F8B" w:rsidR="00A70544" w14:paraId="0534C411" w14:textId="77777777">
      <w:pPr>
        <w:rPr>
          <w:color w:val="auto"/>
        </w:rPr>
      </w:pPr>
      <w:r>
        <w:rPr>
          <w:color w:val="auto"/>
        </w:rPr>
        <w:t>El</w:t>
      </w:r>
      <w:r w:rsidR="008F7451">
        <w:rPr>
          <w:color w:val="auto"/>
        </w:rPr>
        <w:t>a</w:t>
      </w:r>
      <w:r>
        <w:rPr>
          <w:color w:val="auto"/>
        </w:rPr>
        <w:t>nor</w:t>
      </w:r>
      <w:r>
        <w:rPr>
          <w:color w:val="auto"/>
        </w:rPr>
        <w:t xml:space="preserve"> </w:t>
      </w:r>
      <w:r>
        <w:rPr>
          <w:color w:val="auto"/>
        </w:rPr>
        <w:t>Boekholt-O’Sullivan</w:t>
      </w:r>
      <w:r>
        <w:rPr>
          <w:color w:val="auto"/>
        </w:rPr>
        <w:t xml:space="preserve"> </w:t>
      </w: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0544" w14:paraId="1CEE70F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3F80" w14:paraId="61E0FF62" w14:textId="77777777">
      <w:pPr>
        <w:spacing w:line="240" w:lineRule="auto"/>
      </w:pPr>
      <w:r>
        <w:separator/>
      </w:r>
    </w:p>
  </w:footnote>
  <w:footnote w:type="continuationSeparator" w:id="1">
    <w:p w:rsidR="005E3F80" w14:paraId="428AAF46" w14:textId="77777777">
      <w:pPr>
        <w:spacing w:line="240" w:lineRule="auto"/>
      </w:pPr>
      <w:r>
        <w:continuationSeparator/>
      </w:r>
    </w:p>
  </w:footnote>
  <w:footnote w:id="2">
    <w:p w:rsidR="00917793" w:rsidRPr="00134515" w14:paraId="7C09457B" w14:textId="77777777">
      <w:pPr>
        <w:pStyle w:val="FootnoteText"/>
        <w:rPr>
          <w:sz w:val="16"/>
          <w:szCs w:val="16"/>
        </w:rPr>
      </w:pPr>
      <w:r w:rsidRPr="00134515">
        <w:rPr>
          <w:rStyle w:val="FootnoteReference"/>
          <w:sz w:val="16"/>
          <w:szCs w:val="16"/>
        </w:rPr>
        <w:footnoteRef/>
      </w:r>
      <w:r w:rsidRPr="00134515">
        <w:rPr>
          <w:sz w:val="16"/>
          <w:szCs w:val="16"/>
        </w:rPr>
        <w:t xml:space="preserve"> </w:t>
      </w:r>
      <w:r w:rsidRPr="00134515" w:rsidR="00134515">
        <w:rPr>
          <w:sz w:val="16"/>
          <w:szCs w:val="16"/>
        </w:rPr>
        <w:t xml:space="preserve">Te raadplegen op: </w:t>
      </w:r>
      <w:hyperlink r:id="rId1" w:history="1">
        <w:r w:rsidRPr="00134515" w:rsidR="000E6F00">
          <w:rPr>
            <w:color w:val="0000FF"/>
            <w:sz w:val="16"/>
            <w:szCs w:val="16"/>
            <w:u w:val="single"/>
          </w:rPr>
          <w:t>AMvB - wijzigingen van het Besluit kwaliteit leefomgeving in verband met een instructieregel voor bestaand gebruik bewoning vakantieparken</w:t>
        </w:r>
      </w:hyperlink>
    </w:p>
  </w:footnote>
  <w:footnote w:id="3">
    <w:p w:rsidR="004E239D" w:rsidRPr="00134515" w:rsidP="004E239D" w14:paraId="0ABB7D7E" w14:textId="77777777">
      <w:pPr>
        <w:pStyle w:val="FootnoteText"/>
        <w:rPr>
          <w:sz w:val="16"/>
          <w:szCs w:val="16"/>
        </w:rPr>
      </w:pPr>
      <w:r w:rsidRPr="00134515">
        <w:rPr>
          <w:rStyle w:val="FootnoteReference"/>
          <w:sz w:val="16"/>
          <w:szCs w:val="16"/>
        </w:rPr>
        <w:footnoteRef/>
      </w:r>
      <w:r w:rsidRPr="00134515">
        <w:rPr>
          <w:sz w:val="16"/>
          <w:szCs w:val="16"/>
        </w:rPr>
        <w:t xml:space="preserve"> </w:t>
      </w:r>
      <w:r w:rsidRPr="00134515" w:rsidR="00134515">
        <w:rPr>
          <w:sz w:val="16"/>
          <w:szCs w:val="16"/>
        </w:rPr>
        <w:t xml:space="preserve">Te raadplegen op: </w:t>
      </w:r>
      <w:hyperlink r:id="rId2" w:history="1">
        <w:r w:rsidRPr="00134515">
          <w:rPr>
            <w:rStyle w:val="Hyperlink"/>
            <w:sz w:val="16"/>
            <w:szCs w:val="16"/>
          </w:rPr>
          <w:t>Uitvoeringstoets Dienst Toeslagen - permanente bewoning recreatiewoningen | Rijksoverheid.nl</w:t>
        </w:r>
      </w:hyperlink>
    </w:p>
  </w:footnote>
  <w:footnote w:id="4">
    <w:p w:rsidR="00962219" w14:paraId="55C9FD59" w14:textId="77777777">
      <w:pPr>
        <w:pStyle w:val="FootnoteText"/>
      </w:pPr>
      <w:r w:rsidRPr="00134515">
        <w:rPr>
          <w:rStyle w:val="FootnoteReference"/>
          <w:sz w:val="16"/>
          <w:szCs w:val="16"/>
        </w:rPr>
        <w:footnoteRef/>
      </w:r>
      <w:r w:rsidRPr="00134515">
        <w:rPr>
          <w:sz w:val="16"/>
          <w:szCs w:val="16"/>
        </w:rPr>
        <w:t xml:space="preserve"> </w:t>
      </w:r>
      <w:r w:rsidRPr="00134515" w:rsidR="00BC4B48">
        <w:rPr>
          <w:sz w:val="16"/>
          <w:szCs w:val="16"/>
        </w:rPr>
        <w:t xml:space="preserve">Het rapport van </w:t>
      </w:r>
      <w:r w:rsidRPr="00134515" w:rsidR="00BC4B48">
        <w:rPr>
          <w:sz w:val="16"/>
          <w:szCs w:val="16"/>
        </w:rPr>
        <w:t>Ipsos</w:t>
      </w:r>
      <w:r w:rsidRPr="00134515" w:rsidR="00BC4B48">
        <w:rPr>
          <w:sz w:val="16"/>
          <w:szCs w:val="16"/>
        </w:rPr>
        <w:t xml:space="preserve"> ‘</w:t>
      </w:r>
      <w:r w:rsidRPr="00134515" w:rsidR="00C26C29">
        <w:rPr>
          <w:sz w:val="16"/>
          <w:szCs w:val="16"/>
        </w:rPr>
        <w:t>Rapportage bewoning vakantieparken</w:t>
      </w:r>
      <w:r w:rsidRPr="00134515" w:rsidR="00BC4B48">
        <w:rPr>
          <w:sz w:val="16"/>
          <w:szCs w:val="16"/>
        </w:rPr>
        <w:t>’ en de notitie van R</w:t>
      </w:r>
      <w:r w:rsidRPr="00134515" w:rsidR="00BF1848">
        <w:rPr>
          <w:sz w:val="16"/>
          <w:szCs w:val="16"/>
        </w:rPr>
        <w:t>IGO</w:t>
      </w:r>
      <w:r w:rsidRPr="00134515" w:rsidR="00BC4B48">
        <w:rPr>
          <w:sz w:val="16"/>
          <w:szCs w:val="16"/>
        </w:rPr>
        <w:t xml:space="preserve"> ‘Aantal huurtoeslaggerechtigden in recreatiewoningen; eerste scan/second opinion’ zijn als bijlagen bij deze brief gevoegd. </w:t>
      </w:r>
    </w:p>
  </w:footnote>
  <w:footnote w:id="5">
    <w:p w:rsidR="00736F8B" w:rsidRPr="00A76475" w14:paraId="41093079" w14:textId="77777777">
      <w:pPr>
        <w:pStyle w:val="FootnoteText"/>
        <w:rPr>
          <w:sz w:val="18"/>
          <w:szCs w:val="18"/>
        </w:rPr>
      </w:pPr>
      <w:r w:rsidRPr="00A76475">
        <w:rPr>
          <w:rStyle w:val="FootnoteReference"/>
          <w:sz w:val="16"/>
          <w:szCs w:val="16"/>
        </w:rPr>
        <w:footnoteRef/>
      </w:r>
      <w:r w:rsidRPr="00A76475">
        <w:rPr>
          <w:sz w:val="16"/>
          <w:szCs w:val="16"/>
        </w:rPr>
        <w:t xml:space="preserve"> Toezegging</w:t>
      </w:r>
      <w:r w:rsidR="00917793">
        <w:rPr>
          <w:sz w:val="16"/>
          <w:szCs w:val="16"/>
        </w:rPr>
        <w:t xml:space="preserve"> </w:t>
      </w:r>
      <w:r w:rsidR="00C816B5">
        <w:rPr>
          <w:sz w:val="16"/>
          <w:szCs w:val="16"/>
        </w:rPr>
        <w:t xml:space="preserve">aan het lid </w:t>
      </w:r>
      <w:r w:rsidR="00917793">
        <w:rPr>
          <w:sz w:val="16"/>
          <w:szCs w:val="16"/>
        </w:rPr>
        <w:t>Flach</w:t>
      </w:r>
      <w:r w:rsidRPr="00A76475">
        <w:rPr>
          <w:sz w:val="16"/>
          <w:szCs w:val="16"/>
        </w:rPr>
        <w:t xml:space="preserve"> </w:t>
      </w:r>
      <w:r w:rsidR="00C816B5">
        <w:rPr>
          <w:sz w:val="16"/>
          <w:szCs w:val="16"/>
        </w:rPr>
        <w:t>tijdens het commissiedebat over de Staat van de Volkshuisvesting van 11 maart 2026; Kamerstukken II 2025-26, 32 847, nr. 1446.</w:t>
      </w:r>
      <w:r w:rsidRPr="00A76475">
        <w:rPr>
          <w:sz w:val="16"/>
          <w:szCs w:val="16"/>
        </w:rPr>
        <w:t xml:space="preserve"> </w:t>
      </w:r>
    </w:p>
  </w:footnote>
  <w:footnote w:id="6">
    <w:p w:rsidR="00A729DA" w:rsidP="00A729DA" w14:paraId="18957670" w14:textId="77777777">
      <w:pPr>
        <w:pStyle w:val="FootnoteText"/>
      </w:pPr>
      <w:r>
        <w:rPr>
          <w:rStyle w:val="FootnoteReference"/>
        </w:rPr>
        <w:footnoteRef/>
      </w:r>
      <w:r>
        <w:t xml:space="preserve"> </w:t>
      </w:r>
      <w:r w:rsidRPr="00442738">
        <w:rPr>
          <w:sz w:val="16"/>
          <w:szCs w:val="16"/>
        </w:rPr>
        <w:t>Kamerstukken II, 202</w:t>
      </w:r>
      <w:r>
        <w:rPr>
          <w:sz w:val="16"/>
          <w:szCs w:val="16"/>
        </w:rPr>
        <w:t>4</w:t>
      </w:r>
      <w:r w:rsidRPr="00442738">
        <w:rPr>
          <w:sz w:val="16"/>
          <w:szCs w:val="16"/>
        </w:rPr>
        <w:t>/</w:t>
      </w:r>
      <w:r>
        <w:rPr>
          <w:sz w:val="16"/>
          <w:szCs w:val="16"/>
        </w:rPr>
        <w:t>20</w:t>
      </w:r>
      <w:r w:rsidRPr="00442738">
        <w:rPr>
          <w:sz w:val="16"/>
          <w:szCs w:val="16"/>
        </w:rPr>
        <w:t>2</w:t>
      </w:r>
      <w:r>
        <w:rPr>
          <w:sz w:val="16"/>
          <w:szCs w:val="16"/>
        </w:rPr>
        <w:t>5</w:t>
      </w:r>
      <w:r w:rsidRPr="00442738">
        <w:rPr>
          <w:sz w:val="16"/>
          <w:szCs w:val="16"/>
        </w:rPr>
        <w:t>, 32 847, nr. 1</w:t>
      </w:r>
      <w:r>
        <w:rPr>
          <w:sz w:val="16"/>
          <w:szCs w:val="16"/>
        </w:rPr>
        <w:t>368</w:t>
      </w:r>
      <w:r w:rsidRPr="00442738">
        <w:rPr>
          <w:sz w:val="16"/>
          <w:szCs w:val="16"/>
        </w:rPr>
        <w:t>.</w:t>
      </w:r>
    </w:p>
  </w:footnote>
  <w:footnote w:id="7">
    <w:p w:rsidR="00A729DA" w:rsidRPr="003D7D8C" w:rsidP="00A729DA" w14:paraId="38ED706B" w14:textId="77777777">
      <w:pPr>
        <w:pStyle w:val="FootnoteText"/>
        <w:rPr>
          <w:sz w:val="16"/>
          <w:szCs w:val="16"/>
        </w:rPr>
      </w:pPr>
      <w:r w:rsidRPr="003D7D8C">
        <w:rPr>
          <w:rStyle w:val="FootnoteReference"/>
          <w:sz w:val="16"/>
          <w:szCs w:val="16"/>
        </w:rPr>
        <w:footnoteRef/>
      </w:r>
      <w:r w:rsidRPr="003D7D8C">
        <w:rPr>
          <w:sz w:val="16"/>
          <w:szCs w:val="16"/>
        </w:rPr>
        <w:t xml:space="preserve"> </w:t>
      </w:r>
      <w:r w:rsidRPr="003D7D8C">
        <w:rPr>
          <w:color w:val="auto"/>
          <w:sz w:val="16"/>
          <w:szCs w:val="16"/>
        </w:rPr>
        <w:t>Toezegging gedaan tijdens Commissiedebat Ruimtelijke Ordening, 11 juni 2026, nummer TZ202606-188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0544" w14:paraId="7BBC63A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012B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D012BD" w14:paraId="4AC8336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70544" w14:textId="77777777">
                          <w:pPr>
                            <w:pStyle w:val="Referentiegegevensbold"/>
                          </w:pPr>
                          <w:r>
                            <w:t xml:space="preserve">DG Volkshuisvesting en Bouwen </w:t>
                          </w:r>
                        </w:p>
                        <w:p w:rsidR="00A70544" w14:textId="77777777">
                          <w:pPr>
                            <w:pStyle w:val="WitregelW2"/>
                          </w:pPr>
                        </w:p>
                        <w:p w:rsidR="00A70544" w14:textId="77777777">
                          <w:pPr>
                            <w:pStyle w:val="Referentiegegevensbold"/>
                          </w:pPr>
                          <w:r>
                            <w:t>Datum</w:t>
                          </w:r>
                        </w:p>
                        <w:p w:rsidR="00A70544" w14:textId="5F374D73">
                          <w:pPr>
                            <w:pStyle w:val="Referentiegegevens"/>
                          </w:pPr>
                        </w:p>
                        <w:p w:rsidR="00A70544" w14:textId="77777777">
                          <w:pPr>
                            <w:pStyle w:val="WitregelW1"/>
                          </w:pPr>
                        </w:p>
                        <w:p w:rsidR="00A70544" w14:textId="77777777">
                          <w:pPr>
                            <w:pStyle w:val="Referentiegegevensbold"/>
                          </w:pPr>
                          <w:r>
                            <w:t>Onze referentie</w:t>
                          </w:r>
                        </w:p>
                        <w:p w:rsidR="00023964" w14:textId="77777777">
                          <w:pPr>
                            <w:pStyle w:val="Referentiegegevens"/>
                          </w:pPr>
                          <w:r>
                            <w:fldChar w:fldCharType="begin"/>
                          </w:r>
                          <w:r>
                            <w:instrText xml:space="preserve"> DOCPROPERTY  "Kenmerk"  \* MERGEFORMAT </w:instrText>
                          </w:r>
                          <w:r>
                            <w:fldChar w:fldCharType="separate"/>
                          </w:r>
                          <w:r w:rsidR="002D7DF7">
                            <w:t>2026-0000324444</w:t>
                          </w:r>
                          <w:r w:rsidR="002D7DF7">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70544" w14:paraId="143BAD95" w14:textId="77777777">
                    <w:pPr>
                      <w:pStyle w:val="Referentiegegevensbold"/>
                    </w:pPr>
                    <w:r>
                      <w:t xml:space="preserve">DG Volkshuisvesting en Bouwen </w:t>
                    </w:r>
                  </w:p>
                  <w:p w:rsidR="00A70544" w14:paraId="507EE51A" w14:textId="77777777">
                    <w:pPr>
                      <w:pStyle w:val="WitregelW2"/>
                    </w:pPr>
                  </w:p>
                  <w:p w:rsidR="00A70544" w14:paraId="2F27E439" w14:textId="77777777">
                    <w:pPr>
                      <w:pStyle w:val="Referentiegegevensbold"/>
                    </w:pPr>
                    <w:r>
                      <w:t>Datum</w:t>
                    </w:r>
                  </w:p>
                  <w:p w:rsidR="00A70544" w14:paraId="286B2704" w14:textId="5F374D73">
                    <w:pPr>
                      <w:pStyle w:val="Referentiegegevens"/>
                    </w:pPr>
                  </w:p>
                  <w:p w:rsidR="00A70544" w14:paraId="31C482CB" w14:textId="77777777">
                    <w:pPr>
                      <w:pStyle w:val="WitregelW1"/>
                    </w:pPr>
                  </w:p>
                  <w:p w:rsidR="00A70544" w14:paraId="5ADA8461" w14:textId="77777777">
                    <w:pPr>
                      <w:pStyle w:val="Referentiegegevensbold"/>
                    </w:pPr>
                    <w:r>
                      <w:t>Onze referentie</w:t>
                    </w:r>
                  </w:p>
                  <w:p w:rsidR="00023964" w14:paraId="0C1566E4" w14:textId="77777777">
                    <w:pPr>
                      <w:pStyle w:val="Referentiegegevens"/>
                    </w:pPr>
                    <w:r>
                      <w:fldChar w:fldCharType="begin"/>
                    </w:r>
                    <w:r>
                      <w:instrText xml:space="preserve"> DOCPROPERTY  "Kenmerk"  \* MERGEFORMAT </w:instrText>
                    </w:r>
                    <w:r>
                      <w:fldChar w:fldCharType="separate"/>
                    </w:r>
                    <w:r w:rsidR="002D7DF7">
                      <w:t>2026-0000324444</w:t>
                    </w:r>
                    <w:r w:rsidR="002D7DF7">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12BD"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D012BD" w14:paraId="53D4F68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732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732AD" w14:paraId="56DAF4E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0544" w14:paraId="2515EB6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70544" w14:textId="77777777">
                          <w:pPr>
                            <w:spacing w:line="240" w:lineRule="auto"/>
                          </w:pPr>
                          <w:r>
                            <w:rPr>
                              <w:noProof/>
                            </w:rPr>
                            <w:drawing>
                              <wp:inline distT="0" distB="0" distL="0" distR="0">
                                <wp:extent cx="467995" cy="1583865"/>
                                <wp:effectExtent l="0" t="0" r="0" b="0"/>
                                <wp:docPr id="1816718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167183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70544" w14:paraId="502729C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70544" w14:textId="77777777">
                          <w:pPr>
                            <w:spacing w:line="240" w:lineRule="auto"/>
                          </w:pPr>
                          <w:r>
                            <w:rPr>
                              <w:noProof/>
                            </w:rPr>
                            <w:drawing>
                              <wp:inline distT="0" distB="0" distL="0" distR="0">
                                <wp:extent cx="2339975" cy="1582834"/>
                                <wp:effectExtent l="0" t="0" r="0" b="0"/>
                                <wp:docPr id="102370638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2370638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70544" w14:paraId="4F74CF58"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054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70544" w14:paraId="623E5A5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D7DF7" w:rsidRPr="002D7DF7" w:rsidP="002D7DF7" w14:textId="77777777">
                          <w:r w:rsidRPr="002D7DF7">
                            <w:t>Aan de Voorzitter van de Tweede Kamer der Staten-Generaal</w:t>
                          </w:r>
                        </w:p>
                        <w:p w:rsidR="00A70544" w14:textId="77777777">
                          <w:r>
                            <w:t>Postbus 20018</w:t>
                          </w:r>
                        </w:p>
                        <w:p w:rsidR="00A7054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D7DF7" w:rsidRPr="002D7DF7" w:rsidP="002D7DF7" w14:paraId="037521DF" w14:textId="77777777">
                    <w:r w:rsidRPr="002D7DF7">
                      <w:t>Aan de Voorzitter van de Tweede Kamer der Staten-Generaal</w:t>
                    </w:r>
                  </w:p>
                  <w:p w:rsidR="00A70544" w14:paraId="0287C30D" w14:textId="77777777">
                    <w:r>
                      <w:t>Postbus 20018</w:t>
                    </w:r>
                  </w:p>
                  <w:p w:rsidR="00A70544" w14:paraId="2D52847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4191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19100"/>
                      </a:xfrm>
                      <a:prstGeom prst="rect">
                        <a:avLst/>
                      </a:prstGeom>
                      <a:noFill/>
                    </wps:spPr>
                    <wps:txbx>
                      <w:txbxContent>
                        <w:tbl>
                          <w:tblPr>
                            <w:tblW w:w="0" w:type="auto"/>
                            <w:tblInd w:w="-120" w:type="dxa"/>
                            <w:tblLayout w:type="fixed"/>
                            <w:tblLook w:val="07E0"/>
                          </w:tblPr>
                          <w:tblGrid>
                            <w:gridCol w:w="1140"/>
                            <w:gridCol w:w="5918"/>
                          </w:tblGrid>
                          <w:tr w14:paraId="1A4EA192" w14:textId="77777777">
                            <w:tblPrEx>
                              <w:tblW w:w="0" w:type="auto"/>
                              <w:tblInd w:w="-120" w:type="dxa"/>
                              <w:tblLayout w:type="fixed"/>
                              <w:tblLook w:val="07E0"/>
                            </w:tblPrEx>
                            <w:trPr>
                              <w:trHeight w:val="240"/>
                            </w:trPr>
                            <w:tc>
                              <w:tcPr>
                                <w:tcW w:w="1140" w:type="dxa"/>
                              </w:tcPr>
                              <w:p w:rsidR="00A70544" w14:textId="77777777">
                                <w:r>
                                  <w:t>Datum</w:t>
                                </w:r>
                              </w:p>
                            </w:tc>
                            <w:tc>
                              <w:tcPr>
                                <w:tcW w:w="5918" w:type="dxa"/>
                              </w:tcPr>
                              <w:p w:rsidR="00A70544" w14:textId="77777777">
                                <w:r>
                                  <w:t>3 juli 2026</w:t>
                                </w:r>
                              </w:p>
                            </w:tc>
                          </w:tr>
                          <w:tr w14:paraId="45F6B533" w14:textId="77777777">
                            <w:tblPrEx>
                              <w:tblW w:w="0" w:type="auto"/>
                              <w:tblInd w:w="-120" w:type="dxa"/>
                              <w:tblLayout w:type="fixed"/>
                              <w:tblLook w:val="07E0"/>
                            </w:tblPrEx>
                            <w:trPr>
                              <w:trHeight w:val="240"/>
                            </w:trPr>
                            <w:tc>
                              <w:tcPr>
                                <w:tcW w:w="1140" w:type="dxa"/>
                              </w:tcPr>
                              <w:p w:rsidR="00A70544" w14:textId="77777777">
                                <w:r>
                                  <w:t>Betreft</w:t>
                                </w:r>
                              </w:p>
                            </w:tc>
                            <w:bookmarkStart w:id="0" w:name="_Hlk233967972"/>
                            <w:tc>
                              <w:tcPr>
                                <w:tcW w:w="5918" w:type="dxa"/>
                              </w:tcPr>
                              <w:p w:rsidR="00A70544" w14:textId="77777777">
                                <w:r>
                                  <w:fldChar w:fldCharType="begin"/>
                                </w:r>
                                <w:r>
                                  <w:instrText xml:space="preserve"> DOCPROPERTY  "Onderwerp"  \* MERGEFORMAT </w:instrText>
                                </w:r>
                                <w:r>
                                  <w:fldChar w:fldCharType="separate"/>
                                </w:r>
                                <w:r w:rsidR="002D7DF7">
                                  <w:t>Permanente bewoning van recreatiewoningen</w:t>
                                </w:r>
                                <w:r>
                                  <w:fldChar w:fldCharType="end"/>
                                </w:r>
                                <w:bookmarkEnd w:id="0"/>
                              </w:p>
                            </w:tc>
                          </w:tr>
                        </w:tbl>
                        <w:p w:rsidR="00D012B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3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A4EA191" w14:textId="77777777">
                      <w:tblPrEx>
                        <w:tblW w:w="0" w:type="auto"/>
                        <w:tblInd w:w="-120" w:type="dxa"/>
                        <w:tblLayout w:type="fixed"/>
                        <w:tblLook w:val="07E0"/>
                      </w:tblPrEx>
                      <w:trPr>
                        <w:trHeight w:val="240"/>
                      </w:trPr>
                      <w:tc>
                        <w:tcPr>
                          <w:tcW w:w="1140" w:type="dxa"/>
                        </w:tcPr>
                        <w:p w:rsidR="00A70544" w14:paraId="02C2B751" w14:textId="77777777">
                          <w:r>
                            <w:t>Datum</w:t>
                          </w:r>
                        </w:p>
                      </w:tc>
                      <w:tc>
                        <w:tcPr>
                          <w:tcW w:w="5918" w:type="dxa"/>
                        </w:tcPr>
                        <w:p w:rsidR="00A70544" w14:paraId="02FF6191" w14:textId="77777777">
                          <w:r>
                            <w:t>3 juli 2026</w:t>
                          </w:r>
                        </w:p>
                      </w:tc>
                    </w:tr>
                    <w:tr w14:paraId="45F6B532" w14:textId="77777777">
                      <w:tblPrEx>
                        <w:tblW w:w="0" w:type="auto"/>
                        <w:tblInd w:w="-120" w:type="dxa"/>
                        <w:tblLayout w:type="fixed"/>
                        <w:tblLook w:val="07E0"/>
                      </w:tblPrEx>
                      <w:trPr>
                        <w:trHeight w:val="240"/>
                      </w:trPr>
                      <w:tc>
                        <w:tcPr>
                          <w:tcW w:w="1140" w:type="dxa"/>
                        </w:tcPr>
                        <w:p w:rsidR="00A70544" w14:paraId="5598F064" w14:textId="77777777">
                          <w:r>
                            <w:t>Betreft</w:t>
                          </w:r>
                        </w:p>
                      </w:tc>
                      <w:bookmarkStart w:id="0" w:name="_Hlk233967972"/>
                      <w:tc>
                        <w:tcPr>
                          <w:tcW w:w="5918" w:type="dxa"/>
                        </w:tcPr>
                        <w:p w:rsidR="00A70544" w14:paraId="674B11CC" w14:textId="77777777">
                          <w:r>
                            <w:fldChar w:fldCharType="begin"/>
                          </w:r>
                          <w:r>
                            <w:instrText xml:space="preserve"> DOCPROPERTY  "Onderwerp"  \* MERGEFORMAT </w:instrText>
                          </w:r>
                          <w:r>
                            <w:fldChar w:fldCharType="separate"/>
                          </w:r>
                          <w:r w:rsidR="002D7DF7">
                            <w:t>Permanente bewoning van recreatiewoningen</w:t>
                          </w:r>
                          <w:r>
                            <w:fldChar w:fldCharType="end"/>
                          </w:r>
                          <w:bookmarkEnd w:id="0"/>
                        </w:p>
                      </w:tc>
                    </w:tr>
                  </w:tbl>
                  <w:p w:rsidR="00D012BD" w14:paraId="2492233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70544" w14:textId="77777777">
                          <w:pPr>
                            <w:pStyle w:val="Referentiegegevensbold"/>
                          </w:pPr>
                          <w:r>
                            <w:t xml:space="preserve">DG Volkshuisvesting en Bouwen </w:t>
                          </w:r>
                        </w:p>
                        <w:p w:rsidR="00A70544" w14:textId="77777777">
                          <w:pPr>
                            <w:pStyle w:val="WitregelW1"/>
                          </w:pPr>
                        </w:p>
                        <w:p w:rsidR="00A70544" w14:textId="77777777">
                          <w:pPr>
                            <w:pStyle w:val="Referentiegegevens"/>
                          </w:pPr>
                          <w:r>
                            <w:t>Turfmarkt 147</w:t>
                          </w:r>
                        </w:p>
                        <w:p w:rsidR="00A70544" w14:textId="77777777">
                          <w:pPr>
                            <w:pStyle w:val="Referentiegegevens"/>
                          </w:pPr>
                          <w:r>
                            <w:t>2511 DP Den Haag</w:t>
                          </w:r>
                        </w:p>
                        <w:p w:rsidR="00A70544" w14:textId="77777777">
                          <w:pPr>
                            <w:pStyle w:val="Referentiegegevens"/>
                          </w:pPr>
                          <w:r>
                            <w:t>Postbus 20011</w:t>
                          </w:r>
                        </w:p>
                        <w:p w:rsidR="00A70544" w14:textId="77777777">
                          <w:pPr>
                            <w:pStyle w:val="Referentiegegevens"/>
                          </w:pPr>
                          <w:r>
                            <w:t>2500 EA  Den Haag</w:t>
                          </w:r>
                        </w:p>
                        <w:p w:rsidR="00A70544" w14:textId="77777777">
                          <w:pPr>
                            <w:pStyle w:val="WitregelW1"/>
                          </w:pPr>
                        </w:p>
                        <w:p w:rsidR="00A70544" w14:textId="77777777">
                          <w:pPr>
                            <w:pStyle w:val="Referentiegegevensbold"/>
                          </w:pPr>
                          <w:r>
                            <w:t>Onze referentie</w:t>
                          </w:r>
                        </w:p>
                        <w:bookmarkStart w:id="1" w:name="_Hlk233967949"/>
                        <w:p w:rsidR="00023964" w14:textId="77777777">
                          <w:pPr>
                            <w:pStyle w:val="Referentiegegevens"/>
                          </w:pPr>
                          <w:r>
                            <w:fldChar w:fldCharType="begin"/>
                          </w:r>
                          <w:r>
                            <w:instrText xml:space="preserve"> DOCPROPERTY  "Kenmerk"  \* MERGEFORMAT </w:instrText>
                          </w:r>
                          <w:r>
                            <w:fldChar w:fldCharType="separate"/>
                          </w:r>
                          <w:r w:rsidR="002D7DF7">
                            <w:t>2026-0000324444</w:t>
                          </w:r>
                          <w:r>
                            <w:fldChar w:fldCharType="end"/>
                          </w:r>
                        </w:p>
                        <w:bookmarkEnd w:id="1"/>
                        <w:p w:rsidR="00A70544" w14:textId="77777777">
                          <w:pPr>
                            <w:pStyle w:val="WitregelW1"/>
                          </w:pPr>
                        </w:p>
                        <w:p w:rsidR="00A7054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70544" w14:paraId="2B272CCA" w14:textId="77777777">
                    <w:pPr>
                      <w:pStyle w:val="Referentiegegevensbold"/>
                    </w:pPr>
                    <w:r>
                      <w:t xml:space="preserve">DG Volkshuisvesting en Bouwen </w:t>
                    </w:r>
                  </w:p>
                  <w:p w:rsidR="00A70544" w14:paraId="18EE1C33" w14:textId="77777777">
                    <w:pPr>
                      <w:pStyle w:val="WitregelW1"/>
                    </w:pPr>
                  </w:p>
                  <w:p w:rsidR="00A70544" w14:paraId="01BC89B4" w14:textId="77777777">
                    <w:pPr>
                      <w:pStyle w:val="Referentiegegevens"/>
                    </w:pPr>
                    <w:r>
                      <w:t>Turfmarkt 147</w:t>
                    </w:r>
                  </w:p>
                  <w:p w:rsidR="00A70544" w14:paraId="38FB6235" w14:textId="77777777">
                    <w:pPr>
                      <w:pStyle w:val="Referentiegegevens"/>
                    </w:pPr>
                    <w:r>
                      <w:t>2511 DP Den Haag</w:t>
                    </w:r>
                  </w:p>
                  <w:p w:rsidR="00A70544" w14:paraId="1EF35E5B" w14:textId="77777777">
                    <w:pPr>
                      <w:pStyle w:val="Referentiegegevens"/>
                    </w:pPr>
                    <w:r>
                      <w:t>Postbus 20011</w:t>
                    </w:r>
                  </w:p>
                  <w:p w:rsidR="00A70544" w14:paraId="79777E08" w14:textId="77777777">
                    <w:pPr>
                      <w:pStyle w:val="Referentiegegevens"/>
                    </w:pPr>
                    <w:r>
                      <w:t>2500 EA  Den Haag</w:t>
                    </w:r>
                  </w:p>
                  <w:p w:rsidR="00A70544" w14:paraId="782AE2DA" w14:textId="77777777">
                    <w:pPr>
                      <w:pStyle w:val="WitregelW1"/>
                    </w:pPr>
                  </w:p>
                  <w:p w:rsidR="00A70544" w14:paraId="204DBF68" w14:textId="77777777">
                    <w:pPr>
                      <w:pStyle w:val="Referentiegegevensbold"/>
                    </w:pPr>
                    <w:r>
                      <w:t>Onze referentie</w:t>
                    </w:r>
                  </w:p>
                  <w:bookmarkStart w:id="1" w:name="_Hlk233967949"/>
                  <w:p w:rsidR="00023964" w14:paraId="61B4B625" w14:textId="77777777">
                    <w:pPr>
                      <w:pStyle w:val="Referentiegegevens"/>
                    </w:pPr>
                    <w:r>
                      <w:fldChar w:fldCharType="begin"/>
                    </w:r>
                    <w:r>
                      <w:instrText xml:space="preserve"> DOCPROPERTY  "Kenmerk"  \* MERGEFORMAT </w:instrText>
                    </w:r>
                    <w:r>
                      <w:fldChar w:fldCharType="separate"/>
                    </w:r>
                    <w:r w:rsidR="002D7DF7">
                      <w:t>2026-0000324444</w:t>
                    </w:r>
                    <w:r>
                      <w:fldChar w:fldCharType="end"/>
                    </w:r>
                  </w:p>
                  <w:bookmarkEnd w:id="1"/>
                  <w:p w:rsidR="00A70544" w14:paraId="6CBCA093" w14:textId="77777777">
                    <w:pPr>
                      <w:pStyle w:val="WitregelW1"/>
                    </w:pPr>
                  </w:p>
                  <w:p w:rsidR="00A70544" w14:paraId="1B69204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732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732AD" w14:paraId="5A556B2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12B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D012BD" w14:paraId="12B6DF4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6A97F73"/>
    <w:multiLevelType w:val="multilevel"/>
    <w:tmpl w:val="CC28A3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BAFCCFD"/>
    <w:multiLevelType w:val="multilevel"/>
    <w:tmpl w:val="135E231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3DE163F"/>
    <w:multiLevelType w:val="hybridMultilevel"/>
    <w:tmpl w:val="587021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8B12C67"/>
    <w:multiLevelType w:val="hybridMultilevel"/>
    <w:tmpl w:val="3462E63C"/>
    <w:lvl w:ilvl="0">
      <w:start w:val="30"/>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4493401"/>
    <w:multiLevelType w:val="hybridMultilevel"/>
    <w:tmpl w:val="D37235B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6C2088"/>
    <w:multiLevelType w:val="hybridMultilevel"/>
    <w:tmpl w:val="5994F5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E873D97"/>
    <w:multiLevelType w:val="multilevel"/>
    <w:tmpl w:val="D433C06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37AC7C1A"/>
    <w:multiLevelType w:val="hybridMultilevel"/>
    <w:tmpl w:val="18D2B74A"/>
    <w:lvl w:ilvl="0">
      <w:start w:val="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5C2360"/>
    <w:multiLevelType w:val="hybridMultilevel"/>
    <w:tmpl w:val="7E0027CA"/>
    <w:lvl w:ilvl="0">
      <w:start w:val="0"/>
      <w:numFmt w:val="bullet"/>
      <w:lvlText w:val=""/>
      <w:lvlJc w:val="left"/>
      <w:pPr>
        <w:ind w:left="360" w:hanging="360"/>
      </w:pPr>
      <w:rPr>
        <w:rFonts w:ascii="Symbol" w:eastAsia="DejaVu Sans" w:hAnsi="Symbol"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4F20722"/>
    <w:multiLevelType w:val="hybridMultilevel"/>
    <w:tmpl w:val="8272E546"/>
    <w:lvl w:ilvl="0">
      <w:start w:val="0"/>
      <w:numFmt w:val="bullet"/>
      <w:lvlText w:val=""/>
      <w:lvlJc w:val="left"/>
      <w:pPr>
        <w:ind w:left="720" w:hanging="360"/>
      </w:pPr>
      <w:rPr>
        <w:rFonts w:ascii="Symbol" w:eastAsia="DejaVu Sans" w:hAnsi="Symbol"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5574AA"/>
    <w:multiLevelType w:val="hybridMultilevel"/>
    <w:tmpl w:val="0C7E8820"/>
    <w:lvl w:ilvl="0">
      <w:start w:val="0"/>
      <w:numFmt w:val="bullet"/>
      <w:lvlText w:val=""/>
      <w:lvlJc w:val="left"/>
      <w:pPr>
        <w:ind w:left="420" w:hanging="360"/>
      </w:pPr>
      <w:rPr>
        <w:rFonts w:ascii="Symbol" w:eastAsia="DejaVu Sans" w:hAnsi="Symbol" w:cs="Lohit Hindi"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1">
    <w:nsid w:val="6F3C1783"/>
    <w:multiLevelType w:val="multilevel"/>
    <w:tmpl w:val="D57616F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00689093">
    <w:abstractNumId w:val="1"/>
  </w:num>
  <w:num w:numId="2" w16cid:durableId="315033337">
    <w:abstractNumId w:val="0"/>
  </w:num>
  <w:num w:numId="3" w16cid:durableId="1259216510">
    <w:abstractNumId w:val="11"/>
  </w:num>
  <w:num w:numId="4" w16cid:durableId="1827671191">
    <w:abstractNumId w:val="6"/>
  </w:num>
  <w:num w:numId="5" w16cid:durableId="1579290672">
    <w:abstractNumId w:val="7"/>
  </w:num>
  <w:num w:numId="6" w16cid:durableId="1357466890">
    <w:abstractNumId w:val="4"/>
  </w:num>
  <w:num w:numId="7" w16cid:durableId="1865092108">
    <w:abstractNumId w:val="10"/>
  </w:num>
  <w:num w:numId="8" w16cid:durableId="1526214839">
    <w:abstractNumId w:val="3"/>
  </w:num>
  <w:num w:numId="9" w16cid:durableId="1620066328">
    <w:abstractNumId w:val="10"/>
  </w:num>
  <w:num w:numId="10" w16cid:durableId="1833838897">
    <w:abstractNumId w:val="8"/>
  </w:num>
  <w:num w:numId="11" w16cid:durableId="72631016">
    <w:abstractNumId w:val="9"/>
  </w:num>
  <w:num w:numId="12" w16cid:durableId="1520239587">
    <w:abstractNumId w:val="5"/>
  </w:num>
  <w:num w:numId="13" w16cid:durableId="2131699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DD"/>
    <w:rsid w:val="000048FD"/>
    <w:rsid w:val="000156D9"/>
    <w:rsid w:val="00023964"/>
    <w:rsid w:val="00035D34"/>
    <w:rsid w:val="000614B5"/>
    <w:rsid w:val="000A4E68"/>
    <w:rsid w:val="000E560C"/>
    <w:rsid w:val="000E6F00"/>
    <w:rsid w:val="000F069D"/>
    <w:rsid w:val="000F5091"/>
    <w:rsid w:val="001000E7"/>
    <w:rsid w:val="00110D82"/>
    <w:rsid w:val="00120B77"/>
    <w:rsid w:val="0013413F"/>
    <w:rsid w:val="00134515"/>
    <w:rsid w:val="00142A85"/>
    <w:rsid w:val="00142F98"/>
    <w:rsid w:val="00156C75"/>
    <w:rsid w:val="001602F2"/>
    <w:rsid w:val="001658BA"/>
    <w:rsid w:val="00180543"/>
    <w:rsid w:val="00180D2D"/>
    <w:rsid w:val="001A537C"/>
    <w:rsid w:val="001B7AA1"/>
    <w:rsid w:val="001C47D4"/>
    <w:rsid w:val="001D5AB9"/>
    <w:rsid w:val="001E55B9"/>
    <w:rsid w:val="002205E5"/>
    <w:rsid w:val="00220BEB"/>
    <w:rsid w:val="002229E3"/>
    <w:rsid w:val="002517C2"/>
    <w:rsid w:val="00254D39"/>
    <w:rsid w:val="00277CE5"/>
    <w:rsid w:val="002A502B"/>
    <w:rsid w:val="002A5EB2"/>
    <w:rsid w:val="002A73D9"/>
    <w:rsid w:val="002B190C"/>
    <w:rsid w:val="002C4069"/>
    <w:rsid w:val="002D03A0"/>
    <w:rsid w:val="002D7DF7"/>
    <w:rsid w:val="002E0530"/>
    <w:rsid w:val="002E34FB"/>
    <w:rsid w:val="002F5BDD"/>
    <w:rsid w:val="00301AAE"/>
    <w:rsid w:val="00303FDF"/>
    <w:rsid w:val="00310E20"/>
    <w:rsid w:val="0032006F"/>
    <w:rsid w:val="00323145"/>
    <w:rsid w:val="00366725"/>
    <w:rsid w:val="00383D0D"/>
    <w:rsid w:val="003A4945"/>
    <w:rsid w:val="003A6D7C"/>
    <w:rsid w:val="003B0669"/>
    <w:rsid w:val="003B3C29"/>
    <w:rsid w:val="003B7E4D"/>
    <w:rsid w:val="003D7D8C"/>
    <w:rsid w:val="00405CE5"/>
    <w:rsid w:val="00433279"/>
    <w:rsid w:val="0043695C"/>
    <w:rsid w:val="00442738"/>
    <w:rsid w:val="00457DDC"/>
    <w:rsid w:val="004655B5"/>
    <w:rsid w:val="004662EA"/>
    <w:rsid w:val="00491328"/>
    <w:rsid w:val="004B5896"/>
    <w:rsid w:val="004B6AEA"/>
    <w:rsid w:val="004D4EEE"/>
    <w:rsid w:val="004E239D"/>
    <w:rsid w:val="004E52AB"/>
    <w:rsid w:val="004F3636"/>
    <w:rsid w:val="004F38AB"/>
    <w:rsid w:val="004F41E4"/>
    <w:rsid w:val="00513992"/>
    <w:rsid w:val="00523CF3"/>
    <w:rsid w:val="0054164C"/>
    <w:rsid w:val="00574C5C"/>
    <w:rsid w:val="005775F8"/>
    <w:rsid w:val="00590048"/>
    <w:rsid w:val="00594C58"/>
    <w:rsid w:val="005A100E"/>
    <w:rsid w:val="005B3B67"/>
    <w:rsid w:val="005B5220"/>
    <w:rsid w:val="005B534A"/>
    <w:rsid w:val="005C27A5"/>
    <w:rsid w:val="005C3B89"/>
    <w:rsid w:val="005C5A93"/>
    <w:rsid w:val="005D4E6E"/>
    <w:rsid w:val="005E3F80"/>
    <w:rsid w:val="005F7BCC"/>
    <w:rsid w:val="006074A9"/>
    <w:rsid w:val="00611CFC"/>
    <w:rsid w:val="00633921"/>
    <w:rsid w:val="00635C9C"/>
    <w:rsid w:val="00673C3A"/>
    <w:rsid w:val="006A2B84"/>
    <w:rsid w:val="006A68BF"/>
    <w:rsid w:val="006A76F5"/>
    <w:rsid w:val="006B3E10"/>
    <w:rsid w:val="006C076C"/>
    <w:rsid w:val="006C5F74"/>
    <w:rsid w:val="006D661A"/>
    <w:rsid w:val="006F0644"/>
    <w:rsid w:val="00704E61"/>
    <w:rsid w:val="00736F2A"/>
    <w:rsid w:val="00736F8B"/>
    <w:rsid w:val="00751269"/>
    <w:rsid w:val="00751272"/>
    <w:rsid w:val="00763DE0"/>
    <w:rsid w:val="007755CE"/>
    <w:rsid w:val="00790DBB"/>
    <w:rsid w:val="00797C22"/>
    <w:rsid w:val="00801FF2"/>
    <w:rsid w:val="00804481"/>
    <w:rsid w:val="00804B8E"/>
    <w:rsid w:val="00821B50"/>
    <w:rsid w:val="00840DCC"/>
    <w:rsid w:val="008502AA"/>
    <w:rsid w:val="008535D1"/>
    <w:rsid w:val="00853B59"/>
    <w:rsid w:val="00890814"/>
    <w:rsid w:val="008F7451"/>
    <w:rsid w:val="00901ED2"/>
    <w:rsid w:val="00907655"/>
    <w:rsid w:val="00917793"/>
    <w:rsid w:val="009200A7"/>
    <w:rsid w:val="009216AB"/>
    <w:rsid w:val="00925367"/>
    <w:rsid w:val="00951140"/>
    <w:rsid w:val="00962219"/>
    <w:rsid w:val="009764C3"/>
    <w:rsid w:val="00976B62"/>
    <w:rsid w:val="0098044A"/>
    <w:rsid w:val="00980634"/>
    <w:rsid w:val="0098365B"/>
    <w:rsid w:val="0099732E"/>
    <w:rsid w:val="009A2E03"/>
    <w:rsid w:val="009C241F"/>
    <w:rsid w:val="00A14764"/>
    <w:rsid w:val="00A246D5"/>
    <w:rsid w:val="00A24A91"/>
    <w:rsid w:val="00A24ACA"/>
    <w:rsid w:val="00A5226A"/>
    <w:rsid w:val="00A70544"/>
    <w:rsid w:val="00A729DA"/>
    <w:rsid w:val="00A76475"/>
    <w:rsid w:val="00A849C5"/>
    <w:rsid w:val="00A86752"/>
    <w:rsid w:val="00AD044B"/>
    <w:rsid w:val="00AD7BC2"/>
    <w:rsid w:val="00AE2FB4"/>
    <w:rsid w:val="00AF039F"/>
    <w:rsid w:val="00AF2EEC"/>
    <w:rsid w:val="00B25638"/>
    <w:rsid w:val="00B3402E"/>
    <w:rsid w:val="00B36FCC"/>
    <w:rsid w:val="00B42A97"/>
    <w:rsid w:val="00B45648"/>
    <w:rsid w:val="00B647B6"/>
    <w:rsid w:val="00B732AD"/>
    <w:rsid w:val="00B87C4B"/>
    <w:rsid w:val="00B9191F"/>
    <w:rsid w:val="00BC4B48"/>
    <w:rsid w:val="00BC5FC3"/>
    <w:rsid w:val="00BD7B27"/>
    <w:rsid w:val="00BE07AE"/>
    <w:rsid w:val="00BF1848"/>
    <w:rsid w:val="00C0762F"/>
    <w:rsid w:val="00C15240"/>
    <w:rsid w:val="00C16E3E"/>
    <w:rsid w:val="00C2165A"/>
    <w:rsid w:val="00C26C29"/>
    <w:rsid w:val="00C64957"/>
    <w:rsid w:val="00C64E21"/>
    <w:rsid w:val="00C80481"/>
    <w:rsid w:val="00C816B5"/>
    <w:rsid w:val="00CA2BDC"/>
    <w:rsid w:val="00CA598D"/>
    <w:rsid w:val="00CE0E4A"/>
    <w:rsid w:val="00CE3011"/>
    <w:rsid w:val="00CF2DDB"/>
    <w:rsid w:val="00CF7517"/>
    <w:rsid w:val="00D012BD"/>
    <w:rsid w:val="00D0242F"/>
    <w:rsid w:val="00D038EA"/>
    <w:rsid w:val="00D10F59"/>
    <w:rsid w:val="00D236C9"/>
    <w:rsid w:val="00D37B0B"/>
    <w:rsid w:val="00D94AC3"/>
    <w:rsid w:val="00DA273E"/>
    <w:rsid w:val="00DA73E9"/>
    <w:rsid w:val="00DC7F35"/>
    <w:rsid w:val="00DD1A6D"/>
    <w:rsid w:val="00DD2057"/>
    <w:rsid w:val="00DD35E3"/>
    <w:rsid w:val="00DD6648"/>
    <w:rsid w:val="00DE682E"/>
    <w:rsid w:val="00E00B63"/>
    <w:rsid w:val="00E02C76"/>
    <w:rsid w:val="00E0620B"/>
    <w:rsid w:val="00E111FA"/>
    <w:rsid w:val="00E32627"/>
    <w:rsid w:val="00E674D3"/>
    <w:rsid w:val="00E740DE"/>
    <w:rsid w:val="00E82BC2"/>
    <w:rsid w:val="00E90BEB"/>
    <w:rsid w:val="00ED1ABB"/>
    <w:rsid w:val="00EE4E1F"/>
    <w:rsid w:val="00EF33D5"/>
    <w:rsid w:val="00F05CCD"/>
    <w:rsid w:val="00F0785B"/>
    <w:rsid w:val="00F11ADD"/>
    <w:rsid w:val="00F1284D"/>
    <w:rsid w:val="00F34648"/>
    <w:rsid w:val="00F35DAB"/>
    <w:rsid w:val="00F43B89"/>
    <w:rsid w:val="00F44AF1"/>
    <w:rsid w:val="00F55673"/>
    <w:rsid w:val="00F76F58"/>
    <w:rsid w:val="00F80713"/>
    <w:rsid w:val="00F86106"/>
    <w:rsid w:val="00F86926"/>
    <w:rsid w:val="00F9173A"/>
    <w:rsid w:val="00FA3076"/>
    <w:rsid w:val="00FA3424"/>
    <w:rsid w:val="00FB591A"/>
    <w:rsid w:val="00FB5C44"/>
    <w:rsid w:val="00FC6E02"/>
    <w:rsid w:val="2BF2466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B000287"/>
  <w15:docId w15:val="{3AFEEC29-4FC2-42F5-A3A1-84D8C827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F5BDD"/>
    <w:pPr>
      <w:tabs>
        <w:tab w:val="center" w:pos="4536"/>
        <w:tab w:val="right" w:pos="9072"/>
      </w:tabs>
      <w:spacing w:line="240" w:lineRule="auto"/>
    </w:pPr>
  </w:style>
  <w:style w:type="character" w:customStyle="1" w:styleId="KoptekstChar">
    <w:name w:val="Koptekst Char"/>
    <w:basedOn w:val="DefaultParagraphFont"/>
    <w:link w:val="Header"/>
    <w:uiPriority w:val="99"/>
    <w:rsid w:val="002F5BDD"/>
    <w:rPr>
      <w:rFonts w:ascii="Verdana" w:hAnsi="Verdana"/>
      <w:color w:val="000000"/>
      <w:sz w:val="18"/>
      <w:szCs w:val="18"/>
    </w:rPr>
  </w:style>
  <w:style w:type="paragraph" w:styleId="Footer">
    <w:name w:val="footer"/>
    <w:basedOn w:val="Normal"/>
    <w:link w:val="VoettekstChar"/>
    <w:uiPriority w:val="99"/>
    <w:unhideWhenUsed/>
    <w:rsid w:val="002F5BDD"/>
    <w:pPr>
      <w:tabs>
        <w:tab w:val="center" w:pos="4536"/>
        <w:tab w:val="right" w:pos="9072"/>
      </w:tabs>
      <w:spacing w:line="240" w:lineRule="auto"/>
    </w:pPr>
  </w:style>
  <w:style w:type="character" w:customStyle="1" w:styleId="VoettekstChar">
    <w:name w:val="Voettekst Char"/>
    <w:basedOn w:val="DefaultParagraphFont"/>
    <w:link w:val="Footer"/>
    <w:uiPriority w:val="99"/>
    <w:rsid w:val="002F5BDD"/>
    <w:rPr>
      <w:rFonts w:ascii="Verdana" w:hAnsi="Verdana"/>
      <w:color w:val="000000"/>
      <w:sz w:val="18"/>
      <w:szCs w:val="18"/>
    </w:rPr>
  </w:style>
  <w:style w:type="paragraph" w:styleId="FootnoteText">
    <w:name w:val="footnote text"/>
    <w:basedOn w:val="Normal"/>
    <w:link w:val="VoetnoottekstChar"/>
    <w:uiPriority w:val="99"/>
    <w:semiHidden/>
    <w:unhideWhenUsed/>
    <w:rsid w:val="00CA2BDC"/>
    <w:pPr>
      <w:spacing w:line="240" w:lineRule="auto"/>
    </w:pPr>
    <w:rPr>
      <w:sz w:val="20"/>
      <w:szCs w:val="20"/>
    </w:rPr>
  </w:style>
  <w:style w:type="character" w:customStyle="1" w:styleId="VoetnoottekstChar">
    <w:name w:val="Voetnoottekst Char"/>
    <w:basedOn w:val="DefaultParagraphFont"/>
    <w:link w:val="FootnoteText"/>
    <w:uiPriority w:val="99"/>
    <w:semiHidden/>
    <w:rsid w:val="00CA2BDC"/>
    <w:rPr>
      <w:rFonts w:ascii="Verdana" w:hAnsi="Verdana"/>
      <w:color w:val="000000"/>
    </w:rPr>
  </w:style>
  <w:style w:type="character" w:styleId="FootnoteReference">
    <w:name w:val="footnote reference"/>
    <w:basedOn w:val="DefaultParagraphFont"/>
    <w:uiPriority w:val="99"/>
    <w:semiHidden/>
    <w:unhideWhenUsed/>
    <w:rsid w:val="00CA2BDC"/>
    <w:rPr>
      <w:vertAlign w:val="superscript"/>
    </w:rPr>
  </w:style>
  <w:style w:type="paragraph" w:styleId="Revision">
    <w:name w:val="Revision"/>
    <w:hidden/>
    <w:uiPriority w:val="99"/>
    <w:semiHidden/>
    <w:rsid w:val="00A849C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40DCC"/>
    <w:rPr>
      <w:sz w:val="16"/>
      <w:szCs w:val="16"/>
    </w:rPr>
  </w:style>
  <w:style w:type="paragraph" w:styleId="CommentText">
    <w:name w:val="annotation text"/>
    <w:basedOn w:val="Normal"/>
    <w:link w:val="TekstopmerkingChar"/>
    <w:uiPriority w:val="99"/>
    <w:unhideWhenUsed/>
    <w:rsid w:val="00840DCC"/>
    <w:pPr>
      <w:spacing w:line="240" w:lineRule="auto"/>
    </w:pPr>
    <w:rPr>
      <w:sz w:val="20"/>
      <w:szCs w:val="20"/>
    </w:rPr>
  </w:style>
  <w:style w:type="character" w:customStyle="1" w:styleId="TekstopmerkingChar">
    <w:name w:val="Tekst opmerking Char"/>
    <w:basedOn w:val="DefaultParagraphFont"/>
    <w:link w:val="CommentText"/>
    <w:uiPriority w:val="99"/>
    <w:rsid w:val="00840DC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40DCC"/>
    <w:rPr>
      <w:b/>
      <w:bCs/>
    </w:rPr>
  </w:style>
  <w:style w:type="character" w:customStyle="1" w:styleId="OnderwerpvanopmerkingChar">
    <w:name w:val="Onderwerp van opmerking Char"/>
    <w:basedOn w:val="TekstopmerkingChar"/>
    <w:link w:val="CommentSubject"/>
    <w:uiPriority w:val="99"/>
    <w:semiHidden/>
    <w:rsid w:val="00840DCC"/>
    <w:rPr>
      <w:rFonts w:ascii="Verdana" w:hAnsi="Verdana"/>
      <w:b/>
      <w:bCs/>
      <w:color w:val="000000"/>
    </w:rPr>
  </w:style>
  <w:style w:type="paragraph" w:styleId="ListParagraph">
    <w:name w:val="List Paragraph"/>
    <w:basedOn w:val="Normal"/>
    <w:uiPriority w:val="34"/>
    <w:qFormat/>
    <w:rsid w:val="00DE682E"/>
    <w:pPr>
      <w:ind w:left="720"/>
      <w:contextualSpacing/>
    </w:pPr>
  </w:style>
  <w:style w:type="character" w:styleId="UnresolvedMention">
    <w:name w:val="Unresolved Mention"/>
    <w:basedOn w:val="DefaultParagraphFont"/>
    <w:uiPriority w:val="99"/>
    <w:semiHidden/>
    <w:unhideWhenUsed/>
    <w:rsid w:val="00635C9C"/>
    <w:rPr>
      <w:color w:val="605E5C"/>
      <w:shd w:val="clear" w:color="auto" w:fill="E1DFDD"/>
    </w:rPr>
  </w:style>
  <w:style w:type="character" w:styleId="FollowedHyperlink">
    <w:name w:val="FollowedHyperlink"/>
    <w:basedOn w:val="DefaultParagraphFont"/>
    <w:uiPriority w:val="99"/>
    <w:semiHidden/>
    <w:unhideWhenUsed/>
    <w:rsid w:val="001345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ocumenten/1968991c-a408-49aa-942f-84ced06e8c4f/file" TargetMode="External" /><Relationship Id="rId2" Type="http://schemas.openxmlformats.org/officeDocument/2006/relationships/hyperlink" Target="https://www.rijksoverheid.nl/documenten/2025/10/02/uitvoeringstoets-dienst-toeslagen-permanente-bewoning-recreatiewoning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1436</ap:Words>
  <ap:Characters>7904</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 Permanente bewoning van recreatiewoningen</vt:lpstr>
    </vt:vector>
  </ap:TitlesOfParts>
  <ap:LinksUpToDate>false</ap:LinksUpToDate>
  <ap:CharactersWithSpaces>9322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2026-06-30T14:17:00.0000000Z</lastPrinted>
  <dcterms:created xsi:type="dcterms:W3CDTF">2026-07-03T08:48:00.0000000Z</dcterms:created>
  <dcterms:modified xsi:type="dcterms:W3CDTF">2026-07-03T08:48:00.0000000Z</dcterms:modified>
  <dc:creator/>
  <lastModifiedBy/>
  <dc:description>------------------------</dc:description>
  <dc:subject/>
  <keywords/>
  <version/>
  <category/>
</coreProperties>
</file>