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Pr="00A00F4E" w:rsidR="00A00F4E" w:rsidP="00A00F4E" w14:paraId="29EC3CF5" w14:textId="77777777"/>
    <w:p w:rsidRPr="00430DC8" w:rsidR="00A00F4E" w:rsidP="1205F75D" w14:paraId="66EB4550" w14:textId="77777777">
      <w:pPr>
        <w:rPr>
          <w:bCs/>
        </w:rPr>
      </w:pPr>
      <w:r w:rsidRPr="00A00F4E">
        <w:t xml:space="preserve">Op </w:t>
      </w:r>
      <w:r>
        <w:t>21 mei</w:t>
      </w:r>
      <w:r w:rsidRPr="00A00F4E">
        <w:t xml:space="preserve"> jongstleden nam uw Kamer de </w:t>
      </w:r>
      <w:r w:rsidRPr="00A7675B">
        <w:t xml:space="preserve">motie van de leden Van Baarle </w:t>
      </w:r>
      <w:r w:rsidRPr="00A7675B" w:rsidR="1205F75D">
        <w:t xml:space="preserve">(DENK) </w:t>
      </w:r>
      <w:r w:rsidRPr="00A7675B">
        <w:t xml:space="preserve">en Van Nispen </w:t>
      </w:r>
      <w:r w:rsidRPr="00A7675B" w:rsidR="1205F75D">
        <w:t xml:space="preserve">(SP) </w:t>
      </w:r>
      <w:r w:rsidRPr="00A7675B">
        <w:t>aan.</w:t>
      </w:r>
      <w:r>
        <w:rPr>
          <w:rStyle w:val="FootnoteReference"/>
        </w:rPr>
        <w:footnoteReference w:id="2"/>
      </w:r>
      <w:r w:rsidRPr="00A7675B">
        <w:t xml:space="preserve"> </w:t>
      </w:r>
      <w:r w:rsidRPr="00A7675B" w:rsidR="003874F9">
        <w:t xml:space="preserve">De leden constateren dat de Wet normering topinkomens (WNT) op dit moment uitsluitend van toepassing is op topfunctionarissen in de publieke en semipublieke sector en overwegen dat ook andere werknemers binnen deze sectoren salarissen ontvangen die het wettelijke bezoldigingsmaximum overschrijden, terwijl zij functioneren onder publieke bekostiging of opdracht. </w:t>
      </w:r>
      <w:r w:rsidRPr="00A7675B">
        <w:t>De motie verzoekt de regering om een voorstel tot wijziging van de Wet normering topinkomens voor te bereiden dat de personele reikwijdte uitbreidt naar alle werknemers in de publieke en semipublieke sector, met inachtneming van passende uitzonderingsmogelijkheden.</w:t>
      </w:r>
    </w:p>
    <w:p w:rsidR="00A00F4E" w:rsidP="00A00F4E" w14:paraId="6ACF04BF" w14:textId="77777777"/>
    <w:p w:rsidR="00291DB4" w:rsidP="00A00F4E" w14:paraId="22F608CD" w14:textId="77777777">
      <w:r w:rsidRPr="00A00F4E">
        <w:t>Het kabinet heeft alles afwegende besloten aan de motie geen uitvoering te geven.</w:t>
      </w:r>
      <w:r w:rsidR="00BF23AE">
        <w:t xml:space="preserve"> </w:t>
      </w:r>
      <w:r w:rsidRPr="00A00F4E">
        <w:t>Ik licht dat besluit</w:t>
      </w:r>
      <w:r w:rsidR="003922A3">
        <w:t xml:space="preserve"> graag</w:t>
      </w:r>
      <w:r w:rsidRPr="00A00F4E">
        <w:t xml:space="preserve"> toe</w:t>
      </w:r>
      <w:r w:rsidR="00F7400E">
        <w:t xml:space="preserve"> in deze brief</w:t>
      </w:r>
      <w:r w:rsidRPr="00A00F4E">
        <w:t xml:space="preserve">. </w:t>
      </w:r>
      <w:r w:rsidR="00F7400E">
        <w:t>Na het zomerreces 2026 zal ik uw Kamer meer in het algemeen informeren over de onderwerpen rondom de WNT waar op dit moment aan gewerkt wordt en eventuele wijzingen die gaan komen.</w:t>
      </w:r>
    </w:p>
    <w:p w:rsidR="00291DB4" w14:paraId="53BC6C39" w14:textId="77777777"/>
    <w:p w:rsidRPr="007D732D" w:rsidR="007D732D" w:rsidP="007D732D" w14:paraId="7E90B90B" w14:textId="77777777">
      <w:pPr>
        <w:spacing w:line="240" w:lineRule="exact"/>
        <w:rPr>
          <w:b/>
        </w:rPr>
      </w:pPr>
      <w:r w:rsidRPr="007D732D">
        <w:rPr>
          <w:b/>
        </w:rPr>
        <w:t>Motie uitbreiding reikwijdte WNT naar alle werknemers</w:t>
      </w:r>
    </w:p>
    <w:p w:rsidRPr="00381500" w:rsidR="00381500" w:rsidP="00381500" w14:paraId="1117E23F" w14:textId="77777777">
      <w:pPr>
        <w:spacing w:line="240" w:lineRule="exact"/>
        <w:contextualSpacing/>
      </w:pPr>
      <w:r w:rsidRPr="007D732D">
        <w:rPr>
          <w:bCs/>
        </w:rPr>
        <w:t xml:space="preserve">Deze motie </w:t>
      </w:r>
      <w:r w:rsidR="00430DC8">
        <w:rPr>
          <w:bCs/>
        </w:rPr>
        <w:t>is inhoudelijk gelijk aan het</w:t>
      </w:r>
      <w:r w:rsidRPr="007D732D">
        <w:rPr>
          <w:bCs/>
        </w:rPr>
        <w:t xml:space="preserve"> </w:t>
      </w:r>
      <w:r w:rsidR="001D4BD0">
        <w:rPr>
          <w:bCs/>
        </w:rPr>
        <w:t xml:space="preserve">voorstel van </w:t>
      </w:r>
      <w:r w:rsidRPr="00963F4E" w:rsidR="00963F4E">
        <w:rPr>
          <w:bCs/>
        </w:rPr>
        <w:t xml:space="preserve">Wet uitbreiding personele reikwijdte </w:t>
      </w:r>
      <w:r w:rsidR="009F5440">
        <w:rPr>
          <w:bCs/>
        </w:rPr>
        <w:t>Wet normering topinkomens</w:t>
      </w:r>
      <w:r w:rsidR="001D4BD0">
        <w:rPr>
          <w:bCs/>
        </w:rPr>
        <w:t xml:space="preserve"> (</w:t>
      </w:r>
      <w:r w:rsidR="00963F4E">
        <w:rPr>
          <w:bCs/>
        </w:rPr>
        <w:t xml:space="preserve">in de </w:t>
      </w:r>
      <w:r w:rsidR="003922A3">
        <w:rPr>
          <w:bCs/>
        </w:rPr>
        <w:t>praktijk</w:t>
      </w:r>
      <w:r w:rsidR="00963F4E">
        <w:rPr>
          <w:bCs/>
        </w:rPr>
        <w:t xml:space="preserve"> ook wel de</w:t>
      </w:r>
      <w:r w:rsidRPr="007D732D" w:rsidR="00963F4E">
        <w:rPr>
          <w:bCs/>
        </w:rPr>
        <w:t xml:space="preserve"> </w:t>
      </w:r>
      <w:r w:rsidRPr="007D732D">
        <w:rPr>
          <w:bCs/>
        </w:rPr>
        <w:t>WNT-3</w:t>
      </w:r>
      <w:r w:rsidR="00963F4E">
        <w:rPr>
          <w:bCs/>
        </w:rPr>
        <w:t xml:space="preserve"> genoemd</w:t>
      </w:r>
      <w:r w:rsidR="001D4BD0">
        <w:rPr>
          <w:bCs/>
        </w:rPr>
        <w:t>)</w:t>
      </w:r>
      <w:r>
        <w:rPr>
          <w:rStyle w:val="FootnoteReference"/>
          <w:bCs/>
        </w:rPr>
        <w:footnoteReference w:id="3"/>
      </w:r>
      <w:r w:rsidR="00430DC8">
        <w:rPr>
          <w:bCs/>
        </w:rPr>
        <w:t xml:space="preserve"> uit 2017 dat uiteindelijk niet bij de Tweede Kamer is ingediend</w:t>
      </w:r>
      <w:r w:rsidR="00B05AAD">
        <w:rPr>
          <w:bCs/>
        </w:rPr>
        <w:t xml:space="preserve"> en wordt daarom in deze brief als uitgangspunt genomen</w:t>
      </w:r>
      <w:r w:rsidRPr="007D732D">
        <w:rPr>
          <w:bCs/>
        </w:rPr>
        <w:t xml:space="preserve">. </w:t>
      </w:r>
      <w:r w:rsidRPr="007D732D">
        <w:t>De WNT-3 zou, als die wet zou zijn ingevoerd, de normering van de WNT hebben uitgebreid naar niet-topfunctionarissen met een dienstbetrekking (werknemers). De</w:t>
      </w:r>
      <w:r w:rsidR="007B11C7">
        <w:t xml:space="preserve"> </w:t>
      </w:r>
      <w:r w:rsidRPr="007D732D">
        <w:t xml:space="preserve">openbaarmakingsplicht </w:t>
      </w:r>
      <w:r w:rsidR="00A60743">
        <w:t xml:space="preserve">voor niet-topfunctionarissen </w:t>
      </w:r>
      <w:r w:rsidRPr="007D732D">
        <w:t xml:space="preserve">zou </w:t>
      </w:r>
      <w:r w:rsidR="00A60743">
        <w:t xml:space="preserve">onder de WNT-3 </w:t>
      </w:r>
      <w:r w:rsidRPr="007D732D">
        <w:t>ongewijzigd blijven</w:t>
      </w:r>
      <w:r w:rsidR="00A60743">
        <w:t>.</w:t>
      </w:r>
      <w:r>
        <w:rPr>
          <w:rStyle w:val="FootnoteReference"/>
        </w:rPr>
        <w:footnoteReference w:id="4"/>
      </w:r>
      <w:r w:rsidRPr="007D732D">
        <w:t xml:space="preserve"> Overigens waren twee categorieën niet-topfunctionarissen op voorhand uitgesloten van de WNT-3: luchtverkeersleiders en medisch specialisten.</w:t>
      </w:r>
      <w:r>
        <w:t xml:space="preserve"> Ten aanzien van deze laatste groep </w:t>
      </w:r>
      <w:r w:rsidRPr="00381500">
        <w:t>is het relevant te melden dat het ministerie van VWS</w:t>
      </w:r>
      <w:r w:rsidR="00F12B50">
        <w:t xml:space="preserve"> heeft</w:t>
      </w:r>
      <w:r w:rsidRPr="00381500">
        <w:t xml:space="preserve"> verken</w:t>
      </w:r>
      <w:r w:rsidR="00F12B50">
        <w:t>d</w:t>
      </w:r>
      <w:r w:rsidRPr="00381500">
        <w:t xml:space="preserve"> of wetgeving voorbereid kan worden naar normering van de verdiensten van medisch specialisten.</w:t>
      </w:r>
      <w:r w:rsidR="00F12B50">
        <w:t xml:space="preserve"> Uit de verkenning is gebleken dat het noodzakelijk is om eerst inzicht te verkrijgen in de hoogte van hun inkomens. Daarom start VWS </w:t>
      </w:r>
      <w:bookmarkStart w:name="_Hlk215041960" w:id="0"/>
      <w:r w:rsidR="00F12B50">
        <w:t xml:space="preserve">met de voorbereiding van een wetsvoorstel gericht op het vergroten van de transparantie rondom de inkomens van alle medisch </w:t>
      </w:r>
      <w:r w:rsidR="00F12B50">
        <w:t>specialisten</w:t>
      </w:r>
      <w:r w:rsidR="00F12B50">
        <w:t>.</w:t>
      </w:r>
      <w:bookmarkEnd w:id="0"/>
      <w:r w:rsidR="00F12B50">
        <w:t xml:space="preserve"> Met het doel om met de informatie die daaruit beschikbaar komt, tenzij blijkt dat daartoe geen aanleiding is, over te kunnen gaan tot de voorbereiding van wetgeving die deze inkomsten ook maximeert.</w:t>
      </w:r>
      <w:r w:rsidRPr="00FD30F0" w:rsidR="00F12B50">
        <w:t xml:space="preserve"> </w:t>
      </w:r>
      <w:r w:rsidRPr="00381500">
        <w:t>VWS zet hierbij in op normering via eigen wetgeving gericht op zowel medisch specialisten in loondienst als vrijgevestigde medisch specialisten in plaats van via de WNT</w:t>
      </w:r>
      <w:r>
        <w:rPr>
          <w:vertAlign w:val="superscript"/>
        </w:rPr>
        <w:footnoteReference w:id="5"/>
      </w:r>
      <w:r w:rsidRPr="00381500">
        <w:t xml:space="preserve">. </w:t>
      </w:r>
    </w:p>
    <w:p w:rsidRPr="007D732D" w:rsidR="007D732D" w:rsidP="00D063FC" w14:paraId="5C4F391E" w14:textId="77777777">
      <w:pPr>
        <w:spacing w:line="240" w:lineRule="exact"/>
        <w:contextualSpacing/>
      </w:pPr>
    </w:p>
    <w:p w:rsidR="00BF5BBE" w:rsidP="00A67B3D" w14:paraId="664F1082" w14:textId="77777777">
      <w:pPr>
        <w:spacing w:line="240" w:lineRule="exact"/>
        <w:contextualSpacing/>
      </w:pPr>
      <w:r>
        <w:t xml:space="preserve">Het indienen van de WNT-3 paste niet </w:t>
      </w:r>
      <w:r w:rsidR="00A67B3D">
        <w:t>bij</w:t>
      </w:r>
      <w:r>
        <w:t xml:space="preserve"> het beleid dat </w:t>
      </w:r>
      <w:r w:rsidR="00A67B3D">
        <w:t>het kabinet</w:t>
      </w:r>
      <w:r w:rsidRPr="1BAF3783" w:rsidR="009D3682">
        <w:t xml:space="preserve"> </w:t>
      </w:r>
      <w:r w:rsidR="009D3682">
        <w:t>destijds</w:t>
      </w:r>
      <w:r w:rsidR="00F55882">
        <w:t xml:space="preserve"> </w:t>
      </w:r>
      <w:r w:rsidR="00A67B3D">
        <w:t>wilde voeren op het gebied van het functioneren van de overheid</w:t>
      </w:r>
      <w:r w:rsidRPr="1BAF3783">
        <w:t xml:space="preserve"> </w:t>
      </w:r>
      <w:r>
        <w:t>en</w:t>
      </w:r>
      <w:r w:rsidR="00F55882">
        <w:t xml:space="preserve"> </w:t>
      </w:r>
      <w:r>
        <w:t>heeft dat</w:t>
      </w:r>
      <w:r w:rsidR="00A67B3D">
        <w:t xml:space="preserve"> als volgt toegelicht: “</w:t>
      </w:r>
      <w:r w:rsidRPr="1BAF3783" w:rsidR="00A67B3D">
        <w:rPr>
          <w:i/>
          <w:iCs/>
        </w:rPr>
        <w:t xml:space="preserve">Het kabinet heeft besloten dit wetsvoorstel niet in te dienen. In het regeerakkoord staat vermeld: «Daarnaast is het voor het functioneren van de overheid goed dat deze op belangrijke terreinen voldoende expertise in huis heeft. Het beloningsniveau bij de overheid moet zodanig zijn dat ook hoogwaardige en schaarse specialisten, bijvoorbeeld met expertise op gebied van ICT, financiën of inkoop, in dienst kunnen worden </w:t>
      </w:r>
      <w:r w:rsidRPr="1BAF3783" w:rsidR="00A67B3D">
        <w:rPr>
          <w:i/>
          <w:iCs/>
        </w:rPr>
        <w:t>genomen.»</w:t>
      </w:r>
      <w:r w:rsidRPr="1BAF3783" w:rsidR="00A67B3D">
        <w:rPr>
          <w:i/>
          <w:iCs/>
        </w:rPr>
        <w:t xml:space="preserve"> Het indienen van de WNT-3 past hier niet bij.</w:t>
      </w:r>
      <w:r w:rsidRPr="1BAF3783" w:rsidR="00A67B3D">
        <w:t>”</w:t>
      </w:r>
      <w:r>
        <w:rPr>
          <w:rStyle w:val="FootnoteReference"/>
        </w:rPr>
        <w:footnoteReference w:id="6"/>
      </w:r>
      <w:r w:rsidRPr="1BAF3783" w:rsidR="005021C0">
        <w:t xml:space="preserve"> </w:t>
      </w:r>
      <w:r w:rsidRPr="005021C0" w:rsidR="005021C0">
        <w:t>Ik zie geen aanleiding om hieromtrent een ander standpunt in te nemen</w:t>
      </w:r>
      <w:r w:rsidRPr="1BAF3783" w:rsidR="005021C0">
        <w:t>.</w:t>
      </w:r>
    </w:p>
    <w:p w:rsidR="00D063FC" w:rsidP="00D063FC" w14:paraId="0239388D" w14:textId="77777777">
      <w:pPr>
        <w:spacing w:line="240" w:lineRule="exact"/>
        <w:contextualSpacing/>
      </w:pPr>
    </w:p>
    <w:p w:rsidR="00D063FC" w:rsidP="00D86ABB" w14:paraId="683B2D39" w14:textId="77777777">
      <w:pPr>
        <w:spacing w:line="240" w:lineRule="exact"/>
        <w:contextualSpacing/>
      </w:pPr>
      <w:r>
        <w:t>Bovendien was h</w:t>
      </w:r>
      <w:r w:rsidRPr="007D732D" w:rsidR="007D732D">
        <w:t>et advies van de Raad van State ten aanzien van de uitbreiding van de reikwijdte negatief o.a. omdat nut</w:t>
      </w:r>
      <w:r w:rsidR="00586DEC">
        <w:t>,</w:t>
      </w:r>
      <w:r w:rsidRPr="007D732D" w:rsidR="007D732D">
        <w:t xml:space="preserve"> noodzaak</w:t>
      </w:r>
      <w:r w:rsidR="00586DEC">
        <w:t>,</w:t>
      </w:r>
      <w:r w:rsidRPr="007D732D" w:rsidR="007D732D">
        <w:t xml:space="preserve"> proportionaliteit en subsidiariteit van het voorstel niet waren aangetoond. </w:t>
      </w:r>
      <w:r w:rsidR="00D86ABB">
        <w:t xml:space="preserve">Het dictum van het advies </w:t>
      </w:r>
      <w:r w:rsidR="00450C55">
        <w:t xml:space="preserve">was D en </w:t>
      </w:r>
      <w:r w:rsidR="00D86ABB">
        <w:t>luidde voluit: “Gelet op het vorenstaande adviseert de Afdeling het voorstel niet in te dienen. De Afdeling advisering van de Raad van State heeft (</w:t>
      </w:r>
      <w:r w:rsidR="00D86ABB">
        <w:t>blijkens</w:t>
      </w:r>
      <w:r w:rsidR="00D86ABB">
        <w:t xml:space="preserve"> het vorenstaande) bezwaar tegen (zowel de vorm als de inhoud van) het voorstel van wet en geeft U in overweging dit niet te zenden aan de Tweede Kamer der Staten-Generaal.” </w:t>
      </w:r>
      <w:r w:rsidRPr="007D732D" w:rsidR="007D732D">
        <w:t xml:space="preserve">Dit omdat het aantal werknemers met bezoldiging boven het maximum naar verhouding (zeer) klein was én het voorstel </w:t>
      </w:r>
      <w:r w:rsidR="00B86DE2">
        <w:t>drie</w:t>
      </w:r>
      <w:r w:rsidRPr="007D732D" w:rsidR="00B86DE2">
        <w:t xml:space="preserve"> </w:t>
      </w:r>
      <w:r w:rsidRPr="007D732D" w:rsidR="007D732D">
        <w:t>grote groepen daarvan op voorhand al uitzonderde van normering</w:t>
      </w:r>
      <w:r w:rsidR="00B86DE2">
        <w:t xml:space="preserve"> (niet-topfunctionarissen zonder dienstbetrekking, medisch specialisten en luchtverkeersleiders)</w:t>
      </w:r>
      <w:r>
        <w:rPr>
          <w:rStyle w:val="FootnoteReference"/>
        </w:rPr>
        <w:footnoteReference w:id="7"/>
      </w:r>
      <w:r w:rsidR="00C47DAD">
        <w:t xml:space="preserve">. </w:t>
      </w:r>
      <w:r w:rsidRPr="007D732D" w:rsidR="007D732D">
        <w:t>Wat overbleef, stelde getalsmatig niet of nauwelijks iets voor</w:t>
      </w:r>
      <w:r w:rsidR="00307CEB">
        <w:t xml:space="preserve"> ten opzichte van het totaal aantal werknemers en bovendien </w:t>
      </w:r>
      <w:r w:rsidR="00FA7D66">
        <w:t xml:space="preserve">kon </w:t>
      </w:r>
      <w:r w:rsidRPr="00307CEB" w:rsidR="00307CEB">
        <w:t>niet worden uitgesloten dat ook in verschillende van die gevallen sprake k</w:t>
      </w:r>
      <w:r w:rsidR="00886FDD">
        <w:t>o</w:t>
      </w:r>
      <w:r w:rsidRPr="00307CEB" w:rsidR="00307CEB">
        <w:t>n zijn van verklaarbare redenen om af te wijken van de bezoldigingsnormen</w:t>
      </w:r>
      <w:r w:rsidRPr="007D732D" w:rsidR="007D732D">
        <w:t>.</w:t>
      </w:r>
      <w:r>
        <w:rPr>
          <w:rStyle w:val="FootnoteReference"/>
        </w:rPr>
        <w:footnoteReference w:id="8"/>
      </w:r>
      <w:r w:rsidRPr="007D732D" w:rsidR="007D732D">
        <w:t xml:space="preserve"> Ook ontbrak volgens de Raad van State een rechtvaardiging voor de beperking die het voorstel meebrengt op het in verschillende internationale verdragen neergelegde recht op vrij en collectief onderhandelen. Ook daarvan waren noodzaak en proportionaliteit niet aangetoond. </w:t>
      </w:r>
    </w:p>
    <w:p w:rsidRPr="007D732D" w:rsidR="007D732D" w:rsidP="007D732D" w14:paraId="4142BFCC" w14:textId="77777777">
      <w:pPr>
        <w:spacing w:line="240" w:lineRule="exact"/>
      </w:pPr>
    </w:p>
    <w:p w:rsidRPr="007D732D" w:rsidR="007D732D" w:rsidP="007D732D" w14:paraId="38C4C8A8" w14:textId="77777777">
      <w:pPr>
        <w:spacing w:line="240" w:lineRule="exact"/>
        <w:rPr>
          <w:b/>
          <w:bCs/>
        </w:rPr>
      </w:pPr>
      <w:r w:rsidRPr="007D732D">
        <w:rPr>
          <w:b/>
          <w:bCs/>
        </w:rPr>
        <w:t>Onderzoek BZK naar overschrijdingen WNT-maximum door niet-</w:t>
      </w:r>
      <w:r w:rsidRPr="00625B5E">
        <w:rPr>
          <w:b/>
          <w:bCs/>
        </w:rPr>
        <w:t>topfunctionarissen</w:t>
      </w:r>
    </w:p>
    <w:p w:rsidRPr="007D732D" w:rsidR="007D732D" w:rsidP="00D063FC" w14:paraId="70529CCF" w14:textId="77777777">
      <w:pPr>
        <w:spacing w:line="240" w:lineRule="exact"/>
        <w:contextualSpacing/>
        <w:rPr>
          <w:b/>
          <w:bCs/>
        </w:rPr>
      </w:pPr>
      <w:r>
        <w:rPr>
          <w:bCs/>
        </w:rPr>
        <w:t xml:space="preserve">Mijn ministerie heeft </w:t>
      </w:r>
      <w:r w:rsidR="00CC50C1">
        <w:rPr>
          <w:bCs/>
        </w:rPr>
        <w:t xml:space="preserve">bij wijze van selecte, </w:t>
      </w:r>
      <w:r w:rsidR="00420563">
        <w:rPr>
          <w:bCs/>
        </w:rPr>
        <w:t>onderbouwde</w:t>
      </w:r>
      <w:r w:rsidR="00CC50C1">
        <w:rPr>
          <w:bCs/>
        </w:rPr>
        <w:t xml:space="preserve"> steekproef </w:t>
      </w:r>
      <w:r w:rsidR="000B4B93">
        <w:rPr>
          <w:bCs/>
        </w:rPr>
        <w:t>in 2025</w:t>
      </w:r>
      <w:r w:rsidR="00B80E4F">
        <w:rPr>
          <w:bCs/>
        </w:rPr>
        <w:t xml:space="preserve"> </w:t>
      </w:r>
      <w:r>
        <w:rPr>
          <w:bCs/>
        </w:rPr>
        <w:t xml:space="preserve">onderzoek gedaan naar </w:t>
      </w:r>
      <w:r w:rsidRPr="007D732D">
        <w:rPr>
          <w:bCs/>
        </w:rPr>
        <w:t>niet-topfunctionarissen met dienstbetrekking die meer verdienen dan het algemeen bezoldigingsmaximum</w:t>
      </w:r>
      <w:r>
        <w:rPr>
          <w:bCs/>
        </w:rPr>
        <w:t xml:space="preserve">. Daarvoor is gekeken naar de WNT-verantwoording van instellingen </w:t>
      </w:r>
      <w:r w:rsidR="00243B19">
        <w:rPr>
          <w:bCs/>
        </w:rPr>
        <w:t xml:space="preserve">die </w:t>
      </w:r>
      <w:r w:rsidR="00B80E4F">
        <w:rPr>
          <w:bCs/>
        </w:rPr>
        <w:t>in</w:t>
      </w:r>
      <w:r>
        <w:rPr>
          <w:bCs/>
        </w:rPr>
        <w:t xml:space="preserve"> 2015</w:t>
      </w:r>
      <w:r w:rsidR="00243B19">
        <w:rPr>
          <w:bCs/>
        </w:rPr>
        <w:t xml:space="preserve"> opgenomen zijn op de WNT-jaarrapportage</w:t>
      </w:r>
      <w:r>
        <w:rPr>
          <w:rStyle w:val="FootnoteReference"/>
          <w:bCs/>
        </w:rPr>
        <w:footnoteReference w:id="9"/>
      </w:r>
      <w:r w:rsidR="00381500">
        <w:rPr>
          <w:bCs/>
        </w:rPr>
        <w:t>. Op grond hiervan is</w:t>
      </w:r>
      <w:r>
        <w:rPr>
          <w:bCs/>
        </w:rPr>
        <w:t xml:space="preserve"> de kans </w:t>
      </w:r>
      <w:r w:rsidR="00381500">
        <w:rPr>
          <w:bCs/>
        </w:rPr>
        <w:t>ingeschat welke instellingen mogelijk</w:t>
      </w:r>
      <w:r>
        <w:rPr>
          <w:bCs/>
        </w:rPr>
        <w:t xml:space="preserve"> </w:t>
      </w:r>
      <w:r w:rsidR="007D4E77">
        <w:rPr>
          <w:bCs/>
        </w:rPr>
        <w:t xml:space="preserve">op dit moment </w:t>
      </w:r>
      <w:r>
        <w:rPr>
          <w:bCs/>
        </w:rPr>
        <w:t xml:space="preserve">niet-topfunctionarissen in dienst </w:t>
      </w:r>
      <w:r w:rsidR="00882B71">
        <w:rPr>
          <w:bCs/>
        </w:rPr>
        <w:t>hebben</w:t>
      </w:r>
      <w:r>
        <w:rPr>
          <w:bCs/>
        </w:rPr>
        <w:t xml:space="preserve"> die meer </w:t>
      </w:r>
      <w:r>
        <w:rPr>
          <w:bCs/>
        </w:rPr>
        <w:t>verdienen dan het algemeen bezoldigingsmaximum</w:t>
      </w:r>
      <w:r w:rsidR="00381500">
        <w:rPr>
          <w:bCs/>
        </w:rPr>
        <w:t>. De steekproef is verder</w:t>
      </w:r>
      <w:r>
        <w:rPr>
          <w:bCs/>
        </w:rPr>
        <w:t xml:space="preserve"> aangevuld met onder meer </w:t>
      </w:r>
      <w:r w:rsidR="00FF1DE2">
        <w:rPr>
          <w:bCs/>
        </w:rPr>
        <w:t xml:space="preserve">onderwijsinstellingen, </w:t>
      </w:r>
      <w:r>
        <w:t>instellingen met de hoogste baten</w:t>
      </w:r>
      <w:r w:rsidR="00FF1DE2">
        <w:t xml:space="preserve"> of</w:t>
      </w:r>
      <w:r>
        <w:t xml:space="preserve"> het grootste aantal medewerkers én instellingen die eerder in het nieuws zijn gekomen i.v.m. relatief hoge bezoldiging van niet-topfunctionarissen</w:t>
      </w:r>
      <w:r>
        <w:rPr>
          <w:rStyle w:val="FootnoteReference"/>
          <w:bCs/>
        </w:rPr>
        <w:footnoteReference w:id="10"/>
      </w:r>
      <w:r>
        <w:t xml:space="preserve">. </w:t>
      </w:r>
      <w:r w:rsidR="00DE0616">
        <w:t>Uit dit onderzoek</w:t>
      </w:r>
      <w:r>
        <w:rPr>
          <w:rStyle w:val="FootnoteReference"/>
        </w:rPr>
        <w:footnoteReference w:id="11"/>
      </w:r>
      <w:r w:rsidR="00DE0616">
        <w:t xml:space="preserve"> </w:t>
      </w:r>
      <w:r w:rsidR="00DE0616">
        <w:rPr>
          <w:bCs/>
        </w:rPr>
        <w:t xml:space="preserve">met gegevens over </w:t>
      </w:r>
      <w:r w:rsidRPr="007D732D">
        <w:rPr>
          <w:bCs/>
        </w:rPr>
        <w:t>202</w:t>
      </w:r>
      <w:r w:rsidR="0097486D">
        <w:rPr>
          <w:bCs/>
        </w:rPr>
        <w:t>3</w:t>
      </w:r>
      <w:r w:rsidRPr="007D732D">
        <w:rPr>
          <w:bCs/>
        </w:rPr>
        <w:t xml:space="preserve"> </w:t>
      </w:r>
      <w:r w:rsidR="00F82ED6">
        <w:rPr>
          <w:bCs/>
        </w:rPr>
        <w:t>komen</w:t>
      </w:r>
      <w:r w:rsidRPr="007D732D">
        <w:rPr>
          <w:bCs/>
        </w:rPr>
        <w:t xml:space="preserve"> 265 niet-topfunctionarissen met dienstbetrekking </w:t>
      </w:r>
      <w:r w:rsidR="00DE0616">
        <w:rPr>
          <w:bCs/>
        </w:rPr>
        <w:t xml:space="preserve">naar voren </w:t>
      </w:r>
      <w:r w:rsidRPr="007D732D">
        <w:rPr>
          <w:bCs/>
        </w:rPr>
        <w:t xml:space="preserve">die </w:t>
      </w:r>
      <w:r w:rsidR="000300AF">
        <w:rPr>
          <w:bCs/>
        </w:rPr>
        <w:t xml:space="preserve">in dat jaar </w:t>
      </w:r>
      <w:r w:rsidRPr="007D732D">
        <w:rPr>
          <w:bCs/>
        </w:rPr>
        <w:t>meer verdienden dan het algemeen bezoldigingsmaximum</w:t>
      </w:r>
      <w:r w:rsidR="003A56C0">
        <w:rPr>
          <w:bCs/>
        </w:rPr>
        <w:t>.</w:t>
      </w:r>
      <w:r w:rsidRPr="007D732D">
        <w:rPr>
          <w:bCs/>
        </w:rPr>
        <w:t xml:space="preserve"> Ter vergelijking: in 2015 waren er 388 niet-topfunctionarissen</w:t>
      </w:r>
      <w:r>
        <w:rPr>
          <w:rStyle w:val="FootnoteReference"/>
          <w:bCs/>
        </w:rPr>
        <w:footnoteReference w:id="12"/>
      </w:r>
      <w:r w:rsidRPr="007D732D">
        <w:rPr>
          <w:bCs/>
        </w:rPr>
        <w:t xml:space="preserve"> die meer verdienden dan de WNT-norm. </w:t>
      </w:r>
      <w:r w:rsidRPr="00704663" w:rsidR="00704663">
        <w:rPr>
          <w:bCs/>
        </w:rPr>
        <w:t>O</w:t>
      </w:r>
      <w:r w:rsidR="00704663">
        <w:rPr>
          <w:bCs/>
        </w:rPr>
        <w:t>p grond van</w:t>
      </w:r>
      <w:r w:rsidRPr="00704663" w:rsidR="00704663">
        <w:rPr>
          <w:bCs/>
        </w:rPr>
        <w:t xml:space="preserve"> de bevindingen van </w:t>
      </w:r>
      <w:r w:rsidR="00704663">
        <w:rPr>
          <w:bCs/>
        </w:rPr>
        <w:t xml:space="preserve">de </w:t>
      </w:r>
      <w:r w:rsidRPr="00704663" w:rsidR="00704663">
        <w:rPr>
          <w:bCs/>
        </w:rPr>
        <w:t xml:space="preserve">genoemde steekproef </w:t>
      </w:r>
      <w:r w:rsidR="00CE393D">
        <w:rPr>
          <w:bCs/>
        </w:rPr>
        <w:t xml:space="preserve">kan worden </w:t>
      </w:r>
      <w:r w:rsidR="000300AF">
        <w:rPr>
          <w:bCs/>
        </w:rPr>
        <w:t xml:space="preserve">geconstateerd </w:t>
      </w:r>
      <w:r w:rsidRPr="00704663" w:rsidR="00704663">
        <w:rPr>
          <w:bCs/>
        </w:rPr>
        <w:t xml:space="preserve">dat er sinds 2015 sprake </w:t>
      </w:r>
      <w:r w:rsidR="000300AF">
        <w:rPr>
          <w:bCs/>
        </w:rPr>
        <w:t>lijkt</w:t>
      </w:r>
      <w:r w:rsidRPr="00704663" w:rsidR="000300AF">
        <w:rPr>
          <w:bCs/>
        </w:rPr>
        <w:t xml:space="preserve"> </w:t>
      </w:r>
      <w:r w:rsidRPr="00704663" w:rsidR="00704663">
        <w:rPr>
          <w:bCs/>
        </w:rPr>
        <w:t xml:space="preserve">van een dalende trend in inkomens </w:t>
      </w:r>
      <w:r w:rsidR="00CE393D">
        <w:rPr>
          <w:bCs/>
        </w:rPr>
        <w:t xml:space="preserve">van niet-topfunctionarissen </w:t>
      </w:r>
      <w:r w:rsidRPr="00704663" w:rsidR="00704663">
        <w:rPr>
          <w:bCs/>
        </w:rPr>
        <w:t>boven het WNT-maximum</w:t>
      </w:r>
      <w:r w:rsidRPr="007D732D">
        <w:rPr>
          <w:bCs/>
        </w:rPr>
        <w:t>, waardoor de nut</w:t>
      </w:r>
      <w:r w:rsidR="00026EE7">
        <w:rPr>
          <w:bCs/>
        </w:rPr>
        <w:t>,</w:t>
      </w:r>
      <w:r w:rsidR="00FA68F7">
        <w:rPr>
          <w:bCs/>
        </w:rPr>
        <w:t xml:space="preserve"> </w:t>
      </w:r>
      <w:r w:rsidRPr="007D732D">
        <w:rPr>
          <w:bCs/>
        </w:rPr>
        <w:t xml:space="preserve">noodzaak en proportionaliteit van </w:t>
      </w:r>
      <w:r w:rsidR="00CE393D">
        <w:rPr>
          <w:bCs/>
        </w:rPr>
        <w:t xml:space="preserve">het </w:t>
      </w:r>
      <w:r w:rsidR="00FA68F7">
        <w:rPr>
          <w:bCs/>
        </w:rPr>
        <w:t>i</w:t>
      </w:r>
      <w:r w:rsidRPr="007D732D" w:rsidR="00FA68F7">
        <w:rPr>
          <w:bCs/>
        </w:rPr>
        <w:t>nvoeren</w:t>
      </w:r>
      <w:r w:rsidRPr="007D732D">
        <w:rPr>
          <w:bCs/>
        </w:rPr>
        <w:t xml:space="preserve"> van de WNT-3 </w:t>
      </w:r>
      <w:r w:rsidR="000300AF">
        <w:rPr>
          <w:bCs/>
        </w:rPr>
        <w:t>verder lijkt te zijn</w:t>
      </w:r>
      <w:r w:rsidRPr="007D732D" w:rsidR="000300AF">
        <w:rPr>
          <w:bCs/>
        </w:rPr>
        <w:t xml:space="preserve"> </w:t>
      </w:r>
      <w:r w:rsidRPr="007D732D">
        <w:rPr>
          <w:bCs/>
        </w:rPr>
        <w:t>afgenomen</w:t>
      </w:r>
      <w:r w:rsidR="00CE393D">
        <w:rPr>
          <w:bCs/>
        </w:rPr>
        <w:t>.</w:t>
      </w:r>
    </w:p>
    <w:p w:rsidR="00D063FC" w:rsidP="00D063FC" w14:paraId="2C56B1DA" w14:textId="77777777">
      <w:pPr>
        <w:spacing w:line="240" w:lineRule="exact"/>
        <w:contextualSpacing/>
      </w:pPr>
    </w:p>
    <w:p w:rsidR="007D732D" w:rsidP="00D063FC" w14:paraId="14F1CD64" w14:textId="77777777">
      <w:pPr>
        <w:spacing w:line="240" w:lineRule="exact"/>
        <w:contextualSpacing/>
      </w:pPr>
      <w:r>
        <w:t xml:space="preserve">Het kabinet </w:t>
      </w:r>
      <w:r w:rsidR="000300AF">
        <w:t xml:space="preserve">vindt dan ook </w:t>
      </w:r>
      <w:r>
        <w:t>dat</w:t>
      </w:r>
      <w:r w:rsidRPr="007D732D">
        <w:t xml:space="preserve"> de nut en noodzaak </w:t>
      </w:r>
      <w:r>
        <w:t>van het invoeren van een wijziging van de WNT die alle werknemers onder de normering brengt verder is afgenomen. Dit g</w:t>
      </w:r>
      <w:r w:rsidRPr="007D732D">
        <w:t xml:space="preserve">ezien </w:t>
      </w:r>
      <w:r w:rsidR="000300AF">
        <w:t xml:space="preserve">de geconstateerde daling van het </w:t>
      </w:r>
      <w:r w:rsidRPr="007D732D">
        <w:t>aantal niet-topfunctionarissen wiens bezoldiging de normering overschrijdt</w:t>
      </w:r>
      <w:r>
        <w:t xml:space="preserve"> </w:t>
      </w:r>
      <w:r w:rsidRPr="007D732D">
        <w:t>sinds de invoering van de WNT</w:t>
      </w:r>
      <w:r>
        <w:t>.</w:t>
      </w:r>
      <w:r w:rsidRPr="007D732D">
        <w:t xml:space="preserve"> </w:t>
      </w:r>
      <w:r w:rsidR="000E132D">
        <w:t>Tevens</w:t>
      </w:r>
      <w:r w:rsidR="000E132D">
        <w:t xml:space="preserve"> zijn </w:t>
      </w:r>
      <w:r w:rsidR="00586DEC">
        <w:t>alle overige bezwaren die ertoe hebben geleid dat de WNT-3 in 201</w:t>
      </w:r>
      <w:r w:rsidR="00CE393D">
        <w:t>7</w:t>
      </w:r>
      <w:r w:rsidR="000300AF">
        <w:t xml:space="preserve"> </w:t>
      </w:r>
      <w:r w:rsidR="00586DEC">
        <w:t>niet is ingevoerd nog actueel</w:t>
      </w:r>
      <w:r w:rsidR="00C20F2F">
        <w:t>.</w:t>
      </w:r>
    </w:p>
    <w:p w:rsidR="005C6E8C" w:rsidP="00D063FC" w14:paraId="1B613CF6" w14:textId="77777777">
      <w:pPr>
        <w:spacing w:line="240" w:lineRule="exact"/>
        <w:contextualSpacing/>
      </w:pPr>
    </w:p>
    <w:p w:rsidRPr="00045E23" w:rsidR="004E74BC" w:rsidP="004E74BC" w14:paraId="7C6C75B7" w14:textId="77777777">
      <w:pPr>
        <w:spacing w:line="240" w:lineRule="exact"/>
        <w:contextualSpacing/>
        <w:rPr>
          <w:b/>
          <w:bCs/>
        </w:rPr>
      </w:pPr>
      <w:r w:rsidRPr="00045E23">
        <w:rPr>
          <w:b/>
          <w:bCs/>
        </w:rPr>
        <w:t xml:space="preserve">Vooruitblik </w:t>
      </w:r>
    </w:p>
    <w:p w:rsidR="004E74BC" w:rsidP="004E74BC" w14:paraId="67ECF134" w14:textId="77777777">
      <w:pPr>
        <w:spacing w:line="240" w:lineRule="exact"/>
        <w:contextualSpacing/>
      </w:pPr>
      <w:r>
        <w:t xml:space="preserve">Na het zomerreces 2026 zal ik uw </w:t>
      </w:r>
      <w:r w:rsidR="00D347CF">
        <w:t>K</w:t>
      </w:r>
      <w:r>
        <w:t>amer informeren over</w:t>
      </w:r>
      <w:r w:rsidRPr="005C6E8C">
        <w:t xml:space="preserve"> een aantal </w:t>
      </w:r>
      <w:r>
        <w:t xml:space="preserve">lopende </w:t>
      </w:r>
      <w:r w:rsidRPr="005C6E8C">
        <w:t xml:space="preserve">trajecten. Zo </w:t>
      </w:r>
      <w:r>
        <w:t xml:space="preserve">wordt de </w:t>
      </w:r>
      <w:r w:rsidR="00796AF7">
        <w:t>i</w:t>
      </w:r>
      <w:r>
        <w:t xml:space="preserve">nternetconsultatie van de Tweede Evaluatiewet WNT verwerkt en is de Derde Evaluatie WNT door een extern bureau </w:t>
      </w:r>
      <w:r>
        <w:t>reeds</w:t>
      </w:r>
      <w:r>
        <w:t xml:space="preserve"> afgerond</w:t>
      </w:r>
      <w:r w:rsidRPr="005C6E8C">
        <w:t>. Het is te verwachten dat de door de</w:t>
      </w:r>
      <w:r>
        <w:t xml:space="preserve"> laatste</w:t>
      </w:r>
      <w:r w:rsidRPr="005C6E8C">
        <w:t xml:space="preserve"> evaluatie opgedane kennis en inzichten </w:t>
      </w:r>
      <w:r>
        <w:t xml:space="preserve">zullen </w:t>
      </w:r>
      <w:r w:rsidRPr="005C6E8C">
        <w:t>leiden tot voorstellen voor nieuwe wet- en regelgeving</w:t>
      </w:r>
      <w:r>
        <w:t>.</w:t>
      </w:r>
    </w:p>
    <w:p w:rsidR="00D063FC" w14:paraId="07EE3E52" w14:textId="77777777">
      <w:r>
        <w:br/>
      </w:r>
    </w:p>
    <w:p w:rsidR="00291DB4" w14:paraId="59D98EE1" w14:textId="77777777">
      <w:r w:rsidRPr="008D60FB">
        <w:t>De staatssecretaris van Binnenlandse Zaken en Koninkrijksrelaties,</w:t>
      </w:r>
    </w:p>
    <w:p w:rsidR="008D60FB" w14:paraId="0A4B2555" w14:textId="77777777"/>
    <w:p w:rsidR="008D60FB" w14:paraId="7FE3EE50" w14:textId="77777777"/>
    <w:p w:rsidR="004243EC" w14:paraId="663A7B5B" w14:textId="77777777"/>
    <w:p w:rsidR="004243EC" w14:paraId="6C9B3B7B" w14:textId="77777777"/>
    <w:p w:rsidR="008D60FB" w14:paraId="1A45CD54" w14:textId="77777777"/>
    <w:p w:rsidR="008D60FB" w14:paraId="02E2DBDF" w14:textId="77777777">
      <w:r>
        <w:t>Eric van der Burg</w:t>
      </w:r>
    </w:p>
    <w:sectPr w:rsidSect="00A7675B">
      <w:headerReference w:type="default" r:id="rId7"/>
      <w:footerReference w:type="default" r:id="rId8"/>
      <w:headerReference w:type="first" r:id="rId9"/>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91DB4" w14:paraId="3A5A39E8" w14:textId="77777777">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66A64" w14:paraId="5D3B8160" w14:textId="77777777">
      <w:pPr>
        <w:spacing w:line="240" w:lineRule="auto"/>
      </w:pPr>
      <w:r>
        <w:separator/>
      </w:r>
    </w:p>
  </w:footnote>
  <w:footnote w:type="continuationSeparator" w:id="1">
    <w:p w:rsidR="00466A64" w14:paraId="63CFC646" w14:textId="77777777">
      <w:pPr>
        <w:spacing w:line="240" w:lineRule="auto"/>
      </w:pPr>
      <w:r>
        <w:continuationSeparator/>
      </w:r>
    </w:p>
  </w:footnote>
  <w:footnote w:id="2">
    <w:p w:rsidR="00A00F4E" w:rsidRPr="005250DF" w:rsidP="00A00F4E" w14:paraId="1FCE42B5" w14:textId="77777777">
      <w:pPr>
        <w:pStyle w:val="FootnoteText"/>
        <w:rPr>
          <w:rStyle w:val="FootnoteReference"/>
          <w:sz w:val="16"/>
          <w:szCs w:val="16"/>
        </w:rPr>
      </w:pPr>
      <w:r w:rsidRPr="005250DF">
        <w:rPr>
          <w:rStyle w:val="FootnoteReference"/>
          <w:sz w:val="16"/>
          <w:szCs w:val="16"/>
        </w:rPr>
        <w:footnoteRef/>
      </w:r>
      <w:r w:rsidRPr="005250DF">
        <w:rPr>
          <w:rStyle w:val="FootnoteReference"/>
          <w:sz w:val="16"/>
          <w:szCs w:val="16"/>
        </w:rPr>
        <w:t xml:space="preserve"> </w:t>
      </w:r>
      <w:r w:rsidRPr="005250DF">
        <w:rPr>
          <w:sz w:val="16"/>
          <w:szCs w:val="16"/>
        </w:rPr>
        <w:t>Tweede Kamer, vergaderjaar 2024–2025, 31 490, nr. 377.</w:t>
      </w:r>
    </w:p>
  </w:footnote>
  <w:footnote w:id="3">
    <w:p w:rsidR="009F5440" w:rsidRPr="005250DF" w14:paraId="46E1E14F" w14:textId="77777777">
      <w:pPr>
        <w:pStyle w:val="FootnoteText"/>
        <w:rPr>
          <w:sz w:val="16"/>
          <w:szCs w:val="16"/>
        </w:rPr>
      </w:pPr>
      <w:r w:rsidRPr="005250DF">
        <w:rPr>
          <w:rStyle w:val="FootnoteReference"/>
          <w:sz w:val="16"/>
          <w:szCs w:val="16"/>
        </w:rPr>
        <w:footnoteRef/>
      </w:r>
      <w:r w:rsidRPr="005250DF">
        <w:rPr>
          <w:sz w:val="16"/>
          <w:szCs w:val="16"/>
        </w:rPr>
        <w:t xml:space="preserve"> Tweede Kamer, vergaderjaar 2017-2018, 30 111, nr. 104, met bijlagen. </w:t>
      </w:r>
    </w:p>
  </w:footnote>
  <w:footnote w:id="4">
    <w:p w:rsidR="00A60743" w:rsidRPr="00A7675B" w14:paraId="628D7F72" w14:textId="77777777">
      <w:pPr>
        <w:pStyle w:val="FootnoteText"/>
        <w:rPr>
          <w:sz w:val="16"/>
          <w:szCs w:val="16"/>
        </w:rPr>
      </w:pPr>
      <w:r w:rsidRPr="00A7675B">
        <w:rPr>
          <w:rStyle w:val="FootnoteReference"/>
          <w:sz w:val="16"/>
          <w:szCs w:val="16"/>
        </w:rPr>
        <w:footnoteRef/>
      </w:r>
      <w:r>
        <w:t xml:space="preserve"> </w:t>
      </w:r>
      <w:r w:rsidRPr="00A7675B">
        <w:rPr>
          <w:sz w:val="16"/>
          <w:szCs w:val="16"/>
        </w:rPr>
        <w:t>Onder de WNT-3 zouden niet-topfunctionarissen</w:t>
      </w:r>
      <w:r>
        <w:rPr>
          <w:sz w:val="16"/>
          <w:szCs w:val="16"/>
        </w:rPr>
        <w:t xml:space="preserve"> in dienstbetrekking</w:t>
      </w:r>
      <w:r w:rsidRPr="00A7675B">
        <w:rPr>
          <w:sz w:val="16"/>
          <w:szCs w:val="16"/>
        </w:rPr>
        <w:t xml:space="preserve"> alleen op functie en niet op naam </w:t>
      </w:r>
      <w:r>
        <w:rPr>
          <w:sz w:val="16"/>
          <w:szCs w:val="16"/>
        </w:rPr>
        <w:t>openbaar worden gemaakt. De openbaarmakingplicht zou niet gelden voor</w:t>
      </w:r>
      <w:r w:rsidRPr="00A7675B">
        <w:rPr>
          <w:sz w:val="16"/>
          <w:szCs w:val="16"/>
        </w:rPr>
        <w:t xml:space="preserve"> niet-topfunctionarissen zonder dienstbetrekking ofwel interim-werknemers.</w:t>
      </w:r>
    </w:p>
  </w:footnote>
  <w:footnote w:id="5">
    <w:p w:rsidR="00381500" w:rsidRPr="005250DF" w:rsidP="00381500" w14:paraId="695F19E5" w14:textId="77777777">
      <w:pPr>
        <w:pStyle w:val="FootnoteText"/>
        <w:rPr>
          <w:sz w:val="16"/>
          <w:szCs w:val="16"/>
        </w:rPr>
      </w:pPr>
      <w:r w:rsidRPr="005250DF">
        <w:rPr>
          <w:rStyle w:val="FootnoteReference"/>
          <w:sz w:val="16"/>
          <w:szCs w:val="16"/>
        </w:rPr>
        <w:footnoteRef/>
      </w:r>
      <w:r w:rsidRPr="005250DF">
        <w:rPr>
          <w:sz w:val="16"/>
          <w:szCs w:val="16"/>
        </w:rPr>
        <w:t xml:space="preserve"> </w:t>
      </w:r>
      <w:r w:rsidRPr="00E07939">
        <w:rPr>
          <w:sz w:val="16"/>
          <w:szCs w:val="16"/>
        </w:rPr>
        <w:t>Tweede Kamer, vergaderjaar 2024–2025, 3</w:t>
      </w:r>
      <w:r w:rsidR="00F12B50">
        <w:rPr>
          <w:sz w:val="16"/>
          <w:szCs w:val="16"/>
        </w:rPr>
        <w:t>6 800</w:t>
      </w:r>
      <w:r w:rsidRPr="00E07939">
        <w:rPr>
          <w:sz w:val="16"/>
          <w:szCs w:val="16"/>
        </w:rPr>
        <w:t xml:space="preserve">, nr. </w:t>
      </w:r>
      <w:r w:rsidR="00F12B50">
        <w:rPr>
          <w:sz w:val="16"/>
          <w:szCs w:val="16"/>
        </w:rPr>
        <w:t>27</w:t>
      </w:r>
      <w:r w:rsidR="000E132D">
        <w:rPr>
          <w:sz w:val="16"/>
          <w:szCs w:val="16"/>
        </w:rPr>
        <w:t>.</w:t>
      </w:r>
    </w:p>
  </w:footnote>
  <w:footnote w:id="6">
    <w:p w:rsidR="00A67B3D" w14:paraId="00714C19" w14:textId="77777777">
      <w:pPr>
        <w:pStyle w:val="FootnoteText"/>
      </w:pPr>
      <w:r w:rsidRPr="00FA68F7">
        <w:rPr>
          <w:sz w:val="18"/>
          <w:szCs w:val="18"/>
          <w:vertAlign w:val="superscript"/>
        </w:rPr>
        <w:footnoteRef/>
      </w:r>
      <w:r w:rsidRPr="00427AF8">
        <w:rPr>
          <w:sz w:val="16"/>
          <w:szCs w:val="16"/>
        </w:rPr>
        <w:t xml:space="preserve"> Kamerstuk 30 111, nr. 104</w:t>
      </w:r>
      <w:r w:rsidR="00DE5FEC">
        <w:rPr>
          <w:sz w:val="16"/>
          <w:szCs w:val="16"/>
        </w:rPr>
        <w:t>.</w:t>
      </w:r>
    </w:p>
  </w:footnote>
  <w:footnote w:id="7">
    <w:p w:rsidR="00C47DAD" w:rsidRPr="00C47DAD" w14:paraId="15810FC2" w14:textId="77777777">
      <w:pPr>
        <w:pStyle w:val="FootnoteText"/>
        <w:rPr>
          <w:sz w:val="16"/>
          <w:szCs w:val="16"/>
        </w:rPr>
      </w:pPr>
      <w:r w:rsidRPr="006B7EFB">
        <w:rPr>
          <w:rStyle w:val="FootnoteReference"/>
          <w:sz w:val="16"/>
          <w:szCs w:val="16"/>
        </w:rPr>
        <w:footnoteRef/>
      </w:r>
      <w:r>
        <w:t xml:space="preserve"> </w:t>
      </w:r>
      <w:r>
        <w:rPr>
          <w:sz w:val="16"/>
          <w:szCs w:val="16"/>
        </w:rPr>
        <w:t>Artikel 1.5a WNT.</w:t>
      </w:r>
    </w:p>
  </w:footnote>
  <w:footnote w:id="8">
    <w:p w:rsidR="005D18F1" w:rsidRPr="00A61849" w14:paraId="1346538E" w14:textId="77777777">
      <w:pPr>
        <w:pStyle w:val="FootnoteText"/>
        <w:rPr>
          <w:sz w:val="16"/>
          <w:szCs w:val="16"/>
        </w:rPr>
      </w:pPr>
      <w:r w:rsidRPr="00A61849">
        <w:rPr>
          <w:rStyle w:val="FootnoteReference"/>
          <w:sz w:val="16"/>
          <w:szCs w:val="16"/>
        </w:rPr>
        <w:footnoteRef/>
      </w:r>
      <w:r w:rsidRPr="00A61849">
        <w:rPr>
          <w:sz w:val="16"/>
          <w:szCs w:val="16"/>
        </w:rPr>
        <w:t xml:space="preserve"> </w:t>
      </w:r>
      <w:r w:rsidRPr="005250DF">
        <w:rPr>
          <w:sz w:val="16"/>
          <w:szCs w:val="16"/>
        </w:rPr>
        <w:t>Advies van 13 april 2017.</w:t>
      </w:r>
    </w:p>
  </w:footnote>
  <w:footnote w:id="9">
    <w:p w:rsidR="00B80E4F" w14:paraId="0C0037E8" w14:textId="77777777">
      <w:pPr>
        <w:pStyle w:val="FootnoteText"/>
      </w:pPr>
      <w:r w:rsidRPr="00FA68F7">
        <w:rPr>
          <w:sz w:val="16"/>
          <w:szCs w:val="16"/>
          <w:vertAlign w:val="superscript"/>
        </w:rPr>
        <w:footnoteRef/>
      </w:r>
      <w:r w:rsidRPr="00B80E4F">
        <w:rPr>
          <w:sz w:val="16"/>
          <w:szCs w:val="16"/>
        </w:rPr>
        <w:t xml:space="preserve"> 2015 was het laatste jaar waarin aan de Tweede Kamer is gerapporteerd over bezoldigingsgegevens van topfunctionarissen en niet-topfunctionarissen op basis van aan de minister van BZK gemelde gegevens; vanaf 2016 worden alleen nog maar overtredingen en handhavingsmaatregelen gerapporteerd</w:t>
      </w:r>
      <w:r w:rsidR="00FA68F7">
        <w:rPr>
          <w:sz w:val="16"/>
          <w:szCs w:val="16"/>
        </w:rPr>
        <w:t>.</w:t>
      </w:r>
    </w:p>
  </w:footnote>
  <w:footnote w:id="10">
    <w:p w:rsidR="00A36516" w:rsidRPr="005250DF" w:rsidP="00A36516" w14:paraId="7F6D7BC8" w14:textId="77777777">
      <w:pPr>
        <w:pStyle w:val="FootnoteText"/>
        <w:rPr>
          <w:sz w:val="16"/>
          <w:szCs w:val="16"/>
        </w:rPr>
      </w:pPr>
      <w:r w:rsidRPr="005250DF">
        <w:rPr>
          <w:rStyle w:val="FootnoteReference"/>
          <w:sz w:val="16"/>
          <w:szCs w:val="16"/>
        </w:rPr>
        <w:footnoteRef/>
      </w:r>
      <w:r w:rsidRPr="005250DF">
        <w:rPr>
          <w:sz w:val="16"/>
          <w:szCs w:val="16"/>
        </w:rPr>
        <w:t xml:space="preserve"> </w:t>
      </w:r>
      <w:r>
        <w:rPr>
          <w:sz w:val="16"/>
          <w:szCs w:val="16"/>
        </w:rPr>
        <w:t xml:space="preserve">Zie voor </w:t>
      </w:r>
      <w:r w:rsidR="00DE0616">
        <w:rPr>
          <w:sz w:val="16"/>
          <w:szCs w:val="16"/>
        </w:rPr>
        <w:t>uit</w:t>
      </w:r>
      <w:r w:rsidR="009A19CF">
        <w:rPr>
          <w:sz w:val="16"/>
          <w:szCs w:val="16"/>
        </w:rPr>
        <w:t>ge</w:t>
      </w:r>
      <w:r w:rsidR="00DE0616">
        <w:rPr>
          <w:sz w:val="16"/>
          <w:szCs w:val="16"/>
        </w:rPr>
        <w:t xml:space="preserve">breidere uitkomsten en </w:t>
      </w:r>
      <w:r w:rsidR="00DE0616">
        <w:rPr>
          <w:sz w:val="16"/>
          <w:szCs w:val="16"/>
        </w:rPr>
        <w:t>onderzoeksverantwoording</w:t>
      </w:r>
      <w:r w:rsidR="00DE0616">
        <w:rPr>
          <w:sz w:val="16"/>
          <w:szCs w:val="16"/>
        </w:rPr>
        <w:t xml:space="preserve"> bijlage 1 bij deze brief</w:t>
      </w:r>
      <w:r w:rsidRPr="005250DF">
        <w:rPr>
          <w:sz w:val="16"/>
          <w:szCs w:val="16"/>
        </w:rPr>
        <w:t>.</w:t>
      </w:r>
    </w:p>
  </w:footnote>
  <w:footnote w:id="11">
    <w:p w:rsidR="00DE0616" w:rsidRPr="009841B7" w14:paraId="2632AE91" w14:textId="77777777">
      <w:pPr>
        <w:pStyle w:val="FootnoteText"/>
        <w:rPr>
          <w:sz w:val="16"/>
          <w:szCs w:val="16"/>
        </w:rPr>
      </w:pPr>
      <w:r w:rsidRPr="009841B7">
        <w:rPr>
          <w:rStyle w:val="FootnoteReference"/>
          <w:sz w:val="16"/>
          <w:szCs w:val="16"/>
        </w:rPr>
        <w:footnoteRef/>
      </w:r>
      <w:r w:rsidRPr="009841B7">
        <w:rPr>
          <w:sz w:val="16"/>
          <w:szCs w:val="16"/>
        </w:rPr>
        <w:t xml:space="preserve"> Medisch specialisten zijn </w:t>
      </w:r>
      <w:r w:rsidR="00D949FF">
        <w:rPr>
          <w:sz w:val="16"/>
          <w:szCs w:val="16"/>
        </w:rPr>
        <w:t xml:space="preserve">voor hun werkzaamheden als medisch specialist </w:t>
      </w:r>
      <w:r w:rsidRPr="009841B7">
        <w:rPr>
          <w:sz w:val="16"/>
          <w:szCs w:val="16"/>
        </w:rPr>
        <w:t>uitgezonderd van de openbaarmakingsplicht uit de WNT en zijn dus niet meegenomen in dit onderzoek.</w:t>
      </w:r>
    </w:p>
  </w:footnote>
  <w:footnote w:id="12">
    <w:p w:rsidR="00DE0616" w:rsidRPr="009A19CF" w14:paraId="015FB923" w14:textId="77777777">
      <w:pPr>
        <w:pStyle w:val="FootnoteText"/>
        <w:rPr>
          <w:sz w:val="16"/>
          <w:szCs w:val="16"/>
        </w:rPr>
      </w:pPr>
      <w:r w:rsidRPr="009841B7">
        <w:rPr>
          <w:rStyle w:val="FootnoteReference"/>
          <w:sz w:val="16"/>
          <w:szCs w:val="16"/>
        </w:rPr>
        <w:footnoteRef/>
      </w:r>
      <w:r w:rsidRPr="009841B7">
        <w:rPr>
          <w:sz w:val="16"/>
          <w:szCs w:val="16"/>
        </w:rPr>
        <w:t xml:space="preserve"> </w:t>
      </w:r>
      <w:r w:rsidRPr="009841B7" w:rsidR="003A56C0">
        <w:rPr>
          <w:sz w:val="16"/>
          <w:szCs w:val="16"/>
        </w:rPr>
        <w:t xml:space="preserve">Zonder </w:t>
      </w:r>
      <w:r w:rsidR="003A56C0">
        <w:rPr>
          <w:sz w:val="16"/>
          <w:szCs w:val="16"/>
        </w:rPr>
        <w:t>de overschrijdingen van de WNT-norm binnen de zorg (</w:t>
      </w:r>
      <w:r w:rsidRPr="009841B7" w:rsidR="003A56C0">
        <w:rPr>
          <w:sz w:val="16"/>
          <w:szCs w:val="16"/>
        </w:rPr>
        <w:t>Wtzi</w:t>
      </w:r>
      <w:r w:rsidRPr="009841B7" w:rsidR="003A56C0">
        <w:rPr>
          <w:sz w:val="16"/>
          <w:szCs w:val="16"/>
        </w:rPr>
        <w:t>-instellingen en jeugdzorg</w:t>
      </w:r>
      <w:r w:rsidR="003A56C0">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91DB4" w14:paraId="20FC2AEC"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291DB4" w14:textId="77777777">
                          <w:pPr>
                            <w:pStyle w:val="Referentiegegevensbold"/>
                          </w:pPr>
                          <w:r>
                            <w:t>Datum</w:t>
                          </w:r>
                        </w:p>
                        <w:p w:rsidR="00291DB4" w14:textId="56D252AA">
                          <w:pPr>
                            <w:pStyle w:val="Referentiegegevens"/>
                          </w:pPr>
                        </w:p>
                        <w:p w:rsidR="00291DB4" w14:textId="77777777">
                          <w:pPr>
                            <w:pStyle w:val="WitregelW1"/>
                          </w:pPr>
                        </w:p>
                        <w:p w:rsidR="00291DB4" w14:textId="77777777">
                          <w:pPr>
                            <w:pStyle w:val="Referentiegegevensbold"/>
                          </w:pPr>
                          <w:r>
                            <w:t>Onze referentie</w:t>
                          </w:r>
                        </w:p>
                        <w:p w:rsidR="008C6511" w14:textId="77777777">
                          <w:pPr>
                            <w:pStyle w:val="Referentiegegevens"/>
                          </w:pPr>
                          <w:r>
                            <w:fldChar w:fldCharType="begin"/>
                          </w:r>
                          <w:r>
                            <w:instrText xml:space="preserve"> DOCPROPERTY  "Kenmerk"  \* MERGEFORMAT </w:instrText>
                          </w:r>
                          <w:r>
                            <w:fldChar w:fldCharType="separate"/>
                          </w:r>
                          <w:r w:rsidR="00674DC8">
                            <w:t>2026-0000201870</w:t>
                          </w:r>
                          <w:r w:rsidR="00674DC8">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alt="Colofon" style="width:100.6pt;height:630.7pt;margin-top:154.75pt;margin-left:466.25pt;mso-position-horizontal-relative:page;mso-wrap-distance-bottom:0;mso-wrap-distance-left:0;mso-wrap-distance-right:0;mso-wrap-distance-top:0;mso-wrap-style:square;position:absolute;v-text-anchor:top;visibility:visible;z-index:251659264" filled="f" stroked="f">
              <v:textbox inset="0,0,0,0">
                <w:txbxContent>
                  <w:p w:rsidR="00291DB4" w14:paraId="5F3A0BE1" w14:textId="77777777">
                    <w:pPr>
                      <w:pStyle w:val="Referentiegegevensbold"/>
                    </w:pPr>
                    <w:r>
                      <w:t>Datum</w:t>
                    </w:r>
                  </w:p>
                  <w:p w:rsidR="00291DB4" w14:paraId="50E6AC9A" w14:textId="56D252AA">
                    <w:pPr>
                      <w:pStyle w:val="Referentiegegevens"/>
                    </w:pPr>
                  </w:p>
                  <w:p w:rsidR="00291DB4" w14:paraId="3C785F12" w14:textId="77777777">
                    <w:pPr>
                      <w:pStyle w:val="WitregelW1"/>
                    </w:pPr>
                  </w:p>
                  <w:p w:rsidR="00291DB4" w14:paraId="70E4082F" w14:textId="77777777">
                    <w:pPr>
                      <w:pStyle w:val="Referentiegegevensbold"/>
                    </w:pPr>
                    <w:r>
                      <w:t>Onze referentie</w:t>
                    </w:r>
                  </w:p>
                  <w:p w:rsidR="008C6511" w14:paraId="771ADA53" w14:textId="77777777">
                    <w:pPr>
                      <w:pStyle w:val="Referentiegegevens"/>
                    </w:pPr>
                    <w:r>
                      <w:fldChar w:fldCharType="begin"/>
                    </w:r>
                    <w:r>
                      <w:instrText xml:space="preserve"> DOCPROPERTY  "Kenmerk"  \* MERGEFORMAT </w:instrText>
                    </w:r>
                    <w:r>
                      <w:fldChar w:fldCharType="separate"/>
                    </w:r>
                    <w:r w:rsidR="00674DC8">
                      <w:t>2026-0000201870</w:t>
                    </w:r>
                    <w:r w:rsidR="00674DC8">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184E6F" w14:textId="77777777"/>
                      </w:txbxContent>
                    </wps:txbx>
                    <wps:bodyPr vert="horz" wrap="square" lIns="0" tIns="0" rIns="0" bIns="0" anchor="t" anchorCtr="0"/>
                  </wps:wsp>
                </a:graphicData>
              </a:graphic>
            </wp:anchor>
          </w:drawing>
        </mc:Choice>
        <mc:Fallback>
          <w:pict>
            <v:shape id="46fef06f-aa3c-11ea-a756-beb5f67e67be" o:spid="_x0000_s2050" type="#_x0000_t202" alt="Voettekst" style="width:377pt;height:12.7pt;margin-top:802.75pt;margin-left:79.35pt;mso-position-horizontal-relative:page;mso-wrap-distance-bottom:0;mso-wrap-distance-left:0;mso-wrap-distance-right:0;mso-wrap-distance-top:0;mso-wrap-style:square;position:absolute;v-text-anchor:top;visibility:visible;z-index:251661312" filled="f" stroked="f">
              <v:textbox inset="0,0,0,0">
                <w:txbxContent>
                  <w:p w:rsidR="00184E6F" w14:paraId="32FFFCD9" w14:textId="77777777"/>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8C6511"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63360" filled="f" stroked="f">
              <v:textbox inset="0,0,0,0">
                <w:txbxContent>
                  <w:p w:rsidR="008C6511" w14:paraId="3F3D6115"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91DB4" w14:paraId="7D95E245"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291DB4" w14:textId="77777777">
                          <w:r>
                            <w:t>Aan de Voorzitter van de Tweede Kamer der Staten-Generaal</w:t>
                          </w:r>
                        </w:p>
                        <w:p w:rsidR="00291DB4" w14:textId="77777777">
                          <w:r>
                            <w:t>Postbus 20018</w:t>
                          </w:r>
                        </w:p>
                        <w:p w:rsidR="00291DB4" w14:textId="77777777">
                          <w:r>
                            <w:t>2500 EA  DEN HAAG</w:t>
                          </w:r>
                        </w:p>
                        <w:p w:rsidR="00291DB4" w14:textId="77777777">
                          <w:pPr>
                            <w:pStyle w:val="KixBarcode"/>
                          </w:pPr>
                          <w:r>
                            <w:t>2500EA20018</w:t>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2" type="#_x0000_t202" alt="Adresvak" style="width:377pt;height:87.85pt;margin-top:153.9pt;margin-left:79.35pt;mso-position-horizontal-relative:page;mso-wrap-distance-bottom:0;mso-wrap-distance-left:0;mso-wrap-distance-right:0;mso-wrap-distance-top:0;mso-wrap-style:square;position:absolute;v-text-anchor:top;visibility:visible;z-index:251665408" filled="f" stroked="f">
              <v:textbox inset="0,0,0,0">
                <w:txbxContent>
                  <w:p w:rsidR="00291DB4" w14:paraId="2870E3EE" w14:textId="77777777">
                    <w:r>
                      <w:t>Aan de Voorzitter van de Tweede Kamer der Staten-Generaal</w:t>
                    </w:r>
                  </w:p>
                  <w:p w:rsidR="00291DB4" w14:paraId="0DE4DF0E" w14:textId="77777777">
                    <w:r>
                      <w:t>Postbus 20018</w:t>
                    </w:r>
                  </w:p>
                  <w:p w:rsidR="00291DB4" w14:paraId="204DDB67" w14:textId="77777777">
                    <w:r>
                      <w:t>2500 EA  DEN HAAG</w:t>
                    </w:r>
                  </w:p>
                  <w:p w:rsidR="00291DB4" w14:paraId="65E6C48D" w14:textId="77777777">
                    <w:pPr>
                      <w:pStyle w:val="KixBarcode"/>
                    </w:pPr>
                    <w:r>
                      <w:t>2500EA20018</w:t>
                    </w:r>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margin">
                <wp:align>right</wp:align>
              </wp:positionH>
              <wp:positionV relativeFrom="paragraph">
                <wp:posOffset>3352165</wp:posOffset>
              </wp:positionV>
              <wp:extent cx="4787900" cy="695325"/>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695325"/>
                      </a:xfrm>
                      <a:prstGeom prst="rect">
                        <a:avLst/>
                      </a:prstGeom>
                      <a:noFill/>
                    </wps:spPr>
                    <wps:txbx>
                      <w:txbxContent>
                        <w:tbl>
                          <w:tblPr>
                            <w:tblW w:w="0" w:type="auto"/>
                            <w:tblInd w:w="-120" w:type="dxa"/>
                            <w:tblLayout w:type="fixed"/>
                            <w:tblLook w:val="07E0"/>
                          </w:tblPr>
                          <w:tblGrid>
                            <w:gridCol w:w="1140"/>
                            <w:gridCol w:w="5918"/>
                          </w:tblGrid>
                          <w:tr w14:paraId="3CD0288A" w14:textId="77777777" w:rsidTr="00BD5FEA">
                            <w:tblPrEx>
                              <w:tblW w:w="0" w:type="auto"/>
                              <w:tblInd w:w="-120" w:type="dxa"/>
                              <w:tblLayout w:type="fixed"/>
                              <w:tblLook w:val="07E0"/>
                            </w:tblPrEx>
                            <w:trPr>
                              <w:trHeight w:val="80"/>
                            </w:trPr>
                            <w:tc>
                              <w:tcPr>
                                <w:tcW w:w="1140" w:type="dxa"/>
                              </w:tcPr>
                              <w:p w:rsidR="00291DB4" w14:textId="77777777">
                                <w:r>
                                  <w:t>Datum</w:t>
                                </w:r>
                              </w:p>
                            </w:tc>
                            <w:tc>
                              <w:tcPr>
                                <w:tcW w:w="5918" w:type="dxa"/>
                              </w:tcPr>
                              <w:p w:rsidR="00291DB4" w14:textId="5345CD18">
                                <w:r>
                                  <w:t>3 juli 2026</w:t>
                                </w:r>
                              </w:p>
                            </w:tc>
                          </w:tr>
                          <w:tr w14:paraId="0881A20D" w14:textId="77777777">
                            <w:tblPrEx>
                              <w:tblW w:w="0" w:type="auto"/>
                              <w:tblInd w:w="-120" w:type="dxa"/>
                              <w:tblLayout w:type="fixed"/>
                              <w:tblLook w:val="07E0"/>
                            </w:tblPrEx>
                            <w:trPr>
                              <w:trHeight w:val="240"/>
                            </w:trPr>
                            <w:tc>
                              <w:tcPr>
                                <w:tcW w:w="1140" w:type="dxa"/>
                              </w:tcPr>
                              <w:p w:rsidR="00291DB4" w14:textId="77777777">
                                <w:r>
                                  <w:t>Betreft</w:t>
                                </w:r>
                              </w:p>
                            </w:tc>
                            <w:tc>
                              <w:tcPr>
                                <w:tcW w:w="5918" w:type="dxa"/>
                              </w:tcPr>
                              <w:p w:rsidR="00291DB4" w14:textId="77777777">
                                <w:bookmarkStart w:id="1" w:name="_Hlk233976142"/>
                                <w:r>
                                  <w:t xml:space="preserve">Brief </w:t>
                                </w:r>
                                <w:r>
                                  <w:t>inzake</w:t>
                                </w:r>
                                <w:r>
                                  <w:t xml:space="preserve"> het niet uitvoeren van de op 21 mei 2025 door de Tweede Kamer aangenomen motie over niet-topfunctionarissen onder de WNT brengen</w:t>
                                </w:r>
                                <w:bookmarkEnd w:id="1"/>
                              </w:p>
                            </w:tc>
                          </w:tr>
                        </w:tbl>
                        <w:p w:rsidR="00184E6F" w14:textId="77777777"/>
                      </w:txbxContent>
                    </wps:txbx>
                    <wps:bodyPr vert="horz" wrap="square" lIns="0" tIns="0" rIns="0" bIns="0" anchor="t" anchorCtr="0"/>
                  </wps:wsp>
                </a:graphicData>
              </a:graphic>
              <wp14:sizeRelV relativeFrom="margin">
                <wp14:pctHeight>0</wp14:pctHeight>
              </wp14:sizeRelV>
            </wp:anchor>
          </w:drawing>
        </mc:Choice>
        <mc:Fallback>
          <w:pict>
            <v:shape id="46feebd0-aa3c-11ea-a756-beb5f67e67be" o:spid="_x0000_s2053" type="#_x0000_t202" style="width:377pt;height:54.75pt;margin-top:263.95pt;margin-left:325.8pt;mso-height-percent:0;mso-height-relative:margin;mso-position-horizontal:right;mso-position-horizontal-relative:margin;mso-wrap-distance-bottom:0;mso-wrap-distance-left:0;mso-wrap-distance-right:0;mso-wrap-distance-top:0;mso-wrap-style:square;position:absolute;v-text-anchor:top;visibility:visible;z-index:251667456" filled="f" stroked="f">
              <v:textbox inset="0,0,0,0">
                <w:txbxContent>
                  <w:tbl>
                    <w:tblPr>
                      <w:tblW w:w="0" w:type="auto"/>
                      <w:tblInd w:w="-120" w:type="dxa"/>
                      <w:tblLayout w:type="fixed"/>
                      <w:tblLook w:val="07E0"/>
                    </w:tblPr>
                    <w:tblGrid>
                      <w:gridCol w:w="1140"/>
                      <w:gridCol w:w="5918"/>
                    </w:tblGrid>
                    <w:tr w14:paraId="3CD02889" w14:textId="77777777" w:rsidTr="00BD5FEA">
                      <w:tblPrEx>
                        <w:tblW w:w="0" w:type="auto"/>
                        <w:tblInd w:w="-120" w:type="dxa"/>
                        <w:tblLayout w:type="fixed"/>
                        <w:tblLook w:val="07E0"/>
                      </w:tblPrEx>
                      <w:trPr>
                        <w:trHeight w:val="80"/>
                      </w:trPr>
                      <w:tc>
                        <w:tcPr>
                          <w:tcW w:w="1140" w:type="dxa"/>
                        </w:tcPr>
                        <w:p w:rsidR="00291DB4" w14:paraId="1EA44974" w14:textId="77777777">
                          <w:r>
                            <w:t>Datum</w:t>
                          </w:r>
                        </w:p>
                      </w:tc>
                      <w:tc>
                        <w:tcPr>
                          <w:tcW w:w="5918" w:type="dxa"/>
                        </w:tcPr>
                        <w:p w:rsidR="00291DB4" w14:paraId="1FA29F90" w14:textId="5345CD18">
                          <w:r>
                            <w:t>3 juli 2026</w:t>
                          </w:r>
                        </w:p>
                      </w:tc>
                    </w:tr>
                    <w:tr w14:paraId="0881A20C" w14:textId="77777777">
                      <w:tblPrEx>
                        <w:tblW w:w="0" w:type="auto"/>
                        <w:tblInd w:w="-120" w:type="dxa"/>
                        <w:tblLayout w:type="fixed"/>
                        <w:tblLook w:val="07E0"/>
                      </w:tblPrEx>
                      <w:trPr>
                        <w:trHeight w:val="240"/>
                      </w:trPr>
                      <w:tc>
                        <w:tcPr>
                          <w:tcW w:w="1140" w:type="dxa"/>
                        </w:tcPr>
                        <w:p w:rsidR="00291DB4" w14:paraId="18AFE5B7" w14:textId="77777777">
                          <w:r>
                            <w:t>Betreft</w:t>
                          </w:r>
                        </w:p>
                      </w:tc>
                      <w:tc>
                        <w:tcPr>
                          <w:tcW w:w="5918" w:type="dxa"/>
                        </w:tcPr>
                        <w:p w:rsidR="00291DB4" w14:paraId="2F0C5E12" w14:textId="77777777">
                          <w:bookmarkStart w:id="1" w:name="_Hlk233976142"/>
                          <w:r>
                            <w:t xml:space="preserve">Brief </w:t>
                          </w:r>
                          <w:r>
                            <w:t>inzake</w:t>
                          </w:r>
                          <w:r>
                            <w:t xml:space="preserve"> het niet uitvoeren van de op 21 mei 2025 door de Tweede Kamer aangenomen motie over niet-topfunctionarissen onder de WNT brengen</w:t>
                          </w:r>
                          <w:bookmarkEnd w:id="1"/>
                        </w:p>
                      </w:tc>
                    </w:tr>
                  </w:tbl>
                  <w:p w:rsidR="00184E6F" w14:paraId="7032611A" w14:textId="77777777"/>
                </w:txbxContent>
              </v:textbox>
              <w10:wrap anchorx="margin"/>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291DB4" w:rsidRPr="00A00F4E" w14:textId="77777777">
                          <w:pPr>
                            <w:pStyle w:val="Referentiegegevens"/>
                            <w:rPr>
                              <w:lang w:val="de-DE"/>
                            </w:rPr>
                          </w:pPr>
                          <w:r w:rsidRPr="00A00F4E">
                            <w:rPr>
                              <w:lang w:val="de-DE"/>
                            </w:rPr>
                            <w:t>Turfmarkt</w:t>
                          </w:r>
                          <w:r w:rsidRPr="00A00F4E">
                            <w:rPr>
                              <w:lang w:val="de-DE"/>
                            </w:rPr>
                            <w:t xml:space="preserve"> 147</w:t>
                          </w:r>
                        </w:p>
                        <w:p w:rsidR="00291DB4" w:rsidRPr="00A00F4E" w14:textId="77777777">
                          <w:pPr>
                            <w:pStyle w:val="Referentiegegevens"/>
                            <w:rPr>
                              <w:lang w:val="de-DE"/>
                            </w:rPr>
                          </w:pPr>
                          <w:r w:rsidRPr="00A00F4E">
                            <w:rPr>
                              <w:lang w:val="de-DE"/>
                            </w:rPr>
                            <w:t>2511 DP Den Haag</w:t>
                          </w:r>
                        </w:p>
                        <w:p w:rsidR="00291DB4" w:rsidRPr="00A00F4E" w14:textId="77777777">
                          <w:pPr>
                            <w:pStyle w:val="Referentiegegevens"/>
                            <w:rPr>
                              <w:lang w:val="de-DE"/>
                            </w:rPr>
                          </w:pPr>
                          <w:r w:rsidRPr="00A00F4E">
                            <w:rPr>
                              <w:lang w:val="de-DE"/>
                            </w:rPr>
                            <w:t>Postbus 20011</w:t>
                          </w:r>
                        </w:p>
                        <w:p w:rsidR="00291DB4" w14:textId="77777777">
                          <w:pPr>
                            <w:pStyle w:val="Referentiegegevens"/>
                          </w:pPr>
                          <w:r>
                            <w:t>2500 EA  Den Haag</w:t>
                          </w:r>
                        </w:p>
                        <w:p w:rsidR="00291DB4" w14:textId="77777777">
                          <w:pPr>
                            <w:pStyle w:val="WitregelW2"/>
                          </w:pPr>
                        </w:p>
                        <w:p w:rsidR="00291DB4" w14:textId="77777777">
                          <w:pPr>
                            <w:pStyle w:val="Referentiegegevensbold"/>
                          </w:pPr>
                          <w:r>
                            <w:t>Onze referentie</w:t>
                          </w:r>
                        </w:p>
                        <w:bookmarkStart w:id="2" w:name="_Hlk233976150"/>
                        <w:p w:rsidR="008C6511" w14:textId="77777777">
                          <w:pPr>
                            <w:pStyle w:val="Referentiegegevens"/>
                          </w:pPr>
                          <w:r>
                            <w:fldChar w:fldCharType="begin"/>
                          </w:r>
                          <w:r>
                            <w:instrText xml:space="preserve"> DOCPROPERTY  "Kenmerk"  \* MERGEFORMAT </w:instrText>
                          </w:r>
                          <w:r>
                            <w:fldChar w:fldCharType="separate"/>
                          </w:r>
                          <w:r w:rsidR="00674DC8">
                            <w:t>2026-0000201870</w:t>
                          </w:r>
                          <w:r>
                            <w:fldChar w:fldCharType="end"/>
                          </w:r>
                        </w:p>
                        <w:bookmarkEnd w:id="2"/>
                        <w:p w:rsidR="00291DB4" w14:textId="77777777">
                          <w:pPr>
                            <w:pStyle w:val="WitregelW2"/>
                          </w:pPr>
                        </w:p>
                        <w:p w:rsidR="00CA2AF9" w:rsidP="009F0DF2" w14:textId="77777777">
                          <w:pPr>
                            <w:pStyle w:val="Referentiegegevensbold"/>
                          </w:pPr>
                          <w:r>
                            <w:t>Bijlage(</w:t>
                          </w:r>
                          <w:r>
                            <w:t>n</w:t>
                          </w:r>
                          <w:r>
                            <w:t>)</w:t>
                          </w:r>
                          <w:r>
                            <w:t xml:space="preserve"> </w:t>
                          </w:r>
                        </w:p>
                        <w:p w:rsidR="00291DB4" w:rsidP="00CA2AF9" w14:textId="0334A8E5">
                          <w:pPr>
                            <w:pStyle w:val="Referentiegegevensbold"/>
                          </w:pPr>
                        </w:p>
                      </w:txbxContent>
                    </wps:txbx>
                    <wps:bodyPr vert="horz" wrap="square" lIns="0" tIns="0" rIns="0" bIns="0" anchor="t" anchorCtr="0"/>
                  </wps:wsp>
                </a:graphicData>
              </a:graphic>
            </wp:anchor>
          </w:drawing>
        </mc:Choice>
        <mc:Fallback>
          <w:pict>
            <v:shape id="46feec20-aa3c-11ea-a756-beb5f67e67be" o:spid="_x0000_s2054"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9504" filled="f" stroked="f">
              <v:textbox inset="0,0,0,0">
                <w:txbxContent>
                  <w:p w:rsidR="00291DB4" w:rsidRPr="00A00F4E" w14:paraId="1708335F" w14:textId="77777777">
                    <w:pPr>
                      <w:pStyle w:val="Referentiegegevens"/>
                      <w:rPr>
                        <w:lang w:val="de-DE"/>
                      </w:rPr>
                    </w:pPr>
                    <w:r w:rsidRPr="00A00F4E">
                      <w:rPr>
                        <w:lang w:val="de-DE"/>
                      </w:rPr>
                      <w:t>Turfmarkt</w:t>
                    </w:r>
                    <w:r w:rsidRPr="00A00F4E">
                      <w:rPr>
                        <w:lang w:val="de-DE"/>
                      </w:rPr>
                      <w:t xml:space="preserve"> 147</w:t>
                    </w:r>
                  </w:p>
                  <w:p w:rsidR="00291DB4" w:rsidRPr="00A00F4E" w14:paraId="30A77052" w14:textId="77777777">
                    <w:pPr>
                      <w:pStyle w:val="Referentiegegevens"/>
                      <w:rPr>
                        <w:lang w:val="de-DE"/>
                      </w:rPr>
                    </w:pPr>
                    <w:r w:rsidRPr="00A00F4E">
                      <w:rPr>
                        <w:lang w:val="de-DE"/>
                      </w:rPr>
                      <w:t>2511 DP Den Haag</w:t>
                    </w:r>
                  </w:p>
                  <w:p w:rsidR="00291DB4" w:rsidRPr="00A00F4E" w14:paraId="228CC518" w14:textId="77777777">
                    <w:pPr>
                      <w:pStyle w:val="Referentiegegevens"/>
                      <w:rPr>
                        <w:lang w:val="de-DE"/>
                      </w:rPr>
                    </w:pPr>
                    <w:r w:rsidRPr="00A00F4E">
                      <w:rPr>
                        <w:lang w:val="de-DE"/>
                      </w:rPr>
                      <w:t>Postbus 20011</w:t>
                    </w:r>
                  </w:p>
                  <w:p w:rsidR="00291DB4" w14:paraId="0D71F241" w14:textId="77777777">
                    <w:pPr>
                      <w:pStyle w:val="Referentiegegevens"/>
                    </w:pPr>
                    <w:r>
                      <w:t>2500 EA  Den Haag</w:t>
                    </w:r>
                  </w:p>
                  <w:p w:rsidR="00291DB4" w14:paraId="6767547E" w14:textId="77777777">
                    <w:pPr>
                      <w:pStyle w:val="WitregelW2"/>
                    </w:pPr>
                  </w:p>
                  <w:p w:rsidR="00291DB4" w14:paraId="02215E69" w14:textId="77777777">
                    <w:pPr>
                      <w:pStyle w:val="Referentiegegevensbold"/>
                    </w:pPr>
                    <w:r>
                      <w:t>Onze referentie</w:t>
                    </w:r>
                  </w:p>
                  <w:bookmarkStart w:id="2" w:name="_Hlk233976150"/>
                  <w:p w:rsidR="008C6511" w14:paraId="552FA68E" w14:textId="77777777">
                    <w:pPr>
                      <w:pStyle w:val="Referentiegegevens"/>
                    </w:pPr>
                    <w:r>
                      <w:fldChar w:fldCharType="begin"/>
                    </w:r>
                    <w:r>
                      <w:instrText xml:space="preserve"> DOCPROPERTY  "Kenmerk"  \* MERGEFORMAT </w:instrText>
                    </w:r>
                    <w:r>
                      <w:fldChar w:fldCharType="separate"/>
                    </w:r>
                    <w:r w:rsidR="00674DC8">
                      <w:t>2026-0000201870</w:t>
                    </w:r>
                    <w:r>
                      <w:fldChar w:fldCharType="end"/>
                    </w:r>
                  </w:p>
                  <w:bookmarkEnd w:id="2"/>
                  <w:p w:rsidR="00291DB4" w14:paraId="20156936" w14:textId="77777777">
                    <w:pPr>
                      <w:pStyle w:val="WitregelW2"/>
                    </w:pPr>
                  </w:p>
                  <w:p w:rsidR="00CA2AF9" w:rsidP="009F0DF2" w14:paraId="7071FC01" w14:textId="77777777">
                    <w:pPr>
                      <w:pStyle w:val="Referentiegegevensbold"/>
                    </w:pPr>
                    <w:r>
                      <w:t>Bijlage(</w:t>
                    </w:r>
                    <w:r>
                      <w:t>n</w:t>
                    </w:r>
                    <w:r>
                      <w:t>)</w:t>
                    </w:r>
                    <w:r>
                      <w:t xml:space="preserve"> </w:t>
                    </w:r>
                  </w:p>
                  <w:p w:rsidR="00291DB4" w:rsidP="00CA2AF9" w14:paraId="5FDDA5D3" w14:textId="0334A8E5">
                    <w:pPr>
                      <w:pStyle w:val="Referentiegegevensbold"/>
                    </w:pPr>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184E6F" w14:textId="77777777"/>
                      </w:txbxContent>
                    </wps:txbx>
                    <wps:bodyPr vert="horz" wrap="square" lIns="0" tIns="0" rIns="0" bIns="0" anchor="t" anchorCtr="0"/>
                  </wps:wsp>
                </a:graphicData>
              </a:graphic>
            </wp:anchor>
          </w:drawing>
        </mc:Choice>
        <mc:Fallback>
          <w:pict>
            <v:shape id="46feec6f-aa3c-11ea-a756-beb5f67e67be" o:spid="_x0000_s2055" type="#_x0000_t202" alt="Voettekst" style="width:377pt;height:12.75pt;margin-top:802.75pt;margin-left:79.35pt;mso-position-horizontal-relative:page;mso-wrap-distance-bottom:0;mso-wrap-distance-left:0;mso-wrap-distance-right:0;mso-wrap-distance-top:0;mso-wrap-style:square;position:absolute;v-text-anchor:top;visibility:visible;z-index:251671552" filled="f" stroked="f">
              <v:textbox inset="0,0,0,0">
                <w:txbxContent>
                  <w:p w:rsidR="00184E6F" w14:paraId="1C2A5C2F" w14:textId="77777777"/>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8C6511"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3600" filled="f" stroked="f">
              <v:textbox inset="0,0,0,0">
                <w:txbxContent>
                  <w:p w:rsidR="008C6511" w14:paraId="6648B98C"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291DB4" w14:textId="77777777">
                          <w:pPr>
                            <w:spacing w:line="240" w:lineRule="auto"/>
                          </w:pPr>
                          <w:r>
                            <w:rPr>
                              <w:noProof/>
                            </w:rPr>
                            <w:drawing>
                              <wp:inline distT="0" distB="0" distL="0" distR="0">
                                <wp:extent cx="467995" cy="1583865"/>
                                <wp:effectExtent l="0" t="0" r="0" b="0"/>
                                <wp:docPr id="1817226378"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817226378"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75648" filled="f" stroked="f">
              <v:textbox inset="0,0,0,0">
                <w:txbxContent>
                  <w:p w:rsidR="00291DB4" w14:paraId="0782F10F"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291DB4" w14:textId="77777777">
                          <w:pPr>
                            <w:spacing w:line="240" w:lineRule="auto"/>
                          </w:pPr>
                          <w:r>
                            <w:rPr>
                              <w:noProof/>
                            </w:rPr>
                            <w:drawing>
                              <wp:inline distT="0" distB="0" distL="0" distR="0">
                                <wp:extent cx="2339975" cy="1582834"/>
                                <wp:effectExtent l="0" t="0" r="0" b="0"/>
                                <wp:docPr id="298471712"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29847171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77696" filled="f" stroked="f">
              <v:textbox inset="0,0,0,0">
                <w:txbxContent>
                  <w:p w:rsidR="00291DB4" w14:paraId="07EA7CE9" w14:textId="77777777">
                    <w:pPr>
                      <w:spacing w:line="240" w:lineRule="auto"/>
                    </w:pPr>
                    <w:drawing>
                      <wp:inline distT="0" distB="0" distL="0" distR="0">
                        <wp:extent cx="2339975" cy="1582834"/>
                        <wp:effectExtent l="0" t="0" r="0" b="0"/>
                        <wp:docPr id="12"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291DB4"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5920b9fb-d041-4aa9-8d80-26b233cc0f6e" o:spid="_x0000_s2059" type="#_x0000_t202" style="width:377pt;height:12.75pt;margin-top:135.45pt;margin-left:79.6pt;mso-position-horizontal-relative:page;mso-wrap-distance-bottom:0;mso-wrap-distance-left:0;mso-wrap-distance-right:0;mso-wrap-distance-top:0;mso-wrap-style:square;position:absolute;v-text-anchor:top;visibility:visible;z-index:251679744" filled="f" stroked="f">
              <v:textbox inset="0,0,0,0">
                <w:txbxContent>
                  <w:p w:rsidR="00291DB4" w14:paraId="67EBDCBD" w14:textId="77777777">
                    <w:pPr>
                      <w:pStyle w:val="Referentiegegevens"/>
                    </w:pPr>
                    <w:r>
                      <w:t>&gt; Retouradres Postbus 20011 2500 EA  Den Haag</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B8FB7F7D"/>
    <w:multiLevelType w:val="multilevel"/>
    <w:tmpl w:val="FC11492F"/>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nsid w:val="E7A08F7A"/>
    <w:multiLevelType w:val="multilevel"/>
    <w:tmpl w:val="D76A0DC8"/>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nsid w:val="56AD670E"/>
    <w:multiLevelType w:val="hybridMultilevel"/>
    <w:tmpl w:val="46EEAE42"/>
    <w:lvl w:ilvl="0">
      <w:start w:val="0"/>
      <w:numFmt w:val="bullet"/>
      <w:lvlText w:val="-"/>
      <w:lvlJc w:val="left"/>
      <w:pPr>
        <w:ind w:left="360" w:hanging="360"/>
      </w:pPr>
      <w:rPr>
        <w:rFonts w:ascii="Verdana" w:eastAsia="DejaVu Sans" w:hAnsi="Verdana" w:cs="Lohit Hindi"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
    <w:nsid w:val="5F345411"/>
    <w:multiLevelType w:val="multilevel"/>
    <w:tmpl w:val="70DA79A3"/>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nsid w:val="722CDFA0"/>
    <w:multiLevelType w:val="multilevel"/>
    <w:tmpl w:val="4086C2F2"/>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num w:numId="1" w16cid:durableId="2073428565">
    <w:abstractNumId w:val="4"/>
  </w:num>
  <w:num w:numId="2" w16cid:durableId="2135321917">
    <w:abstractNumId w:val="3"/>
  </w:num>
  <w:num w:numId="3" w16cid:durableId="671252338">
    <w:abstractNumId w:val="0"/>
  </w:num>
  <w:num w:numId="4" w16cid:durableId="973368381">
    <w:abstractNumId w:val="1"/>
  </w:num>
  <w:num w:numId="5" w16cid:durableId="12254078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F4E"/>
    <w:rsid w:val="00003664"/>
    <w:rsid w:val="00020001"/>
    <w:rsid w:val="000260BC"/>
    <w:rsid w:val="000261FF"/>
    <w:rsid w:val="00026EE7"/>
    <w:rsid w:val="000300AF"/>
    <w:rsid w:val="000346B4"/>
    <w:rsid w:val="00040036"/>
    <w:rsid w:val="00045E23"/>
    <w:rsid w:val="00057158"/>
    <w:rsid w:val="00076633"/>
    <w:rsid w:val="00082A3F"/>
    <w:rsid w:val="000A38EA"/>
    <w:rsid w:val="000B4B93"/>
    <w:rsid w:val="000B5AC6"/>
    <w:rsid w:val="000C267F"/>
    <w:rsid w:val="000C3269"/>
    <w:rsid w:val="000D0D6C"/>
    <w:rsid w:val="000D2162"/>
    <w:rsid w:val="000E132D"/>
    <w:rsid w:val="000E4C37"/>
    <w:rsid w:val="00105DE1"/>
    <w:rsid w:val="00127419"/>
    <w:rsid w:val="00132B66"/>
    <w:rsid w:val="00140AA8"/>
    <w:rsid w:val="00144AF6"/>
    <w:rsid w:val="001452C8"/>
    <w:rsid w:val="00152BC6"/>
    <w:rsid w:val="00174683"/>
    <w:rsid w:val="00174CE0"/>
    <w:rsid w:val="00174DBE"/>
    <w:rsid w:val="00180FDB"/>
    <w:rsid w:val="00181CCE"/>
    <w:rsid w:val="00184E6F"/>
    <w:rsid w:val="00186AD1"/>
    <w:rsid w:val="00190BA9"/>
    <w:rsid w:val="001B4590"/>
    <w:rsid w:val="001C1CAF"/>
    <w:rsid w:val="001D2559"/>
    <w:rsid w:val="001D4BD0"/>
    <w:rsid w:val="001E2760"/>
    <w:rsid w:val="00202A15"/>
    <w:rsid w:val="002129D7"/>
    <w:rsid w:val="00217089"/>
    <w:rsid w:val="00223029"/>
    <w:rsid w:val="00223A0E"/>
    <w:rsid w:val="00224310"/>
    <w:rsid w:val="00224BE0"/>
    <w:rsid w:val="0022689D"/>
    <w:rsid w:val="00241FB2"/>
    <w:rsid w:val="00243B19"/>
    <w:rsid w:val="00261CBA"/>
    <w:rsid w:val="00270320"/>
    <w:rsid w:val="0027316F"/>
    <w:rsid w:val="00291DB4"/>
    <w:rsid w:val="002A62CB"/>
    <w:rsid w:val="002B1034"/>
    <w:rsid w:val="002B2F7E"/>
    <w:rsid w:val="002B70E5"/>
    <w:rsid w:val="002C2D05"/>
    <w:rsid w:val="002C6E33"/>
    <w:rsid w:val="002E1DE2"/>
    <w:rsid w:val="002E3909"/>
    <w:rsid w:val="002E7505"/>
    <w:rsid w:val="00302C6A"/>
    <w:rsid w:val="00307CEB"/>
    <w:rsid w:val="00317B14"/>
    <w:rsid w:val="00337354"/>
    <w:rsid w:val="00355882"/>
    <w:rsid w:val="003623C4"/>
    <w:rsid w:val="0036496B"/>
    <w:rsid w:val="00371CEA"/>
    <w:rsid w:val="003747E0"/>
    <w:rsid w:val="0038000F"/>
    <w:rsid w:val="00381500"/>
    <w:rsid w:val="003874F9"/>
    <w:rsid w:val="003920D6"/>
    <w:rsid w:val="003922A3"/>
    <w:rsid w:val="003A1C3E"/>
    <w:rsid w:val="003A56C0"/>
    <w:rsid w:val="003B2B1B"/>
    <w:rsid w:val="003C2E4D"/>
    <w:rsid w:val="003C3BED"/>
    <w:rsid w:val="003D274E"/>
    <w:rsid w:val="003D462A"/>
    <w:rsid w:val="003F2567"/>
    <w:rsid w:val="003F4D10"/>
    <w:rsid w:val="003F56B1"/>
    <w:rsid w:val="00402360"/>
    <w:rsid w:val="00415090"/>
    <w:rsid w:val="0041692A"/>
    <w:rsid w:val="00420563"/>
    <w:rsid w:val="004243EC"/>
    <w:rsid w:val="00426CB0"/>
    <w:rsid w:val="00427AF8"/>
    <w:rsid w:val="00430DC8"/>
    <w:rsid w:val="004337C6"/>
    <w:rsid w:val="0043568E"/>
    <w:rsid w:val="0044708A"/>
    <w:rsid w:val="00450C55"/>
    <w:rsid w:val="00462F5A"/>
    <w:rsid w:val="00466A64"/>
    <w:rsid w:val="00481155"/>
    <w:rsid w:val="004C1806"/>
    <w:rsid w:val="004D2681"/>
    <w:rsid w:val="004E5D9C"/>
    <w:rsid w:val="004E6A45"/>
    <w:rsid w:val="004E74BC"/>
    <w:rsid w:val="004F2940"/>
    <w:rsid w:val="005021C0"/>
    <w:rsid w:val="00513ECA"/>
    <w:rsid w:val="00515CA9"/>
    <w:rsid w:val="00516397"/>
    <w:rsid w:val="00524D8E"/>
    <w:rsid w:val="005250DF"/>
    <w:rsid w:val="00541934"/>
    <w:rsid w:val="00550844"/>
    <w:rsid w:val="00570E9C"/>
    <w:rsid w:val="005812DE"/>
    <w:rsid w:val="00586DEC"/>
    <w:rsid w:val="00591769"/>
    <w:rsid w:val="005A02A0"/>
    <w:rsid w:val="005B6171"/>
    <w:rsid w:val="005C1442"/>
    <w:rsid w:val="005C6E8C"/>
    <w:rsid w:val="005D18F1"/>
    <w:rsid w:val="00625B5E"/>
    <w:rsid w:val="0063030D"/>
    <w:rsid w:val="00635AF4"/>
    <w:rsid w:val="00654EA3"/>
    <w:rsid w:val="0067053D"/>
    <w:rsid w:val="00674DC8"/>
    <w:rsid w:val="00690230"/>
    <w:rsid w:val="006909B1"/>
    <w:rsid w:val="00690B07"/>
    <w:rsid w:val="006A36CC"/>
    <w:rsid w:val="006A5478"/>
    <w:rsid w:val="006A602D"/>
    <w:rsid w:val="006B10AB"/>
    <w:rsid w:val="006B1913"/>
    <w:rsid w:val="006B65A2"/>
    <w:rsid w:val="006B7EFB"/>
    <w:rsid w:val="006C2CDA"/>
    <w:rsid w:val="006C50A5"/>
    <w:rsid w:val="006D4CBC"/>
    <w:rsid w:val="006D7BF0"/>
    <w:rsid w:val="006F1506"/>
    <w:rsid w:val="006F46F8"/>
    <w:rsid w:val="006F77F8"/>
    <w:rsid w:val="00704663"/>
    <w:rsid w:val="0071377D"/>
    <w:rsid w:val="0071728A"/>
    <w:rsid w:val="007306F3"/>
    <w:rsid w:val="00746D89"/>
    <w:rsid w:val="00747B0E"/>
    <w:rsid w:val="00754D8B"/>
    <w:rsid w:val="007669F9"/>
    <w:rsid w:val="00770ED0"/>
    <w:rsid w:val="0078081A"/>
    <w:rsid w:val="00786DC2"/>
    <w:rsid w:val="00787CCB"/>
    <w:rsid w:val="00791952"/>
    <w:rsid w:val="00793F85"/>
    <w:rsid w:val="00794631"/>
    <w:rsid w:val="00796AF7"/>
    <w:rsid w:val="007A763B"/>
    <w:rsid w:val="007B11C7"/>
    <w:rsid w:val="007B27DD"/>
    <w:rsid w:val="007D4E77"/>
    <w:rsid w:val="007D732D"/>
    <w:rsid w:val="00800663"/>
    <w:rsid w:val="008031AA"/>
    <w:rsid w:val="008038BC"/>
    <w:rsid w:val="00813F26"/>
    <w:rsid w:val="00844EB6"/>
    <w:rsid w:val="00857CE5"/>
    <w:rsid w:val="008712B9"/>
    <w:rsid w:val="008824B6"/>
    <w:rsid w:val="00882B71"/>
    <w:rsid w:val="00886FDD"/>
    <w:rsid w:val="008A1A8E"/>
    <w:rsid w:val="008C6511"/>
    <w:rsid w:val="008D054C"/>
    <w:rsid w:val="008D28B2"/>
    <w:rsid w:val="008D60FB"/>
    <w:rsid w:val="008E173C"/>
    <w:rsid w:val="008F24DB"/>
    <w:rsid w:val="008F4D77"/>
    <w:rsid w:val="009057C2"/>
    <w:rsid w:val="00905AB6"/>
    <w:rsid w:val="0091044C"/>
    <w:rsid w:val="00912C41"/>
    <w:rsid w:val="00925987"/>
    <w:rsid w:val="009400F3"/>
    <w:rsid w:val="0094027C"/>
    <w:rsid w:val="00945ABE"/>
    <w:rsid w:val="009469FE"/>
    <w:rsid w:val="00947DA8"/>
    <w:rsid w:val="009609D1"/>
    <w:rsid w:val="00963F4E"/>
    <w:rsid w:val="0097486D"/>
    <w:rsid w:val="00983BD4"/>
    <w:rsid w:val="009841B7"/>
    <w:rsid w:val="009845EC"/>
    <w:rsid w:val="009955FC"/>
    <w:rsid w:val="00997084"/>
    <w:rsid w:val="00997429"/>
    <w:rsid w:val="009A19CF"/>
    <w:rsid w:val="009A2EA2"/>
    <w:rsid w:val="009A40D5"/>
    <w:rsid w:val="009B1508"/>
    <w:rsid w:val="009D3682"/>
    <w:rsid w:val="009E0C11"/>
    <w:rsid w:val="009E35EA"/>
    <w:rsid w:val="009E6A5A"/>
    <w:rsid w:val="009F0DF2"/>
    <w:rsid w:val="009F5440"/>
    <w:rsid w:val="00A00F4E"/>
    <w:rsid w:val="00A02A79"/>
    <w:rsid w:val="00A030C0"/>
    <w:rsid w:val="00A2125E"/>
    <w:rsid w:val="00A23449"/>
    <w:rsid w:val="00A31A19"/>
    <w:rsid w:val="00A353DD"/>
    <w:rsid w:val="00A35CDE"/>
    <w:rsid w:val="00A36516"/>
    <w:rsid w:val="00A41183"/>
    <w:rsid w:val="00A46791"/>
    <w:rsid w:val="00A60743"/>
    <w:rsid w:val="00A61849"/>
    <w:rsid w:val="00A61B02"/>
    <w:rsid w:val="00A67B3D"/>
    <w:rsid w:val="00A720BC"/>
    <w:rsid w:val="00A75565"/>
    <w:rsid w:val="00A7675B"/>
    <w:rsid w:val="00A80EE8"/>
    <w:rsid w:val="00A93D50"/>
    <w:rsid w:val="00AA42FD"/>
    <w:rsid w:val="00AA6C38"/>
    <w:rsid w:val="00AB27B9"/>
    <w:rsid w:val="00AC16D4"/>
    <w:rsid w:val="00AD62C1"/>
    <w:rsid w:val="00AF0D0B"/>
    <w:rsid w:val="00AF4B7E"/>
    <w:rsid w:val="00B05AAD"/>
    <w:rsid w:val="00B144D8"/>
    <w:rsid w:val="00B170F4"/>
    <w:rsid w:val="00B2657F"/>
    <w:rsid w:val="00B30FD5"/>
    <w:rsid w:val="00B36ED1"/>
    <w:rsid w:val="00B411AA"/>
    <w:rsid w:val="00B60183"/>
    <w:rsid w:val="00B625FF"/>
    <w:rsid w:val="00B710A6"/>
    <w:rsid w:val="00B80E4F"/>
    <w:rsid w:val="00B86DE2"/>
    <w:rsid w:val="00BD1389"/>
    <w:rsid w:val="00BD5FEA"/>
    <w:rsid w:val="00BF23AE"/>
    <w:rsid w:val="00BF57E7"/>
    <w:rsid w:val="00BF5BBE"/>
    <w:rsid w:val="00C15602"/>
    <w:rsid w:val="00C20F2F"/>
    <w:rsid w:val="00C41DC6"/>
    <w:rsid w:val="00C47300"/>
    <w:rsid w:val="00C47DAD"/>
    <w:rsid w:val="00C650F9"/>
    <w:rsid w:val="00C82ABC"/>
    <w:rsid w:val="00C91613"/>
    <w:rsid w:val="00CA14E6"/>
    <w:rsid w:val="00CA1F23"/>
    <w:rsid w:val="00CA2AF9"/>
    <w:rsid w:val="00CC1CA7"/>
    <w:rsid w:val="00CC50C1"/>
    <w:rsid w:val="00CE393D"/>
    <w:rsid w:val="00CF07BB"/>
    <w:rsid w:val="00CF4786"/>
    <w:rsid w:val="00D01830"/>
    <w:rsid w:val="00D063FC"/>
    <w:rsid w:val="00D11E12"/>
    <w:rsid w:val="00D347CF"/>
    <w:rsid w:val="00D57273"/>
    <w:rsid w:val="00D57696"/>
    <w:rsid w:val="00D665B2"/>
    <w:rsid w:val="00D72416"/>
    <w:rsid w:val="00D86ABB"/>
    <w:rsid w:val="00D92C6E"/>
    <w:rsid w:val="00D949FF"/>
    <w:rsid w:val="00DB70A0"/>
    <w:rsid w:val="00DD3BAD"/>
    <w:rsid w:val="00DD6401"/>
    <w:rsid w:val="00DD7F27"/>
    <w:rsid w:val="00DE0616"/>
    <w:rsid w:val="00DE273A"/>
    <w:rsid w:val="00DE5FEC"/>
    <w:rsid w:val="00DF663D"/>
    <w:rsid w:val="00E07939"/>
    <w:rsid w:val="00E07B81"/>
    <w:rsid w:val="00E10565"/>
    <w:rsid w:val="00E31E98"/>
    <w:rsid w:val="00E37A87"/>
    <w:rsid w:val="00E45902"/>
    <w:rsid w:val="00E6276D"/>
    <w:rsid w:val="00E9421F"/>
    <w:rsid w:val="00EC0F9D"/>
    <w:rsid w:val="00EC559D"/>
    <w:rsid w:val="00EC55CB"/>
    <w:rsid w:val="00EE4C43"/>
    <w:rsid w:val="00EE6407"/>
    <w:rsid w:val="00EF0DBA"/>
    <w:rsid w:val="00EF3CA0"/>
    <w:rsid w:val="00F00437"/>
    <w:rsid w:val="00F004C3"/>
    <w:rsid w:val="00F12B50"/>
    <w:rsid w:val="00F250B6"/>
    <w:rsid w:val="00F25744"/>
    <w:rsid w:val="00F2680E"/>
    <w:rsid w:val="00F30FEF"/>
    <w:rsid w:val="00F32BBA"/>
    <w:rsid w:val="00F420CD"/>
    <w:rsid w:val="00F54F0D"/>
    <w:rsid w:val="00F55882"/>
    <w:rsid w:val="00F7400E"/>
    <w:rsid w:val="00F82ED6"/>
    <w:rsid w:val="00F833D6"/>
    <w:rsid w:val="00FA066C"/>
    <w:rsid w:val="00FA68F7"/>
    <w:rsid w:val="00FA7D66"/>
    <w:rsid w:val="00FC1730"/>
    <w:rsid w:val="00FD30F0"/>
    <w:rsid w:val="00FF0BB8"/>
    <w:rsid w:val="00FF1DE2"/>
    <w:rsid w:val="1205F75D"/>
    <w:rsid w:val="1BAF3783"/>
    <w:rsid w:val="4F489CBB"/>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08228CCD"/>
  <w15:docId w15:val="{204E4C6B-83CB-4528-80F7-36B31A090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tabs>
        <w:tab w:val="num" w:pos="360"/>
      </w:tabs>
      <w:ind w:left="0" w:firstLine="0"/>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A00F4E"/>
    <w:pPr>
      <w:tabs>
        <w:tab w:val="center" w:pos="4536"/>
        <w:tab w:val="right" w:pos="9072"/>
      </w:tabs>
      <w:spacing w:line="240" w:lineRule="auto"/>
    </w:pPr>
  </w:style>
  <w:style w:type="character" w:customStyle="1" w:styleId="KoptekstChar">
    <w:name w:val="Koptekst Char"/>
    <w:basedOn w:val="DefaultParagraphFont"/>
    <w:link w:val="Header"/>
    <w:uiPriority w:val="99"/>
    <w:rsid w:val="00A00F4E"/>
    <w:rPr>
      <w:rFonts w:ascii="Verdana" w:hAnsi="Verdana"/>
      <w:color w:val="000000"/>
      <w:sz w:val="18"/>
      <w:szCs w:val="18"/>
    </w:rPr>
  </w:style>
  <w:style w:type="paragraph" w:styleId="Footer">
    <w:name w:val="footer"/>
    <w:basedOn w:val="Normal"/>
    <w:link w:val="VoettekstChar"/>
    <w:uiPriority w:val="99"/>
    <w:unhideWhenUsed/>
    <w:rsid w:val="00A00F4E"/>
    <w:pPr>
      <w:tabs>
        <w:tab w:val="center" w:pos="4536"/>
        <w:tab w:val="right" w:pos="9072"/>
      </w:tabs>
      <w:spacing w:line="240" w:lineRule="auto"/>
    </w:pPr>
  </w:style>
  <w:style w:type="character" w:customStyle="1" w:styleId="VoettekstChar">
    <w:name w:val="Voettekst Char"/>
    <w:basedOn w:val="DefaultParagraphFont"/>
    <w:link w:val="Footer"/>
    <w:uiPriority w:val="99"/>
    <w:rsid w:val="00A00F4E"/>
    <w:rPr>
      <w:rFonts w:ascii="Verdana" w:hAnsi="Verdana"/>
      <w:color w:val="000000"/>
      <w:sz w:val="18"/>
      <w:szCs w:val="18"/>
    </w:rPr>
  </w:style>
  <w:style w:type="paragraph" w:styleId="FootnoteText">
    <w:name w:val="footnote text"/>
    <w:basedOn w:val="Normal"/>
    <w:link w:val="VoetnoottekstChar"/>
    <w:autoRedefine/>
    <w:uiPriority w:val="99"/>
    <w:semiHidden/>
    <w:unhideWhenUsed/>
    <w:rsid w:val="00A00F4E"/>
    <w:pPr>
      <w:spacing w:line="240" w:lineRule="auto"/>
    </w:pPr>
    <w:rPr>
      <w:sz w:val="20"/>
      <w:szCs w:val="20"/>
    </w:rPr>
  </w:style>
  <w:style w:type="character" w:customStyle="1" w:styleId="VoetnoottekstChar">
    <w:name w:val="Voetnoottekst Char"/>
    <w:basedOn w:val="DefaultParagraphFont"/>
    <w:link w:val="FootnoteText"/>
    <w:uiPriority w:val="99"/>
    <w:semiHidden/>
    <w:rsid w:val="00A00F4E"/>
    <w:rPr>
      <w:rFonts w:ascii="Verdana" w:hAnsi="Verdana"/>
      <w:color w:val="000000"/>
    </w:rPr>
  </w:style>
  <w:style w:type="character" w:styleId="FootnoteReference">
    <w:name w:val="footnote reference"/>
    <w:basedOn w:val="DefaultParagraphFont"/>
    <w:uiPriority w:val="99"/>
    <w:semiHidden/>
    <w:unhideWhenUsed/>
    <w:rsid w:val="00A00F4E"/>
    <w:rPr>
      <w:vertAlign w:val="superscript"/>
    </w:rPr>
  </w:style>
  <w:style w:type="character" w:styleId="CommentReference">
    <w:name w:val="annotation reference"/>
    <w:basedOn w:val="DefaultParagraphFont"/>
    <w:uiPriority w:val="99"/>
    <w:semiHidden/>
    <w:unhideWhenUsed/>
    <w:rsid w:val="00A00F4E"/>
    <w:rPr>
      <w:sz w:val="16"/>
      <w:szCs w:val="16"/>
    </w:rPr>
  </w:style>
  <w:style w:type="paragraph" w:styleId="CommentText">
    <w:name w:val="annotation text"/>
    <w:basedOn w:val="Normal"/>
    <w:link w:val="TekstopmerkingChar"/>
    <w:uiPriority w:val="99"/>
    <w:unhideWhenUsed/>
    <w:rsid w:val="00A00F4E"/>
    <w:pPr>
      <w:spacing w:line="240" w:lineRule="auto"/>
    </w:pPr>
    <w:rPr>
      <w:sz w:val="20"/>
      <w:szCs w:val="20"/>
    </w:rPr>
  </w:style>
  <w:style w:type="character" w:customStyle="1" w:styleId="TekstopmerkingChar">
    <w:name w:val="Tekst opmerking Char"/>
    <w:basedOn w:val="DefaultParagraphFont"/>
    <w:link w:val="CommentText"/>
    <w:uiPriority w:val="99"/>
    <w:rsid w:val="00A00F4E"/>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A00F4E"/>
    <w:rPr>
      <w:b/>
      <w:bCs/>
    </w:rPr>
  </w:style>
  <w:style w:type="character" w:customStyle="1" w:styleId="OnderwerpvanopmerkingChar">
    <w:name w:val="Onderwerp van opmerking Char"/>
    <w:basedOn w:val="TekstopmerkingChar"/>
    <w:link w:val="CommentSubject"/>
    <w:uiPriority w:val="99"/>
    <w:semiHidden/>
    <w:rsid w:val="00A00F4E"/>
    <w:rPr>
      <w:rFonts w:ascii="Verdana" w:hAnsi="Verdana"/>
      <w:b/>
      <w:bCs/>
      <w:color w:val="000000"/>
    </w:rPr>
  </w:style>
  <w:style w:type="character" w:styleId="UnresolvedMention">
    <w:name w:val="Unresolved Mention"/>
    <w:basedOn w:val="DefaultParagraphFont"/>
    <w:uiPriority w:val="99"/>
    <w:semiHidden/>
    <w:unhideWhenUsed/>
    <w:rsid w:val="0071728A"/>
    <w:rPr>
      <w:color w:val="605E5C"/>
      <w:shd w:val="clear" w:color="auto" w:fill="E1DFDD"/>
    </w:rPr>
  </w:style>
  <w:style w:type="paragraph" w:styleId="Revision">
    <w:name w:val="Revision"/>
    <w:hidden/>
    <w:uiPriority w:val="99"/>
    <w:semiHidden/>
    <w:rsid w:val="0071728A"/>
    <w:pPr>
      <w:autoSpaceDN/>
      <w:textAlignment w:val="auto"/>
    </w:pPr>
    <w:rPr>
      <w:rFonts w:ascii="Verdana" w:hAnsi="Verdana"/>
      <w:color w:val="000000"/>
      <w:sz w:val="18"/>
      <w:szCs w:val="18"/>
    </w:rPr>
  </w:style>
  <w:style w:type="paragraph" w:styleId="EndnoteText">
    <w:name w:val="endnote text"/>
    <w:basedOn w:val="Normal"/>
    <w:link w:val="EindnoottekstChar"/>
    <w:uiPriority w:val="99"/>
    <w:semiHidden/>
    <w:unhideWhenUsed/>
    <w:rsid w:val="00A67B3D"/>
    <w:pPr>
      <w:spacing w:line="240" w:lineRule="auto"/>
    </w:pPr>
    <w:rPr>
      <w:sz w:val="20"/>
      <w:szCs w:val="20"/>
    </w:rPr>
  </w:style>
  <w:style w:type="character" w:customStyle="1" w:styleId="EindnoottekstChar">
    <w:name w:val="Eindnoottekst Char"/>
    <w:basedOn w:val="DefaultParagraphFont"/>
    <w:link w:val="EndnoteText"/>
    <w:uiPriority w:val="99"/>
    <w:semiHidden/>
    <w:rsid w:val="00A67B3D"/>
    <w:rPr>
      <w:rFonts w:ascii="Verdana" w:hAnsi="Verdana"/>
      <w:color w:val="000000"/>
    </w:rPr>
  </w:style>
  <w:style w:type="character" w:styleId="EndnoteReference">
    <w:name w:val="endnote reference"/>
    <w:basedOn w:val="DefaultParagraphFont"/>
    <w:uiPriority w:val="99"/>
    <w:semiHidden/>
    <w:unhideWhenUsed/>
    <w:rsid w:val="00A67B3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theme" Target="theme/theme1.xml" Id="rId10" /><Relationship Type="http://schemas.openxmlformats.org/officeDocument/2006/relationships/numbering" Target="numbering.xml" Id="rId11" /><Relationship Type="http://schemas.openxmlformats.org/officeDocument/2006/relationships/styles" Target="styles.xml" Id="rId12"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footer" Target="footer1.xml" Id="rId8" /><Relationship Type="http://schemas.openxmlformats.org/officeDocument/2006/relationships/header" Target="header2.xml" Id="rId9"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1085</ap:Words>
  <ap:Characters>5970</ap:Characters>
  <ap:DocSecurity>0</ap:DocSecurity>
  <ap:Lines>49</ap:Lines>
  <ap:Paragraphs>14</ap:Paragraphs>
  <ap:ScaleCrop>false</ap:ScaleCrop>
  <ap:HeadingPairs>
    <vt:vector baseType="variant" size="2">
      <vt:variant>
        <vt:lpstr>Titel</vt:lpstr>
      </vt:variant>
      <vt:variant>
        <vt:i4>1</vt:i4>
      </vt:variant>
    </vt:vector>
  </ap:HeadingPairs>
  <ap:TitlesOfParts>
    <vt:vector baseType="lpstr" size="1">
      <vt:lpstr>Brief aan Parlement - Brief inzake het niet uitvoeren van de op 21 mei 2025  door de Tweede Kamer aangenomen motie over niet-topfunctionarissen onder de WNT brengen</vt:lpstr>
    </vt:vector>
  </ap:TitlesOfParts>
  <ap:LinksUpToDate>false</ap:LinksUpToDate>
  <ap:CharactersWithSpaces>7041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lastPrinted>2025-11-02T10:54:00.0000000Z</lastPrinted>
  <dcterms:created xsi:type="dcterms:W3CDTF">2026-07-03T11:03:00.0000000Z</dcterms:created>
  <dcterms:modified xsi:type="dcterms:W3CDTF">2026-07-03T11:03:00.0000000Z</dcterms:modified>
  <dc:creator/>
  <lastModifiedBy/>
  <dc:description>------------------------</dc:description>
  <dc:subject/>
  <keywords/>
  <version/>
  <category/>
</coreProperties>
</file>