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EE72C5" w:rsidRDefault="00CD5856" w14:paraId="5025A437" w14:textId="66352246"/>
    <w:p w:rsidR="00CD5856" w:rsidP="00EE72C5" w:rsidRDefault="00CD5856" w14:paraId="4F19C2F9" w14:textId="77777777"/>
    <w:p w:rsidR="00CD5856" w:rsidP="00EE72C5" w:rsidRDefault="00CD5856" w14:paraId="2A59A100" w14:textId="77777777"/>
    <w:p w:rsidR="00CD5856" w:rsidP="00EE72C5" w:rsidRDefault="00CD5856" w14:paraId="4B824EF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EE72C5" w:rsidRDefault="00000000" w14:paraId="611C755B" w14:textId="77777777">
      <w:pPr>
        <w:pStyle w:val="Huisstijl-Aanhef"/>
        <w:contextualSpacing/>
      </w:pPr>
      <w:r>
        <w:t>Geachte voorzitter,</w:t>
      </w:r>
    </w:p>
    <w:p w:rsidR="00BF1E6D" w:rsidP="00EE72C5" w:rsidRDefault="00BF1E6D" w14:paraId="10C2BF2B" w14:textId="77777777">
      <w:pPr>
        <w:pStyle w:val="Huisstijl-Aanhef"/>
        <w:contextualSpacing/>
      </w:pPr>
    </w:p>
    <w:p w:rsidR="0094308C" w:rsidP="00EE72C5" w:rsidRDefault="00000000" w14:paraId="1BCF082A" w14:textId="77777777">
      <w:pPr>
        <w:pStyle w:val="Huisstijl-Aanhef"/>
        <w:spacing w:line="240" w:lineRule="atLeast"/>
        <w:contextualSpacing/>
      </w:pPr>
      <w:r w:rsidRPr="006B5A90">
        <w:t xml:space="preserve">Dit kabinet heeft verantwoord ondernemerschap in de zorg en jeugdhulp hoog in het vaandel staan. Dit is ondernemerschap dat daadwerkelijk bijdraagt aan goede, toegankelijke en betaalbare zorg en jeugdhulp, nu en in de toekomst. Zodat elke euro die naar de zorg gaat goed terecht komt en de belangen van patiënten en jeugdigen centraal staan. </w:t>
      </w:r>
    </w:p>
    <w:p w:rsidRPr="006B5A90" w:rsidR="00BF1E6D" w:rsidP="00EE72C5" w:rsidRDefault="00BF1E6D" w14:paraId="62E2FEC3" w14:textId="77777777">
      <w:pPr>
        <w:pStyle w:val="Huisstijl-Aanhef"/>
        <w:spacing w:line="240" w:lineRule="atLeast"/>
        <w:contextualSpacing/>
      </w:pPr>
    </w:p>
    <w:p w:rsidR="0094308C" w:rsidP="00EE72C5" w:rsidRDefault="00000000" w14:paraId="70790082" w14:textId="77777777">
      <w:pPr>
        <w:pStyle w:val="Huisstijl-Aanhef"/>
        <w:spacing w:line="240" w:lineRule="atLeast"/>
        <w:contextualSpacing/>
      </w:pPr>
      <w:r w:rsidRPr="006B5A90">
        <w:t xml:space="preserve">Om verantwoord ondernemerschap in de zorg te bevorderen, </w:t>
      </w:r>
      <w:r>
        <w:t xml:space="preserve">en daarmee misbruik van geld dat bedoeld is voor de zorg zoveel mogelijk tegen te gaan, </w:t>
      </w:r>
      <w:r w:rsidRPr="006B5A90">
        <w:t>wil het kabinet</w:t>
      </w:r>
      <w:r>
        <w:t>:</w:t>
      </w:r>
    </w:p>
    <w:p w:rsidR="00BF1E6D" w:rsidP="00EE72C5" w:rsidRDefault="00BF1E6D" w14:paraId="6F972807" w14:textId="77777777">
      <w:pPr>
        <w:pStyle w:val="Huisstijl-Aanhef"/>
        <w:spacing w:line="240" w:lineRule="atLeast"/>
        <w:contextualSpacing/>
      </w:pPr>
    </w:p>
    <w:p w:rsidR="0094308C" w:rsidP="00EE72C5" w:rsidRDefault="00000000" w14:paraId="6D155F7A" w14:textId="77777777">
      <w:pPr>
        <w:pStyle w:val="Huisstijl-Aanhef"/>
        <w:numPr>
          <w:ilvl w:val="0"/>
          <w:numId w:val="4"/>
        </w:numPr>
        <w:spacing w:line="240" w:lineRule="atLeast"/>
        <w:contextualSpacing/>
      </w:pPr>
      <w:r>
        <w:t>Dezelfde eisen stellen aan alle aanbieders van zorg- en jeugdhulp; ontwijkconstructies lonen niet meer. Er mogen bescheiden winstuitkeringen worden gedaan, maar alleen als zij niet hoger zijn dan een maximumpercentage en voldoen aan strenge voorwaarden.</w:t>
      </w:r>
    </w:p>
    <w:p w:rsidR="0094308C" w:rsidP="00EE72C5" w:rsidRDefault="00000000" w14:paraId="67FCCD05" w14:textId="77777777">
      <w:pPr>
        <w:pStyle w:val="Huisstijl-Aanhef"/>
        <w:numPr>
          <w:ilvl w:val="0"/>
          <w:numId w:val="4"/>
        </w:numPr>
        <w:spacing w:line="240" w:lineRule="atLeast"/>
        <w:contextualSpacing/>
      </w:pPr>
      <w:r>
        <w:t xml:space="preserve">De regels voor bedrijfsvoering van zorg- en jeugdhulpaanbieders verder aanscherpen, zodat deze daadwerkelijk bijdragen aan verantwoord ondernemerschap. </w:t>
      </w:r>
    </w:p>
    <w:p w:rsidR="00BF1E6D" w:rsidP="00EE72C5" w:rsidRDefault="00BF1E6D" w14:paraId="716E13AC" w14:textId="77777777">
      <w:pPr>
        <w:pStyle w:val="Huisstijl-Aanhef"/>
        <w:numPr>
          <w:ilvl w:val="0"/>
          <w:numId w:val="4"/>
        </w:numPr>
        <w:spacing w:line="240" w:lineRule="atLeast"/>
        <w:contextualSpacing/>
      </w:pPr>
    </w:p>
    <w:p w:rsidR="0094308C" w:rsidP="00EE72C5" w:rsidRDefault="00000000" w14:paraId="685222D6" w14:textId="77777777">
      <w:pPr>
        <w:pStyle w:val="Huisstijl-Aanhef"/>
        <w:spacing w:line="240" w:lineRule="atLeast"/>
        <w:contextualSpacing/>
      </w:pPr>
      <w:r w:rsidRPr="006B5A90">
        <w:t>Het wetsvoorstel Wet integere bedrijfsvoering zorg- en jeugdhulpaanbieders (</w:t>
      </w:r>
      <w:proofErr w:type="spellStart"/>
      <w:r w:rsidRPr="006B5A90">
        <w:t>Wibz</w:t>
      </w:r>
      <w:proofErr w:type="spellEnd"/>
      <w:r w:rsidRPr="006B5A90">
        <w:t xml:space="preserve">) dat in januari 2025 aan uw Kamer is gezonden, stelt randvoorwaarden aan (financiële) bedrijfsvoering, winstuitkering en vergunningverlening en -intrekking voor aanbieders van zorg en jeugdhulp. Dit wetsvoorstel is een stap in de goede richting. </w:t>
      </w:r>
    </w:p>
    <w:p w:rsidRPr="006B5A90" w:rsidR="00BF1E6D" w:rsidP="00EE72C5" w:rsidRDefault="00BF1E6D" w14:paraId="630DCB0E" w14:textId="77777777">
      <w:pPr>
        <w:pStyle w:val="Huisstijl-Aanhef"/>
        <w:spacing w:line="240" w:lineRule="atLeast"/>
        <w:contextualSpacing/>
      </w:pPr>
    </w:p>
    <w:p w:rsidR="0094308C" w:rsidP="00EE72C5" w:rsidRDefault="00000000" w14:paraId="320F6CC5" w14:textId="77777777">
      <w:pPr>
        <w:pStyle w:val="Huisstijl-Aanhef"/>
        <w:spacing w:line="240" w:lineRule="atLeast"/>
        <w:contextualSpacing/>
      </w:pPr>
      <w:r w:rsidRPr="006B5A90">
        <w:t>Maar er is meer nodig</w:t>
      </w:r>
      <w:r>
        <w:t>, vindt het kabinet</w:t>
      </w:r>
      <w:r w:rsidRPr="006B5A90">
        <w:t xml:space="preserve">. Uit de reacties op dit wetsvoorstel vanuit </w:t>
      </w:r>
      <w:r>
        <w:t>de</w:t>
      </w:r>
      <w:r w:rsidRPr="006B5A90">
        <w:t xml:space="preserve"> Kamer blijkt dat de voorgestelde normen strenger, </w:t>
      </w:r>
      <w:r>
        <w:t>duidelijker</w:t>
      </w:r>
      <w:r w:rsidRPr="006B5A90">
        <w:t xml:space="preserve"> en meer handhaafbaar kunnen en moeten zijn. </w:t>
      </w:r>
    </w:p>
    <w:p w:rsidRPr="006B5A90" w:rsidR="00BF1E6D" w:rsidP="00EE72C5" w:rsidRDefault="00BF1E6D" w14:paraId="4043F57C" w14:textId="77777777">
      <w:pPr>
        <w:pStyle w:val="Huisstijl-Aanhef"/>
        <w:spacing w:line="240" w:lineRule="atLeast"/>
        <w:contextualSpacing/>
      </w:pPr>
    </w:p>
    <w:p w:rsidR="0094308C" w:rsidP="00EE72C5" w:rsidRDefault="00000000" w14:paraId="14CC932B" w14:textId="485DC623">
      <w:pPr>
        <w:pStyle w:val="Huisstijl-Aanhef"/>
        <w:spacing w:line="240" w:lineRule="atLeast"/>
        <w:contextualSpacing/>
      </w:pPr>
      <w:r w:rsidRPr="006B5A90">
        <w:t xml:space="preserve">Het kabinet wil daarom dit wetsvoorstel aanvullen met strengere normen, zodat </w:t>
      </w:r>
      <w:r>
        <w:t xml:space="preserve">voor </w:t>
      </w:r>
      <w:r w:rsidRPr="006B5A90">
        <w:t>hoge winstuitkeringen of zelfverrijking in de zorg of jeugdhulp geen plaats</w:t>
      </w:r>
      <w:r>
        <w:t xml:space="preserve"> is</w:t>
      </w:r>
      <w:r w:rsidRPr="006B5A90">
        <w:t xml:space="preserve">. </w:t>
      </w:r>
    </w:p>
    <w:p w:rsidR="00BF1E6D" w:rsidP="00EE72C5" w:rsidRDefault="00BF1E6D" w14:paraId="6181C8CD" w14:textId="77777777">
      <w:pPr>
        <w:pStyle w:val="Huisstijl-Aanhef"/>
        <w:spacing w:line="240" w:lineRule="atLeast"/>
        <w:contextualSpacing/>
      </w:pPr>
    </w:p>
    <w:p w:rsidRPr="006B5A90" w:rsidR="00BF1E6D" w:rsidP="00EE72C5" w:rsidRDefault="00BF1E6D" w14:paraId="0CED49A2" w14:textId="77777777">
      <w:pPr>
        <w:pStyle w:val="Huisstijl-Aanhef"/>
        <w:spacing w:line="240" w:lineRule="atLeast"/>
        <w:contextualSpacing/>
      </w:pPr>
    </w:p>
    <w:p w:rsidR="0094308C" w:rsidP="00EE72C5" w:rsidRDefault="00000000" w14:paraId="073684AF" w14:textId="77777777">
      <w:pPr>
        <w:pStyle w:val="Huisstijl-Aanhef"/>
        <w:spacing w:line="240" w:lineRule="atLeast"/>
        <w:contextualSpacing/>
      </w:pPr>
      <w:r>
        <w:lastRenderedPageBreak/>
        <w:t>Daarom richt het voorstel zich op het aangeven van grenzen, waarbij w</w:t>
      </w:r>
      <w:r w:rsidRPr="006B5A90">
        <w:t xml:space="preserve">elwillende aanbieders ruimte </w:t>
      </w:r>
      <w:r>
        <w:t>behouden</w:t>
      </w:r>
      <w:r w:rsidRPr="006B5A90">
        <w:t xml:space="preserve"> om hun bedrijfsvoering in te richten op een manier die past bij de aard van de zorg of de jeugdhulp die zij verlenen en de omgeving waarin zij verkeren. De grote opgaven in de zorg, zoals personeelstekorten en wachtlijsten, zijn immers ook gebaat bij vernieuwende ontwikkelingen die de zorg en jeugdhulp ook in de toekomst toegankelijk en beschikbaar houden. Dit vraagt om investeerders die gericht zijn op een houdbaar toekomstperspectief voor de zorg en jeugdhulp en die belang hechten aan de kwaliteit van zorg en jeugdhulp en het belang van patiënt en cliënt. De aangescherpte normen die het kabinet voorstel</w:t>
      </w:r>
      <w:r>
        <w:t>t</w:t>
      </w:r>
      <w:r w:rsidRPr="006B5A90">
        <w:t xml:space="preserve"> en toelicht in deze brief zijn gericht op een betere balans tussen ruimte voor ondernemerschap en </w:t>
      </w:r>
      <w:r>
        <w:t xml:space="preserve">een duidelijke </w:t>
      </w:r>
      <w:r w:rsidRPr="006B5A90">
        <w:t>normering</w:t>
      </w:r>
      <w:r>
        <w:t xml:space="preserve"> aan de voorkant. Daardoor wordt duidelijk wat  we van aanbieders in de zorg en jeugdhulp verwachten en wat we normaal vinden, zodat excessen kunnen worden voorkomen</w:t>
      </w:r>
      <w:r w:rsidRPr="006B5A90">
        <w:t xml:space="preserve">. </w:t>
      </w:r>
    </w:p>
    <w:p w:rsidRPr="006B5A90" w:rsidR="00BF1E6D" w:rsidP="00EE72C5" w:rsidRDefault="00BF1E6D" w14:paraId="2C17F170" w14:textId="77777777">
      <w:pPr>
        <w:pStyle w:val="Huisstijl-Aanhef"/>
        <w:spacing w:line="240" w:lineRule="atLeast"/>
        <w:contextualSpacing/>
      </w:pPr>
    </w:p>
    <w:p w:rsidR="0094308C" w:rsidP="00EE72C5" w:rsidRDefault="00000000" w14:paraId="518CD98E" w14:textId="77777777">
      <w:pPr>
        <w:pStyle w:val="Huisstijl-Aanhef"/>
        <w:spacing w:line="240" w:lineRule="atLeast"/>
        <w:contextualSpacing/>
      </w:pPr>
      <w:r w:rsidRPr="006B5A90">
        <w:t xml:space="preserve">Het is van belang dat de normen voor (financiële) bedrijfsvoering en winstuitkering </w:t>
      </w:r>
      <w:r>
        <w:t>duidelijk</w:t>
      </w:r>
      <w:r w:rsidRPr="006B5A90">
        <w:t xml:space="preserve"> en handhaafbaar zijn. Daartoe zijn ook verdere aanscherpingen in het wetsvoorstel nodig. Deze aanscherpingen nemen bestaande onduidelijkheden en ongelijkheden weg en voorkomen ontwijkconstructies. En zorgen ervoor dat er geen oneerlijke verschillen tussen aanbieders ontstaan. Hiermee komt het kabinet tegemoet aan de verschillende reacties van de Tweede Kamer, aanbieders, toezichthouders en diverse andere partijen op het wetsvoorstel. Bovendien wordt duidelijkheid verschaft over de reikwijdte van het winstuitkeringsverbod, mede naar aanleiding van de uitspraak van de Afdeling Bestuursrechtspraak Raad van State (de Afdeling).</w:t>
      </w:r>
      <w:r>
        <w:rPr>
          <w:vertAlign w:val="superscript"/>
        </w:rPr>
        <w:footnoteReference w:id="1"/>
      </w:r>
      <w:r w:rsidRPr="006B5A90">
        <w:t xml:space="preserve">  </w:t>
      </w:r>
    </w:p>
    <w:p w:rsidRPr="006B5A90" w:rsidR="00BF1E6D" w:rsidP="00EE72C5" w:rsidRDefault="00BF1E6D" w14:paraId="469215D1" w14:textId="77777777">
      <w:pPr>
        <w:pStyle w:val="Huisstijl-Aanhef"/>
        <w:spacing w:line="240" w:lineRule="atLeast"/>
        <w:contextualSpacing/>
      </w:pPr>
    </w:p>
    <w:p w:rsidR="0094308C" w:rsidP="00EE72C5" w:rsidRDefault="00000000" w14:paraId="23830E54" w14:textId="77777777">
      <w:pPr>
        <w:pStyle w:val="Huisstijl-Aanhef"/>
        <w:spacing w:line="240" w:lineRule="atLeast"/>
        <w:contextualSpacing/>
      </w:pPr>
      <w:r w:rsidRPr="006B5A90">
        <w:t>Hieronder worden de aanscherpingen verder toegelicht. De opbouw van deze brief is als volgt: als eerste worden de verschillende onderdelen van het wetsvoorstel die het kabinet wil aanscherpen toegelicht. Dit zijn achtereenvolgens: 1) aanscherpingen met betrekking tot normen voor winstuitkering, 2) strengere en duidelijkere normen voor bedrijfsvoering, en 3) een tweetal overige aanscherpingen. Daarna geeft het kabinet een reactie op een aantal moties en toezeggingen die samenhangen met de onderwerpen van het wetsvoorstel en die hiermee worden afgedaan.</w:t>
      </w:r>
    </w:p>
    <w:p w:rsidRPr="006B5A90" w:rsidR="00BF1E6D" w:rsidP="00EE72C5" w:rsidRDefault="00BF1E6D" w14:paraId="35DD9A5E" w14:textId="77777777">
      <w:pPr>
        <w:pStyle w:val="Huisstijl-Aanhef"/>
        <w:spacing w:line="240" w:lineRule="atLeast"/>
        <w:contextualSpacing/>
      </w:pPr>
    </w:p>
    <w:p w:rsidR="0094308C" w:rsidP="00EE72C5" w:rsidRDefault="00000000" w14:paraId="75C97C03" w14:textId="77777777">
      <w:pPr>
        <w:pStyle w:val="Huisstijl-Aanhef"/>
        <w:spacing w:line="240" w:lineRule="atLeast"/>
        <w:contextualSpacing/>
      </w:pPr>
      <w:r w:rsidRPr="006B5A90">
        <w:t>Het kabinet bereidt momenteel een nota van wijziging voor</w:t>
      </w:r>
      <w:r>
        <w:t>,</w:t>
      </w:r>
      <w:r w:rsidRPr="006B5A90">
        <w:t xml:space="preserve"> waarin de </w:t>
      </w:r>
      <w:r>
        <w:t xml:space="preserve">in deze brief </w:t>
      </w:r>
      <w:r w:rsidRPr="006B5A90">
        <w:t xml:space="preserve">geschetste wijzigingen worden opgenomen. Deze nota van wijziging zal voor toetsing naar diverse uitvoeringsinstanties worden gestuurd. Vervolgens gaat de nota van wijziging voor advies naar de Afdeling Advisering van de Raad van State, waarna deze aan uw Kamer kan worden aangeboden. Vooruitlopend daarop </w:t>
      </w:r>
      <w:r>
        <w:t xml:space="preserve">informeert </w:t>
      </w:r>
      <w:r w:rsidRPr="006B5A90">
        <w:t xml:space="preserve">het kabinet u in deze brief alvast </w:t>
      </w:r>
      <w:r>
        <w:t>o</w:t>
      </w:r>
      <w:r w:rsidRPr="006B5A90">
        <w:t xml:space="preserve">ver de voorgenomen wijzigingen.  </w:t>
      </w:r>
    </w:p>
    <w:p w:rsidRPr="006B5A90" w:rsidR="00BF1E6D" w:rsidP="00EE72C5" w:rsidRDefault="00BF1E6D" w14:paraId="27CD5E7D" w14:textId="77777777">
      <w:pPr>
        <w:pStyle w:val="Huisstijl-Aanhef"/>
        <w:spacing w:line="240" w:lineRule="atLeast"/>
        <w:contextualSpacing/>
      </w:pPr>
    </w:p>
    <w:p w:rsidRPr="006B5A90" w:rsidR="0094308C" w:rsidP="00EE72C5" w:rsidRDefault="00000000" w14:paraId="4DA77494" w14:textId="77777777">
      <w:pPr>
        <w:pStyle w:val="Huisstijl-Aanhef"/>
        <w:spacing w:line="240" w:lineRule="atLeast"/>
        <w:contextualSpacing/>
        <w:rPr>
          <w:b/>
          <w:bCs/>
        </w:rPr>
      </w:pPr>
      <w:r w:rsidRPr="006B5A90">
        <w:rPr>
          <w:b/>
          <w:bCs/>
        </w:rPr>
        <w:t>1. Aanscherping normen winstuitkering</w:t>
      </w:r>
    </w:p>
    <w:p w:rsidR="0094308C" w:rsidP="00EE72C5" w:rsidRDefault="00000000" w14:paraId="2C30246A" w14:textId="77777777">
      <w:pPr>
        <w:pStyle w:val="Huisstijl-Aanhef"/>
        <w:spacing w:line="240" w:lineRule="atLeast"/>
        <w:contextualSpacing/>
      </w:pPr>
      <w:r w:rsidRPr="006B5A90">
        <w:t xml:space="preserve">De huidige regels over winstuitkering in de zorg schieten op een aantal onderdelen tekort. Ten eerste zijn er op dit moment voor veel aanbieders en sectoren geen grenzen gesteld aan de mate waarin winst kan worden uitgekeerd. Het risico daarvan is dat er aanbieders zijn bij wie het uitkeren van winst boven het leveren van goede zorg wordt gesteld. En dat past niet bij de collectieve financiering en het grote maatschappelijk belang van de zorg. Daarom wil het kabinet hier grenzen aan stellen. Deze aanvullende voorwaarden om winst uit te keren worden toegelicht onder 1.1. </w:t>
      </w:r>
    </w:p>
    <w:p w:rsidRPr="006B5A90" w:rsidR="00BF1E6D" w:rsidP="00EE72C5" w:rsidRDefault="00BF1E6D" w14:paraId="2BCA1B44" w14:textId="77777777">
      <w:pPr>
        <w:pStyle w:val="Huisstijl-Aanhef"/>
        <w:spacing w:line="240" w:lineRule="atLeast"/>
        <w:contextualSpacing/>
      </w:pPr>
    </w:p>
    <w:p w:rsidR="0094308C" w:rsidP="00EE72C5" w:rsidRDefault="00000000" w14:paraId="4DF1B765" w14:textId="77777777">
      <w:pPr>
        <w:pStyle w:val="Huisstijl-Aanhef"/>
        <w:spacing w:line="240" w:lineRule="atLeast"/>
        <w:contextualSpacing/>
      </w:pPr>
      <w:r w:rsidRPr="006B5A90">
        <w:t xml:space="preserve">Ten tweede zijn de huidige regels over winstuitkering onvoldoende eerlijk en handhaafbaar. Het huidige onderscheid tussen wie wel of niet winst mag uitkeren is niet logisch meer. De regels voor winstuitkering zijn verschillend per sector of leveringsvorm, en deze verschillen zijn niet meer goed uit te leggen. Dit blijkt ook uit de praktijk, signalen van toezichthouders en de uitspraak van de Afdeling. Het kabinet wil de regels voor winstuitkering daarom voor iedereen gelijktrekken: alle aanbieders van zorg- en jeugdhulp kunnen een bescheiden winst uitkeren, onder strenge voorwaarden die voor alle aanbieders gelden. Dan maken de regels geen onderscheid meer tussen hoofd- en onderaannemers. Dit leidt er toe dat er geen ontwijkconstructies meer mogelijk zijn en ook geen oneerlijke verschillen </w:t>
      </w:r>
      <w:r>
        <w:t xml:space="preserve">meer zijn </w:t>
      </w:r>
      <w:r w:rsidRPr="006B5A90">
        <w:t>tussen sectoren. Tevens maakt dit toezicht en handhaving van de regels eenvoudiger, waardoor deze in de praktijk meer effect hebben. De toelichting op deze wijzigingen staat onder 1.2.</w:t>
      </w:r>
    </w:p>
    <w:p w:rsidRPr="006B5A90" w:rsidR="00BF1E6D" w:rsidP="00EE72C5" w:rsidRDefault="00BF1E6D" w14:paraId="04F4FD93" w14:textId="77777777">
      <w:pPr>
        <w:pStyle w:val="Huisstijl-Aanhef"/>
        <w:spacing w:line="240" w:lineRule="atLeast"/>
        <w:contextualSpacing/>
      </w:pPr>
    </w:p>
    <w:p w:rsidRPr="006B5A90" w:rsidR="0094308C" w:rsidP="00EE72C5" w:rsidRDefault="00000000" w14:paraId="4D158312" w14:textId="77777777">
      <w:pPr>
        <w:pStyle w:val="Huisstijl-Aanhef"/>
        <w:numPr>
          <w:ilvl w:val="1"/>
          <w:numId w:val="2"/>
        </w:numPr>
        <w:spacing w:line="240" w:lineRule="atLeast"/>
        <w:contextualSpacing/>
        <w:rPr>
          <w:b/>
          <w:bCs/>
        </w:rPr>
      </w:pPr>
      <w:r w:rsidRPr="006B5A90">
        <w:rPr>
          <w:b/>
          <w:bCs/>
        </w:rPr>
        <w:t>Aanvullende voorwaarden winstuitkering</w:t>
      </w:r>
    </w:p>
    <w:p w:rsidR="0094308C" w:rsidP="00EE72C5" w:rsidRDefault="00000000" w14:paraId="4D521A29" w14:textId="77777777">
      <w:pPr>
        <w:pStyle w:val="Huisstijl-Aanhef"/>
        <w:spacing w:line="240" w:lineRule="atLeast"/>
        <w:contextualSpacing/>
      </w:pPr>
      <w:r w:rsidRPr="006B5A90">
        <w:t xml:space="preserve">Hoewel het huidige wetsvoorstel al diverse randvoorwaarden stelt aan winstuitkeringen, zoals goede kwaliteit van zorg en een goede financiële gezondheid van de aanbieder, acht het kabinet verdere aanscherpingen nodig om excessieve winstuitkeringen te voorkomen. </w:t>
      </w:r>
    </w:p>
    <w:p w:rsidRPr="006B5A90" w:rsidR="00BF1E6D" w:rsidP="00EE72C5" w:rsidRDefault="00BF1E6D" w14:paraId="4C3CA456" w14:textId="77777777">
      <w:pPr>
        <w:pStyle w:val="Huisstijl-Aanhef"/>
        <w:spacing w:line="240" w:lineRule="atLeast"/>
        <w:contextualSpacing/>
      </w:pPr>
    </w:p>
    <w:p w:rsidR="0094308C" w:rsidP="00EE72C5" w:rsidRDefault="00000000" w14:paraId="61C281D1" w14:textId="77777777">
      <w:pPr>
        <w:pStyle w:val="Huisstijl-Aanhef"/>
        <w:spacing w:line="240" w:lineRule="atLeast"/>
        <w:contextualSpacing/>
      </w:pPr>
      <w:r w:rsidRPr="006B5A90">
        <w:t xml:space="preserve">Beoogd wordt de volgende onderdelen in de nota van wijziging op te nemen of om hierin op </w:t>
      </w:r>
      <w:r>
        <w:t>wets</w:t>
      </w:r>
      <w:r w:rsidRPr="006B5A90">
        <w:t>nivea</w:t>
      </w:r>
      <w:r>
        <w:t>u een</w:t>
      </w:r>
      <w:r w:rsidRPr="006B5A90">
        <w:t xml:space="preserve"> grondslag te creëren om het in lagere regelgeving vast te leggen:</w:t>
      </w:r>
    </w:p>
    <w:p w:rsidRPr="006B5A90" w:rsidR="00BF1E6D" w:rsidP="00EE72C5" w:rsidRDefault="00BF1E6D" w14:paraId="678584EB" w14:textId="77777777">
      <w:pPr>
        <w:pStyle w:val="Huisstijl-Aanhef"/>
        <w:spacing w:line="240" w:lineRule="atLeast"/>
        <w:contextualSpacing/>
      </w:pPr>
    </w:p>
    <w:p w:rsidRPr="006B5A90" w:rsidR="0094308C" w:rsidP="00EE72C5" w:rsidRDefault="00000000" w14:paraId="7DFB107B" w14:textId="77777777">
      <w:pPr>
        <w:pStyle w:val="Huisstijl-Aanhef"/>
        <w:numPr>
          <w:ilvl w:val="0"/>
          <w:numId w:val="3"/>
        </w:numPr>
        <w:spacing w:line="240" w:lineRule="atLeast"/>
        <w:contextualSpacing/>
        <w:rPr>
          <w:b/>
          <w:bCs/>
        </w:rPr>
      </w:pPr>
      <w:r w:rsidRPr="006B5A90">
        <w:rPr>
          <w:b/>
          <w:bCs/>
        </w:rPr>
        <w:t>Maximum percentage winstuitkering</w:t>
      </w:r>
    </w:p>
    <w:p w:rsidR="0094308C" w:rsidP="00EE72C5" w:rsidRDefault="00000000" w14:paraId="23B42B8E" w14:textId="77777777">
      <w:pPr>
        <w:pStyle w:val="Huisstijl-Aanhef"/>
        <w:spacing w:line="240" w:lineRule="atLeast"/>
        <w:contextualSpacing/>
      </w:pPr>
      <w:r w:rsidRPr="006B5A90">
        <w:t xml:space="preserve">Een winstuitkering mag niet hoger zijn dan een maximum percentage van het </w:t>
      </w:r>
      <w:r>
        <w:t>geïnvesteerd vermogen</w:t>
      </w:r>
      <w:r w:rsidRPr="006B5A90">
        <w:t xml:space="preserve">. Met deze eis wil het kabinet duidelijkheid verschaffen over een acceptabel niveau aan winstuitkering in de zorg. Het kabinet laat nader onderzoek doen naar de hoogte van het maximumpercentage. Met deze aanscherping kunnen aanbieders of investeerders een bescheiden maar voldoende aantrekkelijk rendement behalen. Tegelijkertijd heeft de zorg hierdoor minder aantrekkingskracht op malafide aanbieders en investeerders die uit zijn op excessief financieel gewin. Door deze maatregel zullen excessieve winstuitkeringen tot de verleden tijd behoren. </w:t>
      </w:r>
    </w:p>
    <w:p w:rsidRPr="006B5A90" w:rsidR="00BF1E6D" w:rsidP="00EE72C5" w:rsidRDefault="00BF1E6D" w14:paraId="056DDFFB" w14:textId="77777777">
      <w:pPr>
        <w:pStyle w:val="Huisstijl-Aanhef"/>
        <w:spacing w:line="240" w:lineRule="atLeast"/>
        <w:contextualSpacing/>
      </w:pPr>
    </w:p>
    <w:p w:rsidRPr="006B5A90" w:rsidR="0094308C" w:rsidP="00EE72C5" w:rsidRDefault="00000000" w14:paraId="51F7BD94" w14:textId="77777777">
      <w:pPr>
        <w:pStyle w:val="Huisstijl-Aanhef"/>
        <w:numPr>
          <w:ilvl w:val="0"/>
          <w:numId w:val="3"/>
        </w:numPr>
        <w:spacing w:line="240" w:lineRule="atLeast"/>
        <w:contextualSpacing/>
        <w:rPr>
          <w:b/>
          <w:bCs/>
        </w:rPr>
      </w:pPr>
      <w:r w:rsidRPr="006B5A90">
        <w:rPr>
          <w:b/>
          <w:bCs/>
        </w:rPr>
        <w:t>Voldoen aan jaarverantwoordingsplicht</w:t>
      </w:r>
    </w:p>
    <w:p w:rsidR="0094308C" w:rsidP="00EE72C5" w:rsidRDefault="00000000" w14:paraId="2830AC30" w14:textId="77777777">
      <w:pPr>
        <w:pStyle w:val="Huisstijl-Aanhef"/>
        <w:spacing w:line="240" w:lineRule="atLeast"/>
        <w:contextualSpacing/>
      </w:pPr>
      <w:r w:rsidRPr="006B5A90">
        <w:t>De openbare jaarverantwoording is een noodzakelijk instrument voor de Nederlandse Zorgautoriteit (</w:t>
      </w:r>
      <w:proofErr w:type="spellStart"/>
      <w:r w:rsidRPr="006B5A90">
        <w:t>NZa</w:t>
      </w:r>
      <w:proofErr w:type="spellEnd"/>
      <w:r w:rsidRPr="006B5A90">
        <w:t>) om te kunnen controleren of een aanbieder een winstuitkering heeft gedaan en geeft inzicht of de aanbieder voldoet aan de voorwaarden om winst uit te keren, zoals de financiële ratio’s</w:t>
      </w:r>
      <w:r>
        <w:rPr>
          <w:rStyle w:val="Voetnootmarkering"/>
        </w:rPr>
        <w:footnoteReference w:id="2"/>
      </w:r>
      <w:r w:rsidRPr="006B5A90">
        <w:t xml:space="preserve">. Voorgesteld zal worden dat het niet voldoen aan deze verplichting reden is om een winstuitkering te verbieden. </w:t>
      </w:r>
    </w:p>
    <w:p w:rsidR="00EE72C5" w:rsidP="00EE72C5" w:rsidRDefault="00EE72C5" w14:paraId="2C2B13F0" w14:textId="77777777">
      <w:pPr>
        <w:pStyle w:val="Huisstijl-Aanhef"/>
        <w:spacing w:line="240" w:lineRule="atLeast"/>
        <w:contextualSpacing/>
      </w:pPr>
    </w:p>
    <w:p w:rsidR="00BF1E6D" w:rsidP="00EE72C5" w:rsidRDefault="00BF1E6D" w14:paraId="0860E758" w14:textId="77777777">
      <w:pPr>
        <w:pStyle w:val="Huisstijl-Aanhef"/>
        <w:spacing w:line="240" w:lineRule="atLeast"/>
        <w:contextualSpacing/>
      </w:pPr>
    </w:p>
    <w:p w:rsidR="00BF1E6D" w:rsidP="00EE72C5" w:rsidRDefault="00BF1E6D" w14:paraId="1B72D752" w14:textId="77777777">
      <w:pPr>
        <w:pStyle w:val="Huisstijl-Aanhef"/>
        <w:spacing w:line="240" w:lineRule="atLeast"/>
        <w:contextualSpacing/>
      </w:pPr>
    </w:p>
    <w:p w:rsidR="00BF1E6D" w:rsidP="00EE72C5" w:rsidRDefault="00BF1E6D" w14:paraId="7F958583" w14:textId="77777777">
      <w:pPr>
        <w:pStyle w:val="Huisstijl-Aanhef"/>
        <w:spacing w:line="240" w:lineRule="atLeast"/>
        <w:contextualSpacing/>
      </w:pPr>
    </w:p>
    <w:p w:rsidR="00BF1E6D" w:rsidP="00EE72C5" w:rsidRDefault="00BF1E6D" w14:paraId="0E9DEC6D" w14:textId="77777777">
      <w:pPr>
        <w:pStyle w:val="Huisstijl-Aanhef"/>
        <w:spacing w:line="240" w:lineRule="atLeast"/>
        <w:contextualSpacing/>
      </w:pPr>
    </w:p>
    <w:p w:rsidRPr="006B5A90" w:rsidR="00BF1E6D" w:rsidP="00EE72C5" w:rsidRDefault="00BF1E6D" w14:paraId="09074ACC" w14:textId="77777777">
      <w:pPr>
        <w:pStyle w:val="Huisstijl-Aanhef"/>
        <w:spacing w:line="240" w:lineRule="atLeast"/>
        <w:contextualSpacing/>
      </w:pPr>
    </w:p>
    <w:p w:rsidR="0094308C" w:rsidP="00EE72C5" w:rsidRDefault="00000000" w14:paraId="6E4A639C" w14:textId="77777777">
      <w:pPr>
        <w:pStyle w:val="Huisstijl-Aanhef"/>
        <w:numPr>
          <w:ilvl w:val="0"/>
          <w:numId w:val="3"/>
        </w:numPr>
        <w:spacing w:line="240" w:lineRule="atLeast"/>
        <w:contextualSpacing/>
        <w:rPr>
          <w:b/>
          <w:bCs/>
        </w:rPr>
      </w:pPr>
      <w:r w:rsidRPr="006B5A90">
        <w:rPr>
          <w:b/>
          <w:bCs/>
        </w:rPr>
        <w:t>Geen overtreding normale marktvoorwaarden of onverantwoorde risico’s</w:t>
      </w:r>
    </w:p>
    <w:p w:rsidRPr="006B5A90" w:rsidR="00BF1E6D" w:rsidP="00BF1E6D" w:rsidRDefault="00BF1E6D" w14:paraId="2510ED4C" w14:textId="77777777">
      <w:pPr>
        <w:pStyle w:val="Huisstijl-Aanhef"/>
        <w:spacing w:line="240" w:lineRule="atLeast"/>
        <w:contextualSpacing/>
        <w:rPr>
          <w:b/>
          <w:bCs/>
        </w:rPr>
      </w:pPr>
    </w:p>
    <w:p w:rsidR="0094308C" w:rsidP="00EE72C5" w:rsidRDefault="00000000" w14:paraId="36DC3E06" w14:textId="77777777">
      <w:pPr>
        <w:pStyle w:val="Huisstijl-Aanhef"/>
        <w:spacing w:line="240" w:lineRule="atLeast"/>
        <w:contextualSpacing/>
      </w:pPr>
      <w:r w:rsidRPr="006B5A90">
        <w:t>In het huidige wetsvoorstel zijn twee normen voor bedrijfsvoering opgenomen waar aanbieders aan moeten voldoen: i) de norm voor het hanteren van normale marktvoorwaarden bij grote transacties met verbonden partijen en ii) het verbod op onverantwoorde risico’s bij het aantrekken of terugbetalen van eigen of vreemd vermogen.</w:t>
      </w:r>
      <w:r w:rsidRPr="006B5A90">
        <w:br/>
        <w:t>Het kabinet vindt het niet passend om een winstuitkering toe te staan als een aanbieder niet aan deze normen voldoet. Daarom neemt het kabinet in de nota van wijziging de voorwaarde op</w:t>
      </w:r>
      <w:r>
        <w:t>,</w:t>
      </w:r>
      <w:r w:rsidRPr="006B5A90">
        <w:t xml:space="preserve"> dat voor het uitkeren van winst ook aan deze normen over bedrijfsvoering in het wetsvoorstel voldaan moet zijn. </w:t>
      </w:r>
    </w:p>
    <w:p w:rsidRPr="006B5A90" w:rsidR="00BF1E6D" w:rsidP="00EE72C5" w:rsidRDefault="00BF1E6D" w14:paraId="1FDE23A4" w14:textId="77777777">
      <w:pPr>
        <w:pStyle w:val="Huisstijl-Aanhef"/>
        <w:spacing w:line="240" w:lineRule="atLeast"/>
        <w:contextualSpacing/>
      </w:pPr>
    </w:p>
    <w:p w:rsidR="0094308C" w:rsidP="00EE72C5" w:rsidRDefault="00000000" w14:paraId="3A444AD1" w14:textId="77777777">
      <w:pPr>
        <w:pStyle w:val="Huisstijl-Aanhef"/>
        <w:numPr>
          <w:ilvl w:val="1"/>
          <w:numId w:val="2"/>
        </w:numPr>
        <w:spacing w:line="240" w:lineRule="atLeast"/>
        <w:contextualSpacing/>
        <w:rPr>
          <w:b/>
          <w:bCs/>
        </w:rPr>
      </w:pPr>
      <w:r>
        <w:rPr>
          <w:b/>
          <w:bCs/>
        </w:rPr>
        <w:t>Duidelijker</w:t>
      </w:r>
      <w:r w:rsidRPr="006B5A90">
        <w:rPr>
          <w:b/>
          <w:bCs/>
        </w:rPr>
        <w:t xml:space="preserve"> en handhaafbare regels voor winstuitkering</w:t>
      </w:r>
    </w:p>
    <w:p w:rsidRPr="006B5A90" w:rsidR="00BF1E6D" w:rsidP="00BF1E6D" w:rsidRDefault="00BF1E6D" w14:paraId="77A7340E" w14:textId="77777777">
      <w:pPr>
        <w:pStyle w:val="Huisstijl-Aanhef"/>
        <w:spacing w:line="240" w:lineRule="atLeast"/>
        <w:ind w:left="360"/>
        <w:contextualSpacing/>
        <w:rPr>
          <w:b/>
          <w:bCs/>
        </w:rPr>
      </w:pPr>
    </w:p>
    <w:p w:rsidR="00BF1E6D" w:rsidP="00EE72C5" w:rsidRDefault="00BF1E6D" w14:paraId="7825921E" w14:textId="2B404EA4">
      <w:pPr>
        <w:pStyle w:val="Huisstijl-Aanhef"/>
        <w:spacing w:line="240" w:lineRule="atLeast"/>
        <w:contextualSpacing/>
      </w:pPr>
      <w:r>
        <w:rPr>
          <w:noProof/>
        </w:rPr>
        <mc:AlternateContent>
          <mc:Choice Requires="wps">
            <w:drawing>
              <wp:anchor distT="45720" distB="45720" distL="114300" distR="114300" simplePos="0" relativeHeight="251658240" behindDoc="0" locked="0" layoutInCell="1" allowOverlap="1" wp14:editId="39C3472F" wp14:anchorId="466F4839">
                <wp:simplePos x="0" y="0"/>
                <wp:positionH relativeFrom="margin">
                  <wp:align>left</wp:align>
                </wp:positionH>
                <wp:positionV relativeFrom="paragraph">
                  <wp:posOffset>2277137</wp:posOffset>
                </wp:positionV>
                <wp:extent cx="4875530" cy="745490"/>
                <wp:effectExtent l="0" t="0" r="20320" b="16510"/>
                <wp:wrapSquare wrapText="bothSides"/>
                <wp:docPr id="737648958"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530" cy="745490"/>
                        </a:xfrm>
                        <a:prstGeom prst="rect">
                          <a:avLst/>
                        </a:prstGeom>
                        <a:solidFill>
                          <a:srgbClr val="FFFFFF"/>
                        </a:solidFill>
                        <a:ln w="9525">
                          <a:solidFill>
                            <a:srgbClr val="000000"/>
                          </a:solidFill>
                          <a:miter lim="800000"/>
                          <a:headEnd/>
                          <a:tailEnd/>
                        </a:ln>
                      </wps:spPr>
                      <wps:txbx>
                        <w:txbxContent>
                          <w:p w:rsidR="0094308C" w:rsidP="0094308C" w:rsidRDefault="00000000" w14:paraId="1634161F" w14:textId="77777777">
                            <w:r>
                              <w:t xml:space="preserve">Voorbeeld: Een stichting (hoofdaannemer) besteedt de zorg uit aan verschillende </w:t>
                            </w:r>
                            <w:proofErr w:type="spellStart"/>
                            <w:r>
                              <w:t>BV’s</w:t>
                            </w:r>
                            <w:proofErr w:type="spellEnd"/>
                            <w:r>
                              <w:t xml:space="preserve">, die zorg verlenen in </w:t>
                            </w:r>
                            <w:proofErr w:type="spellStart"/>
                            <w:r>
                              <w:t>onderaanneming</w:t>
                            </w:r>
                            <w:proofErr w:type="spellEnd"/>
                            <w:r>
                              <w:t xml:space="preserve"> voor de stichting. De winst kan vervolgens via de </w:t>
                            </w:r>
                            <w:proofErr w:type="spellStart"/>
                            <w:r>
                              <w:t>BV’s</w:t>
                            </w:r>
                            <w:proofErr w:type="spellEnd"/>
                            <w:r>
                              <w:t xml:space="preserve"> worden uitgekeerd, ook in sectoren waar een winstuitkeringsverbod geldt. </w:t>
                            </w:r>
                          </w:p>
                          <w:p w:rsidR="0094308C" w:rsidP="0094308C" w:rsidRDefault="0094308C" w14:paraId="6741503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6F4839">
                <v:stroke joinstyle="miter"/>
                <v:path gradientshapeok="t" o:connecttype="rect"/>
              </v:shapetype>
              <v:shape id="Tekstvak 3" style="position:absolute;margin-left:0;margin-top:179.3pt;width:383.9pt;height:58.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">
                <v:textbox>
                  <w:txbxContent>
                    <w:p w:rsidR="0094308C" w:rsidP="0094308C" w:rsidRDefault="00000000" w14:paraId="1634161F" w14:textId="77777777">
                      <w:r>
                        <w:t xml:space="preserve">Voorbeeld: Een stichting (hoofdaannemer) besteedt de zorg uit aan verschillende </w:t>
                      </w:r>
                      <w:proofErr w:type="spellStart"/>
                      <w:r>
                        <w:t>BV’s</w:t>
                      </w:r>
                      <w:proofErr w:type="spellEnd"/>
                      <w:r>
                        <w:t xml:space="preserve">, die zorg verlenen in </w:t>
                      </w:r>
                      <w:proofErr w:type="spellStart"/>
                      <w:r>
                        <w:t>onderaanneming</w:t>
                      </w:r>
                      <w:proofErr w:type="spellEnd"/>
                      <w:r>
                        <w:t xml:space="preserve"> voor de stichting. De winst kan vervolgens via de </w:t>
                      </w:r>
                      <w:proofErr w:type="spellStart"/>
                      <w:r>
                        <w:t>BV’s</w:t>
                      </w:r>
                      <w:proofErr w:type="spellEnd"/>
                      <w:r>
                        <w:t xml:space="preserve"> worden uitgekeerd, ook in sectoren waar een winstuitkeringsverbod geldt. </w:t>
                      </w:r>
                    </w:p>
                    <w:p w:rsidR="0094308C" w:rsidP="0094308C" w:rsidRDefault="0094308C" w14:paraId="67415037" w14:textId="77777777"/>
                  </w:txbxContent>
                </v:textbox>
                <w10:wrap type="square" anchorx="margin"/>
              </v:shape>
            </w:pict>
          </mc:Fallback>
        </mc:AlternateContent>
      </w:r>
      <w:r w:rsidRPr="006B5A90" w:rsidR="008F298D">
        <w:t>De regels voor winstuitkering verschillen op dit moment tussen verschillende soorten aanbieders en sectoren, ze zijn onvoldoende eerlijk</w:t>
      </w:r>
      <w:r w:rsidR="008F298D">
        <w:t>, duidelijk</w:t>
      </w:r>
      <w:r w:rsidRPr="006B5A90" w:rsidR="008F298D">
        <w:t xml:space="preserve"> en handhaafbaar. Er geldt nu een algemeen winstuitkeringsverbod in de zorg, waarvan een aantal specifieke sectoren of leveringsvormen zijn uitgezonderd. Grofweg geldt dit winstuitkeringsverbod voor hoofdaannemers in de intramurale </w:t>
      </w:r>
      <w:proofErr w:type="spellStart"/>
      <w:r w:rsidRPr="006B5A90" w:rsidR="008F298D">
        <w:t>Zvw</w:t>
      </w:r>
      <w:proofErr w:type="spellEnd"/>
      <w:r w:rsidRPr="006B5A90" w:rsidR="008F298D">
        <w:t xml:space="preserve">- en </w:t>
      </w:r>
      <w:proofErr w:type="spellStart"/>
      <w:r w:rsidRPr="006B5A90" w:rsidR="008F298D">
        <w:t>Wlz</w:t>
      </w:r>
      <w:proofErr w:type="spellEnd"/>
      <w:r w:rsidRPr="006B5A90" w:rsidR="008F298D">
        <w:t>-zorg, en in de extramurale medisch specialistische zorg (MSZ). Aanbieders die extramurale zorg leveren (denk bijvoorbeeld aan huisartsenzorg, kraamzorg, mondzorg, paramedische zorg, extramurale GGZ), onderaannemers en jeugdhulpaanbieders mogen wel winst uitkeren</w:t>
      </w:r>
      <w:r w:rsidR="008F298D">
        <w:rPr>
          <w:vertAlign w:val="superscript"/>
        </w:rPr>
        <w:footnoteReference w:id="3"/>
      </w:r>
      <w:r w:rsidRPr="006B5A90" w:rsidR="008F298D">
        <w:t>. In de praktijk blijkt echter dat in de sectoren waar een winstuitkeringsverbod geldt toch winst wordt uitgekeerd.</w:t>
      </w:r>
      <w:r w:rsidR="008F298D">
        <w:rPr>
          <w:vertAlign w:val="superscript"/>
        </w:rPr>
        <w:footnoteReference w:id="4"/>
      </w:r>
      <w:r w:rsidRPr="006B5A90" w:rsidR="008F298D">
        <w:t xml:space="preserve"> Aanbieders maken bijvoorbeeld gebruik van de mogelijkheid om door middel van een onderaannemer winst uit te keren, omdat onderaannemers namelijk niet onder het huidige winstuitkeringsverbod vallen. Een veel gebruikte constructie is de oprichting van een stichting, waaronder één of meerdere </w:t>
      </w:r>
      <w:proofErr w:type="spellStart"/>
      <w:r w:rsidRPr="006B5A90" w:rsidR="008F298D">
        <w:t>BV’s</w:t>
      </w:r>
      <w:proofErr w:type="spellEnd"/>
      <w:r w:rsidRPr="006B5A90" w:rsidR="008F298D">
        <w:t xml:space="preserve"> vallen.</w:t>
      </w:r>
    </w:p>
    <w:p w:rsidR="00BF1E6D" w:rsidP="00EE72C5" w:rsidRDefault="00BF1E6D" w14:paraId="26FFA413" w14:textId="09A21D07">
      <w:pPr>
        <w:pStyle w:val="Huisstijl-Aanhef"/>
        <w:spacing w:line="240" w:lineRule="atLeast"/>
        <w:contextualSpacing/>
      </w:pPr>
    </w:p>
    <w:p w:rsidR="0094308C" w:rsidP="00EE72C5" w:rsidRDefault="00000000" w14:paraId="6576B0CD" w14:textId="31C6C136">
      <w:pPr>
        <w:pStyle w:val="Huisstijl-Aanhef"/>
        <w:spacing w:line="240" w:lineRule="atLeast"/>
        <w:contextualSpacing/>
      </w:pPr>
      <w:r w:rsidRPr="006B5A90">
        <w:t>Een andere methode is dat verschillende vormen van zorg die door één aanbieder worden geleverd in verschillende entiteiten worden ondergebracht, waardoor het winstuitkeringsverbod alleen van toepassing is op de entiteit die zorg levert die onder het winstuitkeringsverbod valt, en er wel winst wordt uitgekeerd via de andere entiteiten.</w:t>
      </w:r>
    </w:p>
    <w:p w:rsidRPr="006B5A90" w:rsidR="00BF1E6D" w:rsidP="00EE72C5" w:rsidRDefault="00BF1E6D" w14:paraId="023B42FB" w14:textId="77777777">
      <w:pPr>
        <w:pStyle w:val="Huisstijl-Aanhef"/>
        <w:spacing w:line="240" w:lineRule="atLeast"/>
        <w:contextualSpacing/>
      </w:pPr>
    </w:p>
    <w:p w:rsidR="0094308C" w:rsidP="00EE72C5" w:rsidRDefault="00000000" w14:paraId="15698EAE" w14:textId="77777777">
      <w:pPr>
        <w:pStyle w:val="Huisstijl-Aanhef"/>
        <w:spacing w:line="240" w:lineRule="atLeast"/>
        <w:contextualSpacing/>
      </w:pPr>
      <w:r w:rsidRPr="006B5A90">
        <w:t xml:space="preserve">Naast de constatering dat in de praktijk winst wordt uitgekeerd in sectoren waarvoor als uitgangspunt een winstuitkeringsverbod geldt, weegt het kabinet de reeds genoemde uitspraak van de Afdeling in de zaak </w:t>
      </w:r>
      <w:proofErr w:type="spellStart"/>
      <w:r w:rsidRPr="006B5A90">
        <w:t>Radiology</w:t>
      </w:r>
      <w:proofErr w:type="spellEnd"/>
      <w:r w:rsidRPr="006B5A90">
        <w:t xml:space="preserve"> zwaar mee bij de afwegingen omtrent het vormgeven van een toekomstbestendige regulering van winstuitkeringen in de zorg en jeugdhulp. De Afdeling heeft in deze zaak geoordeeld dat de minister het winstuitkeringsverbod niet coherent en consistent heeft toegepast: onderaannemers mogen wel winst uitkeren en hoofdaannemers niet. Dit verschil, en waarom dat mag, is onvoldoende gemotiveerd. Dat geldt tevens voor het onderscheid tussen “complexe” en “niet-complexe” zorg. De Afdeling oordeelde dat de toepassing van deze regels in de zaak van </w:t>
      </w:r>
      <w:proofErr w:type="spellStart"/>
      <w:r w:rsidRPr="006B5A90">
        <w:t>Radiology</w:t>
      </w:r>
      <w:proofErr w:type="spellEnd"/>
      <w:r w:rsidRPr="006B5A90">
        <w:t xml:space="preserve"> in strijd is met Europees recht. Deze uitspraak zorgt nu voor onduidelijkheid over de toepasbaarheid en handhaafbaarheid van het huidige winstuitkeringsverbod in de zorg.</w:t>
      </w:r>
    </w:p>
    <w:p w:rsidRPr="006B5A90" w:rsidR="00BF1E6D" w:rsidP="00EE72C5" w:rsidRDefault="00BF1E6D" w14:paraId="5040FB0B" w14:textId="77777777">
      <w:pPr>
        <w:pStyle w:val="Huisstijl-Aanhef"/>
        <w:spacing w:line="240" w:lineRule="atLeast"/>
        <w:contextualSpacing/>
      </w:pPr>
    </w:p>
    <w:p w:rsidR="0094308C" w:rsidP="00EE72C5" w:rsidRDefault="00000000" w14:paraId="0D935366" w14:textId="77777777">
      <w:pPr>
        <w:pStyle w:val="Huisstijl-Aanhef"/>
        <w:spacing w:line="240" w:lineRule="atLeast"/>
        <w:contextualSpacing/>
      </w:pPr>
      <w:r w:rsidRPr="006B5A90">
        <w:t xml:space="preserve">Het kabinet ziet noodzaak om te voorzien in een meer consistent en coherent systeem van winstuitkering in de zorg. Een systeem dat strikter is dan de huidige praktijksituatie, met strengere voorwaarden. </w:t>
      </w:r>
    </w:p>
    <w:p w:rsidRPr="006B5A90" w:rsidR="00BF1E6D" w:rsidP="00EE72C5" w:rsidRDefault="00BF1E6D" w14:paraId="79722850" w14:textId="77777777">
      <w:pPr>
        <w:pStyle w:val="Huisstijl-Aanhef"/>
        <w:spacing w:line="240" w:lineRule="atLeast"/>
        <w:contextualSpacing/>
      </w:pPr>
    </w:p>
    <w:p w:rsidR="0094308C" w:rsidP="00EE72C5" w:rsidRDefault="00000000" w14:paraId="67F32DA5" w14:textId="77777777">
      <w:pPr>
        <w:pStyle w:val="Huisstijl-Aanhef"/>
        <w:spacing w:line="240" w:lineRule="atLeast"/>
        <w:contextualSpacing/>
      </w:pPr>
      <w:r w:rsidRPr="006B5A90">
        <w:t>Gekozen is voor regels die de hoogte van de winstuitkering normeren en voorwaarden stellen in welke situaties winst mag worden uitgekeerd. Het kabinet creëert hiermee een gelijk speelveld voor alle aanbieders: alle aanbieders mogen tot maximaal een acceptabel niveau winst uitkeren</w:t>
      </w:r>
      <w:r>
        <w:t>,</w:t>
      </w:r>
      <w:r w:rsidRPr="006B5A90">
        <w:t xml:space="preserve"> mits wordt voldaan aan strikte voorwaarden. Deze regels gelden voor alle aanbieders in alle sectoren, ongeacht leveringsvorm. Voor hoofd- en onderaannemers. Ontwijkconstructies hebben geen zin meer. Dit is belangrijk met het oog op conformiteit met het EU-recht. </w:t>
      </w:r>
      <w:r>
        <w:t>Hoewel het winstuitkeringsverbod h</w:t>
      </w:r>
      <w:r w:rsidRPr="006B5A90">
        <w:t xml:space="preserve">iermee </w:t>
      </w:r>
      <w:r>
        <w:t xml:space="preserve">komt te vervallen, </w:t>
      </w:r>
      <w:r w:rsidRPr="006B5A90">
        <w:t xml:space="preserve">wordt het beleid en de praktijk rondom winstuitkeringen </w:t>
      </w:r>
      <w:r>
        <w:t xml:space="preserve">vanwege de gestelde voorwaarden </w:t>
      </w:r>
      <w:r w:rsidRPr="006B5A90">
        <w:t>strenger dan de huidige</w:t>
      </w:r>
      <w:r>
        <w:t>,</w:t>
      </w:r>
      <w:r w:rsidRPr="006B5A90">
        <w:t xml:space="preserve"> diffuse situatie met een gedeeltelijk winstuitkeringsverbod.</w:t>
      </w:r>
    </w:p>
    <w:p w:rsidRPr="006B5A90" w:rsidR="00BF1E6D" w:rsidP="00EE72C5" w:rsidRDefault="00BF1E6D" w14:paraId="2CBDD6C1" w14:textId="77777777">
      <w:pPr>
        <w:pStyle w:val="Huisstijl-Aanhef"/>
        <w:spacing w:line="240" w:lineRule="atLeast"/>
        <w:contextualSpacing/>
      </w:pPr>
    </w:p>
    <w:p w:rsidR="0094308C" w:rsidP="00EE72C5" w:rsidRDefault="00000000" w14:paraId="772AF89E" w14:textId="77777777">
      <w:pPr>
        <w:pStyle w:val="Huisstijl-Aanhef"/>
        <w:spacing w:line="240" w:lineRule="atLeast"/>
        <w:contextualSpacing/>
      </w:pPr>
      <w:r w:rsidRPr="006B5A90">
        <w:t xml:space="preserve">Andere mogelijkheden om winst in de zorg te reguleren hebben volgens dit kabinet niet het gewenste resultaat. Een algeheel winstuitkeringsverbod heeft een ongewenst effect op beschikbaarheid van kapitaal voor huidige en toekomstige investeringen in de zorg. In diverse sectoren hebben verschillende partijen, als banken en individuen, investeringen gedaan die hebben geleid tot efficiënte inzet van mensen of middelen in combinatie met kwalitatief goede zorg. Voorbeelden daarvan zijn te vinden bij bepaalde zelfstandige behandelcentra, passende zorg voor psychiatrische patiënten aan huis, voorkomen van ziekteverzuim bij medewerkers en de inzet van digitale ondersteuning en slimme software bijvoorbeeld in de back office of bij triage. Ook bij bedrijfsopvolging zijn soms investeerders nodig. Waar het ook gebruikelijk is een vergoeding te vragen voor het beschikbaar stellen van hun kapitaal: ze lopen immers ook het risico dat het géén goede investering is. </w:t>
      </w:r>
    </w:p>
    <w:p w:rsidRPr="006B5A90" w:rsidR="00BF1E6D" w:rsidP="00EE72C5" w:rsidRDefault="00BF1E6D" w14:paraId="11A0E2BF" w14:textId="77777777">
      <w:pPr>
        <w:pStyle w:val="Huisstijl-Aanhef"/>
        <w:spacing w:line="240" w:lineRule="atLeast"/>
        <w:contextualSpacing/>
      </w:pPr>
    </w:p>
    <w:p w:rsidR="00BF1E6D" w:rsidP="00EE72C5" w:rsidRDefault="00000000" w14:paraId="1E4F0DEA" w14:textId="77777777">
      <w:pPr>
        <w:pStyle w:val="Huisstijl-Aanhef"/>
        <w:spacing w:line="240" w:lineRule="atLeast"/>
        <w:contextualSpacing/>
      </w:pPr>
      <w:r w:rsidRPr="006B5A90">
        <w:t>Met een algeheel verbod op winstuitkeringen zal een groot deel van dit aanbod van investeerders verdwijnen. Als gevolg zullen toekomstige investeringen, die vanwege de grote opgaven in de zorg zoals personeelstekorten en wachtlijsten juist zo hard nodig zijn, verdwijnen. Dit heeft een direct effect op de beschikbaarheid en toegankelijkheid van zorg.</w:t>
      </w:r>
      <w:r w:rsidR="00BF1E6D">
        <w:t xml:space="preserve"> </w:t>
      </w:r>
    </w:p>
    <w:p w:rsidR="0094308C" w:rsidP="00EE72C5" w:rsidRDefault="00000000" w14:paraId="4690B1E5" w14:textId="72BED71B">
      <w:pPr>
        <w:pStyle w:val="Huisstijl-Aanhef"/>
        <w:spacing w:line="240" w:lineRule="atLeast"/>
        <w:contextualSpacing/>
      </w:pPr>
      <w:r w:rsidRPr="006B5A90">
        <w:t xml:space="preserve">Een systeem waarbij per sector of leveringsvorm wordt gekeken of winstuitkering mogelijk zou moeten zijn, leidt ook tot ongewenste gevolgen. Als eerste is het moeilijk op grond van voldoende objectieve gegevens het onderscheid te maken tussen verschillende sectoren voor winstuitkering, dit maakt een dergelijk stelsel juridisch kwetsbaar. Daarnaast leidt elk onderscheid dat tussen sectoren wordt gemaakt, tot oneigenlijke organisatorische constructies om het verbod te ontwijken. Dit kan ook de gewenste samenwerking over sectoren heen in gevaar brengen. </w:t>
      </w:r>
    </w:p>
    <w:p w:rsidR="00EE72C5" w:rsidP="00EE72C5" w:rsidRDefault="00EE72C5" w14:paraId="49ED53E2" w14:textId="77777777">
      <w:pPr>
        <w:pStyle w:val="Huisstijl-Aanhef"/>
        <w:spacing w:line="240" w:lineRule="atLeast"/>
        <w:contextualSpacing/>
      </w:pPr>
    </w:p>
    <w:p w:rsidR="0094308C" w:rsidP="00EE72C5" w:rsidRDefault="00000000" w14:paraId="380578A1" w14:textId="77777777">
      <w:pPr>
        <w:pStyle w:val="Huisstijl-Aanhef"/>
        <w:spacing w:line="240" w:lineRule="atLeast"/>
        <w:contextualSpacing/>
      </w:pPr>
      <w:r w:rsidRPr="006B5A90">
        <w:t xml:space="preserve">Concluderend leidt een dergelijk systeem, waarbij onderscheid gemaakt wordt tussen sectoren niet tot een consistent, coherent en toekomstbestendig systeem. </w:t>
      </w:r>
    </w:p>
    <w:p w:rsidR="0094308C" w:rsidP="00EE72C5" w:rsidRDefault="00000000" w14:paraId="44F19B8B" w14:textId="77777777">
      <w:pPr>
        <w:pStyle w:val="Huisstijl-Aanhef"/>
        <w:spacing w:line="240" w:lineRule="atLeast"/>
        <w:contextualSpacing/>
        <w:rPr>
          <w:b/>
          <w:bCs/>
        </w:rPr>
      </w:pPr>
      <w:r w:rsidRPr="006B5A90">
        <w:rPr>
          <w:b/>
          <w:bCs/>
        </w:rPr>
        <w:t xml:space="preserve">2. </w:t>
      </w:r>
      <w:bookmarkStart w:name="_Hlk230718545" w:id="2"/>
      <w:r w:rsidRPr="006B5A90">
        <w:rPr>
          <w:b/>
          <w:bCs/>
        </w:rPr>
        <w:t xml:space="preserve">Strengere en duidelijkere </w:t>
      </w:r>
      <w:bookmarkStart w:name="_Hlk230718508" w:id="3"/>
      <w:r w:rsidRPr="006B5A90">
        <w:rPr>
          <w:b/>
          <w:bCs/>
        </w:rPr>
        <w:t>normen voor bedrijfsvoering</w:t>
      </w:r>
      <w:bookmarkEnd w:id="2"/>
      <w:bookmarkEnd w:id="3"/>
    </w:p>
    <w:p w:rsidRPr="006B5A90" w:rsidR="00BF1E6D" w:rsidP="00EE72C5" w:rsidRDefault="00BF1E6D" w14:paraId="5D9E2DE5" w14:textId="77777777">
      <w:pPr>
        <w:pStyle w:val="Huisstijl-Aanhef"/>
        <w:spacing w:line="240" w:lineRule="atLeast"/>
        <w:contextualSpacing/>
        <w:rPr>
          <w:b/>
          <w:bCs/>
        </w:rPr>
      </w:pPr>
    </w:p>
    <w:p w:rsidR="0094308C" w:rsidP="00EE72C5" w:rsidRDefault="00000000" w14:paraId="03E90249" w14:textId="77777777">
      <w:pPr>
        <w:pStyle w:val="Huisstijl-Aanhef"/>
        <w:spacing w:line="240" w:lineRule="atLeast"/>
        <w:contextualSpacing/>
      </w:pPr>
      <w:r w:rsidRPr="006B5A90">
        <w:t xml:space="preserve">In het huidige wetsvoorstel zijn twee normen voor bedrijfsvoering opgenomen: normen voor </w:t>
      </w:r>
      <w:r>
        <w:t xml:space="preserve">i) </w:t>
      </w:r>
      <w:r w:rsidRPr="006B5A90">
        <w:t xml:space="preserve">het hanteren van normale marktvoorwaarden bij grote transacties met verbonden partijen en ii) om geen onverantwoorde risico’s te nemen bij het aantrekken of terugbetalen van eigen of vreemd vermogen. Uit de reacties op het wetsvoorstel, onder andere in het verslag van de Tweede Kamercommissie voor Volksgezondheid, Welzijn en Sport en het rondetafelgesprek op 24 maart 2025 in de Tweede Kamer, blijkt dat ook deze normen aanpassing vergen. Enerzijds gaat dit over de duidelijkheid van de normen, voor zowel aanbieders als toezichthouder. Anderzijds gaat het ook over de mogelijkheid om strengere normen te stellen bij ongewenste financieringsconstructies (bij overnames), zoals onder andere door sommige private </w:t>
      </w:r>
      <w:proofErr w:type="spellStart"/>
      <w:r w:rsidRPr="006B5A90">
        <w:t>equity</w:t>
      </w:r>
      <w:proofErr w:type="spellEnd"/>
      <w:r w:rsidRPr="006B5A90">
        <w:t xml:space="preserve"> partijen gebruikt worden. Dergelijke constructies kunnen immers tot risico’s voor de continuïteit van zorg- en jeugdhulp op de korte of lange termijn leiden. </w:t>
      </w:r>
    </w:p>
    <w:p w:rsidRPr="006B5A90" w:rsidR="00BF1E6D" w:rsidP="00EE72C5" w:rsidRDefault="00BF1E6D" w14:paraId="7D43B880" w14:textId="77777777">
      <w:pPr>
        <w:pStyle w:val="Huisstijl-Aanhef"/>
        <w:spacing w:line="240" w:lineRule="atLeast"/>
        <w:contextualSpacing/>
      </w:pPr>
    </w:p>
    <w:p w:rsidR="0094308C" w:rsidP="00EE72C5" w:rsidRDefault="00000000" w14:paraId="1D095562" w14:textId="77777777">
      <w:pPr>
        <w:pStyle w:val="Huisstijl-Aanhef"/>
        <w:spacing w:line="240" w:lineRule="atLeast"/>
        <w:contextualSpacing/>
      </w:pPr>
      <w:r w:rsidRPr="006B5A90">
        <w:t xml:space="preserve">Daarom wordt nu gewerkt aan verbreding van de delegatiegrondslag voor deze normen voor bedrijfsvoering. Op deze manier ontstaat ruimte om de normen verder te concretiseren en te verduidelijken. Hieronder worden deze aanscherpingen toegelicht. </w:t>
      </w:r>
    </w:p>
    <w:p w:rsidRPr="006B5A90" w:rsidR="00BF1E6D" w:rsidP="00EE72C5" w:rsidRDefault="00BF1E6D" w14:paraId="1E09400A" w14:textId="77777777">
      <w:pPr>
        <w:pStyle w:val="Huisstijl-Aanhef"/>
        <w:spacing w:line="240" w:lineRule="atLeast"/>
        <w:contextualSpacing/>
      </w:pPr>
    </w:p>
    <w:p w:rsidR="0094308C" w:rsidP="00EE72C5" w:rsidRDefault="00000000" w14:paraId="0A1D402F" w14:textId="77777777">
      <w:pPr>
        <w:pStyle w:val="Huisstijl-Aanhef"/>
        <w:spacing w:line="240" w:lineRule="atLeast"/>
        <w:contextualSpacing/>
        <w:rPr>
          <w:b/>
          <w:bCs/>
        </w:rPr>
      </w:pPr>
      <w:r w:rsidRPr="006B5A90">
        <w:rPr>
          <w:b/>
          <w:bCs/>
        </w:rPr>
        <w:t>2.1 Normale marktvoorwaarden bij grote transacties met verbonden partijen</w:t>
      </w:r>
    </w:p>
    <w:p w:rsidRPr="006B5A90" w:rsidR="00BF1E6D" w:rsidP="00EE72C5" w:rsidRDefault="00BF1E6D" w14:paraId="2371333C" w14:textId="77777777">
      <w:pPr>
        <w:pStyle w:val="Huisstijl-Aanhef"/>
        <w:spacing w:line="240" w:lineRule="atLeast"/>
        <w:contextualSpacing/>
        <w:rPr>
          <w:b/>
          <w:bCs/>
        </w:rPr>
      </w:pPr>
    </w:p>
    <w:p w:rsidRPr="006B5A90" w:rsidR="0094308C" w:rsidP="00EE72C5" w:rsidRDefault="00000000" w14:paraId="1F340BAA" w14:textId="77777777">
      <w:pPr>
        <w:pStyle w:val="Huisstijl-Aanhef"/>
        <w:spacing w:line="240" w:lineRule="atLeast"/>
        <w:contextualSpacing/>
      </w:pPr>
      <w:r w:rsidRPr="006B5A90">
        <w:t>Zowel de Tweede Kamer als aanbieders hebben aangegeven dat onduidelijk is wat wordt verstaan onder de termen “verbonden partijen” en “van betekenis zijnde transacties“. Zij geven aan dat als duidelijk is wat onder deze termen wordt verstaan, ook meer duidelijkheid ontstaat over wanneer de gestelde voorwaarden van toepassing zijn. Dit kabinet wil in de algemene maatregel van bestuur (</w:t>
      </w:r>
      <w:proofErr w:type="spellStart"/>
      <w:r w:rsidRPr="006B5A90">
        <w:t>amvb</w:t>
      </w:r>
      <w:proofErr w:type="spellEnd"/>
      <w:r w:rsidRPr="006B5A90">
        <w:t xml:space="preserve">) deze termen uitwerken en verduidelijken. Het opnemen van een delegatiegrondslag in het wetsvoorstel </w:t>
      </w:r>
      <w:r>
        <w:t xml:space="preserve">biedt die </w:t>
      </w:r>
      <w:r w:rsidRPr="006B5A90">
        <w:t xml:space="preserve">mogelijkheid. Doel van de aanpassing is om de norm voor van betekenis zijnde transacties eenvoudiger te maken voor zorg- of jeugdhulpaanbieders. Door vereenvoudiging wordt bovendien de uitvoerbaarheid en handhaafbaarheid voor de </w:t>
      </w:r>
      <w:proofErr w:type="spellStart"/>
      <w:r w:rsidRPr="006B5A90">
        <w:t>NZa</w:t>
      </w:r>
      <w:proofErr w:type="spellEnd"/>
      <w:r w:rsidRPr="006B5A90">
        <w:t xml:space="preserve"> vergroot. Ook zorgt een duidelijkere afbakening er voor dat goedwillende zorg- of jeugdhulpaanbieders zich niet overmatig maatschappelijk gaan verantwoorden om aan de wet te voldoen. Dit kan daarmee ook de administratieve lasten verlagen.</w:t>
      </w:r>
    </w:p>
    <w:p w:rsidR="0094308C" w:rsidP="00EE72C5" w:rsidRDefault="00000000" w14:paraId="2AB04244" w14:textId="77777777">
      <w:pPr>
        <w:pStyle w:val="Huisstijl-Aanhef"/>
        <w:spacing w:line="240" w:lineRule="atLeast"/>
        <w:contextualSpacing/>
      </w:pPr>
      <w:r w:rsidRPr="006B5A90">
        <w:t xml:space="preserve">Op basis van een bredere delegatiegrondslag kunnen ook extra randvoorwaarden aan van betekenis zijnde transacties worden gesteld. In dat kader is het de bedoeling om bij </w:t>
      </w:r>
      <w:proofErr w:type="spellStart"/>
      <w:r w:rsidRPr="006B5A90">
        <w:t>amvb</w:t>
      </w:r>
      <w:proofErr w:type="spellEnd"/>
      <w:r w:rsidRPr="006B5A90">
        <w:t xml:space="preserve"> een meldplicht op te nemen voor vastgoedtransacties. Op grond van deze meldplicht moeten aanbieders die een vastgoedtransactie aangaan met een verbonden partij dit vooraf melden bij de </w:t>
      </w:r>
      <w:proofErr w:type="spellStart"/>
      <w:r w:rsidRPr="006B5A90">
        <w:t>NZa</w:t>
      </w:r>
      <w:proofErr w:type="spellEnd"/>
      <w:r w:rsidRPr="006B5A90">
        <w:t xml:space="preserve">. </w:t>
      </w:r>
    </w:p>
    <w:p w:rsidRPr="006B5A90" w:rsidR="00BF1E6D" w:rsidP="00EE72C5" w:rsidRDefault="00BF1E6D" w14:paraId="61C68551" w14:textId="77777777">
      <w:pPr>
        <w:pStyle w:val="Huisstijl-Aanhef"/>
        <w:spacing w:line="240" w:lineRule="atLeast"/>
        <w:contextualSpacing/>
      </w:pPr>
    </w:p>
    <w:p w:rsidR="0094308C" w:rsidP="00EE72C5" w:rsidRDefault="00000000" w14:paraId="46EAE572" w14:textId="77777777">
      <w:pPr>
        <w:pStyle w:val="Huisstijl-Aanhef"/>
        <w:spacing w:line="240" w:lineRule="atLeast"/>
        <w:contextualSpacing/>
        <w:rPr>
          <w:b/>
          <w:bCs/>
        </w:rPr>
      </w:pPr>
      <w:r w:rsidRPr="006B5A90">
        <w:rPr>
          <w:b/>
          <w:bCs/>
        </w:rPr>
        <w:t>2.2 Onverantwoorde risico’s bij het aantrekken of terugbetalen van eigen of vreemd vermogen</w:t>
      </w:r>
    </w:p>
    <w:p w:rsidRPr="006B5A90" w:rsidR="00BF1E6D" w:rsidP="00EE72C5" w:rsidRDefault="00BF1E6D" w14:paraId="677F6414" w14:textId="77777777">
      <w:pPr>
        <w:pStyle w:val="Huisstijl-Aanhef"/>
        <w:spacing w:line="240" w:lineRule="atLeast"/>
        <w:contextualSpacing/>
        <w:rPr>
          <w:b/>
          <w:bCs/>
        </w:rPr>
      </w:pPr>
    </w:p>
    <w:p w:rsidR="0094308C" w:rsidP="00EE72C5" w:rsidRDefault="00000000" w14:paraId="3C712FD7" w14:textId="77777777">
      <w:pPr>
        <w:pStyle w:val="Huisstijl-Aanhef"/>
        <w:spacing w:line="240" w:lineRule="atLeast"/>
        <w:contextualSpacing/>
      </w:pPr>
      <w:r w:rsidRPr="006B5A90">
        <w:t>Uit reacties op het wetsvoorstel van de Tweede Kamer en aanbieders is gebleken dat de norm dat bij het aantrekken of terugbetalen van eigen of vreemd vermogen geen onverantwoorde risico’s mogen worden genomen, als onduidelijk wordt ervaren. Daarom is het de bedoeling om bij nota van wijziging een delegatiegrondslag aan deze bepaling toe te voegen. Daarmee kan duidelijkheid worden gegeven wat als onverantwoorde risico’s worden gezien.</w:t>
      </w:r>
    </w:p>
    <w:p w:rsidRPr="006B5A90" w:rsidR="00BF1E6D" w:rsidP="00EE72C5" w:rsidRDefault="00BF1E6D" w14:paraId="0C86038D" w14:textId="77777777">
      <w:pPr>
        <w:pStyle w:val="Huisstijl-Aanhef"/>
        <w:spacing w:line="240" w:lineRule="atLeast"/>
        <w:contextualSpacing/>
      </w:pPr>
    </w:p>
    <w:p w:rsidR="0094308C" w:rsidP="00EE72C5" w:rsidRDefault="00000000" w14:paraId="5D451462" w14:textId="77777777">
      <w:pPr>
        <w:pStyle w:val="Huisstijl-Aanhef"/>
        <w:spacing w:line="240" w:lineRule="atLeast"/>
        <w:contextualSpacing/>
      </w:pPr>
      <w:r w:rsidRPr="006B5A90">
        <w:t xml:space="preserve">Op basis van deze delegatiegrondslag kunnen dan ook extra voorwaarden aan financieringsconstructies worden gesteld. De aanscherping die het kabinet wil opnemen is het beperken van schulden, aangegaan door de </w:t>
      </w:r>
      <w:proofErr w:type="spellStart"/>
      <w:r w:rsidRPr="006B5A90">
        <w:t>aankoper</w:t>
      </w:r>
      <w:proofErr w:type="spellEnd"/>
      <w:r w:rsidRPr="006B5A90">
        <w:t xml:space="preserve">, die bij een overname worden afgewenteld op de zorg- of jeugdhulpaanbieder. Veel private </w:t>
      </w:r>
      <w:proofErr w:type="spellStart"/>
      <w:r w:rsidRPr="006B5A90">
        <w:t>equity</w:t>
      </w:r>
      <w:proofErr w:type="spellEnd"/>
      <w:r w:rsidRPr="006B5A90">
        <w:t xml:space="preserve"> partijen of andere investeerders gaan een lening aan om een overname te financieren. Deze lening zetten zij vervolgens op de balans van de overgenomen zorg- of jeugdhulpaanbieder. Deze constructie geeft (</w:t>
      </w:r>
      <w:proofErr w:type="spellStart"/>
      <w:r w:rsidRPr="006B5A90">
        <w:t>continuïteits</w:t>
      </w:r>
      <w:proofErr w:type="spellEnd"/>
      <w:r w:rsidRPr="006B5A90">
        <w:t xml:space="preserve">)risico’s voor de aanbieder, omdat deze nu aansprakelijk is voor het terugbetalen van deze schulden. Dit kan leiden tot bijvoorbeeld een te grote productieprikkel om voldoende omzet te behalen of het snijden in de kwaliteit van zorg of jeugdhulp om kosten te verminderen. Met deze constructie kan het rendement voor de investeerder toenemen, maar neemt tegelijkertijd de kwetsbaarheid van zorg- of jeugdhulpaanbieders bij tegenvallende financiële resultaten toe. </w:t>
      </w:r>
    </w:p>
    <w:p w:rsidRPr="006B5A90" w:rsidR="00BF1E6D" w:rsidP="00EE72C5" w:rsidRDefault="00BF1E6D" w14:paraId="1CA7DDAD" w14:textId="77777777">
      <w:pPr>
        <w:pStyle w:val="Huisstijl-Aanhef"/>
        <w:spacing w:line="240" w:lineRule="atLeast"/>
        <w:contextualSpacing/>
      </w:pPr>
    </w:p>
    <w:p w:rsidR="0094308C" w:rsidP="00EE72C5" w:rsidRDefault="00000000" w14:paraId="3E2BE62B" w14:textId="77777777">
      <w:pPr>
        <w:pStyle w:val="Huisstijl-Aanhef"/>
        <w:spacing w:line="240" w:lineRule="atLeast"/>
        <w:contextualSpacing/>
      </w:pPr>
      <w:r w:rsidRPr="006B5A90">
        <w:t xml:space="preserve">Met deze aanscherping wil het kabinet de uitwassen van private </w:t>
      </w:r>
      <w:proofErr w:type="spellStart"/>
      <w:r w:rsidRPr="006B5A90">
        <w:t>equity</w:t>
      </w:r>
      <w:proofErr w:type="spellEnd"/>
      <w:r w:rsidRPr="006B5A90">
        <w:t xml:space="preserve"> inperken, en de financiële risico’s voor zorg- en jeugdhulpaanbieders beperken.  </w:t>
      </w:r>
    </w:p>
    <w:p w:rsidRPr="006B5A90" w:rsidR="00BF1E6D" w:rsidP="00EE72C5" w:rsidRDefault="00BF1E6D" w14:paraId="1F52F9CD" w14:textId="77777777">
      <w:pPr>
        <w:pStyle w:val="Huisstijl-Aanhef"/>
        <w:spacing w:line="240" w:lineRule="atLeast"/>
        <w:contextualSpacing/>
      </w:pPr>
    </w:p>
    <w:p w:rsidR="0094308C" w:rsidP="00EE72C5" w:rsidRDefault="00000000" w14:paraId="3529CF0C" w14:textId="77777777">
      <w:pPr>
        <w:pStyle w:val="Huisstijl-Aanhef"/>
        <w:spacing w:line="240" w:lineRule="atLeast"/>
        <w:contextualSpacing/>
        <w:rPr>
          <w:b/>
          <w:bCs/>
        </w:rPr>
      </w:pPr>
      <w:r w:rsidRPr="006B5A90">
        <w:rPr>
          <w:b/>
          <w:bCs/>
        </w:rPr>
        <w:t>3. Overige aanscherpingen</w:t>
      </w:r>
    </w:p>
    <w:p w:rsidRPr="006B5A90" w:rsidR="00BF1E6D" w:rsidP="00EE72C5" w:rsidRDefault="00BF1E6D" w14:paraId="11B0A63C" w14:textId="77777777">
      <w:pPr>
        <w:pStyle w:val="Huisstijl-Aanhef"/>
        <w:spacing w:line="240" w:lineRule="atLeast"/>
        <w:contextualSpacing/>
        <w:rPr>
          <w:b/>
          <w:bCs/>
        </w:rPr>
      </w:pPr>
    </w:p>
    <w:p w:rsidR="0094308C" w:rsidP="00EE72C5" w:rsidRDefault="00000000" w14:paraId="1FF8C785" w14:textId="77777777">
      <w:pPr>
        <w:pStyle w:val="Huisstijl-Aanhef"/>
        <w:spacing w:line="240" w:lineRule="atLeast"/>
        <w:contextualSpacing/>
      </w:pPr>
      <w:r w:rsidRPr="006B5A90">
        <w:t xml:space="preserve">Tot slot is het kabinet voornemens om, naar aanleiding van signalen van toezichthouders, ook nog twee andere aanscherpingen op te nemen in de nota van wijziging. De eerste is een ‘stopregeling’. Dit wordt nader toegelicht onder 3.1. En de tweede betreft het opnemen van een extra intrekkingsgrond voor de </w:t>
      </w:r>
      <w:proofErr w:type="spellStart"/>
      <w:r w:rsidRPr="006B5A90">
        <w:t>Wtza</w:t>
      </w:r>
      <w:proofErr w:type="spellEnd"/>
      <w:r w:rsidRPr="006B5A90">
        <w:t xml:space="preserve">-vergunning, namelijk de eis van het voldoen aan de verplichting tot jaarverantwoording. Deze maatregel onderstreept het belang van de openbare jaarverantwoording voor de </w:t>
      </w:r>
      <w:proofErr w:type="spellStart"/>
      <w:r>
        <w:t>NZa</w:t>
      </w:r>
      <w:proofErr w:type="spellEnd"/>
      <w:r>
        <w:t xml:space="preserve"> </w:t>
      </w:r>
      <w:r w:rsidRPr="006B5A90">
        <w:t>om te kunnen controleren of een aanbieder voldoet aan de voorwaarden voor (financiële) bedrijfsvoering en winstuitkering. Deze aanscherping wordt beschreven onder 3.2.</w:t>
      </w:r>
    </w:p>
    <w:p w:rsidRPr="006B5A90" w:rsidR="00BF1E6D" w:rsidP="00EE72C5" w:rsidRDefault="00BF1E6D" w14:paraId="53DF53DA" w14:textId="77777777">
      <w:pPr>
        <w:pStyle w:val="Huisstijl-Aanhef"/>
        <w:spacing w:line="240" w:lineRule="atLeast"/>
        <w:contextualSpacing/>
      </w:pPr>
    </w:p>
    <w:p w:rsidR="0094308C" w:rsidP="00EE72C5" w:rsidRDefault="00000000" w14:paraId="260AE9B9" w14:textId="77777777">
      <w:pPr>
        <w:pStyle w:val="Huisstijl-Aanhef"/>
        <w:spacing w:line="240" w:lineRule="atLeast"/>
        <w:contextualSpacing/>
        <w:rPr>
          <w:b/>
          <w:bCs/>
        </w:rPr>
      </w:pPr>
      <w:r w:rsidRPr="006B5A90">
        <w:rPr>
          <w:b/>
          <w:bCs/>
        </w:rPr>
        <w:t>3.1 Stopregeling</w:t>
      </w:r>
    </w:p>
    <w:p w:rsidRPr="006B5A90" w:rsidR="00BF1E6D" w:rsidP="00EE72C5" w:rsidRDefault="00BF1E6D" w14:paraId="0E82068A" w14:textId="77777777">
      <w:pPr>
        <w:pStyle w:val="Huisstijl-Aanhef"/>
        <w:spacing w:line="240" w:lineRule="atLeast"/>
        <w:contextualSpacing/>
        <w:rPr>
          <w:b/>
          <w:bCs/>
        </w:rPr>
      </w:pPr>
    </w:p>
    <w:p w:rsidR="00BF1E6D" w:rsidP="00EE72C5" w:rsidRDefault="008F298D" w14:paraId="407F332A" w14:textId="6B674518">
      <w:pPr>
        <w:pStyle w:val="Huisstijl-Aanhef"/>
        <w:spacing w:line="240" w:lineRule="atLeast"/>
        <w:contextualSpacing/>
      </w:pPr>
      <w:r>
        <w:rPr>
          <w:noProof/>
        </w:rPr>
        <mc:AlternateContent>
          <mc:Choice Requires="wps">
            <w:drawing>
              <wp:anchor distT="45720" distB="45720" distL="114300" distR="114300" simplePos="0" relativeHeight="251660288" behindDoc="0" locked="0" layoutInCell="1" allowOverlap="1" wp14:editId="11BC2E74" wp14:anchorId="36329A1C">
                <wp:simplePos x="0" y="0"/>
                <wp:positionH relativeFrom="column">
                  <wp:posOffset>-45085</wp:posOffset>
                </wp:positionH>
                <wp:positionV relativeFrom="paragraph">
                  <wp:posOffset>1164590</wp:posOffset>
                </wp:positionV>
                <wp:extent cx="4842510" cy="1089660"/>
                <wp:effectExtent l="10795" t="5715" r="13970" b="9525"/>
                <wp:wrapSquare wrapText="bothSides"/>
                <wp:docPr id="20162259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510" cy="1089660"/>
                        </a:xfrm>
                        <a:prstGeom prst="rect">
                          <a:avLst/>
                        </a:prstGeom>
                        <a:solidFill>
                          <a:srgbClr val="FFFFFF"/>
                        </a:solidFill>
                        <a:ln w="9525">
                          <a:solidFill>
                            <a:srgbClr val="000000"/>
                          </a:solidFill>
                          <a:miter lim="800000"/>
                          <a:headEnd/>
                          <a:tailEnd/>
                        </a:ln>
                      </wps:spPr>
                      <wps:txbx>
                        <w:txbxContent>
                          <w:p w:rsidR="0094308C" w:rsidP="0094308C" w:rsidRDefault="00000000" w14:paraId="134033C9" w14:textId="77777777">
                            <w:pPr>
                              <w:spacing w:line="276" w:lineRule="auto"/>
                            </w:pPr>
                            <w:r>
                              <w:t>Een voorbeeld: Aanbieder A B.V. doet een winstuitkering in strijd met de wet (</w:t>
                            </w:r>
                            <w:proofErr w:type="spellStart"/>
                            <w:r>
                              <w:t>Wmg</w:t>
                            </w:r>
                            <w:proofErr w:type="spellEnd"/>
                            <w:r>
                              <w:t xml:space="preserve"> of Jeugdwet). Vervolgens stopt aanbieder A B.V. met het aanbieden van zorg. De </w:t>
                            </w:r>
                            <w:proofErr w:type="spellStart"/>
                            <w:r>
                              <w:t>NZa</w:t>
                            </w:r>
                            <w:proofErr w:type="spellEnd"/>
                            <w:r>
                              <w:t xml:space="preserve"> kan hem dan niet meer verplichten om de winstuitkering terug te halen bij de ontvangers daarvan. Ook kan de </w:t>
                            </w:r>
                            <w:proofErr w:type="spellStart"/>
                            <w:r>
                              <w:t>NZa</w:t>
                            </w:r>
                            <w:proofErr w:type="spellEnd"/>
                            <w:r>
                              <w:t xml:space="preserve"> A B.V. niet meer verplichten om een jaarverantwoording in te dienen, waarmee ook de integriteit van de bedrijfsvoering over het laatste jaar niet meer goed zichtbaar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3.55pt;margin-top:91.7pt;width:381.3pt;height:8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" w14:anchorId="36329A1C">
                <v:textbox>
                  <w:txbxContent>
                    <w:p w:rsidR="0094308C" w:rsidP="0094308C" w:rsidRDefault="00000000" w14:paraId="134033C9" w14:textId="77777777">
                      <w:pPr>
                        <w:spacing w:line="276" w:lineRule="auto"/>
                      </w:pPr>
                      <w:r>
                        <w:t>Een voorbeeld: Aanbieder A B.V. doet een winstuitkering in strijd met de wet (</w:t>
                      </w:r>
                      <w:proofErr w:type="spellStart"/>
                      <w:r>
                        <w:t>Wmg</w:t>
                      </w:r>
                      <w:proofErr w:type="spellEnd"/>
                      <w:r>
                        <w:t xml:space="preserve"> of Jeugdwet). Vervolgens stopt aanbieder A B.V. met het aanbieden van zorg. De </w:t>
                      </w:r>
                      <w:proofErr w:type="spellStart"/>
                      <w:r>
                        <w:t>NZa</w:t>
                      </w:r>
                      <w:proofErr w:type="spellEnd"/>
                      <w:r>
                        <w:t xml:space="preserve"> kan hem dan niet meer verplichten om de winstuitkering terug te halen bij de ontvangers daarvan. Ook kan de </w:t>
                      </w:r>
                      <w:proofErr w:type="spellStart"/>
                      <w:r>
                        <w:t>NZa</w:t>
                      </w:r>
                      <w:proofErr w:type="spellEnd"/>
                      <w:r>
                        <w:t xml:space="preserve"> A B.V. niet meer verplichten om een jaarverantwoording in te dienen, waarmee ook de integriteit van de bedrijfsvoering over het laatste jaar niet meer goed zichtbaar is.</w:t>
                      </w:r>
                    </w:p>
                  </w:txbxContent>
                </v:textbox>
                <w10:wrap type="square"/>
              </v:shape>
            </w:pict>
          </mc:Fallback>
        </mc:AlternateContent>
      </w:r>
      <w:r w:rsidRPr="006B5A90">
        <w:t xml:space="preserve">Momenteel geldt dat als een aanbieder stopt met het leveren van zorg of jeugdhulp, zij niet meer aan de wettelijk definitie voldoen van zorgaanbieder of jeugdhulpaanbieder. Het gevolg daarvan is dat deze voormalige aanbieders niet langer verplicht zijn om de bepalingen van de Wet marktordening gezondheidszorg </w:t>
      </w:r>
    </w:p>
    <w:p w:rsidRPr="006B5A90" w:rsidR="0094308C" w:rsidP="00EE72C5" w:rsidRDefault="00000000" w14:paraId="0BB51EB9" w14:textId="5C799CBF">
      <w:pPr>
        <w:pStyle w:val="Huisstijl-Aanhef"/>
        <w:spacing w:line="240" w:lineRule="atLeast"/>
        <w:contextualSpacing/>
      </w:pPr>
      <w:r w:rsidRPr="006B5A90">
        <w:t>(</w:t>
      </w:r>
      <w:proofErr w:type="spellStart"/>
      <w:r w:rsidRPr="006B5A90">
        <w:t>Wmg</w:t>
      </w:r>
      <w:proofErr w:type="spellEnd"/>
      <w:r w:rsidRPr="006B5A90">
        <w:t>) en de Jeugdwet na te leven. Voor niet-integere aanbieders kan dit een route zijn om de regels te ontwijken en er bijvoorbeeld met onrechtmatig uitgekeerde winsten vandoor te gaan.</w:t>
      </w:r>
      <w:r>
        <w:rPr>
          <w:vertAlign w:val="superscript"/>
        </w:rPr>
        <w:footnoteReference w:id="5"/>
      </w:r>
      <w:r w:rsidRPr="006B5A90">
        <w:t xml:space="preserve"> </w:t>
      </w:r>
    </w:p>
    <w:p w:rsidR="0094308C" w:rsidP="00EE72C5" w:rsidRDefault="00000000" w14:paraId="3E6861BE" w14:textId="12DF5AB1">
      <w:pPr>
        <w:pStyle w:val="Huisstijl-Aanhef"/>
        <w:spacing w:line="240" w:lineRule="atLeast"/>
      </w:pPr>
      <w:r w:rsidRPr="006B5A90">
        <w:t xml:space="preserve">De stopregeling, die geldt als een </w:t>
      </w:r>
      <w:proofErr w:type="spellStart"/>
      <w:r w:rsidRPr="006B5A90">
        <w:t>anti-misbruikbepaling</w:t>
      </w:r>
      <w:proofErr w:type="spellEnd"/>
      <w:r w:rsidRPr="006B5A90">
        <w:t>, regelt dat voormalige zorg- en jeugdhulpaanbieders moeten blijven voldoen aan de verplichtingen</w:t>
      </w:r>
      <w:r>
        <w:t xml:space="preserve"> die bestaan op grond van de </w:t>
      </w:r>
      <w:proofErr w:type="spellStart"/>
      <w:r>
        <w:t>Wmg</w:t>
      </w:r>
      <w:proofErr w:type="spellEnd"/>
      <w:r>
        <w:t xml:space="preserve"> of de Jeugdwet</w:t>
      </w:r>
      <w:r w:rsidRPr="006B5A90">
        <w:t>, zoals de administratieverplichtingen, openbare jaarverantwoording en voorwaarden voor winstuitkeringen</w:t>
      </w:r>
      <w:r>
        <w:t>. Dit geldt</w:t>
      </w:r>
      <w:r w:rsidRPr="006B5A90">
        <w:t xml:space="preserve"> over de periode dat zij een zorg- of jeugdhulpaanbieder waren. </w:t>
      </w:r>
      <w:r>
        <w:t>De rechtsopvolger, of als deze er niet is, de (voormalig) bestuurders</w:t>
      </w:r>
      <w:r w:rsidRPr="006B5A90">
        <w:t xml:space="preserve"> blijven daarop dus ook aanspreekbaar door de </w:t>
      </w:r>
      <w:proofErr w:type="spellStart"/>
      <w:r w:rsidRPr="006B5A90">
        <w:t>NZa</w:t>
      </w:r>
      <w:proofErr w:type="spellEnd"/>
      <w:r w:rsidRPr="006B5A90">
        <w:t xml:space="preserve">. Een voormalige aanbieder kan een onderzoek of een maatregel van de </w:t>
      </w:r>
      <w:proofErr w:type="spellStart"/>
      <w:r w:rsidRPr="006B5A90">
        <w:t>NZa</w:t>
      </w:r>
      <w:proofErr w:type="spellEnd"/>
      <w:r w:rsidRPr="006B5A90">
        <w:t xml:space="preserve"> na invoering van de stopregeling niet meer ontwijken door de zorg- of jeugdhulpaanbieder snel op te heffen. </w:t>
      </w:r>
      <w:r>
        <w:t xml:space="preserve">Een voorbeeld is dat de voormalige zorg- of jeugdhulpaanbieder op grond van de </w:t>
      </w:r>
      <w:proofErr w:type="spellStart"/>
      <w:r>
        <w:t>Wmg</w:t>
      </w:r>
      <w:proofErr w:type="spellEnd"/>
      <w:r>
        <w:t xml:space="preserve"> of de Jeugdwet verplicht blijft </w:t>
      </w:r>
      <w:r w:rsidRPr="006B5A90">
        <w:t>om onrechtmatige winstuitkeringen terug te halen bij de ontvangers ervan. O</w:t>
      </w:r>
      <w:r>
        <w:t xml:space="preserve">p die manier </w:t>
      </w:r>
      <w:r w:rsidRPr="006B5A90">
        <w:t xml:space="preserve">kan de </w:t>
      </w:r>
      <w:proofErr w:type="spellStart"/>
      <w:r w:rsidRPr="006B5A90">
        <w:t>NZa</w:t>
      </w:r>
      <w:proofErr w:type="spellEnd"/>
      <w:r w:rsidRPr="006B5A90">
        <w:t xml:space="preserve"> nog een handhavende maatregel jegens de voormalige aanbieder (of diens</w:t>
      </w:r>
      <w:r>
        <w:t xml:space="preserve"> (voormalig)</w:t>
      </w:r>
      <w:r w:rsidRPr="006B5A90">
        <w:t xml:space="preserve"> bestuurder, als er geen opvolger is) opleggen. </w:t>
      </w:r>
      <w:r>
        <w:t xml:space="preserve">Verder </w:t>
      </w:r>
      <w:r w:rsidRPr="006B5A90">
        <w:t xml:space="preserve">wordt </w:t>
      </w:r>
      <w:r>
        <w:t xml:space="preserve">op grond van dezelfde wetgeving </w:t>
      </w:r>
      <w:r w:rsidRPr="006B5A90">
        <w:t xml:space="preserve">een </w:t>
      </w:r>
      <w:r w:rsidR="00BF1E6D">
        <w:rPr>
          <w:noProof/>
        </w:rPr>
        <mc:AlternateContent>
          <mc:Choice Requires="wps">
            <w:drawing>
              <wp:anchor distT="45720" distB="45720" distL="114300" distR="114300" simplePos="0" relativeHeight="251659264" behindDoc="0" locked="0" layoutInCell="1" allowOverlap="1" wp14:editId="7CAEF9C5" wp14:anchorId="4E4EF11F">
                <wp:simplePos x="0" y="0"/>
                <wp:positionH relativeFrom="column">
                  <wp:posOffset>24765</wp:posOffset>
                </wp:positionH>
                <wp:positionV relativeFrom="paragraph">
                  <wp:posOffset>1917700</wp:posOffset>
                </wp:positionV>
                <wp:extent cx="4790440" cy="1104900"/>
                <wp:effectExtent l="0" t="0" r="10160" b="19050"/>
                <wp:wrapSquare wrapText="bothSides"/>
                <wp:docPr id="17214307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440" cy="1104900"/>
                        </a:xfrm>
                        <a:prstGeom prst="rect">
                          <a:avLst/>
                        </a:prstGeom>
                        <a:solidFill>
                          <a:srgbClr val="FFFFFF"/>
                        </a:solidFill>
                        <a:ln w="9525">
                          <a:solidFill>
                            <a:srgbClr val="000000"/>
                          </a:solidFill>
                          <a:miter lim="800000"/>
                          <a:headEnd/>
                          <a:tailEnd/>
                        </a:ln>
                      </wps:spPr>
                      <wps:txbx>
                        <w:txbxContent>
                          <w:p w:rsidR="0094308C" w:rsidP="0094308C" w:rsidRDefault="00000000" w14:paraId="6408F8E5" w14:textId="77777777">
                            <w:pPr>
                              <w:spacing w:line="276" w:lineRule="auto"/>
                            </w:pPr>
                            <w:r>
                              <w:t xml:space="preserve">In het voorbeeld: </w:t>
                            </w:r>
                            <w:r w:rsidRPr="003516AC">
                              <w:t xml:space="preserve">Door de nieuwe </w:t>
                            </w:r>
                            <w:r>
                              <w:t>‘stopregeling’</w:t>
                            </w:r>
                            <w:r w:rsidRPr="003516AC">
                              <w:t xml:space="preserve"> blijft A. B.V. </w:t>
                            </w:r>
                            <w:r>
                              <w:t xml:space="preserve">op grond van de </w:t>
                            </w:r>
                            <w:proofErr w:type="spellStart"/>
                            <w:r>
                              <w:t>Wmg</w:t>
                            </w:r>
                            <w:proofErr w:type="spellEnd"/>
                            <w:r>
                              <w:t xml:space="preserve"> of de Jeugdwet</w:t>
                            </w:r>
                            <w:r w:rsidRPr="003516AC">
                              <w:t xml:space="preserve"> verplicht een jaarverantwoording in te dienen en ten onrechte gedane winstuitkering terug te vorderen</w:t>
                            </w:r>
                            <w:r>
                              <w:t xml:space="preserve"> over het jaar waarin hij nog zorg- of jeugdhulpaanbieder was</w:t>
                            </w:r>
                            <w:r w:rsidRPr="003516AC">
                              <w:t>. Als A. B.V. niet meer bestaat kunnen haar</w:t>
                            </w:r>
                            <w:r>
                              <w:t xml:space="preserve"> rechtsopvolger of anders iedere</w:t>
                            </w:r>
                            <w:r w:rsidRPr="003516AC">
                              <w:t xml:space="preserve"> </w:t>
                            </w:r>
                            <w:r>
                              <w:t xml:space="preserve">voormalig </w:t>
                            </w:r>
                            <w:r w:rsidRPr="003516AC">
                              <w:t>bestuur</w:t>
                            </w:r>
                            <w:r>
                              <w:t xml:space="preserve">der door de </w:t>
                            </w:r>
                            <w:proofErr w:type="spellStart"/>
                            <w:r>
                              <w:t>NZa</w:t>
                            </w:r>
                            <w:proofErr w:type="spellEnd"/>
                            <w:r>
                              <w:t xml:space="preserve"> aangesproken worden op het (alsnog) naleven van de wettelijke verplichtingen.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1.95pt;margin-top:151pt;width:377.2pt;height: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" w14:anchorId="4E4EF11F">
                <v:textbox>
                  <w:txbxContent>
                    <w:p w:rsidR="0094308C" w:rsidP="0094308C" w:rsidRDefault="00000000" w14:paraId="6408F8E5" w14:textId="77777777">
                      <w:pPr>
                        <w:spacing w:line="276" w:lineRule="auto"/>
                      </w:pPr>
                      <w:r>
                        <w:t xml:space="preserve">In het voorbeeld: </w:t>
                      </w:r>
                      <w:r w:rsidRPr="003516AC">
                        <w:t xml:space="preserve">Door de nieuwe </w:t>
                      </w:r>
                      <w:r>
                        <w:t>‘stopregeling’</w:t>
                      </w:r>
                      <w:r w:rsidRPr="003516AC">
                        <w:t xml:space="preserve"> blijft A. B.V. </w:t>
                      </w:r>
                      <w:r>
                        <w:t xml:space="preserve">op grond van de </w:t>
                      </w:r>
                      <w:proofErr w:type="spellStart"/>
                      <w:r>
                        <w:t>Wmg</w:t>
                      </w:r>
                      <w:proofErr w:type="spellEnd"/>
                      <w:r>
                        <w:t xml:space="preserve"> of de Jeugdwet</w:t>
                      </w:r>
                      <w:r w:rsidRPr="003516AC">
                        <w:t xml:space="preserve"> verplicht een jaarverantwoording in te dienen en ten onrechte gedane winstuitkering terug te vorderen</w:t>
                      </w:r>
                      <w:r>
                        <w:t xml:space="preserve"> over het jaar waarin hij nog zorg- of jeugdhulpaanbieder was</w:t>
                      </w:r>
                      <w:r w:rsidRPr="003516AC">
                        <w:t>. Als A. B.V. niet meer bestaat kunnen haar</w:t>
                      </w:r>
                      <w:r>
                        <w:t xml:space="preserve"> rechtsopvolger of anders iedere</w:t>
                      </w:r>
                      <w:r w:rsidRPr="003516AC">
                        <w:t xml:space="preserve"> </w:t>
                      </w:r>
                      <w:r>
                        <w:t xml:space="preserve">voormalig </w:t>
                      </w:r>
                      <w:r w:rsidRPr="003516AC">
                        <w:t>bestuur</w:t>
                      </w:r>
                      <w:r>
                        <w:t xml:space="preserve">der door de </w:t>
                      </w:r>
                      <w:proofErr w:type="spellStart"/>
                      <w:r>
                        <w:t>NZa</w:t>
                      </w:r>
                      <w:proofErr w:type="spellEnd"/>
                      <w:r>
                        <w:t xml:space="preserve"> aangesproken worden op het (alsnog) naleven van de wettelijke verplichtingen.  </w:t>
                      </w:r>
                    </w:p>
                  </w:txbxContent>
                </v:textbox>
                <w10:wrap type="square"/>
              </v:shape>
            </w:pict>
          </mc:Fallback>
        </mc:AlternateContent>
      </w:r>
      <w:r w:rsidRPr="006B5A90">
        <w:t>slot-jaarverantwoording verplicht gesteld.</w:t>
      </w:r>
    </w:p>
    <w:p w:rsidRPr="006B5A90" w:rsidR="00BF1E6D" w:rsidP="00BF1E6D" w:rsidRDefault="00BF1E6D" w14:paraId="785D8A4A" w14:textId="77777777">
      <w:pPr>
        <w:pStyle w:val="Huisstijl-Aanhef"/>
        <w:spacing w:line="240" w:lineRule="atLeast"/>
        <w:contextualSpacing/>
      </w:pPr>
    </w:p>
    <w:p w:rsidR="0094308C" w:rsidP="00BF1E6D" w:rsidRDefault="00000000" w14:paraId="0BA2CF4E" w14:textId="77777777">
      <w:pPr>
        <w:pStyle w:val="Huisstijl-Aanhef"/>
        <w:spacing w:line="240" w:lineRule="atLeast"/>
        <w:contextualSpacing/>
        <w:rPr>
          <w:b/>
          <w:bCs/>
        </w:rPr>
      </w:pPr>
      <w:r w:rsidRPr="006B5A90">
        <w:rPr>
          <w:b/>
          <w:bCs/>
        </w:rPr>
        <w:t>3.2 Jaarverantwoording toevoegen als intrekkingsgrond toelatingsvergunning</w:t>
      </w:r>
    </w:p>
    <w:p w:rsidRPr="006B5A90" w:rsidR="00BF1E6D" w:rsidP="00BF1E6D" w:rsidRDefault="00BF1E6D" w14:paraId="1FEE0297" w14:textId="77777777">
      <w:pPr>
        <w:pStyle w:val="Huisstijl-Aanhef"/>
        <w:spacing w:line="240" w:lineRule="atLeast"/>
        <w:contextualSpacing/>
        <w:rPr>
          <w:b/>
          <w:bCs/>
        </w:rPr>
      </w:pPr>
    </w:p>
    <w:p w:rsidR="0094308C" w:rsidP="00BF1E6D" w:rsidRDefault="00000000" w14:paraId="7FF789C5" w14:textId="77777777">
      <w:pPr>
        <w:pStyle w:val="Huisstijl-Aanhef"/>
        <w:spacing w:line="240" w:lineRule="atLeast"/>
        <w:contextualSpacing/>
      </w:pPr>
      <w:r w:rsidRPr="006B5A90">
        <w:t xml:space="preserve">Door middel van een openbare jaarverantwoording kunnen alle zorg- en jeugdhulpaanbieders worden aangesproken op de continuïteit van de zorgverlening, integriteit en professionaliteit van de bedrijfsvoering. De openbare jaarverantwoording is daarom onder andere een noodzakelijk instrument voor het extern toezicht op de </w:t>
      </w:r>
      <w:proofErr w:type="spellStart"/>
      <w:r w:rsidRPr="006B5A90">
        <w:t>Wibz</w:t>
      </w:r>
      <w:proofErr w:type="spellEnd"/>
      <w:r w:rsidRPr="006B5A90">
        <w:t xml:space="preserve"> door de </w:t>
      </w:r>
      <w:proofErr w:type="spellStart"/>
      <w:r w:rsidRPr="006B5A90">
        <w:t>NZa</w:t>
      </w:r>
      <w:proofErr w:type="spellEnd"/>
      <w:r w:rsidRPr="006B5A90">
        <w:t xml:space="preserve"> en IGJ. Als een aanbieder de verplichting tot het openbaar maken van de jaarverantwoording niet naleeft, kunnen bestuursrechtelijke sancties door de </w:t>
      </w:r>
      <w:proofErr w:type="spellStart"/>
      <w:r w:rsidRPr="006B5A90">
        <w:t>NZa</w:t>
      </w:r>
      <w:proofErr w:type="spellEnd"/>
      <w:r w:rsidRPr="006B5A90">
        <w:t xml:space="preserve"> worden opgelegd. Ondanks deze bestuursrechtelijke sancties die de </w:t>
      </w:r>
      <w:proofErr w:type="spellStart"/>
      <w:r w:rsidRPr="006B5A90">
        <w:t>NZa</w:t>
      </w:r>
      <w:proofErr w:type="spellEnd"/>
      <w:r w:rsidRPr="006B5A90">
        <w:t xml:space="preserve"> oplegt zijn er aanbieders die meerdere boekjaren achter elkaar onjuist, onvolledig of niet (tijdig) een jaarverantwoording openbaar hebben gemaakt. In dat geval is er een bewuste keuze door de aanbieder gemaakt om niet-transparant te zijn naar de maatschappij, stakeholders of externe toezichthouders. Omdat het kabinet dit een onwenselijke situatie vindt, w</w:t>
      </w:r>
      <w:r>
        <w:t>ordt</w:t>
      </w:r>
      <w:r w:rsidRPr="006B5A90">
        <w:t xml:space="preserve"> in de nota van wijziging op</w:t>
      </w:r>
      <w:r>
        <w:t>genomen</w:t>
      </w:r>
      <w:r w:rsidRPr="006B5A90">
        <w:t xml:space="preserve"> dat de toelatingsvergunning kan worden ingetrokken bij meerjarige overtreding van de verplichting tot aanlevering van de jaarverantwoording. </w:t>
      </w:r>
    </w:p>
    <w:p w:rsidRPr="006B5A90" w:rsidR="00BF1E6D" w:rsidP="00BF1E6D" w:rsidRDefault="00BF1E6D" w14:paraId="0045A7B7" w14:textId="77777777">
      <w:pPr>
        <w:pStyle w:val="Huisstijl-Aanhef"/>
        <w:spacing w:line="240" w:lineRule="atLeast"/>
        <w:contextualSpacing/>
      </w:pPr>
    </w:p>
    <w:p w:rsidR="0094308C" w:rsidP="00BF1E6D" w:rsidRDefault="00000000" w14:paraId="566D51BC" w14:textId="77777777">
      <w:pPr>
        <w:pStyle w:val="Huisstijl-Aanhef"/>
        <w:spacing w:line="240" w:lineRule="atLeast"/>
        <w:contextualSpacing/>
        <w:rPr>
          <w:b/>
          <w:bCs/>
        </w:rPr>
      </w:pPr>
      <w:r w:rsidRPr="006B5A90">
        <w:rPr>
          <w:b/>
          <w:bCs/>
        </w:rPr>
        <w:t>Moties en toezeggingen</w:t>
      </w:r>
    </w:p>
    <w:p w:rsidRPr="006B5A90" w:rsidR="00BF1E6D" w:rsidP="00BF1E6D" w:rsidRDefault="00BF1E6D" w14:paraId="3F1E692B" w14:textId="77777777">
      <w:pPr>
        <w:pStyle w:val="Huisstijl-Aanhef"/>
        <w:spacing w:line="240" w:lineRule="atLeast"/>
        <w:contextualSpacing/>
        <w:rPr>
          <w:b/>
          <w:bCs/>
        </w:rPr>
      </w:pPr>
    </w:p>
    <w:p w:rsidR="0094308C" w:rsidP="00BF1E6D" w:rsidRDefault="00000000" w14:paraId="3AE58D36" w14:textId="77777777">
      <w:pPr>
        <w:pStyle w:val="Huisstijl-Aanhef"/>
        <w:spacing w:line="240" w:lineRule="atLeast"/>
        <w:contextualSpacing/>
      </w:pPr>
      <w:r w:rsidRPr="006B5A90">
        <w:t xml:space="preserve">Hieronder geeft het kabinet in het verlengde van bovenstaande haar reactie op enkele aangenomen moties welke betrekking hebben op de aanscherpingen van de </w:t>
      </w:r>
      <w:proofErr w:type="spellStart"/>
      <w:r w:rsidRPr="006B5A90">
        <w:t>Wibz</w:t>
      </w:r>
      <w:proofErr w:type="spellEnd"/>
      <w:r w:rsidRPr="006B5A90">
        <w:t xml:space="preserve">. Deze worden met deze brief afgedaan. </w:t>
      </w:r>
    </w:p>
    <w:p w:rsidRPr="006B5A90" w:rsidR="00BF1E6D" w:rsidP="00BF1E6D" w:rsidRDefault="00BF1E6D" w14:paraId="00EE57EB" w14:textId="77777777">
      <w:pPr>
        <w:pStyle w:val="Huisstijl-Aanhef"/>
        <w:spacing w:line="240" w:lineRule="atLeast"/>
        <w:contextualSpacing/>
      </w:pPr>
    </w:p>
    <w:p w:rsidRPr="006B5A90" w:rsidR="0094308C" w:rsidP="00BF1E6D" w:rsidRDefault="00000000" w14:paraId="13672A62" w14:textId="77777777">
      <w:pPr>
        <w:pStyle w:val="Huisstijl-Aanhef"/>
        <w:spacing w:line="240" w:lineRule="atLeast"/>
        <w:contextualSpacing/>
      </w:pPr>
      <w:r w:rsidRPr="006B5A90">
        <w:rPr>
          <w:i/>
          <w:iCs/>
        </w:rPr>
        <w:t xml:space="preserve">Motie </w:t>
      </w:r>
      <w:proofErr w:type="spellStart"/>
      <w:r w:rsidRPr="006B5A90">
        <w:rPr>
          <w:i/>
          <w:iCs/>
        </w:rPr>
        <w:t>Bushoff</w:t>
      </w:r>
      <w:proofErr w:type="spellEnd"/>
      <w:r w:rsidRPr="006B5A90">
        <w:rPr>
          <w:i/>
          <w:iCs/>
        </w:rPr>
        <w:t xml:space="preserve"> – terugvorderen uitgekeerde winsten</w:t>
      </w:r>
      <w:r w:rsidRPr="006B5A90">
        <w:rPr>
          <w:i/>
          <w:iCs/>
        </w:rPr>
        <w:br/>
      </w:r>
      <w:r w:rsidRPr="006B5A90">
        <w:t xml:space="preserve">De motie van het lid </w:t>
      </w:r>
      <w:proofErr w:type="spellStart"/>
      <w:r w:rsidRPr="006B5A90">
        <w:t>Bushoff</w:t>
      </w:r>
      <w:proofErr w:type="spellEnd"/>
      <w:r w:rsidRPr="006B5A90">
        <w:t xml:space="preserve"> betreffende het terugvorderen van zorggeld bij een uitgekeerde winst wordt meegenomen in de aanscherpingen van de </w:t>
      </w:r>
      <w:proofErr w:type="spellStart"/>
      <w:r w:rsidRPr="006B5A90">
        <w:t>Wibz</w:t>
      </w:r>
      <w:proofErr w:type="spellEnd"/>
      <w:r w:rsidRPr="006B5A90">
        <w:t xml:space="preserve"> in de vorm van de zogenoemde stopregeling welke hierboven verder is toegelicht. Hierbij beschouwt het kabinet deze motie als afgedaan.</w:t>
      </w:r>
      <w:r>
        <w:rPr>
          <w:vertAlign w:val="superscript"/>
        </w:rPr>
        <w:footnoteReference w:id="6"/>
      </w:r>
    </w:p>
    <w:p w:rsidR="0094308C" w:rsidP="00BF1E6D" w:rsidRDefault="00000000" w14:paraId="77D1BC4D" w14:textId="77777777">
      <w:pPr>
        <w:pStyle w:val="Huisstijl-Aanhef"/>
        <w:spacing w:line="240" w:lineRule="atLeast"/>
        <w:contextualSpacing/>
      </w:pPr>
      <w:r w:rsidRPr="006B5A90">
        <w:rPr>
          <w:i/>
          <w:iCs/>
        </w:rPr>
        <w:t xml:space="preserve">Motie Dobbe en Westerveld – centraal register private </w:t>
      </w:r>
      <w:proofErr w:type="spellStart"/>
      <w:r w:rsidRPr="006B5A90">
        <w:rPr>
          <w:i/>
          <w:iCs/>
        </w:rPr>
        <w:t>equity</w:t>
      </w:r>
      <w:proofErr w:type="spellEnd"/>
      <w:r w:rsidRPr="006B5A90">
        <w:rPr>
          <w:i/>
          <w:iCs/>
        </w:rPr>
        <w:t xml:space="preserve"> in de zorg</w:t>
      </w:r>
      <w:r w:rsidRPr="006B5A90">
        <w:rPr>
          <w:i/>
          <w:iCs/>
        </w:rPr>
        <w:br/>
      </w:r>
      <w:r w:rsidRPr="006B5A90">
        <w:t xml:space="preserve">De motie van de leden Dobbe en Westerveld die vraagt om een centraal register voor private </w:t>
      </w:r>
      <w:proofErr w:type="spellStart"/>
      <w:r w:rsidRPr="006B5A90">
        <w:t>equity</w:t>
      </w:r>
      <w:proofErr w:type="spellEnd"/>
      <w:r w:rsidRPr="006B5A90">
        <w:t xml:space="preserve"> partijen die actief zijn binnen zorg- en jeugdhulpaanbieders acht het kabinet niet wenselijk</w:t>
      </w:r>
      <w:r>
        <w:rPr>
          <w:vertAlign w:val="superscript"/>
        </w:rPr>
        <w:footnoteReference w:id="7"/>
      </w:r>
      <w:r w:rsidRPr="006B5A90">
        <w:t xml:space="preserve">. Een dergelijk register heeft geen directe invloed op het gedrag van deze partijen en ook pakt het de excessen van private </w:t>
      </w:r>
      <w:proofErr w:type="spellStart"/>
      <w:r w:rsidRPr="006B5A90">
        <w:t>equity</w:t>
      </w:r>
      <w:proofErr w:type="spellEnd"/>
      <w:r w:rsidRPr="006B5A90">
        <w:t xml:space="preserve"> niet aan. </w:t>
      </w:r>
      <w:r>
        <w:t xml:space="preserve">Het kabinet is wel voornemens om, zoals eerder in deze brief toegelicht, voorwaarden te stellen aan financieringsconstructies, om daarmee de uitwassen en negatieve gevolgen van private </w:t>
      </w:r>
      <w:proofErr w:type="spellStart"/>
      <w:r>
        <w:t>equity</w:t>
      </w:r>
      <w:proofErr w:type="spellEnd"/>
      <w:r>
        <w:t xml:space="preserve"> daadwerkelijk in te perken. </w:t>
      </w:r>
      <w:r w:rsidRPr="006B5A90">
        <w:t xml:space="preserve">Bovendien is het juridisch niet te onderbouwen waarom enkel private </w:t>
      </w:r>
      <w:proofErr w:type="spellStart"/>
      <w:r w:rsidRPr="006B5A90">
        <w:t>equity</w:t>
      </w:r>
      <w:proofErr w:type="spellEnd"/>
      <w:r w:rsidRPr="006B5A90">
        <w:t xml:space="preserve"> partijen geregistreerd moeten worden, en niet andere type investeerders (zoals andere commerciële partijen of banken). Temeer omdat uit onderzoek vooralsnog niet blijkt dat er aantoonbare negatieve verschillen zijn in kwaliteit, toegankelijkheid, en betaalbaarheid van zorg tussen private </w:t>
      </w:r>
      <w:proofErr w:type="spellStart"/>
      <w:r w:rsidRPr="006B5A90">
        <w:t>equity</w:t>
      </w:r>
      <w:proofErr w:type="spellEnd"/>
      <w:r w:rsidRPr="006B5A90">
        <w:t xml:space="preserve"> gefinancierde instellingen en andere aanbieders.</w:t>
      </w:r>
      <w:r>
        <w:rPr>
          <w:vertAlign w:val="superscript"/>
        </w:rPr>
        <w:footnoteReference w:id="8"/>
      </w:r>
      <w:r w:rsidRPr="006B5A90">
        <w:t xml:space="preserve"> Een private </w:t>
      </w:r>
      <w:proofErr w:type="spellStart"/>
      <w:r w:rsidRPr="006B5A90">
        <w:t>equity</w:t>
      </w:r>
      <w:proofErr w:type="spellEnd"/>
      <w:r w:rsidRPr="006B5A90">
        <w:t xml:space="preserve"> register kan ook werken als een zwarte lijst met negatieve gevolgen voor aanbieders die een investering van private </w:t>
      </w:r>
      <w:proofErr w:type="spellStart"/>
      <w:r w:rsidRPr="006B5A90">
        <w:t>equity</w:t>
      </w:r>
      <w:proofErr w:type="spellEnd"/>
      <w:r w:rsidRPr="006B5A90">
        <w:t xml:space="preserve"> partij ontvangen, terwijl er geen andere aanleiding hoeft te zijn om deze investeerders negatief te bejegenen. Tot slot verhoogt deze maatregel de administratieve lasten. Het kabinet vindt opvolging van deze motie om bovenstaande redenen niet wenselijk. De motie wordt hiermee beschouwd als afgedaan.</w:t>
      </w:r>
    </w:p>
    <w:p w:rsidRPr="006B5A90" w:rsidR="00BF1E6D" w:rsidP="00BF1E6D" w:rsidRDefault="00BF1E6D" w14:paraId="1AB079D7" w14:textId="77777777">
      <w:pPr>
        <w:pStyle w:val="Huisstijl-Aanhef"/>
        <w:spacing w:line="240" w:lineRule="atLeast"/>
        <w:contextualSpacing/>
      </w:pPr>
    </w:p>
    <w:p w:rsidR="0094308C" w:rsidP="00BF1E6D" w:rsidRDefault="00000000" w14:paraId="4431D9D9" w14:textId="77777777">
      <w:pPr>
        <w:pStyle w:val="Huisstijl-Aanhef"/>
        <w:spacing w:line="240" w:lineRule="atLeast"/>
        <w:contextualSpacing/>
      </w:pPr>
      <w:r w:rsidRPr="006B5A90">
        <w:rPr>
          <w:i/>
          <w:iCs/>
        </w:rPr>
        <w:t xml:space="preserve">Motie </w:t>
      </w:r>
      <w:proofErr w:type="spellStart"/>
      <w:r w:rsidRPr="006B5A90">
        <w:rPr>
          <w:i/>
          <w:iCs/>
        </w:rPr>
        <w:t>Bushoff</w:t>
      </w:r>
      <w:proofErr w:type="spellEnd"/>
      <w:r w:rsidRPr="006B5A90">
        <w:rPr>
          <w:i/>
          <w:iCs/>
        </w:rPr>
        <w:t xml:space="preserve"> en Dijk – inperken van de lijst uitzonderingen winstuitkeringsverbod</w:t>
      </w:r>
      <w:r w:rsidRPr="006B5A90">
        <w:rPr>
          <w:i/>
          <w:iCs/>
        </w:rPr>
        <w:br/>
      </w:r>
      <w:r w:rsidRPr="006B5A90">
        <w:t xml:space="preserve">De motie van de leden </w:t>
      </w:r>
      <w:proofErr w:type="spellStart"/>
      <w:r w:rsidRPr="006B5A90">
        <w:t>Bushoff</w:t>
      </w:r>
      <w:proofErr w:type="spellEnd"/>
      <w:r w:rsidRPr="006B5A90">
        <w:t xml:space="preserve"> en Dijk verzoekt om het inperken van de lijst met uitzonderingen op het winstuitkeringsverbod en enkel zorgaanbieders uit te zonderen van het winstuitkeringsverbod waarvan kan worden onderbouwd dat een winstoogmerk noodzakelijk is voor de verlening van zorg.</w:t>
      </w:r>
      <w:r>
        <w:rPr>
          <w:vertAlign w:val="superscript"/>
        </w:rPr>
        <w:footnoteReference w:id="9"/>
      </w:r>
      <w:r w:rsidRPr="006B5A90">
        <w:t xml:space="preserve"> Het inperken van een winstoogmerk heeft te veel negatieve gevolgen voor de toegankelijkheid en continuïteit van zorg. Het inperken van de lijst met uitzonderingen op het winstuitkeringsverbod acht dit kabinet niet wenselijk. Dit kabinet wil de benodigde investeringen in de zorg en jeugdhulp stimuleren en neemt daarom de mogelijkheid op om een bescheiden winstuitkering te doen en stelt strikte voorwaarden aan winstuitkering. En zoals in deze brief aangegeven, is het juridisch lastig te onderbouwen waarom voor sommige aanbieders winst uitkeren noodzakelijk is en voor anderen niet. Dat blijkt ook uit de uitspraak van de Raad van State betreffende het huidige winstuitkeringsverbod. Gezien de noodzaak om een winstuitkeringsverbod consistent en coherent toe te passen, acht het kabinet deze motie niet uitvoerbaar. </w:t>
      </w:r>
      <w:r>
        <w:t xml:space="preserve">Maar door striktere voorwaarden te stellen aan winstuitkering </w:t>
      </w:r>
      <w:r w:rsidRPr="00DA7848">
        <w:t>wordt het beleid en de praktijk rondom winstuitkeringen</w:t>
      </w:r>
      <w:r>
        <w:t xml:space="preserve"> duidelijker en </w:t>
      </w:r>
      <w:r w:rsidRPr="00DA7848">
        <w:t>strenger dan de huidige, diffuse situatie met een gedeeltelijk winstuitkeringsverbod.</w:t>
      </w:r>
    </w:p>
    <w:p w:rsidRPr="006B5A90" w:rsidR="00BF1E6D" w:rsidP="00BF1E6D" w:rsidRDefault="00BF1E6D" w14:paraId="72DDC795" w14:textId="77777777">
      <w:pPr>
        <w:pStyle w:val="Huisstijl-Aanhef"/>
        <w:spacing w:line="240" w:lineRule="atLeast"/>
        <w:contextualSpacing/>
      </w:pPr>
    </w:p>
    <w:p w:rsidR="00BF1E6D" w:rsidP="00BF1E6D" w:rsidRDefault="00000000" w14:paraId="3D7B1C30" w14:textId="77777777">
      <w:pPr>
        <w:pStyle w:val="Huisstijl-Aanhef"/>
        <w:spacing w:line="240" w:lineRule="atLeast"/>
        <w:contextualSpacing/>
      </w:pPr>
      <w:r w:rsidRPr="006B5A90">
        <w:rPr>
          <w:i/>
          <w:iCs/>
        </w:rPr>
        <w:t xml:space="preserve">Motie Dijk – aansprakelijkheid private </w:t>
      </w:r>
      <w:proofErr w:type="spellStart"/>
      <w:r w:rsidRPr="006B5A90">
        <w:rPr>
          <w:i/>
          <w:iCs/>
        </w:rPr>
        <w:t>equity</w:t>
      </w:r>
      <w:proofErr w:type="spellEnd"/>
      <w:r w:rsidRPr="006B5A90">
        <w:rPr>
          <w:i/>
          <w:iCs/>
        </w:rPr>
        <w:t xml:space="preserve"> bedrijven voor veroorzaakte schade</w:t>
      </w:r>
      <w:r w:rsidRPr="006B5A90">
        <w:rPr>
          <w:i/>
          <w:iCs/>
        </w:rPr>
        <w:br/>
      </w:r>
      <w:r w:rsidRPr="006B5A90">
        <w:t xml:space="preserve">De motie van het lid Dijk verzoekt eigenaren van private </w:t>
      </w:r>
      <w:proofErr w:type="spellStart"/>
      <w:r w:rsidRPr="006B5A90">
        <w:t>equity</w:t>
      </w:r>
      <w:proofErr w:type="spellEnd"/>
      <w:r w:rsidRPr="006B5A90">
        <w:t xml:space="preserve"> bedrijven aansprakelijk te stellen voor de schade die zij veroorzaken.</w:t>
      </w:r>
      <w:r>
        <w:rPr>
          <w:vertAlign w:val="superscript"/>
        </w:rPr>
        <w:footnoteReference w:id="10"/>
      </w:r>
      <w:r w:rsidRPr="006B5A90">
        <w:t xml:space="preserve"> Het aansprakelijk stellen van bedrijven of personen voor schade die zij veroorzaken,</w:t>
      </w:r>
      <w:r>
        <w:t xml:space="preserve"> is reeds mogelijk op grond van </w:t>
      </w:r>
      <w:r w:rsidRPr="006B5A90">
        <w:t xml:space="preserve">het civiele recht. Er is geen aanleiding om te </w:t>
      </w:r>
    </w:p>
    <w:p w:rsidR="00BF1E6D" w:rsidP="00BF1E6D" w:rsidRDefault="00BF1E6D" w14:paraId="35293F0B" w14:textId="77777777">
      <w:pPr>
        <w:pStyle w:val="Huisstijl-Aanhef"/>
        <w:spacing w:line="240" w:lineRule="atLeast"/>
        <w:contextualSpacing/>
      </w:pPr>
    </w:p>
    <w:p w:rsidR="00BF1E6D" w:rsidP="00BF1E6D" w:rsidRDefault="00BF1E6D" w14:paraId="769DCED1" w14:textId="77777777">
      <w:pPr>
        <w:pStyle w:val="Huisstijl-Aanhef"/>
        <w:spacing w:line="240" w:lineRule="atLeast"/>
        <w:contextualSpacing/>
      </w:pPr>
    </w:p>
    <w:p w:rsidR="0094308C" w:rsidP="00BF1E6D" w:rsidRDefault="00000000" w14:paraId="477F27AF" w14:textId="74337F0B">
      <w:pPr>
        <w:pStyle w:val="Huisstijl-Aanhef"/>
        <w:spacing w:line="240" w:lineRule="atLeast"/>
        <w:contextualSpacing/>
      </w:pPr>
      <w:r w:rsidRPr="006B5A90">
        <w:t xml:space="preserve">veronderstellen dat de huidige regels van het aansprakelijkheidsrecht niet voldoen. Zo zijn er bijvoorbeeld op grond van Boek 2 van het </w:t>
      </w:r>
      <w:r>
        <w:t xml:space="preserve">Burgerlijk </w:t>
      </w:r>
      <w:r w:rsidRPr="006B5A90">
        <w:t>W</w:t>
      </w:r>
      <w:r>
        <w:t>etboek (BW)</w:t>
      </w:r>
      <w:r w:rsidRPr="006B5A90">
        <w:t xml:space="preserve"> reeds mogelijkheden om bestuurders om toezichthouders aansprakelijk te stellen, dit kan ook als overeenkomsten met investeerders zijn aangegaan die ertoe leiden dat de rechtspersoon in financiële problemen komt.</w:t>
      </w:r>
      <w:r>
        <w:rPr>
          <w:vertAlign w:val="superscript"/>
        </w:rPr>
        <w:footnoteReference w:id="11"/>
      </w:r>
      <w:r w:rsidRPr="006B5A90">
        <w:t xml:space="preserve"> Het kabinet ziet geen aanleiding om specifiek voor private </w:t>
      </w:r>
      <w:proofErr w:type="spellStart"/>
      <w:r w:rsidRPr="006B5A90">
        <w:t>equitybedrijven</w:t>
      </w:r>
      <w:proofErr w:type="spellEnd"/>
      <w:r w:rsidRPr="006B5A90">
        <w:t xml:space="preserve"> andere aansprakelijkheidsregels op te stellen. Wel zet het kabinet in op het tegengaan van uitwassen van onder meer investeringen door private </w:t>
      </w:r>
      <w:proofErr w:type="spellStart"/>
      <w:r w:rsidRPr="006B5A90">
        <w:t>equitybedrijven</w:t>
      </w:r>
      <w:proofErr w:type="spellEnd"/>
      <w:r w:rsidRPr="006B5A90">
        <w:t xml:space="preserve">. Bijvoorbeeld door het beperken van schulden, aangegaan door de </w:t>
      </w:r>
      <w:proofErr w:type="spellStart"/>
      <w:r w:rsidRPr="006B5A90">
        <w:t>aankoper</w:t>
      </w:r>
      <w:proofErr w:type="spellEnd"/>
      <w:r w:rsidRPr="006B5A90">
        <w:t>, die bij een overname worden afgewenteld op de zorg- of jeugdhulpaanbieder. Dit is in deze brief reeds aan de orde geweest.</w:t>
      </w:r>
    </w:p>
    <w:p w:rsidRPr="006B5A90" w:rsidR="00BF1E6D" w:rsidP="00BF1E6D" w:rsidRDefault="00BF1E6D" w14:paraId="5088A9B7" w14:textId="77777777">
      <w:pPr>
        <w:pStyle w:val="Huisstijl-Aanhef"/>
        <w:spacing w:line="240" w:lineRule="atLeast"/>
        <w:contextualSpacing/>
      </w:pPr>
    </w:p>
    <w:p w:rsidR="0094308C" w:rsidP="00BF1E6D" w:rsidRDefault="00000000" w14:paraId="742233D8" w14:textId="77777777">
      <w:pPr>
        <w:pStyle w:val="Huisstijl-Aanhef"/>
        <w:spacing w:line="240" w:lineRule="atLeast"/>
        <w:contextualSpacing/>
      </w:pPr>
      <w:r w:rsidRPr="006B5A90">
        <w:rPr>
          <w:i/>
          <w:iCs/>
        </w:rPr>
        <w:t xml:space="preserve">Motie Dijk – overname- en fusiestop voor private </w:t>
      </w:r>
      <w:proofErr w:type="spellStart"/>
      <w:r w:rsidRPr="006B5A90">
        <w:rPr>
          <w:i/>
          <w:iCs/>
        </w:rPr>
        <w:t>equity</w:t>
      </w:r>
      <w:proofErr w:type="spellEnd"/>
      <w:r w:rsidRPr="006B5A90">
        <w:rPr>
          <w:i/>
          <w:iCs/>
        </w:rPr>
        <w:t xml:space="preserve"> bedrijven</w:t>
      </w:r>
      <w:r w:rsidRPr="006B5A90">
        <w:rPr>
          <w:i/>
          <w:iCs/>
        </w:rPr>
        <w:br/>
      </w:r>
      <w:r w:rsidRPr="006B5A90">
        <w:t>Over de motie van het lid Dijk betreffende een overname- en fusiestop in de zorg voor private-</w:t>
      </w:r>
      <w:proofErr w:type="spellStart"/>
      <w:r w:rsidRPr="006B5A90">
        <w:t>equity</w:t>
      </w:r>
      <w:proofErr w:type="spellEnd"/>
      <w:r w:rsidRPr="006B5A90">
        <w:t xml:space="preserve"> bedrijven</w:t>
      </w:r>
      <w:r>
        <w:rPr>
          <w:vertAlign w:val="superscript"/>
        </w:rPr>
        <w:footnoteReference w:id="12"/>
      </w:r>
      <w:r w:rsidRPr="006B5A90">
        <w:t xml:space="preserve"> wordt het volgende opmerkt. Private </w:t>
      </w:r>
      <w:proofErr w:type="spellStart"/>
      <w:r w:rsidRPr="006B5A90">
        <w:t>equity</w:t>
      </w:r>
      <w:proofErr w:type="spellEnd"/>
      <w:r w:rsidRPr="006B5A90">
        <w:t xml:space="preserve"> partijen kunnen een belangrijke rol spelen bij de opvolging van zorgaanbieders. Een volledige overname- en fusiestop voor private </w:t>
      </w:r>
      <w:proofErr w:type="spellStart"/>
      <w:r w:rsidRPr="006B5A90">
        <w:t>equity</w:t>
      </w:r>
      <w:proofErr w:type="spellEnd"/>
      <w:r w:rsidRPr="006B5A90">
        <w:t xml:space="preserve"> bedrijven zou de toegankelijk van zorg en jeugdhulp in gevaar brengen. Dit is niet wenselijk. Ook is er op dit moment geen dragende motivering waarom een overname- en fusiestop bij private </w:t>
      </w:r>
      <w:proofErr w:type="spellStart"/>
      <w:r w:rsidRPr="006B5A90">
        <w:t>equity</w:t>
      </w:r>
      <w:proofErr w:type="spellEnd"/>
      <w:r w:rsidRPr="006B5A90">
        <w:t xml:space="preserve"> bedrijven nodig is en waarom dat niet zou gelden voor niet-private </w:t>
      </w:r>
      <w:proofErr w:type="spellStart"/>
      <w:r w:rsidRPr="006B5A90">
        <w:t>equity</w:t>
      </w:r>
      <w:proofErr w:type="spellEnd"/>
      <w:r w:rsidRPr="006B5A90">
        <w:t xml:space="preserve"> gefinancierde overnames en fusies in de zorg. Dit maakt een dergelijke maatregel juridisch zeer kwetsbaar. Bovendien gaat een dergelijke maatregel de onwenselijke praktijken van een bepaald type investeerder niet tegen. Deze onwenselijke gedragingen komen namelijk niet alleen voor bij private </w:t>
      </w:r>
      <w:proofErr w:type="spellStart"/>
      <w:r w:rsidRPr="006B5A90">
        <w:t>equity</w:t>
      </w:r>
      <w:proofErr w:type="spellEnd"/>
      <w:r w:rsidRPr="006B5A90">
        <w:t xml:space="preserve"> investeerders. Daarom richt het kabinet zich op het tegengaan van uitwassen, die bij allerlei soorten investeerders voor kunnen komen en niet enkel op uitwassen door investeringen van private </w:t>
      </w:r>
      <w:proofErr w:type="spellStart"/>
      <w:r w:rsidRPr="006B5A90">
        <w:t>equity</w:t>
      </w:r>
      <w:proofErr w:type="spellEnd"/>
      <w:r w:rsidRPr="006B5A90">
        <w:t xml:space="preserve"> partijen. De aanscherpingen die het kabinet in dat kader voorstelt zijn toegelicht in deze brief. </w:t>
      </w:r>
      <w:r w:rsidRPr="006B5A90">
        <w:br/>
        <w:t xml:space="preserve">Daarnaast wil het kabinet fusies en overnames in de zorg strenger toetsen. Dit doet het kabinet met het wetsvoorstel </w:t>
      </w:r>
      <w:proofErr w:type="spellStart"/>
      <w:r w:rsidRPr="006B5A90">
        <w:t>zorgspecifieke</w:t>
      </w:r>
      <w:proofErr w:type="spellEnd"/>
      <w:r w:rsidRPr="006B5A90">
        <w:t xml:space="preserve"> fusietoets</w:t>
      </w:r>
      <w:r>
        <w:rPr>
          <w:vertAlign w:val="superscript"/>
        </w:rPr>
        <w:footnoteReference w:id="13"/>
      </w:r>
      <w:r w:rsidRPr="006B5A90">
        <w:t>. De motie betreffende een overname- en fusiestop acht het kabinet daarom niet uitvoerbaar.</w:t>
      </w:r>
    </w:p>
    <w:p w:rsidRPr="006B5A90" w:rsidR="00BF1E6D" w:rsidP="00BF1E6D" w:rsidRDefault="00BF1E6D" w14:paraId="7EE6C77A" w14:textId="77777777">
      <w:pPr>
        <w:pStyle w:val="Huisstijl-Aanhef"/>
        <w:spacing w:line="240" w:lineRule="atLeast"/>
        <w:contextualSpacing/>
      </w:pPr>
    </w:p>
    <w:p w:rsidR="0094308C" w:rsidP="00BF1E6D" w:rsidRDefault="00000000" w14:paraId="5F2BEC6A" w14:textId="77777777">
      <w:pPr>
        <w:pStyle w:val="Huisstijl-Aanhef"/>
        <w:spacing w:line="240" w:lineRule="atLeast"/>
        <w:contextualSpacing/>
      </w:pPr>
      <w:r w:rsidRPr="006B5A90">
        <w:rPr>
          <w:i/>
          <w:iCs/>
        </w:rPr>
        <w:t xml:space="preserve">Motie </w:t>
      </w:r>
      <w:proofErr w:type="spellStart"/>
      <w:r w:rsidRPr="006B5A90">
        <w:rPr>
          <w:i/>
          <w:iCs/>
        </w:rPr>
        <w:t>Bushoff</w:t>
      </w:r>
      <w:proofErr w:type="spellEnd"/>
      <w:r w:rsidRPr="006B5A90">
        <w:rPr>
          <w:i/>
          <w:iCs/>
        </w:rPr>
        <w:t xml:space="preserve"> – onderzoek naar private </w:t>
      </w:r>
      <w:proofErr w:type="spellStart"/>
      <w:r w:rsidRPr="006B5A90">
        <w:rPr>
          <w:i/>
          <w:iCs/>
        </w:rPr>
        <w:t>equity</w:t>
      </w:r>
      <w:proofErr w:type="spellEnd"/>
      <w:r w:rsidRPr="006B5A90">
        <w:rPr>
          <w:i/>
          <w:iCs/>
        </w:rPr>
        <w:t xml:space="preserve"> bedrijven in de zorgsector</w:t>
      </w:r>
      <w:r w:rsidRPr="006B5A90">
        <w:rPr>
          <w:i/>
          <w:iCs/>
        </w:rPr>
        <w:br/>
      </w:r>
      <w:r w:rsidRPr="006B5A90">
        <w:t xml:space="preserve">Er is in 2024 onderzoek gedaan naar private </w:t>
      </w:r>
      <w:proofErr w:type="spellStart"/>
      <w:r w:rsidRPr="006B5A90">
        <w:t>equity</w:t>
      </w:r>
      <w:proofErr w:type="spellEnd"/>
      <w:r w:rsidRPr="006B5A90">
        <w:t xml:space="preserve"> in de zorg.</w:t>
      </w:r>
      <w:r>
        <w:t xml:space="preserve"> </w:t>
      </w:r>
      <w:r w:rsidRPr="006B5A90">
        <w:t xml:space="preserve">Het kabinet ziet </w:t>
      </w:r>
      <w:r>
        <w:t xml:space="preserve">daarom </w:t>
      </w:r>
      <w:r w:rsidRPr="006B5A90">
        <w:t xml:space="preserve">geen aanleiding tot een nieuw onderzoek naar private </w:t>
      </w:r>
      <w:proofErr w:type="spellStart"/>
      <w:r w:rsidRPr="006B5A90">
        <w:t>equity</w:t>
      </w:r>
      <w:proofErr w:type="spellEnd"/>
      <w:r w:rsidRPr="006B5A90">
        <w:t xml:space="preserve"> in de gehele zorgsector, waar de motie van het lid </w:t>
      </w:r>
      <w:proofErr w:type="spellStart"/>
      <w:r w:rsidRPr="006B5A90">
        <w:t>Bushoff</w:t>
      </w:r>
      <w:proofErr w:type="spellEnd"/>
      <w:r w:rsidRPr="006B5A90">
        <w:t xml:space="preserve"> betreffende het onderzoeken van private-</w:t>
      </w:r>
      <w:proofErr w:type="spellStart"/>
      <w:r w:rsidRPr="006B5A90">
        <w:t>equity</w:t>
      </w:r>
      <w:proofErr w:type="spellEnd"/>
      <w:r w:rsidRPr="006B5A90">
        <w:t xml:space="preserve"> bedrijven in de gehele zorgsector</w:t>
      </w:r>
      <w:r>
        <w:rPr>
          <w:vertAlign w:val="superscript"/>
        </w:rPr>
        <w:footnoteReference w:id="14"/>
      </w:r>
      <w:r w:rsidRPr="006B5A90">
        <w:t xml:space="preserve"> om vraagt. Het is </w:t>
      </w:r>
      <w:r>
        <w:t>bovendien</w:t>
      </w:r>
      <w:r w:rsidRPr="006B5A90">
        <w:t xml:space="preserve"> de vraag of een nieuw onderzoek veel nieuwe inzichten oplevert. Voor de aanscherpingen in de </w:t>
      </w:r>
      <w:proofErr w:type="spellStart"/>
      <w:r w:rsidRPr="006B5A90">
        <w:t>Wibz</w:t>
      </w:r>
      <w:proofErr w:type="spellEnd"/>
      <w:r w:rsidRPr="006B5A90">
        <w:t xml:space="preserve"> </w:t>
      </w:r>
      <w:r>
        <w:t xml:space="preserve">is </w:t>
      </w:r>
      <w:r w:rsidRPr="006B5A90">
        <w:t xml:space="preserve">met veel verschillende partijen gesproken over private </w:t>
      </w:r>
      <w:proofErr w:type="spellStart"/>
      <w:r w:rsidRPr="006B5A90">
        <w:t>equity</w:t>
      </w:r>
      <w:proofErr w:type="spellEnd"/>
      <w:r w:rsidRPr="006B5A90">
        <w:t xml:space="preserve"> en winstuitkeringen in de zorg en jeugdhulp en daarbij een goed beeld </w:t>
      </w:r>
      <w:r>
        <w:t xml:space="preserve">gevormd </w:t>
      </w:r>
      <w:r w:rsidRPr="006B5A90">
        <w:t xml:space="preserve">van de praktijk. Aanvullend onderzoek </w:t>
      </w:r>
      <w:r>
        <w:t xml:space="preserve">brengt kosten met zich mee, maar </w:t>
      </w:r>
      <w:r w:rsidRPr="006B5A90">
        <w:t>leidt naar verwachting niet tot nieuwe inzichten.</w:t>
      </w:r>
    </w:p>
    <w:p w:rsidR="00BF1E6D" w:rsidP="00BF1E6D" w:rsidRDefault="00BF1E6D" w14:paraId="27E2BF5F" w14:textId="77777777">
      <w:pPr>
        <w:pStyle w:val="Huisstijl-Aanhef"/>
        <w:spacing w:line="240" w:lineRule="atLeast"/>
        <w:contextualSpacing/>
      </w:pPr>
    </w:p>
    <w:p w:rsidR="00BF1E6D" w:rsidP="00BF1E6D" w:rsidRDefault="00BF1E6D" w14:paraId="5535A30E" w14:textId="77777777">
      <w:pPr>
        <w:pStyle w:val="Huisstijl-Aanhef"/>
        <w:spacing w:line="240" w:lineRule="atLeast"/>
        <w:contextualSpacing/>
      </w:pPr>
    </w:p>
    <w:p w:rsidR="00BF1E6D" w:rsidP="00BF1E6D" w:rsidRDefault="00BF1E6D" w14:paraId="428A2ED8" w14:textId="77777777">
      <w:pPr>
        <w:pStyle w:val="Huisstijl-Aanhef"/>
        <w:spacing w:line="240" w:lineRule="atLeast"/>
        <w:contextualSpacing/>
      </w:pPr>
    </w:p>
    <w:p w:rsidR="00BF1E6D" w:rsidP="00BF1E6D" w:rsidRDefault="00BF1E6D" w14:paraId="379C3348" w14:textId="77777777">
      <w:pPr>
        <w:pStyle w:val="Huisstijl-Aanhef"/>
        <w:spacing w:line="240" w:lineRule="atLeast"/>
        <w:contextualSpacing/>
      </w:pPr>
    </w:p>
    <w:p w:rsidR="00BF1E6D" w:rsidP="00BF1E6D" w:rsidRDefault="00BF1E6D" w14:paraId="250A76A8" w14:textId="77777777">
      <w:pPr>
        <w:pStyle w:val="Huisstijl-Aanhef"/>
        <w:spacing w:line="240" w:lineRule="atLeast"/>
        <w:contextualSpacing/>
      </w:pPr>
    </w:p>
    <w:p w:rsidR="00BF1E6D" w:rsidP="00BF1E6D" w:rsidRDefault="00BF1E6D" w14:paraId="6E2D3612" w14:textId="77777777">
      <w:pPr>
        <w:pStyle w:val="Huisstijl-Aanhef"/>
        <w:spacing w:line="240" w:lineRule="atLeast"/>
        <w:contextualSpacing/>
      </w:pPr>
    </w:p>
    <w:p w:rsidRPr="006B5A90" w:rsidR="00BF1E6D" w:rsidP="00BF1E6D" w:rsidRDefault="00BF1E6D" w14:paraId="016F6185" w14:textId="77777777">
      <w:pPr>
        <w:pStyle w:val="Huisstijl-Aanhef"/>
        <w:spacing w:line="240" w:lineRule="atLeast"/>
        <w:contextualSpacing/>
      </w:pPr>
    </w:p>
    <w:p w:rsidR="0094308C" w:rsidP="00BF1E6D" w:rsidRDefault="00000000" w14:paraId="33197D98" w14:textId="77777777">
      <w:pPr>
        <w:pStyle w:val="Huisstijl-Aanhef"/>
        <w:spacing w:line="240" w:lineRule="atLeast"/>
        <w:contextualSpacing/>
        <w:rPr>
          <w:b/>
          <w:bCs/>
        </w:rPr>
      </w:pPr>
      <w:r w:rsidRPr="006B5A90">
        <w:rPr>
          <w:b/>
          <w:bCs/>
        </w:rPr>
        <w:t xml:space="preserve">Vervolg wetsvoorstel </w:t>
      </w:r>
      <w:proofErr w:type="spellStart"/>
      <w:r w:rsidRPr="006B5A90">
        <w:rPr>
          <w:b/>
          <w:bCs/>
        </w:rPr>
        <w:t>Wibz</w:t>
      </w:r>
      <w:proofErr w:type="spellEnd"/>
    </w:p>
    <w:p w:rsidRPr="006B5A90" w:rsidR="00BF1E6D" w:rsidP="00BF1E6D" w:rsidRDefault="00BF1E6D" w14:paraId="72183DE6" w14:textId="77777777">
      <w:pPr>
        <w:pStyle w:val="Huisstijl-Aanhef"/>
        <w:spacing w:line="240" w:lineRule="atLeast"/>
        <w:contextualSpacing/>
        <w:rPr>
          <w:b/>
          <w:bCs/>
        </w:rPr>
      </w:pPr>
    </w:p>
    <w:p w:rsidRPr="008D59C5" w:rsidR="00334C45" w:rsidP="00BF1E6D" w:rsidRDefault="00000000" w14:paraId="73F3F6F3" w14:textId="77777777">
      <w:pPr>
        <w:pStyle w:val="Huisstijl-Aanhef"/>
        <w:spacing w:line="240" w:lineRule="atLeast"/>
        <w:contextualSpacing/>
      </w:pPr>
      <w:r w:rsidRPr="006B5A90">
        <w:t xml:space="preserve">Komende periode vindt toetsing van en advisering op de nota van wijziging plaats. Na afronding hiervan zendt het kabinet de nota van wijziging op het wetsvoorstel en de nota naar aanleiding van het verslag zo spoedig mogelijk naar </w:t>
      </w:r>
      <w:r>
        <w:t>de</w:t>
      </w:r>
      <w:r w:rsidRPr="006B5A90">
        <w:t xml:space="preserve"> Kamer. </w:t>
      </w:r>
    </w:p>
    <w:p w:rsidR="00EE72C5" w:rsidP="00BF1E6D" w:rsidRDefault="00EE72C5" w14:paraId="48187CC2" w14:textId="77777777">
      <w:pPr>
        <w:spacing w:line="240" w:lineRule="auto"/>
        <w:contextualSpacing/>
      </w:pPr>
      <w:r>
        <w:t>Hoogachtend,</w:t>
      </w:r>
    </w:p>
    <w:p w:rsidR="00EE72C5" w:rsidP="00BF1E6D" w:rsidRDefault="00EE72C5" w14:paraId="6E76F385" w14:textId="77777777">
      <w:pPr>
        <w:spacing w:line="240" w:lineRule="auto"/>
        <w:contextualSpacing/>
      </w:pPr>
    </w:p>
    <w:p w:rsidR="00EE72C5" w:rsidP="00BF1E6D" w:rsidRDefault="00EE72C5" w14:paraId="6469155F" w14:textId="77777777">
      <w:pPr>
        <w:spacing w:line="240" w:lineRule="auto"/>
        <w:contextualSpacing/>
      </w:pPr>
      <w:r>
        <w:t>de minister van Langdurige Zorg,</w:t>
      </w:r>
    </w:p>
    <w:p w:rsidR="00EE72C5" w:rsidP="00BF1E6D" w:rsidRDefault="00EE72C5" w14:paraId="2E65D89F" w14:textId="77777777">
      <w:pPr>
        <w:spacing w:line="240" w:lineRule="auto"/>
        <w:contextualSpacing/>
      </w:pPr>
      <w:r>
        <w:t>Jeugd en Sport,</w:t>
      </w:r>
    </w:p>
    <w:p w:rsidR="00EE72C5" w:rsidP="00BF1E6D" w:rsidRDefault="00EE72C5" w14:paraId="14340FF3" w14:textId="77777777">
      <w:pPr>
        <w:spacing w:line="240" w:lineRule="auto"/>
        <w:contextualSpacing/>
      </w:pPr>
    </w:p>
    <w:p w:rsidR="00EE72C5" w:rsidP="00BF1E6D" w:rsidRDefault="00EE72C5" w14:paraId="2C549BFE" w14:textId="77777777">
      <w:pPr>
        <w:spacing w:line="240" w:lineRule="auto"/>
        <w:contextualSpacing/>
      </w:pPr>
    </w:p>
    <w:p w:rsidR="00EE72C5" w:rsidP="00BF1E6D" w:rsidRDefault="00EE72C5" w14:paraId="44F13A63" w14:textId="77777777">
      <w:pPr>
        <w:spacing w:line="240" w:lineRule="auto"/>
        <w:contextualSpacing/>
      </w:pPr>
    </w:p>
    <w:p w:rsidR="00EE72C5" w:rsidP="00BF1E6D" w:rsidRDefault="00EE72C5" w14:paraId="7559BD01" w14:textId="77777777">
      <w:pPr>
        <w:spacing w:line="240" w:lineRule="auto"/>
        <w:contextualSpacing/>
      </w:pPr>
    </w:p>
    <w:p w:rsidR="00EE72C5" w:rsidP="00BF1E6D" w:rsidRDefault="00EE72C5" w14:paraId="0EB4D5CA" w14:textId="77777777">
      <w:pPr>
        <w:spacing w:line="240" w:lineRule="auto"/>
        <w:contextualSpacing/>
      </w:pPr>
    </w:p>
    <w:p w:rsidR="00EE72C5" w:rsidP="00BF1E6D" w:rsidRDefault="00EE72C5" w14:paraId="4A7A54C3" w14:textId="77777777">
      <w:pPr>
        <w:spacing w:line="240" w:lineRule="auto"/>
        <w:contextualSpacing/>
      </w:pPr>
    </w:p>
    <w:p w:rsidR="00C95CA9" w:rsidP="00BF1E6D" w:rsidRDefault="00EE72C5" w14:paraId="168C4441" w14:textId="5212A763">
      <w:pPr>
        <w:spacing w:line="240" w:lineRule="auto"/>
        <w:contextualSpacing/>
        <w:rPr>
          <w:noProof/>
        </w:rPr>
      </w:pPr>
      <w:r>
        <w:t>Mirjam Sterk</w:t>
      </w:r>
    </w:p>
    <w:p w:rsidR="00235AED" w:rsidP="00BF1E6D" w:rsidRDefault="00235AED" w14:paraId="1E232C82" w14:textId="77777777">
      <w:pPr>
        <w:spacing w:line="240" w:lineRule="auto"/>
        <w:contextualSpacing/>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ACB8A" w14:textId="77777777" w:rsidR="009D2949" w:rsidRDefault="009D2949">
      <w:pPr>
        <w:spacing w:line="240" w:lineRule="auto"/>
      </w:pPr>
      <w:r>
        <w:separator/>
      </w:r>
    </w:p>
  </w:endnote>
  <w:endnote w:type="continuationSeparator" w:id="0">
    <w:p w14:paraId="656E7108" w14:textId="77777777" w:rsidR="009D2949" w:rsidRDefault="009D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2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0F0" w14:textId="13E29A10" w:rsidR="00DC7639" w:rsidRDefault="008F298D">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4A43B01F" wp14:editId="2827A49B">
              <wp:simplePos x="0" y="0"/>
              <wp:positionH relativeFrom="page">
                <wp:posOffset>5922645</wp:posOffset>
              </wp:positionH>
              <wp:positionV relativeFrom="page">
                <wp:posOffset>10225405</wp:posOffset>
              </wp:positionV>
              <wp:extent cx="1259840" cy="185420"/>
              <wp:effectExtent l="7620" t="5080" r="8890" b="9525"/>
              <wp:wrapNone/>
              <wp:docPr id="1051395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1ACB6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3B01F" id="_x0000_t202" coordsize="21600,21600" o:spt="202" path="m,l,21600r21600,l21600,xe">
              <v:stroke joinstyle="miter"/>
              <v:path gradientshapeok="t" o:connecttype="rect"/>
            </v:shapetype>
            <v:shape id="Text Box 25" o:spid="_x0000_s1034"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1ACB60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DA1D" w14:textId="77777777" w:rsidR="009D2949" w:rsidRDefault="009D2949">
      <w:pPr>
        <w:spacing w:line="240" w:lineRule="auto"/>
      </w:pPr>
      <w:r>
        <w:separator/>
      </w:r>
    </w:p>
  </w:footnote>
  <w:footnote w:type="continuationSeparator" w:id="0">
    <w:p w14:paraId="45FA1EB5" w14:textId="77777777" w:rsidR="009D2949" w:rsidRDefault="009D2949">
      <w:pPr>
        <w:spacing w:line="240" w:lineRule="auto"/>
      </w:pPr>
      <w:r>
        <w:continuationSeparator/>
      </w:r>
    </w:p>
  </w:footnote>
  <w:footnote w:id="1">
    <w:p w14:paraId="167D2B57"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w:t>
      </w:r>
      <w:proofErr w:type="spellStart"/>
      <w:r w:rsidRPr="00907104">
        <w:rPr>
          <w:rFonts w:ascii="Verdana" w:hAnsi="Verdana"/>
          <w:sz w:val="16"/>
          <w:szCs w:val="16"/>
        </w:rPr>
        <w:t>ABRvS</w:t>
      </w:r>
      <w:proofErr w:type="spellEnd"/>
      <w:r w:rsidRPr="00907104">
        <w:rPr>
          <w:rFonts w:ascii="Verdana" w:hAnsi="Verdana"/>
          <w:sz w:val="16"/>
          <w:szCs w:val="16"/>
        </w:rPr>
        <w:t>, 22 oktober 2025, ECLI:NL:RVS:2025:5089</w:t>
      </w:r>
    </w:p>
  </w:footnote>
  <w:footnote w:id="2">
    <w:p w14:paraId="5AF45CE7"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Een van de voorwaarden voor het uitkeren van winst is dat de financiële gezondheid van de aanbieder op orde is in de zin dat na het doen van winstuitkering de aanbieder zal kunnen blijven voortgaan met het voldoen van de opeisbare schulden en met het leveren van goede zorg c.q. jeugdhulp. Hiervoor worden concrete eisen gesteld in de vorm van vier financiële ratio’s/percentages: EBITDA(R)-marge, rentabiliteit, </w:t>
      </w:r>
      <w:proofErr w:type="spellStart"/>
      <w:r w:rsidRPr="00907104">
        <w:rPr>
          <w:rFonts w:ascii="Verdana" w:hAnsi="Verdana"/>
          <w:sz w:val="16"/>
          <w:szCs w:val="16"/>
        </w:rPr>
        <w:t>current</w:t>
      </w:r>
      <w:proofErr w:type="spellEnd"/>
      <w:r w:rsidRPr="00907104">
        <w:rPr>
          <w:rFonts w:ascii="Verdana" w:hAnsi="Verdana"/>
          <w:sz w:val="16"/>
          <w:szCs w:val="16"/>
        </w:rPr>
        <w:t xml:space="preserve"> ratio en weerstandsvermogen.</w:t>
      </w:r>
    </w:p>
  </w:footnote>
  <w:footnote w:id="3">
    <w:p w14:paraId="6B9D01E0"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Artikel 3.1 Uitvoeringsbesluit </w:t>
      </w:r>
      <w:proofErr w:type="spellStart"/>
      <w:r w:rsidRPr="00907104">
        <w:rPr>
          <w:rFonts w:ascii="Verdana" w:hAnsi="Verdana"/>
          <w:sz w:val="16"/>
          <w:szCs w:val="16"/>
        </w:rPr>
        <w:t>Wtzi</w:t>
      </w:r>
      <w:proofErr w:type="spellEnd"/>
    </w:p>
  </w:footnote>
  <w:footnote w:id="4">
    <w:p w14:paraId="015DE72A"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Uit de Informatiekaart Dividenduitkeringen in de zorg 2025 van de Nederlandse Zorgautoriteit blijkt dat ook in deze sectoren waarvoor een winstuitkeringsverbod geldt, dividend wordt uitgekeerd.</w:t>
      </w:r>
    </w:p>
  </w:footnote>
  <w:footnote w:id="5">
    <w:p w14:paraId="0A79E23F" w14:textId="77777777" w:rsidR="0094308C" w:rsidRPr="00907104" w:rsidRDefault="00000000" w:rsidP="0094308C">
      <w:pPr>
        <w:spacing w:line="276" w:lineRule="auto"/>
        <w:rPr>
          <w:sz w:val="16"/>
          <w:szCs w:val="16"/>
        </w:rPr>
      </w:pPr>
      <w:r w:rsidRPr="00907104">
        <w:rPr>
          <w:rStyle w:val="Voetnootmarkering"/>
          <w:sz w:val="16"/>
          <w:szCs w:val="16"/>
        </w:rPr>
        <w:footnoteRef/>
      </w:r>
      <w:r w:rsidRPr="00907104">
        <w:rPr>
          <w:sz w:val="16"/>
          <w:szCs w:val="16"/>
        </w:rPr>
        <w:t xml:space="preserve"> Een veel gebruikte toepassing om een rechtspersoon te beëindigen is een turboliquidatie. Zie voor een nadere toelichting het rapport van het Informatieknooppunt Zorgfraude: </w:t>
      </w:r>
      <w:hyperlink r:id="rId1" w:history="1">
        <w:r w:rsidR="0094308C" w:rsidRPr="00907104">
          <w:rPr>
            <w:rStyle w:val="Hyperlink"/>
            <w:sz w:val="16"/>
            <w:szCs w:val="16"/>
          </w:rPr>
          <w:t>‘Turboliquidaties en voortzettingen in de zorg’</w:t>
        </w:r>
      </w:hyperlink>
      <w:r w:rsidRPr="00907104">
        <w:rPr>
          <w:sz w:val="16"/>
          <w:szCs w:val="16"/>
        </w:rPr>
        <w:t>.</w:t>
      </w:r>
    </w:p>
  </w:footnote>
  <w:footnote w:id="6">
    <w:p w14:paraId="00E92FE8"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2024/2025, 33 578, nr. 158</w:t>
      </w:r>
    </w:p>
  </w:footnote>
  <w:footnote w:id="7">
    <w:p w14:paraId="0CDF8BEC"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2023/2024, 36 410 XVI, nr. 101</w:t>
      </w:r>
    </w:p>
  </w:footnote>
  <w:footnote w:id="8">
    <w:p w14:paraId="77079424"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https://rijksoverheid.nl/documenten/rapporten/2024/04/08/onderzoek-private-equity-in-de-zorg</w:t>
      </w:r>
    </w:p>
  </w:footnote>
  <w:footnote w:id="9">
    <w:p w14:paraId="78CB2DFF"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2023/2024, 36 410 XVI, nr. 1445</w:t>
      </w:r>
    </w:p>
  </w:footnote>
  <w:footnote w:id="10">
    <w:p w14:paraId="25B098D5"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2024/2025, 33 578, nr. 147</w:t>
      </w:r>
    </w:p>
  </w:footnote>
  <w:footnote w:id="11">
    <w:p w14:paraId="02E3ED56"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Gerechtshof Amsterdam (Ondernemingskamer) 17 mei 2023, ECLI:NL:GHAMS:2023:1119</w:t>
      </w:r>
    </w:p>
  </w:footnote>
  <w:footnote w:id="12">
    <w:p w14:paraId="7D14BA6E"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2024/2025, 33 578, nr. 148</w:t>
      </w:r>
    </w:p>
  </w:footnote>
  <w:footnote w:id="13">
    <w:p w14:paraId="1F410507"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2024/2025, 31 765, nr. 899</w:t>
      </w:r>
    </w:p>
  </w:footnote>
  <w:footnote w:id="14">
    <w:p w14:paraId="1C6A99B6" w14:textId="77777777" w:rsidR="0094308C" w:rsidRPr="00907104" w:rsidRDefault="00000000" w:rsidP="0094308C">
      <w:pPr>
        <w:pStyle w:val="Voetnoottekst"/>
        <w:rPr>
          <w:rFonts w:ascii="Verdana" w:hAnsi="Verdana"/>
          <w:sz w:val="16"/>
          <w:szCs w:val="16"/>
        </w:rPr>
      </w:pPr>
      <w:r w:rsidRPr="00907104">
        <w:rPr>
          <w:rStyle w:val="Voetnootmarkering"/>
          <w:rFonts w:ascii="Verdana" w:hAnsi="Verdana"/>
          <w:sz w:val="16"/>
          <w:szCs w:val="16"/>
        </w:rPr>
        <w:footnoteRef/>
      </w:r>
      <w:r w:rsidRPr="00907104">
        <w:rPr>
          <w:rFonts w:ascii="Verdana" w:hAnsi="Verdana"/>
          <w:sz w:val="16"/>
          <w:szCs w:val="16"/>
        </w:rPr>
        <w:t xml:space="preserve"> Kamerstukken II, 2024/2025, 33 578,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34C0" w14:textId="0A509B51" w:rsidR="00CD5856" w:rsidRDefault="00000000">
    <w:pPr>
      <w:pStyle w:val="Koptekst"/>
    </w:pPr>
    <w:r>
      <w:rPr>
        <w:noProof/>
        <w:lang w:eastAsia="nl-NL" w:bidi="ar-SA"/>
      </w:rPr>
      <w:drawing>
        <wp:anchor distT="0" distB="0" distL="114300" distR="114300" simplePos="0" relativeHeight="251652096" behindDoc="1" locked="0" layoutInCell="1" allowOverlap="1" wp14:anchorId="749974FB" wp14:editId="3E29AB5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F9FAABB" wp14:editId="0B65BEA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8F298D">
      <w:rPr>
        <w:noProof/>
        <w:lang w:eastAsia="nl-NL" w:bidi="ar-SA"/>
      </w:rPr>
      <mc:AlternateContent>
        <mc:Choice Requires="wps">
          <w:drawing>
            <wp:anchor distT="0" distB="0" distL="114300" distR="114300" simplePos="0" relativeHeight="251658240" behindDoc="0" locked="0" layoutInCell="1" allowOverlap="1" wp14:anchorId="594EA8CF" wp14:editId="5EC36D9A">
              <wp:simplePos x="0" y="0"/>
              <wp:positionH relativeFrom="page">
                <wp:posOffset>5922645</wp:posOffset>
              </wp:positionH>
              <wp:positionV relativeFrom="page">
                <wp:posOffset>1965960</wp:posOffset>
              </wp:positionV>
              <wp:extent cx="1259840" cy="8009890"/>
              <wp:effectExtent l="7620" t="13335" r="8890" b="6350"/>
              <wp:wrapNone/>
              <wp:docPr id="6169330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D3CD99A" w14:textId="77777777" w:rsidR="00CD5856" w:rsidRDefault="00000000">
                          <w:pPr>
                            <w:pStyle w:val="Huisstijl-AfzendgegevensW1"/>
                          </w:pPr>
                          <w:r>
                            <w:t>Bezoekadres</w:t>
                          </w:r>
                        </w:p>
                        <w:p w14:paraId="4274B0E0" w14:textId="77777777" w:rsidR="00CD5856" w:rsidRDefault="00000000">
                          <w:pPr>
                            <w:pStyle w:val="Huisstijl-Afzendgegevens"/>
                          </w:pPr>
                          <w:r>
                            <w:t>Parnassusplein 5</w:t>
                          </w:r>
                        </w:p>
                        <w:p w14:paraId="11B2699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48A05D3" w14:textId="77777777" w:rsidR="00CD5856" w:rsidRDefault="00000000">
                          <w:pPr>
                            <w:pStyle w:val="Huisstijl-Afzendgegevens"/>
                          </w:pPr>
                          <w:r w:rsidRPr="008D59C5">
                            <w:t>www.rijksoverheid.nl</w:t>
                          </w:r>
                        </w:p>
                        <w:p w14:paraId="3E0E3111" w14:textId="77777777" w:rsidR="00CD5856" w:rsidRDefault="00000000">
                          <w:pPr>
                            <w:pStyle w:val="Huisstijl-ReferentiegegevenskopW2"/>
                          </w:pPr>
                          <w:r w:rsidRPr="008D59C5">
                            <w:t>Kenmerk</w:t>
                          </w:r>
                        </w:p>
                        <w:p w14:paraId="417D229B" w14:textId="77777777" w:rsidR="00CD5856" w:rsidRDefault="00000000">
                          <w:pPr>
                            <w:pStyle w:val="Huisstijl-Referentiegegevens"/>
                          </w:pPr>
                          <w:bookmarkStart w:id="0" w:name="_Hlk117784077"/>
                          <w:r>
                            <w:t>4471912-1100778-PZO</w:t>
                          </w:r>
                        </w:p>
                        <w:bookmarkEnd w:id="0"/>
                        <w:p w14:paraId="78A56E72" w14:textId="77777777" w:rsidR="00CD5856" w:rsidRPr="002B504F" w:rsidRDefault="00000000">
                          <w:pPr>
                            <w:pStyle w:val="Huisstijl-ReferentiegegevenskopW1"/>
                          </w:pPr>
                          <w:r w:rsidRPr="008D59C5">
                            <w:t>Bijlage(n)</w:t>
                          </w:r>
                        </w:p>
                        <w:p w14:paraId="7D8AF8F5" w14:textId="77777777" w:rsidR="00215CB5" w:rsidRDefault="00215CB5">
                          <w:pPr>
                            <w:pStyle w:val="Huisstijl-ReferentiegegevenskopW1"/>
                          </w:pPr>
                        </w:p>
                        <w:p w14:paraId="577DBE6C" w14:textId="77777777" w:rsidR="00CD5856" w:rsidRDefault="00000000">
                          <w:pPr>
                            <w:pStyle w:val="Huisstijl-ReferentiegegevenskopW1"/>
                          </w:pPr>
                          <w:r>
                            <w:t>Kenmerk afzender</w:t>
                          </w:r>
                        </w:p>
                        <w:p w14:paraId="0DFF12F9" w14:textId="77777777" w:rsidR="00CD5856" w:rsidRDefault="00CD5856">
                          <w:pPr>
                            <w:pStyle w:val="Huisstijl-Referentiegegevens"/>
                          </w:pPr>
                        </w:p>
                        <w:p w14:paraId="0D8796DA" w14:textId="77777777" w:rsidR="00CD5856" w:rsidRDefault="00000000">
                          <w:pPr>
                            <w:pStyle w:val="Huisstijl-Algemenevoorwaarden"/>
                          </w:pPr>
                          <w:r>
                            <w:t>Correspondentie uitsluitend richten aan het retouradres met vermelding van de datum en het kenmerk van deze brief.</w:t>
                          </w:r>
                        </w:p>
                        <w:p w14:paraId="25B2EC1C"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EA8CF" id="_x0000_t202" coordsize="21600,21600" o:spt="202" path="m,l,21600r21600,l21600,xe">
              <v:stroke joinstyle="miter"/>
              <v:path gradientshapeok="t" o:connecttype="rect"/>
            </v:shapetype>
            <v:shape id="Text Box 30" o:spid="_x0000_s1029"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1D3CD99A" w14:textId="77777777" w:rsidR="00CD5856" w:rsidRDefault="00000000">
                    <w:pPr>
                      <w:pStyle w:val="Huisstijl-AfzendgegevensW1"/>
                    </w:pPr>
                    <w:r>
                      <w:t>Bezoekadres</w:t>
                    </w:r>
                  </w:p>
                  <w:p w14:paraId="4274B0E0" w14:textId="77777777" w:rsidR="00CD5856" w:rsidRDefault="00000000">
                    <w:pPr>
                      <w:pStyle w:val="Huisstijl-Afzendgegevens"/>
                    </w:pPr>
                    <w:r>
                      <w:t>Parnassusplein 5</w:t>
                    </w:r>
                  </w:p>
                  <w:p w14:paraId="11B2699A"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48A05D3" w14:textId="77777777" w:rsidR="00CD5856" w:rsidRDefault="00000000">
                    <w:pPr>
                      <w:pStyle w:val="Huisstijl-Afzendgegevens"/>
                    </w:pPr>
                    <w:r w:rsidRPr="008D59C5">
                      <w:t>www.rijksoverheid.nl</w:t>
                    </w:r>
                  </w:p>
                  <w:p w14:paraId="3E0E3111" w14:textId="77777777" w:rsidR="00CD5856" w:rsidRDefault="00000000">
                    <w:pPr>
                      <w:pStyle w:val="Huisstijl-ReferentiegegevenskopW2"/>
                    </w:pPr>
                    <w:r w:rsidRPr="008D59C5">
                      <w:t>Kenmerk</w:t>
                    </w:r>
                  </w:p>
                  <w:p w14:paraId="417D229B" w14:textId="77777777" w:rsidR="00CD5856" w:rsidRDefault="00000000">
                    <w:pPr>
                      <w:pStyle w:val="Huisstijl-Referentiegegevens"/>
                    </w:pPr>
                    <w:bookmarkStart w:id="1" w:name="_Hlk117784077"/>
                    <w:r>
                      <w:t>4471912-1100778-PZO</w:t>
                    </w:r>
                  </w:p>
                  <w:bookmarkEnd w:id="1"/>
                  <w:p w14:paraId="78A56E72" w14:textId="77777777" w:rsidR="00CD5856" w:rsidRPr="002B504F" w:rsidRDefault="00000000">
                    <w:pPr>
                      <w:pStyle w:val="Huisstijl-ReferentiegegevenskopW1"/>
                    </w:pPr>
                    <w:r w:rsidRPr="008D59C5">
                      <w:t>Bijlage(n)</w:t>
                    </w:r>
                  </w:p>
                  <w:p w14:paraId="7D8AF8F5" w14:textId="77777777" w:rsidR="00215CB5" w:rsidRDefault="00215CB5">
                    <w:pPr>
                      <w:pStyle w:val="Huisstijl-ReferentiegegevenskopW1"/>
                    </w:pPr>
                  </w:p>
                  <w:p w14:paraId="577DBE6C" w14:textId="77777777" w:rsidR="00CD5856" w:rsidRDefault="00000000">
                    <w:pPr>
                      <w:pStyle w:val="Huisstijl-ReferentiegegevenskopW1"/>
                    </w:pPr>
                    <w:r>
                      <w:t>Kenmerk afzender</w:t>
                    </w:r>
                  </w:p>
                  <w:p w14:paraId="0DFF12F9" w14:textId="77777777" w:rsidR="00CD5856" w:rsidRDefault="00CD5856">
                    <w:pPr>
                      <w:pStyle w:val="Huisstijl-Referentiegegevens"/>
                    </w:pPr>
                  </w:p>
                  <w:p w14:paraId="0D8796DA" w14:textId="77777777" w:rsidR="00CD5856" w:rsidRDefault="00000000">
                    <w:pPr>
                      <w:pStyle w:val="Huisstijl-Algemenevoorwaarden"/>
                    </w:pPr>
                    <w:r>
                      <w:t>Correspondentie uitsluitend richten aan het retouradres met vermelding van de datum en het kenmerk van deze brief.</w:t>
                    </w:r>
                  </w:p>
                  <w:p w14:paraId="25B2EC1C" w14:textId="77777777" w:rsidR="00CD5856" w:rsidRDefault="00CD5856"/>
                </w:txbxContent>
              </v:textbox>
              <w10:wrap anchorx="page" anchory="page"/>
            </v:shape>
          </w:pict>
        </mc:Fallback>
      </mc:AlternateContent>
    </w:r>
    <w:r w:rsidR="008F298D">
      <w:rPr>
        <w:noProof/>
        <w:lang w:eastAsia="nl-NL" w:bidi="ar-SA"/>
      </w:rPr>
      <mc:AlternateContent>
        <mc:Choice Requires="wps">
          <w:drawing>
            <wp:anchor distT="0" distB="0" distL="114300" distR="114300" simplePos="0" relativeHeight="251657216" behindDoc="0" locked="0" layoutInCell="1" allowOverlap="1" wp14:anchorId="39AEFF3E" wp14:editId="68F798AC">
              <wp:simplePos x="0" y="0"/>
              <wp:positionH relativeFrom="page">
                <wp:posOffset>1011555</wp:posOffset>
              </wp:positionH>
              <wp:positionV relativeFrom="page">
                <wp:posOffset>3769995</wp:posOffset>
              </wp:positionV>
              <wp:extent cx="4103370" cy="466725"/>
              <wp:effectExtent l="11430" t="7620" r="9525" b="11430"/>
              <wp:wrapNone/>
              <wp:docPr id="16843940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92C0166" w14:textId="415C9173" w:rsidR="00CD5856" w:rsidRDefault="00000000">
                          <w:pPr>
                            <w:pStyle w:val="Huisstijl-Datumenbetreft"/>
                            <w:tabs>
                              <w:tab w:val="clear" w:pos="737"/>
                              <w:tab w:val="left" w:pos="-5954"/>
                              <w:tab w:val="left" w:pos="-5670"/>
                              <w:tab w:val="left" w:pos="1134"/>
                            </w:tabs>
                          </w:pPr>
                          <w:r>
                            <w:t>Datum</w:t>
                          </w:r>
                          <w:r w:rsidR="00E1490C">
                            <w:tab/>
                          </w:r>
                          <w:r w:rsidR="00907104">
                            <w:t>3 juli 2026</w:t>
                          </w:r>
                        </w:p>
                        <w:p w14:paraId="683E74BA" w14:textId="77777777" w:rsidR="00CD5856" w:rsidRDefault="00000000" w:rsidP="0094308C">
                          <w:pPr>
                            <w:pStyle w:val="Huisstijl-Datumenbetreft"/>
                            <w:tabs>
                              <w:tab w:val="clear" w:pos="737"/>
                              <w:tab w:val="left" w:pos="-5954"/>
                              <w:tab w:val="left" w:pos="-5670"/>
                              <w:tab w:val="left" w:pos="1134"/>
                            </w:tabs>
                            <w:ind w:left="851" w:hanging="851"/>
                          </w:pPr>
                          <w:r>
                            <w:t>Betreft</w:t>
                          </w:r>
                          <w:r w:rsidR="00E1490C">
                            <w:tab/>
                          </w:r>
                          <w:r w:rsidR="0094308C">
                            <w:t>Aanscherpingen wetsvoorstel Wet integere bedrijfsvoering zorg- en jeugdhulpaanbieders</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9AEFF3E" id="Text Box 29" o:spid="_x0000_s1030"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92C0166" w14:textId="415C9173" w:rsidR="00CD5856" w:rsidRDefault="00000000">
                    <w:pPr>
                      <w:pStyle w:val="Huisstijl-Datumenbetreft"/>
                      <w:tabs>
                        <w:tab w:val="clear" w:pos="737"/>
                        <w:tab w:val="left" w:pos="-5954"/>
                        <w:tab w:val="left" w:pos="-5670"/>
                        <w:tab w:val="left" w:pos="1134"/>
                      </w:tabs>
                    </w:pPr>
                    <w:r>
                      <w:t>Datum</w:t>
                    </w:r>
                    <w:r w:rsidR="00E1490C">
                      <w:tab/>
                    </w:r>
                    <w:r w:rsidR="00907104">
                      <w:t>3 juli 2026</w:t>
                    </w:r>
                  </w:p>
                  <w:p w14:paraId="683E74BA" w14:textId="77777777" w:rsidR="00CD5856" w:rsidRDefault="00000000" w:rsidP="0094308C">
                    <w:pPr>
                      <w:pStyle w:val="Huisstijl-Datumenbetreft"/>
                      <w:tabs>
                        <w:tab w:val="clear" w:pos="737"/>
                        <w:tab w:val="left" w:pos="-5954"/>
                        <w:tab w:val="left" w:pos="-5670"/>
                        <w:tab w:val="left" w:pos="1134"/>
                      </w:tabs>
                      <w:ind w:left="851" w:hanging="851"/>
                    </w:pPr>
                    <w:r>
                      <w:t>Betreft</w:t>
                    </w:r>
                    <w:r w:rsidR="00E1490C">
                      <w:tab/>
                    </w:r>
                    <w:r w:rsidR="0094308C">
                      <w:t>Aanscherpingen wetsvoorstel Wet integere bedrijfsvoering zorg- en jeugdhulpaanbieders</w:t>
                    </w:r>
                  </w:p>
                </w:txbxContent>
              </v:textbox>
              <w10:wrap anchorx="page" anchory="page"/>
            </v:shape>
          </w:pict>
        </mc:Fallback>
      </mc:AlternateContent>
    </w:r>
    <w:r w:rsidR="008F298D">
      <w:rPr>
        <w:noProof/>
        <w:lang w:eastAsia="nl-NL" w:bidi="ar-SA"/>
      </w:rPr>
      <mc:AlternateContent>
        <mc:Choice Requires="wps">
          <w:drawing>
            <wp:anchor distT="0" distB="0" distL="114300" distR="114300" simplePos="0" relativeHeight="251656192" behindDoc="0" locked="0" layoutInCell="1" allowOverlap="1" wp14:anchorId="0982B289" wp14:editId="01772465">
              <wp:simplePos x="0" y="0"/>
              <wp:positionH relativeFrom="page">
                <wp:posOffset>1008380</wp:posOffset>
              </wp:positionH>
              <wp:positionV relativeFrom="page">
                <wp:posOffset>3384550</wp:posOffset>
              </wp:positionV>
              <wp:extent cx="4104005" cy="179705"/>
              <wp:effectExtent l="8255" t="12700" r="12065" b="7620"/>
              <wp:wrapNone/>
              <wp:docPr id="149767210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93266F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2B289" id="Text Box 28" o:spid="_x0000_s1031"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93266F8" w14:textId="77777777" w:rsidR="00CD5856" w:rsidRDefault="00CD5856">
                    <w:pPr>
                      <w:pStyle w:val="Huisstijl-Toezendgegevens"/>
                    </w:pPr>
                  </w:p>
                </w:txbxContent>
              </v:textbox>
              <w10:wrap anchorx="page" anchory="page"/>
            </v:shape>
          </w:pict>
        </mc:Fallback>
      </mc:AlternateContent>
    </w:r>
    <w:r w:rsidR="008F298D">
      <w:rPr>
        <w:noProof/>
        <w:lang w:eastAsia="nl-NL" w:bidi="ar-SA"/>
      </w:rPr>
      <mc:AlternateContent>
        <mc:Choice Requires="wps">
          <w:drawing>
            <wp:anchor distT="0" distB="0" distL="114300" distR="114300" simplePos="0" relativeHeight="251655168" behindDoc="0" locked="0" layoutInCell="1" allowOverlap="1" wp14:anchorId="7607F068" wp14:editId="201D22AE">
              <wp:simplePos x="0" y="0"/>
              <wp:positionH relativeFrom="page">
                <wp:posOffset>1008380</wp:posOffset>
              </wp:positionH>
              <wp:positionV relativeFrom="page">
                <wp:posOffset>1944370</wp:posOffset>
              </wp:positionV>
              <wp:extent cx="3347720" cy="1080135"/>
              <wp:effectExtent l="8255" t="10795" r="6350" b="13970"/>
              <wp:wrapNone/>
              <wp:docPr id="19380002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C5281A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7F068" id="Text Box 27" o:spid="_x0000_s1032"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C5281A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8F298D">
      <w:rPr>
        <w:noProof/>
        <w:lang w:eastAsia="nl-NL" w:bidi="ar-SA"/>
      </w:rPr>
      <mc:AlternateContent>
        <mc:Choice Requires="wps">
          <w:drawing>
            <wp:anchor distT="0" distB="0" distL="114300" distR="114300" simplePos="0" relativeHeight="251654144" behindDoc="0" locked="1" layoutInCell="1" allowOverlap="1" wp14:anchorId="299EC04A" wp14:editId="57AB964B">
              <wp:simplePos x="0" y="0"/>
              <wp:positionH relativeFrom="page">
                <wp:posOffset>1008380</wp:posOffset>
              </wp:positionH>
              <wp:positionV relativeFrom="page">
                <wp:posOffset>1713865</wp:posOffset>
              </wp:positionV>
              <wp:extent cx="3590925" cy="144145"/>
              <wp:effectExtent l="8255" t="8890" r="10795" b="8890"/>
              <wp:wrapNone/>
              <wp:docPr id="104997980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CC27E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EC04A" id="Text Box 26" o:spid="_x0000_s1033"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CC27E6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0DA" w14:textId="1557D2C6" w:rsidR="00CD5856" w:rsidRDefault="008F298D">
    <w:pPr>
      <w:pStyle w:val="Koptekst"/>
    </w:pPr>
    <w:r>
      <w:rPr>
        <w:noProof/>
        <w:lang w:eastAsia="nl-NL" w:bidi="ar-SA"/>
      </w:rPr>
      <mc:AlternateContent>
        <mc:Choice Requires="wps">
          <w:drawing>
            <wp:anchor distT="0" distB="0" distL="114300" distR="114300" simplePos="0" relativeHeight="251659264" behindDoc="0" locked="0" layoutInCell="1" allowOverlap="1" wp14:anchorId="21C87BEA" wp14:editId="1D9918C4">
              <wp:simplePos x="0" y="0"/>
              <wp:positionH relativeFrom="page">
                <wp:posOffset>5922645</wp:posOffset>
              </wp:positionH>
              <wp:positionV relativeFrom="page">
                <wp:posOffset>1936750</wp:posOffset>
              </wp:positionV>
              <wp:extent cx="1259840" cy="8009890"/>
              <wp:effectExtent l="7620" t="12700" r="8890" b="6985"/>
              <wp:wrapNone/>
              <wp:docPr id="981351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7BE61AF" w14:textId="77777777" w:rsidR="00CD5856" w:rsidRDefault="00000000">
                          <w:pPr>
                            <w:pStyle w:val="Huisstijl-ReferentiegegevenskopW2"/>
                          </w:pPr>
                          <w:r w:rsidRPr="008D59C5">
                            <w:t>Kenmerk</w:t>
                          </w:r>
                        </w:p>
                        <w:p w14:paraId="1DB637B0" w14:textId="77777777" w:rsidR="00C95CA9" w:rsidRPr="00C95CA9" w:rsidRDefault="00000000" w:rsidP="00C95CA9">
                          <w:pPr>
                            <w:pStyle w:val="Huisstijl-Referentiegegevens"/>
                          </w:pPr>
                          <w:r w:rsidRPr="00C95CA9">
                            <w:t>4471912-1100778-PZO</w:t>
                          </w:r>
                        </w:p>
                        <w:p w14:paraId="72832ED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C87BEA" id="_x0000_t202" coordsize="21600,21600" o:spt="202" path="m,l,21600r21600,l21600,xe">
              <v:stroke joinstyle="miter"/>
              <v:path gradientshapeok="t" o:connecttype="rect"/>
            </v:shapetype>
            <v:shape id="Text Box 5" o:spid="_x0000_s1035"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7BE61AF" w14:textId="77777777" w:rsidR="00CD5856" w:rsidRDefault="00000000">
                    <w:pPr>
                      <w:pStyle w:val="Huisstijl-ReferentiegegevenskopW2"/>
                    </w:pPr>
                    <w:r w:rsidRPr="008D59C5">
                      <w:t>Kenmerk</w:t>
                    </w:r>
                  </w:p>
                  <w:p w14:paraId="1DB637B0" w14:textId="77777777" w:rsidR="00C95CA9" w:rsidRPr="00C95CA9" w:rsidRDefault="00000000" w:rsidP="00C95CA9">
                    <w:pPr>
                      <w:pStyle w:val="Huisstijl-Referentiegegevens"/>
                    </w:pPr>
                    <w:r w:rsidRPr="00C95CA9">
                      <w:t>4471912-1100778-PZO</w:t>
                    </w:r>
                  </w:p>
                  <w:p w14:paraId="72832ED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3469401" wp14:editId="55A94F90">
              <wp:simplePos x="0" y="0"/>
              <wp:positionH relativeFrom="page">
                <wp:posOffset>5922645</wp:posOffset>
              </wp:positionH>
              <wp:positionV relativeFrom="page">
                <wp:posOffset>10225405</wp:posOffset>
              </wp:positionV>
              <wp:extent cx="1259840" cy="213995"/>
              <wp:effectExtent l="7620" t="5080" r="8890" b="9525"/>
              <wp:wrapNone/>
              <wp:docPr id="6320938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88E3AD5" w14:textId="2B722D9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86D7F">
                            <w:fldChar w:fldCharType="begin"/>
                          </w:r>
                          <w:r>
                            <w:instrText xml:space="preserve"> SECTIONPAGES  \* Arabic  \* MERGEFORMAT </w:instrText>
                          </w:r>
                          <w:r w:rsidR="00986D7F">
                            <w:fldChar w:fldCharType="separate"/>
                          </w:r>
                          <w:r w:rsidR="00024BCC">
                            <w:rPr>
                              <w:noProof/>
                            </w:rPr>
                            <w:t>11</w:t>
                          </w:r>
                          <w:r w:rsidR="00986D7F">
                            <w:rPr>
                              <w:noProof/>
                            </w:rPr>
                            <w:fldChar w:fldCharType="end"/>
                          </w:r>
                        </w:p>
                        <w:p w14:paraId="6373DB56" w14:textId="77777777" w:rsidR="00CD5856" w:rsidRDefault="00CD5856"/>
                        <w:p w14:paraId="6EB269E6" w14:textId="77777777" w:rsidR="00CD5856" w:rsidRDefault="00CD5856">
                          <w:pPr>
                            <w:pStyle w:val="Huisstijl-Paginanummer"/>
                          </w:pPr>
                        </w:p>
                        <w:p w14:paraId="4D959FD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69401" id="Text Box 18" o:spid="_x0000_s1036"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588E3AD5" w14:textId="2B722D9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86D7F">
                      <w:fldChar w:fldCharType="begin"/>
                    </w:r>
                    <w:r>
                      <w:instrText xml:space="preserve"> SECTIONPAGES  \* Arabic  \* MERGEFORMAT </w:instrText>
                    </w:r>
                    <w:r w:rsidR="00986D7F">
                      <w:fldChar w:fldCharType="separate"/>
                    </w:r>
                    <w:r w:rsidR="00024BCC">
                      <w:rPr>
                        <w:noProof/>
                      </w:rPr>
                      <w:t>11</w:t>
                    </w:r>
                    <w:r w:rsidR="00986D7F">
                      <w:rPr>
                        <w:noProof/>
                      </w:rPr>
                      <w:fldChar w:fldCharType="end"/>
                    </w:r>
                  </w:p>
                  <w:p w14:paraId="6373DB56" w14:textId="77777777" w:rsidR="00CD5856" w:rsidRDefault="00CD5856"/>
                  <w:p w14:paraId="6EB269E6" w14:textId="77777777" w:rsidR="00CD5856" w:rsidRDefault="00CD5856">
                    <w:pPr>
                      <w:pStyle w:val="Huisstijl-Paginanummer"/>
                    </w:pPr>
                  </w:p>
                  <w:p w14:paraId="4D959FD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5DBB" w14:textId="78014438" w:rsidR="00CD5856" w:rsidRDefault="008F298D">
    <w:pPr>
      <w:pStyle w:val="Koptekst"/>
    </w:pPr>
    <w:r>
      <w:rPr>
        <w:noProof/>
        <w:lang w:eastAsia="nl-NL" w:bidi="ar-SA"/>
      </w:rPr>
      <mc:AlternateContent>
        <mc:Choice Requires="wps">
          <w:drawing>
            <wp:anchor distT="0" distB="0" distL="114300" distR="114300" simplePos="0" relativeHeight="251664384" behindDoc="0" locked="0" layoutInCell="1" allowOverlap="1" wp14:anchorId="65A8B597" wp14:editId="77183DA1">
              <wp:simplePos x="0" y="0"/>
              <wp:positionH relativeFrom="page">
                <wp:posOffset>1009650</wp:posOffset>
              </wp:positionH>
              <wp:positionV relativeFrom="page">
                <wp:posOffset>3768725</wp:posOffset>
              </wp:positionV>
              <wp:extent cx="4103370" cy="457200"/>
              <wp:effectExtent l="9525" t="6350" r="11430" b="12700"/>
              <wp:wrapTopAndBottom/>
              <wp:docPr id="9344439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D0CD0B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72C5">
                                <w:t>26 juni 2014</w:t>
                              </w:r>
                            </w:sdtContent>
                          </w:sdt>
                        </w:p>
                        <w:p w14:paraId="0FAFB3B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28DE39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5A8B597" id="_x0000_t202" coordsize="21600,21600" o:spt="202" path="m,l,21600r21600,l21600,xe">
              <v:stroke joinstyle="miter"/>
              <v:path gradientshapeok="t" o:connecttype="rect"/>
            </v:shapetype>
            <v:shape id="Text Box 16" o:spid="_x0000_s1037"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D0CD0B7"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E72C5">
                          <w:t>26 juni 2014</w:t>
                        </w:r>
                      </w:sdtContent>
                    </w:sdt>
                  </w:p>
                  <w:p w14:paraId="0FAFB3B5"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28DE39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144B49C9" wp14:editId="275A550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F7C9913" wp14:editId="7A095C3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422D263" wp14:editId="5BBF3AE9">
              <wp:simplePos x="0" y="0"/>
              <wp:positionH relativeFrom="page">
                <wp:posOffset>5922645</wp:posOffset>
              </wp:positionH>
              <wp:positionV relativeFrom="page">
                <wp:posOffset>1964690</wp:posOffset>
              </wp:positionV>
              <wp:extent cx="1259840" cy="8009890"/>
              <wp:effectExtent l="7620" t="12065" r="8890" b="7620"/>
              <wp:wrapNone/>
              <wp:docPr id="141506275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2B92888" w14:textId="77777777" w:rsidR="00CD5856" w:rsidRDefault="00000000">
                          <w:pPr>
                            <w:pStyle w:val="Huisstijl-Afzendgegevens"/>
                          </w:pPr>
                          <w:r w:rsidRPr="008D59C5">
                            <w:t>Rijnstraat 50</w:t>
                          </w:r>
                        </w:p>
                        <w:p w14:paraId="5454C03F" w14:textId="77777777" w:rsidR="00CD5856" w:rsidRDefault="00000000">
                          <w:pPr>
                            <w:pStyle w:val="Huisstijl-Afzendgegevens"/>
                          </w:pPr>
                          <w:r w:rsidRPr="008D59C5">
                            <w:t>Den Haag</w:t>
                          </w:r>
                        </w:p>
                        <w:p w14:paraId="52601EBB" w14:textId="77777777" w:rsidR="00CD5856" w:rsidRDefault="00000000">
                          <w:pPr>
                            <w:pStyle w:val="Huisstijl-Afzendgegevens"/>
                          </w:pPr>
                          <w:r w:rsidRPr="008D59C5">
                            <w:t>www.rijksoverheid.nl</w:t>
                          </w:r>
                        </w:p>
                        <w:p w14:paraId="4C87D0B6" w14:textId="77777777" w:rsidR="00CD5856" w:rsidRDefault="00000000">
                          <w:pPr>
                            <w:pStyle w:val="Huisstijl-AfzendgegevenskopW1"/>
                          </w:pPr>
                          <w:r>
                            <w:t>Contactpersoon</w:t>
                          </w:r>
                        </w:p>
                        <w:p w14:paraId="115EBBB9" w14:textId="77777777" w:rsidR="00CD5856" w:rsidRDefault="00000000">
                          <w:pPr>
                            <w:pStyle w:val="Huisstijl-Afzendgegevens"/>
                          </w:pPr>
                          <w:r w:rsidRPr="008D59C5">
                            <w:t>ing. J.A. Ramlal</w:t>
                          </w:r>
                        </w:p>
                        <w:p w14:paraId="7A54675E" w14:textId="77777777" w:rsidR="00CD5856" w:rsidRDefault="00000000">
                          <w:pPr>
                            <w:pStyle w:val="Huisstijl-Afzendgegevens"/>
                          </w:pPr>
                          <w:r w:rsidRPr="008D59C5">
                            <w:t>ja.ramlal@minvws.nl</w:t>
                          </w:r>
                        </w:p>
                        <w:p w14:paraId="130E8613" w14:textId="77777777" w:rsidR="00CD5856" w:rsidRDefault="00000000">
                          <w:pPr>
                            <w:pStyle w:val="Huisstijl-ReferentiegegevenskopW2"/>
                          </w:pPr>
                          <w:r>
                            <w:t>Ons kenmerk</w:t>
                          </w:r>
                        </w:p>
                        <w:p w14:paraId="2F3A435F" w14:textId="77777777" w:rsidR="00CD5856" w:rsidRDefault="00000000">
                          <w:pPr>
                            <w:pStyle w:val="Huisstijl-Referentiegegevens"/>
                          </w:pPr>
                          <w:r>
                            <w:t>KENMERK</w:t>
                          </w:r>
                        </w:p>
                        <w:p w14:paraId="69375D64" w14:textId="77777777" w:rsidR="00CD5856" w:rsidRDefault="00000000">
                          <w:pPr>
                            <w:pStyle w:val="Huisstijl-ReferentiegegevenskopW1"/>
                          </w:pPr>
                          <w:r>
                            <w:t>Uw kenmerk</w:t>
                          </w:r>
                        </w:p>
                        <w:p w14:paraId="0C06A2EB"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22D263" id="Text Box 1034" o:spid="_x0000_s1038"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2B92888" w14:textId="77777777" w:rsidR="00CD5856" w:rsidRDefault="00000000">
                    <w:pPr>
                      <w:pStyle w:val="Huisstijl-Afzendgegevens"/>
                    </w:pPr>
                    <w:r w:rsidRPr="008D59C5">
                      <w:t>Rijnstraat 50</w:t>
                    </w:r>
                  </w:p>
                  <w:p w14:paraId="5454C03F" w14:textId="77777777" w:rsidR="00CD5856" w:rsidRDefault="00000000">
                    <w:pPr>
                      <w:pStyle w:val="Huisstijl-Afzendgegevens"/>
                    </w:pPr>
                    <w:r w:rsidRPr="008D59C5">
                      <w:t>Den Haag</w:t>
                    </w:r>
                  </w:p>
                  <w:p w14:paraId="52601EBB" w14:textId="77777777" w:rsidR="00CD5856" w:rsidRDefault="00000000">
                    <w:pPr>
                      <w:pStyle w:val="Huisstijl-Afzendgegevens"/>
                    </w:pPr>
                    <w:r w:rsidRPr="008D59C5">
                      <w:t>www.rijksoverheid.nl</w:t>
                    </w:r>
                  </w:p>
                  <w:p w14:paraId="4C87D0B6" w14:textId="77777777" w:rsidR="00CD5856" w:rsidRDefault="00000000">
                    <w:pPr>
                      <w:pStyle w:val="Huisstijl-AfzendgegevenskopW1"/>
                    </w:pPr>
                    <w:r>
                      <w:t>Contactpersoon</w:t>
                    </w:r>
                  </w:p>
                  <w:p w14:paraId="115EBBB9" w14:textId="77777777" w:rsidR="00CD5856" w:rsidRDefault="00000000">
                    <w:pPr>
                      <w:pStyle w:val="Huisstijl-Afzendgegevens"/>
                    </w:pPr>
                    <w:r w:rsidRPr="008D59C5">
                      <w:t>ing. J.A. Ramlal</w:t>
                    </w:r>
                  </w:p>
                  <w:p w14:paraId="7A54675E" w14:textId="77777777" w:rsidR="00CD5856" w:rsidRDefault="00000000">
                    <w:pPr>
                      <w:pStyle w:val="Huisstijl-Afzendgegevens"/>
                    </w:pPr>
                    <w:r w:rsidRPr="008D59C5">
                      <w:t>ja.ramlal@minvws.nl</w:t>
                    </w:r>
                  </w:p>
                  <w:p w14:paraId="130E8613" w14:textId="77777777" w:rsidR="00CD5856" w:rsidRDefault="00000000">
                    <w:pPr>
                      <w:pStyle w:val="Huisstijl-ReferentiegegevenskopW2"/>
                    </w:pPr>
                    <w:r>
                      <w:t>Ons kenmerk</w:t>
                    </w:r>
                  </w:p>
                  <w:p w14:paraId="2F3A435F" w14:textId="77777777" w:rsidR="00CD5856" w:rsidRDefault="00000000">
                    <w:pPr>
                      <w:pStyle w:val="Huisstijl-Referentiegegevens"/>
                    </w:pPr>
                    <w:r>
                      <w:t>KENMERK</w:t>
                    </w:r>
                  </w:p>
                  <w:p w14:paraId="69375D64" w14:textId="77777777" w:rsidR="00CD5856" w:rsidRDefault="00000000">
                    <w:pPr>
                      <w:pStyle w:val="Huisstijl-ReferentiegegevenskopW1"/>
                    </w:pPr>
                    <w:r>
                      <w:t>Uw kenmerk</w:t>
                    </w:r>
                  </w:p>
                  <w:p w14:paraId="0C06A2EB"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6EE1347" wp14:editId="171DA048">
              <wp:simplePos x="0" y="0"/>
              <wp:positionH relativeFrom="page">
                <wp:posOffset>1008380</wp:posOffset>
              </wp:positionH>
              <wp:positionV relativeFrom="page">
                <wp:posOffset>1942465</wp:posOffset>
              </wp:positionV>
              <wp:extent cx="2988310" cy="1080135"/>
              <wp:effectExtent l="8255" t="8890" r="13335" b="6350"/>
              <wp:wrapNone/>
              <wp:docPr id="58223713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C5FF3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E1347" id="Text Box 1035" o:spid="_x0000_s1039"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4C5FF32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666798A" wp14:editId="2EFEFA4B">
              <wp:simplePos x="0" y="0"/>
              <wp:positionH relativeFrom="page">
                <wp:posOffset>5922645</wp:posOffset>
              </wp:positionH>
              <wp:positionV relativeFrom="page">
                <wp:posOffset>10224770</wp:posOffset>
              </wp:positionV>
              <wp:extent cx="730885" cy="107950"/>
              <wp:effectExtent l="7620" t="13970" r="13970" b="11430"/>
              <wp:wrapNone/>
              <wp:docPr id="51984645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A137E1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66798A" id="Text Box 1036" o:spid="_x0000_s1040"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6A137E1F"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4516872" wp14:editId="7FB4DD0F">
              <wp:simplePos x="0" y="0"/>
              <wp:positionH relativeFrom="page">
                <wp:posOffset>1008380</wp:posOffset>
              </wp:positionH>
              <wp:positionV relativeFrom="page">
                <wp:posOffset>3384550</wp:posOffset>
              </wp:positionV>
              <wp:extent cx="4104005" cy="179705"/>
              <wp:effectExtent l="8255" t="12700" r="12065" b="7620"/>
              <wp:wrapNone/>
              <wp:docPr id="117662386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C7C5B5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6872" id="Text Box 1037" o:spid="_x0000_s1041"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C7C5B5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2209190" wp14:editId="198E4497">
              <wp:simplePos x="0" y="0"/>
              <wp:positionH relativeFrom="page">
                <wp:posOffset>1008380</wp:posOffset>
              </wp:positionH>
              <wp:positionV relativeFrom="page">
                <wp:posOffset>1715135</wp:posOffset>
              </wp:positionV>
              <wp:extent cx="3590925" cy="144145"/>
              <wp:effectExtent l="8255" t="10160" r="10795" b="7620"/>
              <wp:wrapNone/>
              <wp:docPr id="90719244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FF4B44"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09190" id="Text Box 1038" o:spid="_x0000_s1042"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29FF4B4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C65"/>
    <w:multiLevelType w:val="hybridMultilevel"/>
    <w:tmpl w:val="D7F6935C"/>
    <w:lvl w:ilvl="0" w:tplc="024A4268">
      <w:start w:val="1"/>
      <w:numFmt w:val="bullet"/>
      <w:lvlText w:val=""/>
      <w:lvlJc w:val="left"/>
      <w:pPr>
        <w:ind w:left="720" w:hanging="360"/>
      </w:pPr>
      <w:rPr>
        <w:rFonts w:ascii="Symbol" w:hAnsi="Symbol" w:hint="default"/>
      </w:rPr>
    </w:lvl>
    <w:lvl w:ilvl="1" w:tplc="0CDA6B04" w:tentative="1">
      <w:start w:val="1"/>
      <w:numFmt w:val="lowerLetter"/>
      <w:lvlText w:val="%2."/>
      <w:lvlJc w:val="left"/>
      <w:pPr>
        <w:ind w:left="1440" w:hanging="360"/>
      </w:pPr>
    </w:lvl>
    <w:lvl w:ilvl="2" w:tplc="ECE81622" w:tentative="1">
      <w:start w:val="1"/>
      <w:numFmt w:val="lowerRoman"/>
      <w:lvlText w:val="%3."/>
      <w:lvlJc w:val="right"/>
      <w:pPr>
        <w:ind w:left="2160" w:hanging="180"/>
      </w:pPr>
    </w:lvl>
    <w:lvl w:ilvl="3" w:tplc="5DEA4D34" w:tentative="1">
      <w:start w:val="1"/>
      <w:numFmt w:val="decimal"/>
      <w:lvlText w:val="%4."/>
      <w:lvlJc w:val="left"/>
      <w:pPr>
        <w:ind w:left="2880" w:hanging="360"/>
      </w:pPr>
    </w:lvl>
    <w:lvl w:ilvl="4" w:tplc="515EDEC0" w:tentative="1">
      <w:start w:val="1"/>
      <w:numFmt w:val="lowerLetter"/>
      <w:lvlText w:val="%5."/>
      <w:lvlJc w:val="left"/>
      <w:pPr>
        <w:ind w:left="3600" w:hanging="360"/>
      </w:pPr>
    </w:lvl>
    <w:lvl w:ilvl="5" w:tplc="13FA9EE4" w:tentative="1">
      <w:start w:val="1"/>
      <w:numFmt w:val="lowerRoman"/>
      <w:lvlText w:val="%6."/>
      <w:lvlJc w:val="right"/>
      <w:pPr>
        <w:ind w:left="4320" w:hanging="180"/>
      </w:pPr>
    </w:lvl>
    <w:lvl w:ilvl="6" w:tplc="15B2D3D0" w:tentative="1">
      <w:start w:val="1"/>
      <w:numFmt w:val="decimal"/>
      <w:lvlText w:val="%7."/>
      <w:lvlJc w:val="left"/>
      <w:pPr>
        <w:ind w:left="5040" w:hanging="360"/>
      </w:pPr>
    </w:lvl>
    <w:lvl w:ilvl="7" w:tplc="78140B64" w:tentative="1">
      <w:start w:val="1"/>
      <w:numFmt w:val="lowerLetter"/>
      <w:lvlText w:val="%8."/>
      <w:lvlJc w:val="left"/>
      <w:pPr>
        <w:ind w:left="5760" w:hanging="360"/>
      </w:pPr>
    </w:lvl>
    <w:lvl w:ilvl="8" w:tplc="65166E78" w:tentative="1">
      <w:start w:val="1"/>
      <w:numFmt w:val="lowerRoman"/>
      <w:lvlText w:val="%9."/>
      <w:lvlJc w:val="right"/>
      <w:pPr>
        <w:ind w:left="6480" w:hanging="180"/>
      </w:pPr>
    </w:lvl>
  </w:abstractNum>
  <w:abstractNum w:abstractNumId="1" w15:restartNumberingAfterBreak="0">
    <w:nsid w:val="1A0C662C"/>
    <w:multiLevelType w:val="multilevel"/>
    <w:tmpl w:val="FF1C5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3B3182"/>
    <w:multiLevelType w:val="hybridMultilevel"/>
    <w:tmpl w:val="3BE6458E"/>
    <w:lvl w:ilvl="0" w:tplc="1A3A789A">
      <w:start w:val="1"/>
      <w:numFmt w:val="lowerLetter"/>
      <w:lvlText w:val="%1."/>
      <w:lvlJc w:val="left"/>
      <w:pPr>
        <w:ind w:left="720" w:hanging="360"/>
      </w:pPr>
      <w:rPr>
        <w:rFonts w:hint="default"/>
      </w:rPr>
    </w:lvl>
    <w:lvl w:ilvl="1" w:tplc="0F3CE3AA" w:tentative="1">
      <w:start w:val="1"/>
      <w:numFmt w:val="lowerLetter"/>
      <w:lvlText w:val="%2."/>
      <w:lvlJc w:val="left"/>
      <w:pPr>
        <w:ind w:left="1440" w:hanging="360"/>
      </w:pPr>
    </w:lvl>
    <w:lvl w:ilvl="2" w:tplc="7A66FCA6" w:tentative="1">
      <w:start w:val="1"/>
      <w:numFmt w:val="lowerRoman"/>
      <w:lvlText w:val="%3."/>
      <w:lvlJc w:val="right"/>
      <w:pPr>
        <w:ind w:left="2160" w:hanging="180"/>
      </w:pPr>
    </w:lvl>
    <w:lvl w:ilvl="3" w:tplc="076C3B18" w:tentative="1">
      <w:start w:val="1"/>
      <w:numFmt w:val="decimal"/>
      <w:lvlText w:val="%4."/>
      <w:lvlJc w:val="left"/>
      <w:pPr>
        <w:ind w:left="2880" w:hanging="360"/>
      </w:pPr>
    </w:lvl>
    <w:lvl w:ilvl="4" w:tplc="727EEBA4" w:tentative="1">
      <w:start w:val="1"/>
      <w:numFmt w:val="lowerLetter"/>
      <w:lvlText w:val="%5."/>
      <w:lvlJc w:val="left"/>
      <w:pPr>
        <w:ind w:left="3600" w:hanging="360"/>
      </w:pPr>
    </w:lvl>
    <w:lvl w:ilvl="5" w:tplc="84982C70" w:tentative="1">
      <w:start w:val="1"/>
      <w:numFmt w:val="lowerRoman"/>
      <w:lvlText w:val="%6."/>
      <w:lvlJc w:val="right"/>
      <w:pPr>
        <w:ind w:left="4320" w:hanging="180"/>
      </w:pPr>
    </w:lvl>
    <w:lvl w:ilvl="6" w:tplc="139246EC" w:tentative="1">
      <w:start w:val="1"/>
      <w:numFmt w:val="decimal"/>
      <w:lvlText w:val="%7."/>
      <w:lvlJc w:val="left"/>
      <w:pPr>
        <w:ind w:left="5040" w:hanging="360"/>
      </w:pPr>
    </w:lvl>
    <w:lvl w:ilvl="7" w:tplc="61383E9C" w:tentative="1">
      <w:start w:val="1"/>
      <w:numFmt w:val="lowerLetter"/>
      <w:lvlText w:val="%8."/>
      <w:lvlJc w:val="left"/>
      <w:pPr>
        <w:ind w:left="5760" w:hanging="360"/>
      </w:pPr>
    </w:lvl>
    <w:lvl w:ilvl="8" w:tplc="42622C50" w:tentative="1">
      <w:start w:val="1"/>
      <w:numFmt w:val="lowerRoman"/>
      <w:lvlText w:val="%9."/>
      <w:lvlJc w:val="right"/>
      <w:pPr>
        <w:ind w:left="6480" w:hanging="180"/>
      </w:pPr>
    </w:lvl>
  </w:abstractNum>
  <w:abstractNum w:abstractNumId="3" w15:restartNumberingAfterBreak="0">
    <w:nsid w:val="558A576F"/>
    <w:multiLevelType w:val="hybridMultilevel"/>
    <w:tmpl w:val="DB8AF5D4"/>
    <w:lvl w:ilvl="0" w:tplc="9DBA797E">
      <w:numFmt w:val="bullet"/>
      <w:lvlText w:val=""/>
      <w:lvlJc w:val="left"/>
      <w:pPr>
        <w:ind w:left="720" w:hanging="360"/>
      </w:pPr>
      <w:rPr>
        <w:rFonts w:ascii="Wingdings" w:eastAsia="DejaVu Sans" w:hAnsi="Wingdings" w:cs="Lohit Hindi" w:hint="default"/>
      </w:rPr>
    </w:lvl>
    <w:lvl w:ilvl="1" w:tplc="5E3EFA00" w:tentative="1">
      <w:start w:val="1"/>
      <w:numFmt w:val="bullet"/>
      <w:lvlText w:val="o"/>
      <w:lvlJc w:val="left"/>
      <w:pPr>
        <w:ind w:left="1440" w:hanging="360"/>
      </w:pPr>
      <w:rPr>
        <w:rFonts w:ascii="Courier New" w:hAnsi="Courier New" w:cs="Courier New" w:hint="default"/>
      </w:rPr>
    </w:lvl>
    <w:lvl w:ilvl="2" w:tplc="5E1A700C" w:tentative="1">
      <w:start w:val="1"/>
      <w:numFmt w:val="bullet"/>
      <w:lvlText w:val=""/>
      <w:lvlJc w:val="left"/>
      <w:pPr>
        <w:ind w:left="2160" w:hanging="360"/>
      </w:pPr>
      <w:rPr>
        <w:rFonts w:ascii="Wingdings" w:hAnsi="Wingdings" w:hint="default"/>
      </w:rPr>
    </w:lvl>
    <w:lvl w:ilvl="3" w:tplc="0D6433CA" w:tentative="1">
      <w:start w:val="1"/>
      <w:numFmt w:val="bullet"/>
      <w:lvlText w:val=""/>
      <w:lvlJc w:val="left"/>
      <w:pPr>
        <w:ind w:left="2880" w:hanging="360"/>
      </w:pPr>
      <w:rPr>
        <w:rFonts w:ascii="Symbol" w:hAnsi="Symbol" w:hint="default"/>
      </w:rPr>
    </w:lvl>
    <w:lvl w:ilvl="4" w:tplc="15B6314C" w:tentative="1">
      <w:start w:val="1"/>
      <w:numFmt w:val="bullet"/>
      <w:lvlText w:val="o"/>
      <w:lvlJc w:val="left"/>
      <w:pPr>
        <w:ind w:left="3600" w:hanging="360"/>
      </w:pPr>
      <w:rPr>
        <w:rFonts w:ascii="Courier New" w:hAnsi="Courier New" w:cs="Courier New" w:hint="default"/>
      </w:rPr>
    </w:lvl>
    <w:lvl w:ilvl="5" w:tplc="82742CD4" w:tentative="1">
      <w:start w:val="1"/>
      <w:numFmt w:val="bullet"/>
      <w:lvlText w:val=""/>
      <w:lvlJc w:val="left"/>
      <w:pPr>
        <w:ind w:left="4320" w:hanging="360"/>
      </w:pPr>
      <w:rPr>
        <w:rFonts w:ascii="Wingdings" w:hAnsi="Wingdings" w:hint="default"/>
      </w:rPr>
    </w:lvl>
    <w:lvl w:ilvl="6" w:tplc="05C0D5E6" w:tentative="1">
      <w:start w:val="1"/>
      <w:numFmt w:val="bullet"/>
      <w:lvlText w:val=""/>
      <w:lvlJc w:val="left"/>
      <w:pPr>
        <w:ind w:left="5040" w:hanging="360"/>
      </w:pPr>
      <w:rPr>
        <w:rFonts w:ascii="Symbol" w:hAnsi="Symbol" w:hint="default"/>
      </w:rPr>
    </w:lvl>
    <w:lvl w:ilvl="7" w:tplc="5AFE2D8A" w:tentative="1">
      <w:start w:val="1"/>
      <w:numFmt w:val="bullet"/>
      <w:lvlText w:val="o"/>
      <w:lvlJc w:val="left"/>
      <w:pPr>
        <w:ind w:left="5760" w:hanging="360"/>
      </w:pPr>
      <w:rPr>
        <w:rFonts w:ascii="Courier New" w:hAnsi="Courier New" w:cs="Courier New" w:hint="default"/>
      </w:rPr>
    </w:lvl>
    <w:lvl w:ilvl="8" w:tplc="84B6D84C" w:tentative="1">
      <w:start w:val="1"/>
      <w:numFmt w:val="bullet"/>
      <w:lvlText w:val=""/>
      <w:lvlJc w:val="left"/>
      <w:pPr>
        <w:ind w:left="6480" w:hanging="360"/>
      </w:pPr>
      <w:rPr>
        <w:rFonts w:ascii="Wingdings" w:hAnsi="Wingdings" w:hint="default"/>
      </w:rPr>
    </w:lvl>
  </w:abstractNum>
  <w:num w:numId="1" w16cid:durableId="1776436030">
    <w:abstractNumId w:val="3"/>
  </w:num>
  <w:num w:numId="2" w16cid:durableId="487750080">
    <w:abstractNumId w:val="1"/>
  </w:num>
  <w:num w:numId="3" w16cid:durableId="704401977">
    <w:abstractNumId w:val="2"/>
  </w:num>
  <w:num w:numId="4" w16cid:durableId="16243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4BCC"/>
    <w:rsid w:val="00034261"/>
    <w:rsid w:val="000344CB"/>
    <w:rsid w:val="00036D3A"/>
    <w:rsid w:val="000467ED"/>
    <w:rsid w:val="00050D5B"/>
    <w:rsid w:val="000B1832"/>
    <w:rsid w:val="000B45B1"/>
    <w:rsid w:val="000C29E1"/>
    <w:rsid w:val="000D0CCB"/>
    <w:rsid w:val="000D6D8A"/>
    <w:rsid w:val="000E2F12"/>
    <w:rsid w:val="000E54B6"/>
    <w:rsid w:val="00113778"/>
    <w:rsid w:val="00125BDF"/>
    <w:rsid w:val="00172CD9"/>
    <w:rsid w:val="001A7AD6"/>
    <w:rsid w:val="001B41E1"/>
    <w:rsid w:val="001B7303"/>
    <w:rsid w:val="00215CB5"/>
    <w:rsid w:val="00235AED"/>
    <w:rsid w:val="00241BB9"/>
    <w:rsid w:val="00297795"/>
    <w:rsid w:val="002B1D9F"/>
    <w:rsid w:val="002B504F"/>
    <w:rsid w:val="002F4886"/>
    <w:rsid w:val="003033EC"/>
    <w:rsid w:val="00334C45"/>
    <w:rsid w:val="003451E2"/>
    <w:rsid w:val="00347F1B"/>
    <w:rsid w:val="003516AC"/>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3CD4"/>
    <w:rsid w:val="005D327A"/>
    <w:rsid w:val="0063555A"/>
    <w:rsid w:val="00684D00"/>
    <w:rsid w:val="00686885"/>
    <w:rsid w:val="006922AC"/>
    <w:rsid w:val="00697032"/>
    <w:rsid w:val="006B16C1"/>
    <w:rsid w:val="006B5A90"/>
    <w:rsid w:val="007423BD"/>
    <w:rsid w:val="0074764C"/>
    <w:rsid w:val="00763E81"/>
    <w:rsid w:val="00776965"/>
    <w:rsid w:val="007A4F37"/>
    <w:rsid w:val="007B028B"/>
    <w:rsid w:val="007B6A41"/>
    <w:rsid w:val="007D0F21"/>
    <w:rsid w:val="007D23C6"/>
    <w:rsid w:val="007E36BA"/>
    <w:rsid w:val="007F380D"/>
    <w:rsid w:val="007F4A98"/>
    <w:rsid w:val="00845086"/>
    <w:rsid w:val="0087691C"/>
    <w:rsid w:val="00893C24"/>
    <w:rsid w:val="00896465"/>
    <w:rsid w:val="008A21F4"/>
    <w:rsid w:val="008D59C5"/>
    <w:rsid w:val="008D618A"/>
    <w:rsid w:val="008E210E"/>
    <w:rsid w:val="008E4B89"/>
    <w:rsid w:val="008F298D"/>
    <w:rsid w:val="008F33AD"/>
    <w:rsid w:val="00907104"/>
    <w:rsid w:val="0094308C"/>
    <w:rsid w:val="00960E2B"/>
    <w:rsid w:val="00985A65"/>
    <w:rsid w:val="00986D7F"/>
    <w:rsid w:val="009A31BF"/>
    <w:rsid w:val="009B2459"/>
    <w:rsid w:val="009C4777"/>
    <w:rsid w:val="009D2949"/>
    <w:rsid w:val="009D3C77"/>
    <w:rsid w:val="009D7D63"/>
    <w:rsid w:val="009F419D"/>
    <w:rsid w:val="00A52DBE"/>
    <w:rsid w:val="00A83BE3"/>
    <w:rsid w:val="00AA61EA"/>
    <w:rsid w:val="00AF6BEC"/>
    <w:rsid w:val="00B234F4"/>
    <w:rsid w:val="00B8296E"/>
    <w:rsid w:val="00B82F43"/>
    <w:rsid w:val="00B91802"/>
    <w:rsid w:val="00BA7566"/>
    <w:rsid w:val="00BC481F"/>
    <w:rsid w:val="00BD75C1"/>
    <w:rsid w:val="00BF1E6D"/>
    <w:rsid w:val="00C3438D"/>
    <w:rsid w:val="00C62B6C"/>
    <w:rsid w:val="00C81260"/>
    <w:rsid w:val="00C95CA9"/>
    <w:rsid w:val="00CA061B"/>
    <w:rsid w:val="00CD4AED"/>
    <w:rsid w:val="00CD5856"/>
    <w:rsid w:val="00CF0F2E"/>
    <w:rsid w:val="00CF3E82"/>
    <w:rsid w:val="00D27D84"/>
    <w:rsid w:val="00D54679"/>
    <w:rsid w:val="00D67BAF"/>
    <w:rsid w:val="00DA15A1"/>
    <w:rsid w:val="00DA7848"/>
    <w:rsid w:val="00DC7639"/>
    <w:rsid w:val="00DF3CA0"/>
    <w:rsid w:val="00E0242A"/>
    <w:rsid w:val="00E1490C"/>
    <w:rsid w:val="00E37122"/>
    <w:rsid w:val="00E85195"/>
    <w:rsid w:val="00EA275E"/>
    <w:rsid w:val="00EE23CE"/>
    <w:rsid w:val="00EE2A9D"/>
    <w:rsid w:val="00EE72C5"/>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A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94308C"/>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94308C"/>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94308C"/>
    <w:rPr>
      <w:vertAlign w:val="superscript"/>
    </w:rPr>
  </w:style>
  <w:style w:type="character" w:styleId="Hyperlink">
    <w:name w:val="Hyperlink"/>
    <w:basedOn w:val="Standaardalinea-lettertype"/>
    <w:uiPriority w:val="99"/>
    <w:unhideWhenUsed/>
    <w:rsid w:val="009430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kz.nl/wp-content/uploads/2025/10/Rapport-Turboliquidaties-en-voortzettingen-in-de-zorg-Stichting-Informatieknooppunt-Zorgfraude-St.-IKZ.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4434</ap:Words>
  <ap:Characters>24390</ap:Characters>
  <ap:DocSecurity>0</ap:DocSecurity>
  <ap:Lines>203</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2026-07-03T08:59:00.0000000Z</dcterms:created>
  <dcterms:modified xsi:type="dcterms:W3CDTF">2026-07-03T08:59:00.0000000Z</dcterms:modified>
  <dc:description>------------------------</dc:description>
  <dc:subject/>
  <dc:title/>
  <keywords/>
  <version/>
  <category/>
</coreProperties>
</file>