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66D04" w:rsidTr="00D9561B" w14:paraId="7C2E52AA" w14:textId="77777777">
        <w:trPr>
          <w:trHeight w:val="1514"/>
        </w:trPr>
        <w:tc>
          <w:tcPr>
            <w:tcW w:w="7522" w:type="dxa"/>
            <w:tcBorders>
              <w:top w:val="nil"/>
              <w:left w:val="nil"/>
              <w:bottom w:val="nil"/>
              <w:right w:val="nil"/>
            </w:tcBorders>
            <w:tcMar>
              <w:left w:w="0" w:type="dxa"/>
              <w:right w:w="0" w:type="dxa"/>
            </w:tcMar>
          </w:tcPr>
          <w:p w:rsidR="00374412" w:rsidP="00D9561B" w:rsidRDefault="00D817E4" w14:paraId="6D325E37" w14:textId="77777777">
            <w:r>
              <w:t>De v</w:t>
            </w:r>
            <w:r w:rsidR="008E3932">
              <w:t>oorzitter van de Tweede Kamer der Staten-Generaal</w:t>
            </w:r>
          </w:p>
          <w:p w:rsidR="00374412" w:rsidP="00D9561B" w:rsidRDefault="00D817E4" w14:paraId="40556442" w14:textId="77777777">
            <w:r>
              <w:t>Postbus 20018</w:t>
            </w:r>
          </w:p>
          <w:p w:rsidR="008E3932" w:rsidP="00D9561B" w:rsidRDefault="00D817E4" w14:paraId="26F4109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66D04" w:rsidTr="00FF66F9" w14:paraId="71575B4A" w14:textId="77777777">
        <w:trPr>
          <w:trHeight w:val="289" w:hRule="exact"/>
        </w:trPr>
        <w:tc>
          <w:tcPr>
            <w:tcW w:w="929" w:type="dxa"/>
          </w:tcPr>
          <w:p w:rsidRPr="00434042" w:rsidR="0005404B" w:rsidP="00FF66F9" w:rsidRDefault="00D817E4" w14:paraId="182638B9" w14:textId="77777777">
            <w:pPr>
              <w:rPr>
                <w:lang w:eastAsia="en-US"/>
              </w:rPr>
            </w:pPr>
            <w:r>
              <w:rPr>
                <w:lang w:eastAsia="en-US"/>
              </w:rPr>
              <w:t>Datum</w:t>
            </w:r>
          </w:p>
        </w:tc>
        <w:tc>
          <w:tcPr>
            <w:tcW w:w="6581" w:type="dxa"/>
          </w:tcPr>
          <w:p w:rsidRPr="00434042" w:rsidR="0005404B" w:rsidP="00FF66F9" w:rsidRDefault="005D1DD8" w14:paraId="0D5AD984" w14:textId="2F132AC0">
            <w:pPr>
              <w:rPr>
                <w:lang w:eastAsia="en-US"/>
              </w:rPr>
            </w:pPr>
            <w:r>
              <w:rPr>
                <w:lang w:eastAsia="en-US"/>
              </w:rPr>
              <w:t>2 juli 2026</w:t>
            </w:r>
          </w:p>
        </w:tc>
      </w:tr>
      <w:tr w:rsidR="00666D04" w:rsidTr="00FF66F9" w14:paraId="149E0B06" w14:textId="77777777">
        <w:trPr>
          <w:trHeight w:val="368"/>
        </w:trPr>
        <w:tc>
          <w:tcPr>
            <w:tcW w:w="929" w:type="dxa"/>
          </w:tcPr>
          <w:p w:rsidR="0005404B" w:rsidP="00FF66F9" w:rsidRDefault="00D817E4" w14:paraId="3F562AE2" w14:textId="77777777">
            <w:pPr>
              <w:rPr>
                <w:lang w:eastAsia="en-US"/>
              </w:rPr>
            </w:pPr>
            <w:r>
              <w:rPr>
                <w:lang w:eastAsia="en-US"/>
              </w:rPr>
              <w:t>Betreft</w:t>
            </w:r>
          </w:p>
        </w:tc>
        <w:tc>
          <w:tcPr>
            <w:tcW w:w="6581" w:type="dxa"/>
          </w:tcPr>
          <w:p w:rsidR="0005404B" w:rsidP="00FF66F9" w:rsidRDefault="00D817E4" w14:paraId="67B7E376" w14:textId="77777777">
            <w:pPr>
              <w:rPr>
                <w:lang w:eastAsia="en-US"/>
              </w:rPr>
            </w:pPr>
            <w:r>
              <w:rPr>
                <w:lang w:eastAsia="en-US"/>
              </w:rPr>
              <w:t>Verzamelbrief moties en toezeggingen funderend onderwijs</w:t>
            </w:r>
          </w:p>
        </w:tc>
      </w:tr>
    </w:tbl>
    <w:p w:rsidR="00666D04" w:rsidRDefault="001C2C36" w14:paraId="0E19A0E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9265B" w:rsidR="00666D04" w:rsidTr="00D4783F" w14:paraId="51FC4C88" w14:textId="77777777">
        <w:tc>
          <w:tcPr>
            <w:tcW w:w="2160" w:type="dxa"/>
          </w:tcPr>
          <w:p w:rsidR="0032567D" w:rsidP="00A421A1" w:rsidRDefault="0032567D" w14:paraId="320BD2AA" w14:textId="77777777">
            <w:pPr>
              <w:pStyle w:val="Huisstijl-Gegeven"/>
              <w:spacing w:after="0"/>
              <w:rPr>
                <w:b/>
                <w:szCs w:val="13"/>
              </w:rPr>
            </w:pPr>
            <w:r w:rsidRPr="0032567D">
              <w:rPr>
                <w:b/>
                <w:szCs w:val="13"/>
              </w:rPr>
              <w:t>Directoraat-generaal Funderend Onderwijs</w:t>
            </w:r>
          </w:p>
          <w:p w:rsidR="006205C0" w:rsidP="00A421A1" w:rsidRDefault="00D817E4" w14:paraId="5D3AF0C0" w14:textId="131F47A2">
            <w:pPr>
              <w:pStyle w:val="Huisstijl-Gegeven"/>
              <w:spacing w:after="0"/>
            </w:pPr>
            <w:r>
              <w:t xml:space="preserve">Rijnstraat 50 </w:t>
            </w:r>
          </w:p>
          <w:p w:rsidR="004425A7" w:rsidP="00E972A2" w:rsidRDefault="00D817E4" w14:paraId="3932ED30" w14:textId="77777777">
            <w:pPr>
              <w:pStyle w:val="Huisstijl-Gegeven"/>
              <w:spacing w:after="0"/>
            </w:pPr>
            <w:r>
              <w:t>Den Haag</w:t>
            </w:r>
          </w:p>
          <w:p w:rsidR="004425A7" w:rsidP="00E972A2" w:rsidRDefault="00D817E4" w14:paraId="71C21271" w14:textId="77777777">
            <w:pPr>
              <w:pStyle w:val="Huisstijl-Gegeven"/>
              <w:spacing w:after="0"/>
            </w:pPr>
            <w:r>
              <w:t>Postbus 16375</w:t>
            </w:r>
          </w:p>
          <w:p w:rsidR="004425A7" w:rsidP="00E972A2" w:rsidRDefault="00D817E4" w14:paraId="3D4A683F" w14:textId="77777777">
            <w:pPr>
              <w:pStyle w:val="Huisstijl-Gegeven"/>
              <w:spacing w:after="0"/>
            </w:pPr>
            <w:r>
              <w:t>2500 BJ Den Haag</w:t>
            </w:r>
          </w:p>
          <w:p w:rsidRPr="0029265B" w:rsidR="006205C0" w:rsidP="0029265B" w:rsidRDefault="00D817E4" w14:paraId="04DA9E6C" w14:textId="436A7686">
            <w:pPr>
              <w:pStyle w:val="Huisstijl-Gegeven"/>
              <w:spacing w:after="90"/>
            </w:pPr>
            <w:r>
              <w:t>www.rijksoverheid.nl</w:t>
            </w:r>
          </w:p>
        </w:tc>
      </w:tr>
      <w:tr w:rsidRPr="0029265B" w:rsidR="00666D04" w:rsidTr="009C092A" w14:paraId="3C691A32" w14:textId="77777777">
        <w:trPr>
          <w:trHeight w:val="1628" w:hRule="exact"/>
        </w:trPr>
        <w:tc>
          <w:tcPr>
            <w:tcW w:w="2160" w:type="dxa"/>
          </w:tcPr>
          <w:p w:rsidRPr="00A273D8" w:rsidR="00D404B8" w:rsidP="00D404B8" w:rsidRDefault="00D4783F" w14:paraId="2ABE163F" w14:textId="44970C2F">
            <w:pPr>
              <w:spacing w:line="180" w:lineRule="exact"/>
              <w:rPr>
                <w:b/>
                <w:sz w:val="13"/>
                <w:szCs w:val="13"/>
              </w:rPr>
            </w:pPr>
            <w:r>
              <w:rPr>
                <w:b/>
                <w:sz w:val="13"/>
                <w:szCs w:val="13"/>
              </w:rPr>
              <w:t>Contactpersoon:</w:t>
            </w:r>
          </w:p>
          <w:p w:rsidRPr="00D4783F" w:rsidR="00D404B8" w:rsidP="00A421A1" w:rsidRDefault="00D404B8" w14:paraId="70366436" w14:textId="77777777">
            <w:pPr>
              <w:spacing w:after="90" w:line="180" w:lineRule="exact"/>
              <w:rPr>
                <w:sz w:val="13"/>
                <w:szCs w:val="13"/>
              </w:rPr>
            </w:pPr>
          </w:p>
          <w:p w:rsidRPr="00D4783F" w:rsidR="00D404B8" w:rsidP="00A421A1" w:rsidRDefault="00D404B8" w14:paraId="78AEAF3B" w14:textId="77777777">
            <w:pPr>
              <w:spacing w:after="90" w:line="180" w:lineRule="exact"/>
              <w:rPr>
                <w:sz w:val="13"/>
                <w:szCs w:val="13"/>
              </w:rPr>
            </w:pPr>
          </w:p>
          <w:p w:rsidRPr="00D4783F" w:rsidR="00D404B8" w:rsidP="00A421A1" w:rsidRDefault="00D404B8" w14:paraId="54764F46" w14:textId="77777777">
            <w:pPr>
              <w:spacing w:after="90" w:line="180" w:lineRule="exact"/>
              <w:rPr>
                <w:sz w:val="13"/>
                <w:szCs w:val="13"/>
              </w:rPr>
            </w:pPr>
          </w:p>
          <w:p w:rsidRPr="00D4783F" w:rsidR="00D404B8" w:rsidP="00A421A1" w:rsidRDefault="00D404B8" w14:paraId="4838F638" w14:textId="77777777">
            <w:pPr>
              <w:spacing w:after="90" w:line="180" w:lineRule="exact"/>
              <w:rPr>
                <w:sz w:val="13"/>
                <w:szCs w:val="13"/>
              </w:rPr>
            </w:pPr>
          </w:p>
          <w:p w:rsidRPr="00D4783F" w:rsidR="00D404B8" w:rsidP="00A421A1" w:rsidRDefault="00D404B8" w14:paraId="1194621B" w14:textId="77777777">
            <w:pPr>
              <w:spacing w:after="90" w:line="180" w:lineRule="exact"/>
              <w:rPr>
                <w:sz w:val="13"/>
                <w:szCs w:val="13"/>
              </w:rPr>
            </w:pPr>
          </w:p>
          <w:p w:rsidRPr="00D4783F" w:rsidR="00D404B8" w:rsidP="00A421A1" w:rsidRDefault="00D404B8" w14:paraId="5710D931" w14:textId="77777777">
            <w:pPr>
              <w:spacing w:after="90" w:line="180" w:lineRule="exact"/>
              <w:rPr>
                <w:sz w:val="13"/>
                <w:szCs w:val="13"/>
              </w:rPr>
            </w:pPr>
          </w:p>
        </w:tc>
      </w:tr>
      <w:tr w:rsidR="00666D04" w:rsidTr="00D4783F" w14:paraId="176441BA" w14:textId="77777777">
        <w:trPr>
          <w:trHeight w:val="450"/>
        </w:trPr>
        <w:tc>
          <w:tcPr>
            <w:tcW w:w="2160" w:type="dxa"/>
          </w:tcPr>
          <w:p w:rsidR="00F51A76" w:rsidP="00A421A1" w:rsidRDefault="00D817E4" w14:paraId="271ED17F" w14:textId="77777777">
            <w:pPr>
              <w:spacing w:line="180" w:lineRule="exact"/>
              <w:rPr>
                <w:b/>
                <w:sz w:val="13"/>
                <w:szCs w:val="13"/>
              </w:rPr>
            </w:pPr>
            <w:r>
              <w:rPr>
                <w:b/>
                <w:sz w:val="13"/>
                <w:szCs w:val="13"/>
              </w:rPr>
              <w:t>Onze referentie</w:t>
            </w:r>
          </w:p>
          <w:p w:rsidRPr="00FA7882" w:rsidR="006205C0" w:rsidP="00215356" w:rsidRDefault="00A65E7F" w14:paraId="6457CD1A" w14:textId="00682982">
            <w:pPr>
              <w:spacing w:line="180" w:lineRule="exact"/>
              <w:rPr>
                <w:sz w:val="13"/>
                <w:szCs w:val="13"/>
              </w:rPr>
            </w:pPr>
            <w:r>
              <w:rPr>
                <w:sz w:val="13"/>
                <w:szCs w:val="13"/>
              </w:rPr>
              <w:t>6</w:t>
            </w:r>
            <w:r w:rsidR="005A32D9">
              <w:rPr>
                <w:sz w:val="13"/>
                <w:szCs w:val="13"/>
              </w:rPr>
              <w:t>5046896</w:t>
            </w:r>
          </w:p>
        </w:tc>
      </w:tr>
      <w:tr w:rsidR="00666D04" w:rsidTr="00D4783F" w14:paraId="6331C169" w14:textId="77777777">
        <w:trPr>
          <w:trHeight w:val="113"/>
        </w:trPr>
        <w:tc>
          <w:tcPr>
            <w:tcW w:w="2160" w:type="dxa"/>
          </w:tcPr>
          <w:p w:rsidRPr="00C5333A" w:rsidR="006205C0" w:rsidP="00D36088" w:rsidRDefault="00D817E4" w14:paraId="7C3A49E5" w14:textId="77777777">
            <w:pPr>
              <w:tabs>
                <w:tab w:val="center" w:pos="1080"/>
              </w:tabs>
              <w:spacing w:line="180" w:lineRule="exact"/>
              <w:rPr>
                <w:sz w:val="13"/>
                <w:szCs w:val="13"/>
              </w:rPr>
            </w:pPr>
            <w:r>
              <w:rPr>
                <w:b/>
                <w:sz w:val="13"/>
                <w:szCs w:val="13"/>
              </w:rPr>
              <w:t>Bijlagen</w:t>
            </w:r>
          </w:p>
        </w:tc>
      </w:tr>
      <w:tr w:rsidR="00666D04" w:rsidTr="00D4783F" w14:paraId="549881A9" w14:textId="77777777">
        <w:trPr>
          <w:trHeight w:val="2309"/>
        </w:trPr>
        <w:tc>
          <w:tcPr>
            <w:tcW w:w="2160" w:type="dxa"/>
          </w:tcPr>
          <w:p w:rsidRPr="00172FA4" w:rsidR="00172FA4" w:rsidP="00172FA4" w:rsidRDefault="00172FA4" w14:paraId="0E8FE3CD" w14:textId="1AB2D5D9">
            <w:pPr>
              <w:spacing w:after="90" w:line="180" w:lineRule="exact"/>
              <w:rPr>
                <w:sz w:val="13"/>
              </w:rPr>
            </w:pPr>
            <w:r w:rsidRPr="00172FA4">
              <w:rPr>
                <w:sz w:val="13"/>
              </w:rPr>
              <w:t xml:space="preserve">Bijlage 1. Onderzoek: </w:t>
            </w:r>
            <w:r w:rsidR="006348FD">
              <w:rPr>
                <w:sz w:val="13"/>
              </w:rPr>
              <w:br/>
              <w:t xml:space="preserve">Een </w:t>
            </w:r>
            <w:r w:rsidRPr="00172FA4">
              <w:rPr>
                <w:sz w:val="13"/>
              </w:rPr>
              <w:t>nieuw verdeelmodel onderwijsachterstandenmiddelen in het gespecialiseerd onderwijs</w:t>
            </w:r>
          </w:p>
          <w:p w:rsidR="00A22328" w:rsidP="00A22328" w:rsidRDefault="00172FA4" w14:paraId="596F22D9" w14:textId="4B434649">
            <w:pPr>
              <w:spacing w:after="90" w:line="180" w:lineRule="exact"/>
              <w:rPr>
                <w:sz w:val="13"/>
              </w:rPr>
            </w:pPr>
            <w:r w:rsidRPr="00172FA4">
              <w:rPr>
                <w:sz w:val="13"/>
              </w:rPr>
              <w:t>Bijlage 2.</w:t>
            </w:r>
            <w:r w:rsidR="006348FD">
              <w:rPr>
                <w:sz w:val="13"/>
              </w:rPr>
              <w:t xml:space="preserve"> </w:t>
            </w:r>
            <w:r w:rsidRPr="00A22328" w:rsidR="00A22328">
              <w:rPr>
                <w:sz w:val="13"/>
              </w:rPr>
              <w:t>Onderzoek</w:t>
            </w:r>
            <w:r w:rsidR="006348FD">
              <w:rPr>
                <w:sz w:val="13"/>
              </w:rPr>
              <w:t>:</w:t>
            </w:r>
            <w:r w:rsidR="00A22328">
              <w:rPr>
                <w:sz w:val="13"/>
              </w:rPr>
              <w:t xml:space="preserve"> </w:t>
            </w:r>
            <w:r w:rsidR="006348FD">
              <w:rPr>
                <w:sz w:val="13"/>
              </w:rPr>
              <w:br/>
              <w:t>H</w:t>
            </w:r>
            <w:r w:rsidRPr="00A22328" w:rsidR="00A22328">
              <w:rPr>
                <w:sz w:val="13"/>
              </w:rPr>
              <w:t>erijking</w:t>
            </w:r>
            <w:r w:rsidR="00A22328">
              <w:rPr>
                <w:sz w:val="13"/>
              </w:rPr>
              <w:t xml:space="preserve"> </w:t>
            </w:r>
            <w:r w:rsidRPr="00A22328" w:rsidR="00A22328">
              <w:rPr>
                <w:sz w:val="13"/>
              </w:rPr>
              <w:t>risico</w:t>
            </w:r>
            <w:r w:rsidR="00A22328">
              <w:rPr>
                <w:sz w:val="13"/>
              </w:rPr>
              <w:t>-</w:t>
            </w:r>
            <w:r w:rsidRPr="00A22328" w:rsidR="00A22328">
              <w:rPr>
                <w:sz w:val="13"/>
              </w:rPr>
              <w:t>indicator</w:t>
            </w:r>
            <w:r w:rsidR="00A22328">
              <w:rPr>
                <w:sz w:val="13"/>
              </w:rPr>
              <w:t xml:space="preserve"> </w:t>
            </w:r>
            <w:r w:rsidRPr="00A22328" w:rsidR="00A22328">
              <w:rPr>
                <w:sz w:val="13"/>
              </w:rPr>
              <w:t>onderwijsachterstanden</w:t>
            </w:r>
            <w:r w:rsidR="00A22328">
              <w:rPr>
                <w:sz w:val="13"/>
              </w:rPr>
              <w:t xml:space="preserve"> </w:t>
            </w:r>
            <w:r w:rsidRPr="00A22328" w:rsidR="00A22328">
              <w:rPr>
                <w:sz w:val="13"/>
              </w:rPr>
              <w:t>basisonderwijs</w:t>
            </w:r>
          </w:p>
          <w:p w:rsidR="006205C0" w:rsidP="00A22328" w:rsidRDefault="00172FA4" w14:paraId="2FD150B3" w14:textId="77777777">
            <w:pPr>
              <w:spacing w:after="90" w:line="180" w:lineRule="exact"/>
              <w:rPr>
                <w:sz w:val="13"/>
              </w:rPr>
            </w:pPr>
            <w:r w:rsidRPr="00172FA4">
              <w:rPr>
                <w:sz w:val="13"/>
              </w:rPr>
              <w:t>Bijlage 3. Onderzoek: Onderwijsdeelname vierjarigen</w:t>
            </w:r>
          </w:p>
          <w:p w:rsidR="00422843" w:rsidP="00A22328" w:rsidRDefault="00422843" w14:paraId="42A567D3" w14:textId="4300A396">
            <w:pPr>
              <w:spacing w:after="90" w:line="180" w:lineRule="exact"/>
              <w:rPr>
                <w:sz w:val="13"/>
              </w:rPr>
            </w:pPr>
            <w:r>
              <w:rPr>
                <w:sz w:val="13"/>
              </w:rPr>
              <w:t xml:space="preserve">Bijlage 4: Onderzoek: </w:t>
            </w:r>
            <w:r w:rsidR="006348FD">
              <w:rPr>
                <w:sz w:val="13"/>
              </w:rPr>
              <w:t>I</w:t>
            </w:r>
            <w:r>
              <w:rPr>
                <w:sz w:val="13"/>
              </w:rPr>
              <w:t>nschrijving en toelating</w:t>
            </w:r>
          </w:p>
          <w:p w:rsidRPr="00F70C79" w:rsidR="006348FD" w:rsidP="00A22328" w:rsidRDefault="006348FD" w14:paraId="06D5D6A7" w14:textId="4C305220">
            <w:pPr>
              <w:spacing w:after="90" w:line="180" w:lineRule="exact"/>
              <w:rPr>
                <w:sz w:val="13"/>
                <w:highlight w:val="yellow"/>
              </w:rPr>
            </w:pPr>
            <w:r>
              <w:rPr>
                <w:sz w:val="13"/>
                <w:szCs w:val="13"/>
              </w:rPr>
              <w:t>Bijlage 5: Onderzoek:</w:t>
            </w:r>
            <w:r w:rsidRPr="00017AEA">
              <w:rPr>
                <w:sz w:val="13"/>
                <w:szCs w:val="13"/>
              </w:rPr>
              <w:t xml:space="preserve"> </w:t>
            </w:r>
            <w:r>
              <w:rPr>
                <w:sz w:val="13"/>
                <w:szCs w:val="13"/>
              </w:rPr>
              <w:t>Verkenning v</w:t>
            </w:r>
            <w:r w:rsidRPr="00017AEA">
              <w:rPr>
                <w:sz w:val="13"/>
                <w:szCs w:val="13"/>
              </w:rPr>
              <w:t>eranderende rol leerplichtambtenaar</w:t>
            </w:r>
          </w:p>
        </w:tc>
      </w:tr>
    </w:tbl>
    <w:p w:rsidR="006205C0" w:rsidP="00A421A1" w:rsidRDefault="006205C0" w14:paraId="63C7BB09" w14:textId="77777777"/>
    <w:p w:rsidR="00D23015" w:rsidP="00CA35E4" w:rsidRDefault="008C6177" w14:paraId="79124283" w14:textId="7015523C">
      <w:r w:rsidRPr="008C6177">
        <w:t>Met deze brief informeer ik uw Kamer over de voortgang op verschillende thema’s binnen het funderend onderwijs</w:t>
      </w:r>
      <w:r w:rsidR="00D23015">
        <w:t xml:space="preserve">, inclusief </w:t>
      </w:r>
      <w:r w:rsidRPr="008C6177">
        <w:t>een update over de uitvoering van verschillende aangenomen moties en toezeggingen die zijn gedaan</w:t>
      </w:r>
      <w:r w:rsidR="00D23015">
        <w:t xml:space="preserve"> en </w:t>
      </w:r>
      <w:r w:rsidRPr="008C6177">
        <w:t>resultaten van enkele onderzoeken.</w:t>
      </w:r>
    </w:p>
    <w:p w:rsidR="00D23015" w:rsidP="00D23015" w:rsidRDefault="00D23015" w14:paraId="5B6DFE85" w14:textId="77777777">
      <w:pPr>
        <w:pStyle w:val="Geenafstand"/>
      </w:pPr>
    </w:p>
    <w:p w:rsidRPr="00E10F95" w:rsidR="00D23015" w:rsidP="007867E9" w:rsidRDefault="00D23015" w14:paraId="7F9C443A" w14:textId="60BD5B8C">
      <w:pPr>
        <w:pStyle w:val="Geenafstand"/>
      </w:pPr>
      <w:r w:rsidRPr="00D23015">
        <w:rPr>
          <w:szCs w:val="18"/>
        </w:rPr>
        <w:t>In de bijgevoegde verzamelbrief wordt ingegaan op de volgende thema’s:</w:t>
      </w:r>
    </w:p>
    <w:p w:rsidRPr="007867E9" w:rsidR="00D23015" w:rsidP="00D23015" w:rsidRDefault="00D23015" w14:paraId="28F25BE9"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 xml:space="preserve">Wet onderwijsondersteuning zieke leerlingen &amp; stichting </w:t>
      </w:r>
      <w:proofErr w:type="spellStart"/>
      <w:r w:rsidRPr="007867E9">
        <w:rPr>
          <w:rFonts w:ascii="Verdana" w:hAnsi="Verdana"/>
          <w:sz w:val="18"/>
          <w:szCs w:val="18"/>
        </w:rPr>
        <w:t>Ziezon</w:t>
      </w:r>
      <w:proofErr w:type="spellEnd"/>
    </w:p>
    <w:p w:rsidRPr="007867E9" w:rsidR="00D23015" w:rsidP="00D23015" w:rsidRDefault="00D23015" w14:paraId="74BCB06A"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Toezegging leerlingen met PAIS/post-covid</w:t>
      </w:r>
    </w:p>
    <w:p w:rsidRPr="007867E9" w:rsidR="00D23015" w:rsidP="00D23015" w:rsidRDefault="00D23015" w14:paraId="05C8CA3F"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 xml:space="preserve">Het opnemen van onderwijs aan jongeren in de jeugdzorg in de Staat van het Onderwijs </w:t>
      </w:r>
    </w:p>
    <w:p w:rsidR="00D23015" w:rsidP="00D23015" w:rsidRDefault="00D23015" w14:paraId="0303908F"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Toelaatbaarheid en bekostiging voor leerlingen met een ernstige meervoudige beperking</w:t>
      </w:r>
    </w:p>
    <w:p w:rsidRPr="00BF1DDD" w:rsidR="00BF1DDD" w:rsidP="00BF1DDD" w:rsidRDefault="00BF1DDD" w14:paraId="2621A5F3" w14:textId="7D00A8E7">
      <w:pPr>
        <w:pStyle w:val="Lijstalinea"/>
        <w:numPr>
          <w:ilvl w:val="0"/>
          <w:numId w:val="27"/>
        </w:numPr>
        <w:spacing w:after="0" w:line="240" w:lineRule="atLeast"/>
        <w:rPr>
          <w:szCs w:val="18"/>
        </w:rPr>
      </w:pPr>
      <w:r w:rsidRPr="008564C8">
        <w:rPr>
          <w:rFonts w:ascii="Verdana" w:hAnsi="Verdana"/>
          <w:sz w:val="18"/>
          <w:szCs w:val="18"/>
        </w:rPr>
        <w:t>Toezicht op samenwerkingsverbanden passend onderwijs</w:t>
      </w:r>
    </w:p>
    <w:p w:rsidRPr="007867E9" w:rsidR="00D23015" w:rsidP="00D23015" w:rsidRDefault="00D23015" w14:paraId="3ACD5DDF"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Onderwijsachterstandenindicator gespecialiseerd onderwijs</w:t>
      </w:r>
    </w:p>
    <w:p w:rsidRPr="007867E9" w:rsidR="00D23015" w:rsidP="00D23015" w:rsidRDefault="00D23015" w14:paraId="7396F606" w14:textId="1D5C8F58">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Herijking onderwijsachterstanden</w:t>
      </w:r>
      <w:r w:rsidR="009750AC">
        <w:rPr>
          <w:rFonts w:ascii="Verdana" w:hAnsi="Verdana"/>
          <w:sz w:val="18"/>
          <w:szCs w:val="18"/>
        </w:rPr>
        <w:t>indicator</w:t>
      </w:r>
      <w:r w:rsidRPr="007867E9">
        <w:rPr>
          <w:rFonts w:ascii="Verdana" w:hAnsi="Verdana"/>
          <w:sz w:val="18"/>
          <w:szCs w:val="18"/>
        </w:rPr>
        <w:t xml:space="preserve"> po</w:t>
      </w:r>
    </w:p>
    <w:p w:rsidR="00D23015" w:rsidP="00D23015" w:rsidRDefault="00D23015" w14:paraId="3C494E2E"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Aanbieding onderzoek onderwijsdeelname vierjarigen</w:t>
      </w:r>
    </w:p>
    <w:p w:rsidRPr="007867E9" w:rsidR="00DE6C22" w:rsidP="007867E9" w:rsidRDefault="00DE6C22" w14:paraId="4AC22E73" w14:textId="37506723">
      <w:pPr>
        <w:pStyle w:val="Lijstalinea"/>
        <w:numPr>
          <w:ilvl w:val="0"/>
          <w:numId w:val="27"/>
        </w:numPr>
        <w:rPr>
          <w:rFonts w:ascii="Verdana" w:hAnsi="Verdana"/>
          <w:sz w:val="18"/>
          <w:szCs w:val="18"/>
        </w:rPr>
      </w:pPr>
      <w:r w:rsidRPr="00DE6C22">
        <w:rPr>
          <w:rFonts w:ascii="Verdana" w:hAnsi="Verdana"/>
          <w:sz w:val="18"/>
          <w:szCs w:val="18"/>
        </w:rPr>
        <w:t>Aanbieding rapport Inschrijving en toelating</w:t>
      </w:r>
    </w:p>
    <w:p w:rsidRPr="007867E9" w:rsidR="00D23015" w:rsidP="00D23015" w:rsidRDefault="00D23015" w14:paraId="04786FF1"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Proces wijzigingsregeling vormingsonderwijs </w:t>
      </w:r>
    </w:p>
    <w:p w:rsidRPr="007867E9" w:rsidR="00D23015" w:rsidP="00D23015" w:rsidRDefault="00D23015" w14:paraId="1B6B2647"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Structurele financiering curriculumonderhoud SLO</w:t>
      </w:r>
    </w:p>
    <w:p w:rsidRPr="007867E9" w:rsidR="00D23015" w:rsidP="00D23015" w:rsidRDefault="00D23015" w14:paraId="78A82E55"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Holocausteducatie</w:t>
      </w:r>
    </w:p>
    <w:p w:rsidRPr="007867E9" w:rsidR="00D23015" w:rsidP="00D23015" w:rsidRDefault="00D23015" w14:paraId="67066A16"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Landelijke afspraken mobiele telefoons in de klas</w:t>
      </w:r>
    </w:p>
    <w:p w:rsidRPr="007867E9" w:rsidR="00D23015" w:rsidP="00D23015" w:rsidRDefault="00D23015" w14:paraId="7C20CDE4"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Toezegging verkenning deelname financiële geletterdheid PISA- 2029</w:t>
      </w:r>
    </w:p>
    <w:p w:rsidRPr="007867E9" w:rsidR="00D23015" w:rsidP="00D23015" w:rsidRDefault="00D23015" w14:paraId="1187A65B"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MDT als begeleidingsinstrument in het kader van de Wet van School naar Duurzaam Werk</w:t>
      </w:r>
    </w:p>
    <w:p w:rsidR="00D23015" w:rsidP="00D23015" w:rsidRDefault="00D23015" w14:paraId="1C05B4B9" w14:textId="77777777">
      <w:pPr>
        <w:pStyle w:val="Lijstalinea"/>
        <w:numPr>
          <w:ilvl w:val="0"/>
          <w:numId w:val="27"/>
        </w:numPr>
        <w:spacing w:after="0" w:line="240" w:lineRule="atLeast"/>
        <w:rPr>
          <w:rFonts w:ascii="Verdana" w:hAnsi="Verdana"/>
          <w:sz w:val="18"/>
          <w:szCs w:val="18"/>
        </w:rPr>
      </w:pPr>
      <w:r w:rsidRPr="007867E9">
        <w:rPr>
          <w:rFonts w:ascii="Verdana" w:hAnsi="Verdana"/>
          <w:sz w:val="18"/>
          <w:szCs w:val="18"/>
        </w:rPr>
        <w:t>Motie Moorman c.s. over funderend onderwijs bij de portefeuilleverdeling niet ondergeschikt maken aan hoger onderwijs</w:t>
      </w:r>
    </w:p>
    <w:p w:rsidRPr="006A1AD8" w:rsidR="006A1AD8" w:rsidP="006A1AD8" w:rsidRDefault="006A1AD8" w14:paraId="497681F1" w14:textId="23868922">
      <w:pPr>
        <w:pStyle w:val="Lijstalinea"/>
        <w:numPr>
          <w:ilvl w:val="0"/>
          <w:numId w:val="27"/>
        </w:numPr>
        <w:rPr>
          <w:rFonts w:ascii="Verdana" w:hAnsi="Verdana"/>
          <w:sz w:val="18"/>
          <w:szCs w:val="18"/>
        </w:rPr>
      </w:pPr>
      <w:r w:rsidRPr="006A1AD8">
        <w:rPr>
          <w:rFonts w:ascii="Verdana" w:hAnsi="Verdana"/>
          <w:sz w:val="18"/>
          <w:szCs w:val="18"/>
        </w:rPr>
        <w:t>Procesupdate bredere verkenning handhaving leerplicht</w:t>
      </w:r>
    </w:p>
    <w:p w:rsidR="00D23015" w:rsidP="00CA35E4" w:rsidRDefault="00D23015" w14:paraId="27843EA0" w14:textId="77777777"/>
    <w:p w:rsidR="005358F8" w:rsidP="003C7CB5" w:rsidRDefault="008C6177" w14:paraId="38738093" w14:textId="26539D6E">
      <w:pPr>
        <w:pStyle w:val="Kop1"/>
      </w:pPr>
      <w:r w:rsidRPr="00DB7773">
        <w:lastRenderedPageBreak/>
        <w:t xml:space="preserve">Wet onderwijsondersteuning zieke leerlingen &amp; stichting </w:t>
      </w:r>
      <w:proofErr w:type="spellStart"/>
      <w:r w:rsidRPr="00DB7773">
        <w:t>Ziezon</w:t>
      </w:r>
      <w:proofErr w:type="spellEnd"/>
    </w:p>
    <w:p w:rsidRPr="002E51FE" w:rsidR="002E51FE" w:rsidP="002E51FE" w:rsidRDefault="002E51FE" w14:paraId="690763E5" w14:textId="6CCFEFB6">
      <w:pPr>
        <w:rPr>
          <w:szCs w:val="18"/>
        </w:rPr>
      </w:pPr>
      <w:r w:rsidRPr="002E51FE">
        <w:rPr>
          <w:szCs w:val="18"/>
        </w:rPr>
        <w:t xml:space="preserve">Conform </w:t>
      </w:r>
      <w:r w:rsidR="0074658D">
        <w:rPr>
          <w:szCs w:val="18"/>
        </w:rPr>
        <w:t>de</w:t>
      </w:r>
      <w:r w:rsidRPr="002E51FE">
        <w:rPr>
          <w:szCs w:val="18"/>
        </w:rPr>
        <w:t xml:space="preserve"> toezegging</w:t>
      </w:r>
      <w:r w:rsidRPr="002E51FE">
        <w:rPr>
          <w:rStyle w:val="Voetnootmarkering"/>
          <w:szCs w:val="18"/>
        </w:rPr>
        <w:footnoteReference w:id="1"/>
      </w:r>
      <w:r w:rsidRPr="002E51FE">
        <w:rPr>
          <w:szCs w:val="18"/>
        </w:rPr>
        <w:t xml:space="preserve"> in het debat over het wetsvoorstel onderwijsondersteuning zieke leerlingen (hierna: </w:t>
      </w:r>
      <w:proofErr w:type="spellStart"/>
      <w:r w:rsidRPr="002E51FE">
        <w:rPr>
          <w:szCs w:val="18"/>
        </w:rPr>
        <w:t>ozl</w:t>
      </w:r>
      <w:proofErr w:type="spellEnd"/>
      <w:r w:rsidRPr="002E51FE">
        <w:rPr>
          <w:szCs w:val="18"/>
        </w:rPr>
        <w:t xml:space="preserve">) informeer ik uw Kamer over de stand van zaken van de oprichting van de nieuwe stichting die verantwoordelijk wordt voor </w:t>
      </w:r>
      <w:proofErr w:type="spellStart"/>
      <w:r w:rsidRPr="002E51FE">
        <w:rPr>
          <w:szCs w:val="18"/>
        </w:rPr>
        <w:t>ozl</w:t>
      </w:r>
      <w:proofErr w:type="spellEnd"/>
      <w:r w:rsidRPr="002E51FE">
        <w:rPr>
          <w:szCs w:val="18"/>
        </w:rPr>
        <w:t xml:space="preserve">. Het wetsvoorstel </w:t>
      </w:r>
      <w:proofErr w:type="spellStart"/>
      <w:r w:rsidRPr="002E51FE">
        <w:rPr>
          <w:szCs w:val="18"/>
        </w:rPr>
        <w:t>ozl</w:t>
      </w:r>
      <w:proofErr w:type="spellEnd"/>
      <w:r w:rsidRPr="002E51FE">
        <w:rPr>
          <w:szCs w:val="18"/>
        </w:rPr>
        <w:t xml:space="preserve"> is op 12 mei aangenomen door de Eerste Kamer. Gepland </w:t>
      </w:r>
      <w:r w:rsidR="00EA50CF">
        <w:rPr>
          <w:szCs w:val="18"/>
        </w:rPr>
        <w:t xml:space="preserve">was </w:t>
      </w:r>
      <w:r w:rsidRPr="002E51FE">
        <w:rPr>
          <w:szCs w:val="18"/>
        </w:rPr>
        <w:t xml:space="preserve">de oprichtingsakte van stichting </w:t>
      </w:r>
      <w:proofErr w:type="spellStart"/>
      <w:r w:rsidRPr="002E51FE">
        <w:rPr>
          <w:szCs w:val="18"/>
        </w:rPr>
        <w:t>Ziezon</w:t>
      </w:r>
      <w:proofErr w:type="spellEnd"/>
      <w:r w:rsidRPr="002E51FE">
        <w:rPr>
          <w:szCs w:val="18"/>
        </w:rPr>
        <w:t xml:space="preserve"> eind juni bij de notaris </w:t>
      </w:r>
      <w:r w:rsidR="00EA50CF">
        <w:rPr>
          <w:szCs w:val="18"/>
        </w:rPr>
        <w:t xml:space="preserve">te laten passeren, dit is tijdelijk </w:t>
      </w:r>
      <w:r w:rsidRPr="007867E9" w:rsidR="00EA50CF">
        <w:rPr>
          <w:i/>
          <w:iCs/>
          <w:szCs w:val="18"/>
        </w:rPr>
        <w:t xml:space="preserve">on </w:t>
      </w:r>
      <w:proofErr w:type="spellStart"/>
      <w:r w:rsidRPr="007867E9" w:rsidR="00EA50CF">
        <w:rPr>
          <w:i/>
          <w:iCs/>
          <w:szCs w:val="18"/>
        </w:rPr>
        <w:t>hold</w:t>
      </w:r>
      <w:proofErr w:type="spellEnd"/>
      <w:r w:rsidR="00EA50CF">
        <w:rPr>
          <w:szCs w:val="18"/>
        </w:rPr>
        <w:t xml:space="preserve"> gezet na vragen van Uw Kamer bij de voorhangprocedure.</w:t>
      </w:r>
      <w:r w:rsidRPr="002E51FE">
        <w:rPr>
          <w:szCs w:val="18"/>
        </w:rPr>
        <w:t xml:space="preserve"> Ten tijde van de Tweede Kamerbehandeling was beoogd de wet in</w:t>
      </w:r>
      <w:r w:rsidR="00F24479">
        <w:rPr>
          <w:szCs w:val="18"/>
        </w:rPr>
        <w:t xml:space="preserve"> </w:t>
      </w:r>
      <w:r w:rsidRPr="002E51FE">
        <w:rPr>
          <w:szCs w:val="18"/>
        </w:rPr>
        <w:t xml:space="preserve">werking te laten treden per 1 januari 2027. De Eerste Kamerbehandeling heeft langer geduurd dan waarmee oorspronkelijk rekening was gehouden en </w:t>
      </w:r>
      <w:r w:rsidR="00EA50CF">
        <w:rPr>
          <w:szCs w:val="18"/>
        </w:rPr>
        <w:t xml:space="preserve">na oprichting van de stichting </w:t>
      </w:r>
      <w:r w:rsidRPr="002E51FE">
        <w:rPr>
          <w:szCs w:val="18"/>
        </w:rPr>
        <w:t xml:space="preserve">moeten nog veel voorbereidingen worden getroffen. Daarom heb ik besloten dit </w:t>
      </w:r>
      <w:r w:rsidR="00EA50CF">
        <w:rPr>
          <w:szCs w:val="18"/>
        </w:rPr>
        <w:t xml:space="preserve">ruim </w:t>
      </w:r>
      <w:r w:rsidRPr="002E51FE">
        <w:rPr>
          <w:szCs w:val="18"/>
        </w:rPr>
        <w:t xml:space="preserve">half jaar op te schuiven, zodat de stichting voldoende tijd heeft voor de opbouw van de organisatie en een zorgvuldige voorbereiding van de overgang van personeel (inclusief individueel maatwerk waar nodig). De inwerkingtreding van de wet, en daarmee de start van de wettelijke taak door stichting </w:t>
      </w:r>
      <w:proofErr w:type="spellStart"/>
      <w:r w:rsidRPr="002E51FE">
        <w:rPr>
          <w:szCs w:val="18"/>
        </w:rPr>
        <w:t>Ziezon</w:t>
      </w:r>
      <w:proofErr w:type="spellEnd"/>
      <w:r w:rsidRPr="002E51FE">
        <w:rPr>
          <w:szCs w:val="18"/>
        </w:rPr>
        <w:t>, zal zijn op 1 augustus 2027.</w:t>
      </w:r>
      <w:r w:rsidRPr="002E51FE">
        <w:rPr>
          <w:rStyle w:val="Voetnootmarkering"/>
          <w:szCs w:val="18"/>
        </w:rPr>
        <w:footnoteReference w:id="2"/>
      </w:r>
    </w:p>
    <w:p w:rsidRPr="002E51FE" w:rsidR="002E51FE" w:rsidP="002E51FE" w:rsidRDefault="002E51FE" w14:paraId="5B9027A6" w14:textId="77777777">
      <w:pPr>
        <w:rPr>
          <w:szCs w:val="18"/>
        </w:rPr>
      </w:pPr>
    </w:p>
    <w:p w:rsidR="002E51FE" w:rsidP="002E51FE" w:rsidRDefault="002E51FE" w14:paraId="634DA8DB" w14:textId="77777777">
      <w:pPr>
        <w:rPr>
          <w:szCs w:val="18"/>
        </w:rPr>
      </w:pPr>
      <w:r w:rsidRPr="002E51FE">
        <w:rPr>
          <w:szCs w:val="18"/>
        </w:rPr>
        <w:t xml:space="preserve">Uw Kamer verzocht om </w:t>
      </w:r>
      <w:r w:rsidRPr="002E51FE">
        <w:rPr>
          <w:color w:val="000000"/>
          <w:szCs w:val="18"/>
        </w:rPr>
        <w:t xml:space="preserve">een stevige landelijke regie op de transitie te waarborgen (motie </w:t>
      </w:r>
      <w:proofErr w:type="spellStart"/>
      <w:r w:rsidRPr="002E51FE">
        <w:rPr>
          <w:color w:val="000000"/>
          <w:szCs w:val="18"/>
        </w:rPr>
        <w:t>Rooderkerk</w:t>
      </w:r>
      <w:proofErr w:type="spellEnd"/>
      <w:r w:rsidRPr="002E51FE">
        <w:rPr>
          <w:color w:val="000000"/>
          <w:szCs w:val="18"/>
        </w:rPr>
        <w:t xml:space="preserve"> (D66) c.s.).</w:t>
      </w:r>
      <w:r w:rsidRPr="002E51FE">
        <w:rPr>
          <w:rStyle w:val="Voetnootmarkering"/>
          <w:color w:val="000000"/>
          <w:szCs w:val="18"/>
        </w:rPr>
        <w:footnoteReference w:id="3"/>
      </w:r>
      <w:r w:rsidRPr="002E51FE">
        <w:rPr>
          <w:color w:val="000000"/>
          <w:szCs w:val="18"/>
        </w:rPr>
        <w:t xml:space="preserve"> </w:t>
      </w:r>
      <w:r w:rsidRPr="002E51FE">
        <w:rPr>
          <w:szCs w:val="18"/>
        </w:rPr>
        <w:t xml:space="preserve">Kernopgave is dat de onderwijsondersteuning aan zieke leerlingen ononderbroken doorgaat, ondanks overgang naar een landelijke organisatie (stichting </w:t>
      </w:r>
      <w:proofErr w:type="spellStart"/>
      <w:r w:rsidRPr="002E51FE">
        <w:rPr>
          <w:szCs w:val="18"/>
        </w:rPr>
        <w:t>Ziezon</w:t>
      </w:r>
      <w:proofErr w:type="spellEnd"/>
      <w:r w:rsidRPr="002E51FE">
        <w:rPr>
          <w:szCs w:val="18"/>
        </w:rPr>
        <w:t xml:space="preserve">). </w:t>
      </w:r>
    </w:p>
    <w:p w:rsidRPr="002E51FE" w:rsidR="002E51FE" w:rsidP="002E51FE" w:rsidRDefault="002E51FE" w14:paraId="444DF4E1" w14:textId="31F1C8B8">
      <w:pPr>
        <w:rPr>
          <w:szCs w:val="18"/>
        </w:rPr>
      </w:pPr>
      <w:r w:rsidRPr="002E51FE">
        <w:rPr>
          <w:szCs w:val="18"/>
        </w:rPr>
        <w:t xml:space="preserve">In nauwe samenwerking met de consulenten </w:t>
      </w:r>
      <w:proofErr w:type="spellStart"/>
      <w:r w:rsidRPr="002E51FE">
        <w:rPr>
          <w:szCs w:val="18"/>
        </w:rPr>
        <w:t>ozl</w:t>
      </w:r>
      <w:proofErr w:type="spellEnd"/>
      <w:r w:rsidRPr="002E51FE">
        <w:rPr>
          <w:szCs w:val="18"/>
        </w:rPr>
        <w:t xml:space="preserve"> en hun werkgevers wordt</w:t>
      </w:r>
      <w:r w:rsidR="00EA50CF">
        <w:rPr>
          <w:szCs w:val="18"/>
        </w:rPr>
        <w:t xml:space="preserve"> dit </w:t>
      </w:r>
      <w:r w:rsidRPr="002E51FE">
        <w:rPr>
          <w:szCs w:val="18"/>
        </w:rPr>
        <w:t xml:space="preserve"> momenteel </w:t>
      </w:r>
      <w:r w:rsidR="00EA50CF">
        <w:rPr>
          <w:szCs w:val="18"/>
        </w:rPr>
        <w:t>voorbereid</w:t>
      </w:r>
      <w:r w:rsidRPr="002E51FE">
        <w:rPr>
          <w:szCs w:val="18"/>
        </w:rPr>
        <w:t>. Ik ben hen daar erkentelijk voor.</w:t>
      </w:r>
    </w:p>
    <w:p w:rsidRPr="002E51FE" w:rsidR="002E51FE" w:rsidP="002E51FE" w:rsidRDefault="002E51FE" w14:paraId="7DB832F4" w14:textId="77777777">
      <w:pPr>
        <w:spacing w:line="240" w:lineRule="auto"/>
        <w:rPr>
          <w:szCs w:val="18"/>
        </w:rPr>
      </w:pPr>
    </w:p>
    <w:p w:rsidRPr="002E51FE" w:rsidR="002E51FE" w:rsidP="002E51FE" w:rsidRDefault="002E51FE" w14:paraId="05D6DD26" w14:textId="4E57D500">
      <w:pPr>
        <w:rPr>
          <w:szCs w:val="18"/>
        </w:rPr>
      </w:pPr>
      <w:r w:rsidRPr="002E51FE">
        <w:rPr>
          <w:szCs w:val="18"/>
        </w:rPr>
        <w:t xml:space="preserve">De directeur-bestuurder </w:t>
      </w:r>
      <w:r w:rsidR="00EA50CF">
        <w:rPr>
          <w:szCs w:val="18"/>
        </w:rPr>
        <w:t xml:space="preserve">start na oprichting van de stichting </w:t>
      </w:r>
      <w:r w:rsidRPr="002E51FE">
        <w:rPr>
          <w:szCs w:val="18"/>
        </w:rPr>
        <w:t xml:space="preserve">in functie </w:t>
      </w:r>
      <w:r w:rsidR="00EA50CF">
        <w:rPr>
          <w:szCs w:val="18"/>
        </w:rPr>
        <w:t xml:space="preserve">als </w:t>
      </w:r>
      <w:r w:rsidRPr="002E51FE">
        <w:rPr>
          <w:szCs w:val="18"/>
        </w:rPr>
        <w:t xml:space="preserve">kwartiermaker, ondersteund door een </w:t>
      </w:r>
      <w:proofErr w:type="spellStart"/>
      <w:r w:rsidRPr="002E51FE">
        <w:rPr>
          <w:szCs w:val="18"/>
        </w:rPr>
        <w:t>kwartiermakersorganisatie</w:t>
      </w:r>
      <w:proofErr w:type="spellEnd"/>
      <w:r w:rsidRPr="002E51FE">
        <w:rPr>
          <w:szCs w:val="18"/>
        </w:rPr>
        <w:t xml:space="preserve">. Behoud van de bezetting door de huidige consulenten </w:t>
      </w:r>
      <w:proofErr w:type="spellStart"/>
      <w:r w:rsidRPr="002E51FE">
        <w:rPr>
          <w:szCs w:val="18"/>
        </w:rPr>
        <w:t>ozl</w:t>
      </w:r>
      <w:proofErr w:type="spellEnd"/>
      <w:r w:rsidRPr="002E51FE">
        <w:rPr>
          <w:szCs w:val="18"/>
        </w:rPr>
        <w:t xml:space="preserve"> is een belangrijke voorwaarde voor continuïteit. Na oprichting is de stichting verantwoordelijk voor de goede ontvangst van de medewerkers en de realisatie van alle noodzakelijke randvoorwaarden voor start van de organisatie (uitvoering implementatieplan). </w:t>
      </w:r>
    </w:p>
    <w:p w:rsidRPr="002E51FE" w:rsidR="002E51FE" w:rsidP="002E51FE" w:rsidRDefault="002E51FE" w14:paraId="1EEEABBC" w14:textId="77777777">
      <w:pPr>
        <w:rPr>
          <w:szCs w:val="18"/>
        </w:rPr>
      </w:pPr>
    </w:p>
    <w:p w:rsidRPr="001118D8" w:rsidR="002E51FE" w:rsidP="002E51FE" w:rsidRDefault="002E51FE" w14:paraId="20447B20" w14:textId="6867A27D">
      <w:pPr>
        <w:rPr>
          <w:color w:val="000000"/>
          <w:szCs w:val="18"/>
        </w:rPr>
      </w:pPr>
      <w:r w:rsidRPr="002E51FE">
        <w:rPr>
          <w:color w:val="000000"/>
          <w:szCs w:val="18"/>
        </w:rPr>
        <w:t>Conform de motie Westerveld (</w:t>
      </w:r>
      <w:r w:rsidR="00EA50CF">
        <w:rPr>
          <w:color w:val="000000"/>
          <w:szCs w:val="18"/>
        </w:rPr>
        <w:t>PRO</w:t>
      </w:r>
      <w:r w:rsidRPr="002E51FE">
        <w:rPr>
          <w:color w:val="000000"/>
          <w:szCs w:val="18"/>
        </w:rPr>
        <w:t>) c.s.</w:t>
      </w:r>
      <w:r w:rsidRPr="002E51FE">
        <w:rPr>
          <w:rStyle w:val="Voetnootmarkering"/>
          <w:color w:val="000000"/>
          <w:szCs w:val="18"/>
        </w:rPr>
        <w:footnoteReference w:id="4"/>
      </w:r>
      <w:r w:rsidRPr="002E51FE">
        <w:rPr>
          <w:color w:val="000000"/>
          <w:szCs w:val="18"/>
        </w:rPr>
        <w:t xml:space="preserve"> en demotie </w:t>
      </w:r>
      <w:proofErr w:type="spellStart"/>
      <w:r w:rsidRPr="002E51FE">
        <w:rPr>
          <w:color w:val="000000"/>
          <w:szCs w:val="18"/>
        </w:rPr>
        <w:t>Rooderkerk</w:t>
      </w:r>
      <w:proofErr w:type="spellEnd"/>
      <w:r w:rsidRPr="002E51FE">
        <w:rPr>
          <w:color w:val="000000"/>
          <w:szCs w:val="18"/>
        </w:rPr>
        <w:t xml:space="preserve"> (D66) c.s. zal ik er onder meer via de subsidievoorwaarden op sturen dat de stichting voor die consulenten die niet vallen onder overgang van onderneming ruimhartig omgaat met de mogelijkheid tot combibanen en detachering. Zo kunnen zoveel mogelijk consulenten hun </w:t>
      </w:r>
      <w:proofErr w:type="spellStart"/>
      <w:r w:rsidRPr="002E51FE">
        <w:rPr>
          <w:color w:val="000000"/>
          <w:szCs w:val="18"/>
        </w:rPr>
        <w:t>ozl</w:t>
      </w:r>
      <w:proofErr w:type="spellEnd"/>
      <w:r w:rsidR="00F24479">
        <w:rPr>
          <w:color w:val="000000"/>
          <w:szCs w:val="18"/>
        </w:rPr>
        <w:t>-</w:t>
      </w:r>
      <w:r w:rsidRPr="002E51FE">
        <w:rPr>
          <w:color w:val="000000"/>
          <w:szCs w:val="18"/>
        </w:rPr>
        <w:t xml:space="preserve">werk voortzetten. Een informele belangstellingsinventarisatie, door het CAOP uitgevoerd in april 2026, toont dat de mogelijkheid tot detachering voor een deel van de consulenten belangrijk is om hun werk voort te zetten. Daadwerkelijke personele inpassing en het maken van individuele personele afspraken kan alleen de stichting zelf. Dit proces start </w:t>
      </w:r>
      <w:r w:rsidR="00EA50CF">
        <w:rPr>
          <w:color w:val="000000"/>
          <w:szCs w:val="18"/>
        </w:rPr>
        <w:t>in september</w:t>
      </w:r>
      <w:r w:rsidRPr="002E51FE">
        <w:rPr>
          <w:color w:val="000000"/>
          <w:szCs w:val="18"/>
        </w:rPr>
        <w:t xml:space="preserve">. </w:t>
      </w:r>
    </w:p>
    <w:p w:rsidRPr="002E51FE" w:rsidR="002E51FE" w:rsidP="002E51FE" w:rsidRDefault="002E51FE" w14:paraId="7E343C1C" w14:textId="77777777">
      <w:pPr>
        <w:rPr>
          <w:color w:val="000000"/>
          <w:szCs w:val="18"/>
        </w:rPr>
      </w:pPr>
    </w:p>
    <w:p w:rsidRPr="002E51FE" w:rsidR="002E51FE" w:rsidP="002E51FE" w:rsidRDefault="002E51FE" w14:paraId="5F9D76AC" w14:textId="04B4BB9E">
      <w:pPr>
        <w:rPr>
          <w:color w:val="000000"/>
          <w:szCs w:val="18"/>
        </w:rPr>
      </w:pPr>
      <w:r w:rsidRPr="002E51FE">
        <w:rPr>
          <w:color w:val="000000"/>
          <w:szCs w:val="18"/>
        </w:rPr>
        <w:lastRenderedPageBreak/>
        <w:t xml:space="preserve">Ik </w:t>
      </w:r>
      <w:r w:rsidR="00EA50CF">
        <w:rPr>
          <w:color w:val="000000"/>
          <w:szCs w:val="18"/>
        </w:rPr>
        <w:t>informeer</w:t>
      </w:r>
      <w:r w:rsidRPr="002E51FE">
        <w:rPr>
          <w:color w:val="000000"/>
          <w:szCs w:val="18"/>
        </w:rPr>
        <w:t xml:space="preserve"> uw Kamer aan het einde van het jaar verder</w:t>
      </w:r>
      <w:r w:rsidR="00EA50CF">
        <w:rPr>
          <w:color w:val="000000"/>
          <w:szCs w:val="18"/>
        </w:rPr>
        <w:t xml:space="preserve"> </w:t>
      </w:r>
      <w:r w:rsidRPr="002E51FE">
        <w:rPr>
          <w:color w:val="000000"/>
          <w:szCs w:val="18"/>
        </w:rPr>
        <w:t>over uitvoering van de motie Ceder (CU) en Beckerman (SP)</w:t>
      </w:r>
      <w:r w:rsidRPr="002E51FE">
        <w:rPr>
          <w:rStyle w:val="Voetnootmarkering"/>
          <w:color w:val="000000"/>
          <w:szCs w:val="18"/>
        </w:rPr>
        <w:footnoteReference w:id="5"/>
      </w:r>
      <w:r w:rsidRPr="002E51FE">
        <w:rPr>
          <w:color w:val="000000"/>
          <w:szCs w:val="18"/>
        </w:rPr>
        <w:t>, de moties Westerveld (</w:t>
      </w:r>
      <w:r w:rsidR="00A12407">
        <w:rPr>
          <w:color w:val="000000"/>
          <w:szCs w:val="18"/>
        </w:rPr>
        <w:t>PRO</w:t>
      </w:r>
      <w:r w:rsidRPr="002E51FE">
        <w:rPr>
          <w:color w:val="000000"/>
          <w:szCs w:val="18"/>
        </w:rPr>
        <w:t>) c.s.</w:t>
      </w:r>
      <w:r w:rsidRPr="002E51FE">
        <w:rPr>
          <w:rStyle w:val="Voetnootmarkering"/>
          <w:color w:val="000000"/>
          <w:szCs w:val="18"/>
        </w:rPr>
        <w:footnoteReference w:id="6"/>
      </w:r>
      <w:r w:rsidRPr="002E51FE">
        <w:rPr>
          <w:color w:val="000000"/>
          <w:szCs w:val="18"/>
        </w:rPr>
        <w:t>, motie Beckerman (SP) c.s.</w:t>
      </w:r>
      <w:r w:rsidRPr="002E51FE">
        <w:rPr>
          <w:rStyle w:val="Voetnootmarkering"/>
          <w:color w:val="000000"/>
          <w:szCs w:val="18"/>
        </w:rPr>
        <w:footnoteReference w:id="7"/>
      </w:r>
      <w:r w:rsidRPr="002E51FE">
        <w:rPr>
          <w:color w:val="000000"/>
          <w:szCs w:val="18"/>
        </w:rPr>
        <w:t xml:space="preserve"> en motie Boomsma (JA21).</w:t>
      </w:r>
      <w:r w:rsidRPr="002E51FE">
        <w:rPr>
          <w:rStyle w:val="Voetnootmarkering"/>
          <w:color w:val="000000"/>
          <w:szCs w:val="18"/>
        </w:rPr>
        <w:footnoteReference w:id="8"/>
      </w:r>
      <w:r w:rsidRPr="002E51FE">
        <w:rPr>
          <w:color w:val="000000"/>
          <w:szCs w:val="18"/>
        </w:rPr>
        <w:t xml:space="preserve"> In die brief zal ik ook ingaan op de toezegging </w:t>
      </w:r>
      <w:proofErr w:type="spellStart"/>
      <w:r w:rsidRPr="002E51FE">
        <w:rPr>
          <w:color w:val="000000"/>
          <w:szCs w:val="18"/>
        </w:rPr>
        <w:t>KlasseContact</w:t>
      </w:r>
      <w:proofErr w:type="spellEnd"/>
      <w:r w:rsidRPr="002E51FE">
        <w:rPr>
          <w:rStyle w:val="Voetnootmarkering"/>
          <w:color w:val="000000"/>
          <w:szCs w:val="18"/>
        </w:rPr>
        <w:footnoteReference w:id="9"/>
      </w:r>
      <w:r w:rsidRPr="002E51FE">
        <w:rPr>
          <w:color w:val="000000"/>
          <w:szCs w:val="18"/>
        </w:rPr>
        <w:t xml:space="preserve">, waarover de gesprekken tussen KPN Mooiste Contact Fonds en netwerk </w:t>
      </w:r>
      <w:proofErr w:type="spellStart"/>
      <w:r w:rsidRPr="002E51FE">
        <w:rPr>
          <w:color w:val="000000"/>
          <w:szCs w:val="18"/>
        </w:rPr>
        <w:t>Ziezon</w:t>
      </w:r>
      <w:proofErr w:type="spellEnd"/>
      <w:r w:rsidRPr="002E51FE">
        <w:rPr>
          <w:color w:val="000000"/>
          <w:szCs w:val="18"/>
        </w:rPr>
        <w:t xml:space="preserve"> nog lopen. Ook ontvangt uw Kamer later in het jaar de kaderbrief, waarin de financiële en inhoudelijke kaders voor de nieuwe stichting beschreven staan.</w:t>
      </w:r>
    </w:p>
    <w:p w:rsidRPr="00FC70BE" w:rsidR="0079521E" w:rsidP="003C7CB5" w:rsidRDefault="0079521E" w14:paraId="3DDCCBAE" w14:textId="72240167">
      <w:pPr>
        <w:pStyle w:val="Kop1"/>
      </w:pPr>
      <w:r w:rsidRPr="00FC70BE">
        <w:t>Toezegging leerlingen met PAIS/longcovid</w:t>
      </w:r>
      <w:r>
        <w:rPr>
          <w:rStyle w:val="Voetnootmarkering"/>
        </w:rPr>
        <w:footnoteReference w:id="10"/>
      </w:r>
    </w:p>
    <w:p w:rsidR="0079521E" w:rsidP="0079521E" w:rsidRDefault="0079521E" w14:paraId="5A7E9EDC" w14:textId="085023DF">
      <w:r w:rsidRPr="00482287">
        <w:t xml:space="preserve">Uw Kamer vroeg met de motie van de leden Ceder </w:t>
      </w:r>
      <w:r>
        <w:t xml:space="preserve">(CU) </w:t>
      </w:r>
      <w:r w:rsidRPr="00482287">
        <w:t>en Westerveld</w:t>
      </w:r>
      <w:r>
        <w:t xml:space="preserve"> (</w:t>
      </w:r>
      <w:r w:rsidR="00D23015">
        <w:t>PRO</w:t>
      </w:r>
      <w:r>
        <w:t>)</w:t>
      </w:r>
      <w:r w:rsidRPr="00482287">
        <w:rPr>
          <w:vertAlign w:val="superscript"/>
        </w:rPr>
        <w:footnoteReference w:id="11"/>
      </w:r>
      <w:r w:rsidRPr="00482287">
        <w:t xml:space="preserve"> om landelijke richtlijnen voor scholen over PAIS/</w:t>
      </w:r>
      <w:r w:rsidRPr="00E83C0C">
        <w:t xml:space="preserve"> post-covid</w:t>
      </w:r>
      <w:r w:rsidRPr="00482287">
        <w:t>. In de brief</w:t>
      </w:r>
      <w:r w:rsidRPr="00482287">
        <w:rPr>
          <w:vertAlign w:val="superscript"/>
        </w:rPr>
        <w:footnoteReference w:id="12"/>
      </w:r>
      <w:r>
        <w:t xml:space="preserve"> </w:t>
      </w:r>
      <w:r w:rsidRPr="00482287">
        <w:t>over de transitie naar inclusief onderwijs</w:t>
      </w:r>
      <w:r>
        <w:t xml:space="preserve"> </w:t>
      </w:r>
      <w:r w:rsidR="00D23015">
        <w:t>van</w:t>
      </w:r>
      <w:r>
        <w:t xml:space="preserve"> 20 mei en in de brief</w:t>
      </w:r>
      <w:r w:rsidRPr="00482287">
        <w:t xml:space="preserve"> die de minister van Langdurige Zorg, Jeugd en Sport </w:t>
      </w:r>
      <w:r w:rsidR="0004279E">
        <w:t xml:space="preserve">voornemens is </w:t>
      </w:r>
      <w:r>
        <w:t>voor het zomerreces te versturen</w:t>
      </w:r>
      <w:r w:rsidR="00D23015">
        <w:t>,</w:t>
      </w:r>
      <w:r>
        <w:t xml:space="preserve"> geef ik aan</w:t>
      </w:r>
      <w:r w:rsidRPr="00482287">
        <w:t xml:space="preserve"> wat er al mogelijk is voor leerlingen die te maken krijgen met ziekte.</w:t>
      </w:r>
    </w:p>
    <w:p w:rsidRPr="000F1C89" w:rsidR="00B04D6B" w:rsidP="005E673D" w:rsidRDefault="00B04D6B" w14:paraId="0D49C1A7" w14:textId="77777777">
      <w:pPr>
        <w:rPr>
          <w:szCs w:val="18"/>
        </w:rPr>
      </w:pPr>
    </w:p>
    <w:p w:rsidRPr="000F1C89" w:rsidR="00B71619" w:rsidP="00CA35E4" w:rsidRDefault="005E673D" w14:paraId="0AA455FE" w14:textId="4631B9B9">
      <w:pPr>
        <w:rPr>
          <w:szCs w:val="18"/>
        </w:rPr>
      </w:pPr>
      <w:r w:rsidRPr="000F1C89">
        <w:rPr>
          <w:szCs w:val="18"/>
        </w:rPr>
        <w:t>Ik zet in op meer flexibiliteit in (onderwijs)oplossingen als kinderen dreigen uit te vallen of uitgevallen zijn.</w:t>
      </w:r>
      <w:r w:rsidRPr="000F1C89" w:rsidR="00572616">
        <w:rPr>
          <w:szCs w:val="18"/>
        </w:rPr>
        <w:t xml:space="preserve"> </w:t>
      </w:r>
      <w:r w:rsidRPr="000F1C89">
        <w:rPr>
          <w:szCs w:val="18"/>
        </w:rPr>
        <w:t>Tijdens het debat over het wetsvoorstel terugdringen schoolverzuim op 26 maart jl. heb ik toegezegd</w:t>
      </w:r>
      <w:r w:rsidRPr="000F1C89">
        <w:rPr>
          <w:szCs w:val="18"/>
          <w:vertAlign w:val="superscript"/>
        </w:rPr>
        <w:footnoteReference w:id="13"/>
      </w:r>
      <w:r w:rsidRPr="000F1C89">
        <w:rPr>
          <w:szCs w:val="18"/>
        </w:rPr>
        <w:t xml:space="preserve"> uw Kamer voor de zomer te informeren over de gesprekken over onderwijs voor kinderen met chronische ziektes zoals PAIS</w:t>
      </w:r>
      <w:r w:rsidR="005446AE">
        <w:rPr>
          <w:szCs w:val="18"/>
        </w:rPr>
        <w:t>/</w:t>
      </w:r>
      <w:r w:rsidR="00B769D4">
        <w:rPr>
          <w:szCs w:val="18"/>
        </w:rPr>
        <w:t>post-</w:t>
      </w:r>
      <w:r w:rsidRPr="000F1C89">
        <w:rPr>
          <w:szCs w:val="18"/>
        </w:rPr>
        <w:t xml:space="preserve">covid. Begin juni heb ik samen met ouders, leerlingen, deskundigen en het onderwijsveld besproken wat de mogelijkheden vanuit het onderwijs zijn (zoals digitaal afstandsonderwijs) en wat er nog ontbreekt. De komende periode </w:t>
      </w:r>
      <w:r w:rsidR="00D23015">
        <w:rPr>
          <w:szCs w:val="18"/>
        </w:rPr>
        <w:t xml:space="preserve">informeren </w:t>
      </w:r>
      <w:r w:rsidRPr="000F1C89">
        <w:rPr>
          <w:szCs w:val="18"/>
        </w:rPr>
        <w:t>we scholen actief over de mogelijkheden voor leerlingen met PAIS/</w:t>
      </w:r>
      <w:r w:rsidR="00B769D4">
        <w:rPr>
          <w:szCs w:val="18"/>
        </w:rPr>
        <w:t>post-</w:t>
      </w:r>
      <w:r w:rsidRPr="000F1C89">
        <w:rPr>
          <w:szCs w:val="18"/>
        </w:rPr>
        <w:t xml:space="preserve">covid om </w:t>
      </w:r>
      <w:r w:rsidRPr="000F1C89" w:rsidR="0039754D">
        <w:rPr>
          <w:szCs w:val="18"/>
        </w:rPr>
        <w:t>ervoor</w:t>
      </w:r>
      <w:r w:rsidRPr="000F1C89">
        <w:rPr>
          <w:szCs w:val="18"/>
        </w:rPr>
        <w:t xml:space="preserve"> te zorgen dat deze leerlingen geen achterstand ontwikkelen. Ook streven we ernaar om informatie zoveel mogelijk vanuit een centrale plek te ontsluiten. </w:t>
      </w:r>
      <w:r w:rsidRPr="000F1C89" w:rsidR="003D42B6">
        <w:rPr>
          <w:szCs w:val="18"/>
        </w:rPr>
        <w:t>Uw</w:t>
      </w:r>
      <w:r w:rsidRPr="000F1C89">
        <w:rPr>
          <w:szCs w:val="18"/>
        </w:rPr>
        <w:t xml:space="preserve"> Kamer wordt voor het einde van dit jaar geïnformeerd over de verdere uitvoering van deze motie.</w:t>
      </w:r>
    </w:p>
    <w:p w:rsidRPr="000F1C89" w:rsidR="00A31F28" w:rsidP="003C7CB5" w:rsidRDefault="004F7B4D" w14:paraId="041F2973" w14:textId="2384308D">
      <w:pPr>
        <w:pStyle w:val="Kop1"/>
      </w:pPr>
      <w:r w:rsidRPr="000F1C89">
        <w:t>H</w:t>
      </w:r>
      <w:r w:rsidRPr="000F1C89" w:rsidR="00A31F28">
        <w:t xml:space="preserve">et opnemen van onderwijs aan jongeren in de jeugdzorg in de Staat van het Onderwijs </w:t>
      </w:r>
    </w:p>
    <w:p w:rsidRPr="000F1C89" w:rsidR="00216365" w:rsidP="00CA35E4" w:rsidRDefault="00A31F28" w14:paraId="67E49238" w14:textId="2A93E766">
      <w:pPr>
        <w:rPr>
          <w:szCs w:val="18"/>
        </w:rPr>
      </w:pPr>
      <w:r w:rsidRPr="000F1C89">
        <w:rPr>
          <w:szCs w:val="18"/>
        </w:rPr>
        <w:t xml:space="preserve">Met de motie </w:t>
      </w:r>
      <w:r w:rsidRPr="000F1C89" w:rsidR="001E31F3">
        <w:rPr>
          <w:szCs w:val="18"/>
        </w:rPr>
        <w:t xml:space="preserve">van de leden </w:t>
      </w:r>
      <w:r w:rsidRPr="000F1C89">
        <w:rPr>
          <w:szCs w:val="18"/>
        </w:rPr>
        <w:t>Haage</w:t>
      </w:r>
      <w:r w:rsidRPr="000F1C89" w:rsidR="001E31F3">
        <w:rPr>
          <w:szCs w:val="18"/>
        </w:rPr>
        <w:t xml:space="preserve"> en </w:t>
      </w:r>
      <w:r w:rsidRPr="000F1C89">
        <w:rPr>
          <w:szCs w:val="18"/>
        </w:rPr>
        <w:t>Westerveld</w:t>
      </w:r>
      <w:r w:rsidRPr="000F1C89" w:rsidR="001E31F3">
        <w:rPr>
          <w:szCs w:val="18"/>
        </w:rPr>
        <w:t xml:space="preserve"> (</w:t>
      </w:r>
      <w:r w:rsidR="00D23015">
        <w:rPr>
          <w:szCs w:val="18"/>
        </w:rPr>
        <w:t>beide PRO</w:t>
      </w:r>
      <w:r w:rsidRPr="000F1C89" w:rsidR="001E31F3">
        <w:rPr>
          <w:szCs w:val="18"/>
        </w:rPr>
        <w:t>)</w:t>
      </w:r>
      <w:r w:rsidRPr="000F1C89">
        <w:rPr>
          <w:rStyle w:val="Voetnootmarkering"/>
          <w:szCs w:val="18"/>
        </w:rPr>
        <w:footnoteReference w:id="14"/>
      </w:r>
      <w:r w:rsidRPr="000F1C89">
        <w:rPr>
          <w:szCs w:val="18"/>
        </w:rPr>
        <w:t xml:space="preserve"> heeft uw Kamer gevraagd om de Inspectie van het Onderwijs (hierna: inspectie) te vragen voortaan ook onderwijs aan jongeren in de jeugdzorg mee te nemen in de Staat van het Onderwijs. De inspectie heeft in de Staat van het Onderwijs 2026 opnieuw een passage over het onderwijs aan deze groep jongeren opgenomen en aangeven dit in toekomstige publicaties </w:t>
      </w:r>
      <w:r w:rsidR="00D23015">
        <w:rPr>
          <w:szCs w:val="18"/>
        </w:rPr>
        <w:t xml:space="preserve">jaarlijks </w:t>
      </w:r>
      <w:r w:rsidRPr="000F1C89">
        <w:rPr>
          <w:szCs w:val="18"/>
        </w:rPr>
        <w:t>te doen.</w:t>
      </w:r>
    </w:p>
    <w:p w:rsidRPr="00216365" w:rsidR="0049777F" w:rsidP="003C7CB5" w:rsidRDefault="000F1C89" w14:paraId="047056B8" w14:textId="2E4A7C6F">
      <w:pPr>
        <w:pStyle w:val="Kop1"/>
      </w:pPr>
      <w:r w:rsidRPr="000F1C89">
        <w:lastRenderedPageBreak/>
        <w:t>Toelaatbaarheid en bekostiging voor leerlingen met een ernstige meervoudige beperking</w:t>
      </w:r>
    </w:p>
    <w:p w:rsidRPr="00AD4539" w:rsidR="009B6005" w:rsidP="009B6005" w:rsidRDefault="009B6005" w14:paraId="280F7F59" w14:textId="07210D4C">
      <w:pPr>
        <w:rPr>
          <w:szCs w:val="18"/>
        </w:rPr>
      </w:pPr>
      <w:r w:rsidRPr="00AD4539">
        <w:rPr>
          <w:szCs w:val="18"/>
        </w:rPr>
        <w:t>Naar aanleiding van de motie Westerveld (</w:t>
      </w:r>
      <w:r w:rsidR="002138CD">
        <w:rPr>
          <w:szCs w:val="18"/>
        </w:rPr>
        <w:t>PRO</w:t>
      </w:r>
      <w:r w:rsidRPr="00AD4539">
        <w:rPr>
          <w:szCs w:val="18"/>
        </w:rPr>
        <w:t>)</w:t>
      </w:r>
      <w:r w:rsidRPr="00AD4539">
        <w:rPr>
          <w:rStyle w:val="Voetnootmarkering"/>
          <w:szCs w:val="18"/>
        </w:rPr>
        <w:footnoteReference w:id="15"/>
      </w:r>
      <w:r w:rsidRPr="00AD4539">
        <w:rPr>
          <w:szCs w:val="18"/>
        </w:rPr>
        <w:t xml:space="preserve"> heb ik beleidsopties verkend voor de toelating en bekostiging van leerlingen met een ernstige meervoudige beperking (hierna: EMB), waaronder landelijke indicatiestelling, landelijke aanmelding en rechtstreekse bekostiging via het Rijk. Daarbij zijn gesprekken gevoerd met onder meer vertegenwoordigers van het gespecialiseerd onderwijs, samenwerkingsverbanden passend onderwijs, ouders en leerlingen.</w:t>
      </w:r>
    </w:p>
    <w:p w:rsidRPr="00AD4539" w:rsidR="009B6005" w:rsidP="009B6005" w:rsidRDefault="009B6005" w14:paraId="75955019" w14:textId="77777777">
      <w:pPr>
        <w:rPr>
          <w:szCs w:val="18"/>
        </w:rPr>
      </w:pPr>
    </w:p>
    <w:p w:rsidRPr="00AD4539" w:rsidR="009B6005" w:rsidP="009B6005" w:rsidRDefault="009B6005" w14:paraId="7C2EB5F5" w14:textId="3AB2378D">
      <w:pPr>
        <w:rPr>
          <w:szCs w:val="18"/>
        </w:rPr>
      </w:pPr>
      <w:r w:rsidRPr="00AD4539">
        <w:rPr>
          <w:szCs w:val="18"/>
        </w:rPr>
        <w:t>Zoals ik heb toegelicht tijdens het commissiedebat passend onderwijs van 27 mei 2026, vind ik het belangrijk dat voor deze leerlingen snel stappen worden gezet. Voor EMB-leerlingen zijn eerder al landelijke afspraken gemaakt met partijen</w:t>
      </w:r>
      <w:r w:rsidRPr="00AD4539">
        <w:rPr>
          <w:rStyle w:val="Voetnootmarkering"/>
          <w:szCs w:val="18"/>
        </w:rPr>
        <w:footnoteReference w:id="16"/>
      </w:r>
      <w:r w:rsidRPr="00AD4539">
        <w:rPr>
          <w:szCs w:val="18"/>
        </w:rPr>
        <w:t xml:space="preserve">. Het gaat daarbij om het gebruik van het landelijk aanvraagformulier, een </w:t>
      </w:r>
      <w:r w:rsidR="00804BE7">
        <w:rPr>
          <w:szCs w:val="18"/>
        </w:rPr>
        <w:t xml:space="preserve">toelaatbaarheidsverklaring (hierna: </w:t>
      </w:r>
      <w:r w:rsidRPr="00AD4539">
        <w:rPr>
          <w:szCs w:val="18"/>
        </w:rPr>
        <w:t>tlv</w:t>
      </w:r>
      <w:r w:rsidR="00804BE7">
        <w:rPr>
          <w:szCs w:val="18"/>
        </w:rPr>
        <w:t>)</w:t>
      </w:r>
      <w:r w:rsidRPr="00AD4539">
        <w:rPr>
          <w:szCs w:val="18"/>
        </w:rPr>
        <w:t xml:space="preserve"> voor de duur van de schoolloopbaan en een tlv in de hoogste bekostigingscategorie. Om snel effect te bereiken, maak ik met de betrokken partijen, waaronder in ieder geval </w:t>
      </w:r>
      <w:proofErr w:type="spellStart"/>
      <w:r w:rsidRPr="00AD4539">
        <w:rPr>
          <w:szCs w:val="18"/>
        </w:rPr>
        <w:t>ONSwv</w:t>
      </w:r>
      <w:proofErr w:type="spellEnd"/>
      <w:r w:rsidRPr="00AD4539">
        <w:rPr>
          <w:szCs w:val="18"/>
        </w:rPr>
        <w:t xml:space="preserve"> en de Sectorraad GO, bestuurlijke afspraken om deze </w:t>
      </w:r>
      <w:r w:rsidR="00804BE7">
        <w:rPr>
          <w:szCs w:val="18"/>
        </w:rPr>
        <w:t>drie</w:t>
      </w:r>
      <w:r w:rsidRPr="00AD4539">
        <w:rPr>
          <w:szCs w:val="18"/>
        </w:rPr>
        <w:t xml:space="preserve"> lijnen te herbevestigen.</w:t>
      </w:r>
    </w:p>
    <w:p w:rsidRPr="00AD4539" w:rsidR="009B6005" w:rsidP="009B6005" w:rsidRDefault="009B6005" w14:paraId="270760FB" w14:textId="77777777">
      <w:pPr>
        <w:rPr>
          <w:szCs w:val="18"/>
        </w:rPr>
      </w:pPr>
    </w:p>
    <w:p w:rsidRPr="00AD4539" w:rsidR="009B6005" w:rsidP="009B6005" w:rsidRDefault="000C3AC7" w14:paraId="61204317" w14:textId="109DE6C3">
      <w:pPr>
        <w:rPr>
          <w:szCs w:val="18"/>
        </w:rPr>
      </w:pPr>
      <w:r>
        <w:rPr>
          <w:szCs w:val="18"/>
        </w:rPr>
        <w:t xml:space="preserve">Omdat deze afspraken in de praktijk niet overal worden nageleefd en monitoring en opvolging destijds onvoldoende zijn uitgewerkt, maak ik met de betrokken partijen nieuwe bestuurlijke afspraken. Hierin worden deze drie lijnen herbevestigd en worden afspraken gemaakt over de wijze waarop naleving wordt gevolgd en hoe partijen elkaar daarop aanspreken. Daarbij verken ik ook met de inspectie hoe zij afwijkende uitvoeringspraktijken kunnen signaleren binnen hun bestaand toezicht op scholen en samenwerkingsverbanden. </w:t>
      </w:r>
    </w:p>
    <w:p w:rsidRPr="00AD4539" w:rsidR="009B6005" w:rsidP="009B6005" w:rsidRDefault="009B6005" w14:paraId="2DBAB541" w14:textId="77777777">
      <w:pPr>
        <w:rPr>
          <w:szCs w:val="18"/>
        </w:rPr>
      </w:pPr>
    </w:p>
    <w:p w:rsidR="003C7CB5" w:rsidP="000F1C89" w:rsidRDefault="004D6D46" w14:paraId="589A4552" w14:textId="1A438B10">
      <w:pPr>
        <w:rPr>
          <w:szCs w:val="18"/>
        </w:rPr>
      </w:pPr>
      <w:r w:rsidRPr="004D6D46">
        <w:rPr>
          <w:szCs w:val="18"/>
        </w:rPr>
        <w:t xml:space="preserve">Als blijkt dat deze aanpak onvoldoende verbetering oplevert, </w:t>
      </w:r>
      <w:r w:rsidR="003F1A4B">
        <w:rPr>
          <w:szCs w:val="18"/>
        </w:rPr>
        <w:t>doe</w:t>
      </w:r>
      <w:r w:rsidRPr="004D6D46">
        <w:rPr>
          <w:szCs w:val="18"/>
        </w:rPr>
        <w:t xml:space="preserve"> ik alsnog </w:t>
      </w:r>
      <w:r w:rsidR="003F1A4B">
        <w:rPr>
          <w:szCs w:val="18"/>
        </w:rPr>
        <w:t>een voorstel voor</w:t>
      </w:r>
      <w:r w:rsidRPr="004D6D46">
        <w:rPr>
          <w:szCs w:val="18"/>
        </w:rPr>
        <w:t xml:space="preserve"> hoe de bestaande landelijke afspraken wettelijk kunnen worden vastgelegd. Een wetswijziging kost naar verwachting enkele jaren; de verdergaande beleidsopties die naar aanleiding van de motie zijn verkend hebben daarnaast ingrijpende gevolgen voor de uitvoering in het veld en bij de Dienst Uitvoering Onderwijs (hierna: DUO), en vergen mogelijk nog meer tijd. Juist daarom kies ik nu voor een aanpak waarmee op kortere termijn verbetering kan worden bereikt voor de leerlingen. Ik stuur uw Kamer na de zomer een afschrift van de bestuurlijke afspraken over de toelating en bekostiging van EMB-leerlingen.</w:t>
      </w:r>
    </w:p>
    <w:p w:rsidRPr="00CC4C0E" w:rsidR="003C7CB5" w:rsidP="007867E9" w:rsidRDefault="003C7CB5" w14:paraId="69201A17" w14:textId="77777777">
      <w:pPr>
        <w:pStyle w:val="Kop1"/>
      </w:pPr>
      <w:r w:rsidRPr="00CC4C0E">
        <w:t>Toezicht op samenwerkingsverbanden passend onderwijs</w:t>
      </w:r>
    </w:p>
    <w:p w:rsidRPr="00CC4C0E" w:rsidR="003C7CB5" w:rsidP="003C7CB5" w:rsidRDefault="003C7CB5" w14:paraId="0F95E6A9" w14:textId="77777777">
      <w:r w:rsidRPr="00CC4C0E">
        <w:t xml:space="preserve">De samenwerkingsverbanden passend onderwijs hebben tot doel om een dekkend netwerk van ondersteuningsvoorzieningen te realiseren, zodat alle leerlingen een passende plek in het onderwijs krijgen. </w:t>
      </w:r>
      <w:r>
        <w:t>Zoals toegezegd in het</w:t>
      </w:r>
      <w:r w:rsidRPr="00CC4C0E">
        <w:t xml:space="preserve"> Commissiedebat passend onderwijs van 27 mei 2026 ben ik in gesprek met de inspectie over de </w:t>
      </w:r>
      <w:r w:rsidRPr="00CC4C0E">
        <w:lastRenderedPageBreak/>
        <w:t>handhaving van de wettelijke taak van samenwerkingsverbanden om een dekkend netwerk te realiseren.</w:t>
      </w:r>
      <w:r>
        <w:rPr>
          <w:rStyle w:val="Voetnootmarkering"/>
        </w:rPr>
        <w:footnoteReference w:id="17"/>
      </w:r>
      <w:r>
        <w:t xml:space="preserve"> </w:t>
      </w:r>
      <w:r>
        <w:rPr>
          <w:rStyle w:val="Voetnootmarkering"/>
        </w:rPr>
        <w:footnoteReference w:id="18"/>
      </w:r>
      <w:r w:rsidRPr="00CC4C0E">
        <w:t xml:space="preserve"> </w:t>
      </w:r>
    </w:p>
    <w:p w:rsidRPr="00CC4C0E" w:rsidR="003C7CB5" w:rsidP="003C7CB5" w:rsidRDefault="003C7CB5" w14:paraId="04BE9001" w14:textId="77777777"/>
    <w:p w:rsidR="003C7CB5" w:rsidP="003C7CB5" w:rsidRDefault="003C7CB5" w14:paraId="1DA72918" w14:textId="77777777">
      <w:r w:rsidRPr="00CC4C0E">
        <w:t>De afgelopen jaren heeft de inspectie vrijwel alle samenwerkingsverbanden onderzocht en hierbij de kwaliteit van de uitvoering van wettelijke taken beoordeeld</w:t>
      </w:r>
      <w:r>
        <w:t xml:space="preserve">, zoals beschreven in het </w:t>
      </w:r>
      <w:proofErr w:type="spellStart"/>
      <w:r>
        <w:t>onderzoekskader</w:t>
      </w:r>
      <w:proofErr w:type="spellEnd"/>
      <w:r>
        <w:t xml:space="preserve"> voor samenwerkingsverbanden</w:t>
      </w:r>
      <w:r w:rsidRPr="00CC4C0E">
        <w:t>.</w:t>
      </w:r>
      <w:r>
        <w:rPr>
          <w:rStyle w:val="Voetnootmarkering"/>
        </w:rPr>
        <w:footnoteReference w:id="19"/>
      </w:r>
      <w:r w:rsidRPr="00CC4C0E">
        <w:t xml:space="preserve"> In de periode van 2022 tot en met 2025 heeft de inspectie </w:t>
      </w:r>
      <w:r>
        <w:t xml:space="preserve">132 samenwerkingsverbanden onderzocht. 116 samenwerkingsverbanden (87%) werden als voldoende of goed beoordeeld op het onderdeel dekkend netwerk, </w:t>
      </w:r>
      <w:r w:rsidRPr="00CC4C0E">
        <w:t>16 samenwerkingsverbanden</w:t>
      </w:r>
      <w:r>
        <w:t xml:space="preserve"> (12%)</w:t>
      </w:r>
      <w:r w:rsidRPr="00CC4C0E">
        <w:t xml:space="preserve"> </w:t>
      </w:r>
      <w:r>
        <w:t xml:space="preserve">werden </w:t>
      </w:r>
      <w:r w:rsidRPr="00CC4C0E">
        <w:t>als onvoldoende beoordeeld. De inspectie heeft deze samenwerkingsverbanden een herstelopdracht gegeven</w:t>
      </w:r>
      <w:r>
        <w:t xml:space="preserve"> en</w:t>
      </w:r>
      <w:r w:rsidRPr="00CC4C0E">
        <w:t xml:space="preserve"> </w:t>
      </w:r>
      <w:r>
        <w:t xml:space="preserve">na de hersteltermijn </w:t>
      </w:r>
      <w:r w:rsidRPr="00CC4C0E">
        <w:t xml:space="preserve">opnieuw </w:t>
      </w:r>
      <w:r>
        <w:t xml:space="preserve">onderzocht </w:t>
      </w:r>
      <w:r w:rsidRPr="00CC4C0E">
        <w:t xml:space="preserve">of de kwaliteit op orde is. </w:t>
      </w:r>
      <w:r>
        <w:t xml:space="preserve">Bij 14 van de 16 samenwerkingsverbanden bleek dat de tekortkomingen na de hersteltermijn waren opgelost. </w:t>
      </w:r>
    </w:p>
    <w:p w:rsidR="003C7CB5" w:rsidP="003C7CB5" w:rsidRDefault="003C7CB5" w14:paraId="30E03012" w14:textId="77777777"/>
    <w:p w:rsidR="003C7CB5" w:rsidP="003C7CB5" w:rsidRDefault="003C7CB5" w14:paraId="163201A6" w14:textId="1F3661A1">
      <w:pPr>
        <w:rPr>
          <w:szCs w:val="18"/>
        </w:rPr>
      </w:pPr>
      <w:r>
        <w:t>Bij de twee samenwerkingsverbanden die hier niet in slaagden, heeft de inspectie besloten om geen financiële sanctie op te leggen maar een termijn te geven. De inspectie doet dat omdat er externe factoren zijn waardoor het een samenwerkingsverband niet lukt om een dekkend netwerk te realiseren of omdat zij zien dat het samenwerkingsverband al verbeteringen heeft doorgevoerd en het op korte termijn wel zal lukken om een dekkend netwerk te realiseren. In deze gevallen lost een financiële sanctie het probleem niet op of is het geen doelmatig middel. Ook geldt dat zelfs als een samenwerkingsverband een dekkend netwerk realiseert, er helaas nog steeds leerlingen kunnen zijn die niet of niet volledig naar school gaan. Dat kan bijvoorbeeld omdat er brede problematiek is in het gezin of niet op tijd jeugdhulp is. Hiervoor kan een samenwerkingsverband niet verantwoordelijk worden gehouden.</w:t>
      </w:r>
    </w:p>
    <w:p w:rsidRPr="001C2B62" w:rsidR="001C2B62" w:rsidP="003C7CB5" w:rsidRDefault="001C2B62" w14:paraId="50BE9C05" w14:textId="5424352E">
      <w:pPr>
        <w:pStyle w:val="Kop1"/>
      </w:pPr>
      <w:r w:rsidRPr="001C2B62">
        <w:t xml:space="preserve">Onderwijsachterstandenindicator gespecialiseerd onderwijs </w:t>
      </w:r>
    </w:p>
    <w:p w:rsidR="00AB060D" w:rsidP="001C2B62" w:rsidRDefault="001C2B62" w14:paraId="5D780CC9" w14:textId="62BF94B6">
      <w:pPr>
        <w:rPr>
          <w:szCs w:val="18"/>
        </w:rPr>
      </w:pPr>
      <w:r w:rsidRPr="001C2B62">
        <w:rPr>
          <w:szCs w:val="18"/>
        </w:rPr>
        <w:t>Voor het gespecialiseerd onderwijs worden de onderwijsachterstandsmiddelen nu verdeeld op basis van de CUMI-systematiek</w:t>
      </w:r>
      <w:r>
        <w:rPr>
          <w:rStyle w:val="Voetnootmarkering"/>
          <w:szCs w:val="18"/>
        </w:rPr>
        <w:footnoteReference w:id="20"/>
      </w:r>
      <w:r w:rsidRPr="001C2B62">
        <w:rPr>
          <w:szCs w:val="18"/>
        </w:rPr>
        <w:t xml:space="preserve">. Deze systematiek is verouderd en sluit onvoldoende aan bij bredere sociaaleconomische kenmerken die  samenhangen met het risico op onderwijsachterstanden. Daarom heb ik SEO Economisch Onderzoek en </w:t>
      </w:r>
      <w:proofErr w:type="spellStart"/>
      <w:r w:rsidRPr="001C2B62">
        <w:rPr>
          <w:szCs w:val="18"/>
        </w:rPr>
        <w:t>Sardes</w:t>
      </w:r>
      <w:proofErr w:type="spellEnd"/>
      <w:r w:rsidRPr="001C2B62">
        <w:rPr>
          <w:szCs w:val="18"/>
        </w:rPr>
        <w:t xml:space="preserve"> onderzoek laten doen naar een alternatieve onderwijsachterstandenindicator voor het gespecialiseerd onderwijs. </w:t>
      </w:r>
    </w:p>
    <w:p w:rsidR="00AB060D" w:rsidP="001C2B62" w:rsidRDefault="003F1A4B" w14:paraId="27483A1F" w14:textId="34AD9B34">
      <w:pPr>
        <w:rPr>
          <w:szCs w:val="18"/>
        </w:rPr>
      </w:pPr>
      <w:r>
        <w:rPr>
          <w:szCs w:val="18"/>
        </w:rPr>
        <w:t xml:space="preserve">Partijen uit het veld zoals de sectorraad GO, </w:t>
      </w:r>
      <w:proofErr w:type="spellStart"/>
      <w:r>
        <w:rPr>
          <w:szCs w:val="18"/>
        </w:rPr>
        <w:t>Simea</w:t>
      </w:r>
      <w:proofErr w:type="spellEnd"/>
      <w:r>
        <w:rPr>
          <w:szCs w:val="18"/>
        </w:rPr>
        <w:t xml:space="preserve"> en de PO-Raad en verschillende kansengelijkheidsexperts zijn </w:t>
      </w:r>
      <w:r w:rsidRPr="001C2B62">
        <w:rPr>
          <w:szCs w:val="18"/>
        </w:rPr>
        <w:t xml:space="preserve">hierbij </w:t>
      </w:r>
      <w:r>
        <w:rPr>
          <w:szCs w:val="18"/>
        </w:rPr>
        <w:t>via een begeleidingscommissie</w:t>
      </w:r>
      <w:r w:rsidRPr="001C2B62">
        <w:rPr>
          <w:szCs w:val="18"/>
        </w:rPr>
        <w:t xml:space="preserve"> </w:t>
      </w:r>
      <w:r w:rsidRPr="001C2B62" w:rsidR="001C2B62">
        <w:rPr>
          <w:szCs w:val="18"/>
        </w:rPr>
        <w:t xml:space="preserve">betrokken geweest. Het onderzoeksrapport is afgerond en wordt met deze brief aan uw Kamer aangeboden. </w:t>
      </w:r>
      <w:r>
        <w:rPr>
          <w:szCs w:val="18"/>
        </w:rPr>
        <w:t>I</w:t>
      </w:r>
      <w:r w:rsidRPr="001C2B62" w:rsidR="001C2B62">
        <w:rPr>
          <w:szCs w:val="18"/>
        </w:rPr>
        <w:t xml:space="preserve">k </w:t>
      </w:r>
      <w:r>
        <w:rPr>
          <w:szCs w:val="18"/>
        </w:rPr>
        <w:t xml:space="preserve">bekijk </w:t>
      </w:r>
      <w:r w:rsidRPr="001C2B62" w:rsidR="001C2B62">
        <w:rPr>
          <w:szCs w:val="18"/>
        </w:rPr>
        <w:t xml:space="preserve">op dit moment welke partij de toepassing </w:t>
      </w:r>
      <w:r w:rsidRPr="001C2B62" w:rsidR="001C2B62">
        <w:rPr>
          <w:szCs w:val="18"/>
        </w:rPr>
        <w:lastRenderedPageBreak/>
        <w:t xml:space="preserve">van de indicator en de verdeling van de middelen op zich kan nemen. Ik informeer u hierover en over de planning van de invoering van de nieuwe systematiek na de zomer nader. </w:t>
      </w:r>
    </w:p>
    <w:p w:rsidRPr="005358F8" w:rsidR="00AB060D" w:rsidP="003C7CB5" w:rsidRDefault="00AB060D" w14:paraId="0B2A786E" w14:textId="0327E2CD">
      <w:pPr>
        <w:pStyle w:val="Kop1"/>
      </w:pPr>
      <w:r w:rsidRPr="005358F8">
        <w:t>Herijking onderwijsachterstanden</w:t>
      </w:r>
      <w:r w:rsidR="000066C5">
        <w:t>indicator</w:t>
      </w:r>
      <w:r w:rsidRPr="005358F8">
        <w:t xml:space="preserve"> po</w:t>
      </w:r>
      <w:r w:rsidRPr="005358F8">
        <w:tab/>
      </w:r>
      <w:r w:rsidRPr="005358F8">
        <w:tab/>
      </w:r>
    </w:p>
    <w:p w:rsidR="00AB060D" w:rsidP="00AB060D" w:rsidRDefault="00AB060D" w14:paraId="775AC7A9" w14:textId="2C347BD6">
      <w:pPr>
        <w:tabs>
          <w:tab w:val="left" w:pos="5330"/>
          <w:tab w:val="left" w:pos="5960"/>
        </w:tabs>
      </w:pPr>
      <w:r w:rsidRPr="009B47B1">
        <w:t>Het onderwijsachterstandenbeleid heeft als doel om kansenongelijkheid te verminderen en te voorkomen dat kinderen met een risico op een onderwijsachterstand</w:t>
      </w:r>
      <w:r>
        <w:t>,</w:t>
      </w:r>
      <w:r w:rsidRPr="009B47B1">
        <w:t xml:space="preserve"> gedurende hun schoolloopbaan </w:t>
      </w:r>
      <w:r>
        <w:t xml:space="preserve">verder </w:t>
      </w:r>
      <w:r w:rsidRPr="009B47B1">
        <w:t>achteropraken. Binnen dit beleid vervullen zowel gemeenten als basisscholen een belangrijke ro</w:t>
      </w:r>
      <w:r>
        <w:t>l en beide ontvangen hiervoor extra middelen</w:t>
      </w:r>
      <w:r w:rsidRPr="00CB20CE" w:rsidR="00CB20CE">
        <w:t>, gemeenten via een specifieke uitkering en scholen via extra bekostiging</w:t>
      </w:r>
      <w:r>
        <w:t>.</w:t>
      </w:r>
    </w:p>
    <w:p w:rsidRPr="00306F2E" w:rsidR="00AB060D" w:rsidP="00AB060D" w:rsidRDefault="00AB060D" w14:paraId="70AA84F8" w14:textId="77777777">
      <w:pPr>
        <w:tabs>
          <w:tab w:val="left" w:pos="5330"/>
          <w:tab w:val="left" w:pos="5960"/>
        </w:tabs>
        <w:rPr>
          <w:b/>
          <w:bCs/>
        </w:rPr>
      </w:pPr>
    </w:p>
    <w:p w:rsidR="00AB060D" w:rsidP="00AB060D" w:rsidRDefault="00AB060D" w14:paraId="58BC118F" w14:textId="77777777">
      <w:pPr>
        <w:spacing w:line="276" w:lineRule="auto"/>
      </w:pPr>
      <w:r>
        <w:t xml:space="preserve">Sinds 2019 worden deze middelen verdeeld op basis van een indicator die het Centraal Bureau voor de Statistiek (hierna: CBS) heeft ontwikkeld. Gebruik van deze indicator zorgt ervoor dat de middelen terechtkomen waar ze het meest nodig zijn. </w:t>
      </w:r>
    </w:p>
    <w:p w:rsidR="00AB060D" w:rsidP="00AB060D" w:rsidRDefault="00AB060D" w14:paraId="41FA7157" w14:textId="77777777">
      <w:pPr>
        <w:spacing w:line="276" w:lineRule="auto"/>
      </w:pPr>
    </w:p>
    <w:p w:rsidR="00AB060D" w:rsidP="00AB060D" w:rsidRDefault="00AB060D" w14:paraId="3FDB0101" w14:textId="5A215F6E">
      <w:pPr>
        <w:spacing w:line="276" w:lineRule="auto"/>
      </w:pPr>
      <w:r>
        <w:t>Met de Kamer is afgesproken de indicator periodiek te herijken, om deze</w:t>
      </w:r>
      <w:r w:rsidRPr="003653D2">
        <w:t xml:space="preserve"> actueel te houden</w:t>
      </w:r>
      <w:r>
        <w:t>.</w:t>
      </w:r>
      <w:r>
        <w:rPr>
          <w:rStyle w:val="Voetnootmarkering"/>
        </w:rPr>
        <w:footnoteReference w:id="21"/>
      </w:r>
      <w:r>
        <w:t xml:space="preserve"> In 2021 heeft een eerste herijking plaatsgevonden, waarbij is gekeken naar </w:t>
      </w:r>
      <w:r w:rsidRPr="003653D2">
        <w:t>de coëfficiënten en schaalwaarden van het model</w:t>
      </w:r>
      <w:r>
        <w:t>.</w:t>
      </w:r>
      <w:r>
        <w:rPr>
          <w:rStyle w:val="Voetnootmarkering"/>
        </w:rPr>
        <w:footnoteReference w:id="22"/>
      </w:r>
      <w:r w:rsidRPr="003653D2">
        <w:rPr>
          <w:rFonts w:ascii="Helvetica" w:hAnsi="Helvetica" w:cs="Helvetica"/>
          <w:color w:val="091D23"/>
          <w:shd w:val="clear" w:color="auto" w:fill="FFFFFF"/>
        </w:rPr>
        <w:t xml:space="preserve"> </w:t>
      </w:r>
      <w:r w:rsidRPr="003653D2">
        <w:t xml:space="preserve">Tussen 2023 en begin 2026 heeft het CBS een uitgebreide </w:t>
      </w:r>
      <w:r>
        <w:t xml:space="preserve">herijking </w:t>
      </w:r>
      <w:r w:rsidRPr="003653D2">
        <w:t xml:space="preserve">uitgevoerd, waarbij ook de gebruikte achtergrondkenmerken tegen het licht zijn gehouden. </w:t>
      </w:r>
      <w:r>
        <w:t xml:space="preserve">Deze herijking is begeleid door een breed samengestelde commissie </w:t>
      </w:r>
      <w:r w:rsidR="00CB20CE">
        <w:t>met d</w:t>
      </w:r>
      <w:r>
        <w:t xml:space="preserve">aarin de volgende partijen: de wetenschap, de planbureaus, de inspectie, de PO-raad en de VNG. Met deze brief bied ik u het onderzoeksrapport van het CBS over de herijking aan. </w:t>
      </w:r>
    </w:p>
    <w:p w:rsidR="00AB060D" w:rsidP="00AB060D" w:rsidRDefault="00AB060D" w14:paraId="4FC25A81" w14:textId="77777777"/>
    <w:p w:rsidR="00AB060D" w:rsidP="00AB060D" w:rsidRDefault="00AB060D" w14:paraId="6E16EA37" w14:textId="4D56DE58">
      <w:pPr>
        <w:spacing w:line="276" w:lineRule="auto"/>
      </w:pPr>
      <w:r>
        <w:t xml:space="preserve">Het CBS is opnieuw nagegaan welke achtergrondkenmerken het meest bepalend zijn voor een risico op onderwijsachterstand bij een kind of leerling. In de herijkte indicator wordt naar meer achtergrondkenmerken gekeken dan </w:t>
      </w:r>
      <w:r w:rsidR="00CB20CE">
        <w:t>nu</w:t>
      </w:r>
      <w:r>
        <w:t xml:space="preserve">. </w:t>
      </w:r>
      <w:r w:rsidRPr="00114738">
        <w:t xml:space="preserve">Er wordt bijvoorbeeld ook gekeken naar de gezinsstructuur waarin een kind opgroeit. </w:t>
      </w:r>
      <w:r>
        <w:t xml:space="preserve">Daarnaast heeft het CBS opnieuw berekend hoe zwaar elk kenmerk meetelt voor een achterstandsscore. </w:t>
      </w:r>
    </w:p>
    <w:p w:rsidR="00AB060D" w:rsidP="00AB060D" w:rsidRDefault="00AB060D" w14:paraId="00243AA4" w14:textId="77777777"/>
    <w:p w:rsidR="00AB060D" w:rsidP="00AB060D" w:rsidRDefault="00AB060D" w14:paraId="08EA6665" w14:textId="58140A5E">
      <w:pPr>
        <w:spacing w:line="276" w:lineRule="auto"/>
        <w:rPr>
          <w:szCs w:val="18"/>
        </w:rPr>
      </w:pPr>
      <w:r>
        <w:rPr>
          <w:szCs w:val="18"/>
        </w:rPr>
        <w:t xml:space="preserve">Gebruik van de herijkte indicator leidt tot een </w:t>
      </w:r>
      <w:r w:rsidRPr="00151868">
        <w:rPr>
          <w:szCs w:val="18"/>
        </w:rPr>
        <w:t>meer genuanceerd beeld</w:t>
      </w:r>
      <w:r>
        <w:rPr>
          <w:szCs w:val="18"/>
        </w:rPr>
        <w:t xml:space="preserve">. Bij scholen zien we </w:t>
      </w:r>
      <w:r w:rsidRPr="00151868">
        <w:rPr>
          <w:szCs w:val="18"/>
        </w:rPr>
        <w:t>dat</w:t>
      </w:r>
      <w:r>
        <w:rPr>
          <w:szCs w:val="18"/>
        </w:rPr>
        <w:t xml:space="preserve"> circa 10% meer scholen </w:t>
      </w:r>
      <w:r w:rsidRPr="00151868">
        <w:rPr>
          <w:szCs w:val="18"/>
        </w:rPr>
        <w:t xml:space="preserve">budget </w:t>
      </w:r>
      <w:r>
        <w:rPr>
          <w:szCs w:val="18"/>
        </w:rPr>
        <w:t xml:space="preserve">zullen </w:t>
      </w:r>
      <w:r w:rsidRPr="00151868">
        <w:rPr>
          <w:szCs w:val="18"/>
        </w:rPr>
        <w:t xml:space="preserve">ontvangen. Bij gemeenten zien we dat vooral </w:t>
      </w:r>
      <w:r w:rsidR="00CB20CE">
        <w:rPr>
          <w:szCs w:val="18"/>
        </w:rPr>
        <w:t xml:space="preserve">in </w:t>
      </w:r>
      <w:r w:rsidRPr="00151868">
        <w:rPr>
          <w:szCs w:val="18"/>
        </w:rPr>
        <w:t xml:space="preserve">middelgrote gemeenten en gemeenten in krimpregio’s </w:t>
      </w:r>
      <w:r w:rsidR="00CB20CE">
        <w:rPr>
          <w:szCs w:val="18"/>
        </w:rPr>
        <w:t>het risico op onderwijsachterstand toeneemt als gevolg van de herijking. Daardoor ontvangen deze gemeenten ook meer middelen</w:t>
      </w:r>
      <w:r w:rsidRPr="00151868">
        <w:rPr>
          <w:szCs w:val="18"/>
        </w:rPr>
        <w:t>.</w:t>
      </w:r>
      <w:r>
        <w:rPr>
          <w:szCs w:val="18"/>
        </w:rPr>
        <w:t>.</w:t>
      </w:r>
    </w:p>
    <w:p w:rsidR="00AB060D" w:rsidP="00AB060D" w:rsidRDefault="00AB060D" w14:paraId="77CE1A8D" w14:textId="77777777">
      <w:pPr>
        <w:spacing w:line="276" w:lineRule="auto"/>
        <w:rPr>
          <w:szCs w:val="18"/>
        </w:rPr>
      </w:pPr>
      <w:r>
        <w:rPr>
          <w:szCs w:val="18"/>
        </w:rPr>
        <w:t xml:space="preserve">De herijkte indicator zal dit jaar worden gebruikt voor het berekenen van de voorlopige achterstandsscores voor 2027 voor scholen en gemeenten. Rond Prinsjesdag worden dan de bedragen bekend die scholen en gemeenten zullen ontvangen op basis van hun score. </w:t>
      </w:r>
    </w:p>
    <w:p w:rsidR="00AB060D" w:rsidP="00AB060D" w:rsidRDefault="00AB060D" w14:paraId="0C416CB5" w14:textId="283A04F5">
      <w:pPr>
        <w:spacing w:line="276" w:lineRule="auto"/>
        <w:rPr>
          <w:szCs w:val="18"/>
        </w:rPr>
      </w:pPr>
      <w:r>
        <w:rPr>
          <w:szCs w:val="18"/>
        </w:rPr>
        <w:t xml:space="preserve">Via een brochure en een </w:t>
      </w:r>
      <w:proofErr w:type="spellStart"/>
      <w:r>
        <w:rPr>
          <w:szCs w:val="18"/>
        </w:rPr>
        <w:t>webinar</w:t>
      </w:r>
      <w:proofErr w:type="spellEnd"/>
      <w:r>
        <w:rPr>
          <w:szCs w:val="18"/>
        </w:rPr>
        <w:t xml:space="preserve"> zullen de scholen en gemeenten uitgebreider worden geïnformeerd over de herijking en wat dit betekent voor het budget dat zij ontvangen. </w:t>
      </w:r>
    </w:p>
    <w:p w:rsidRPr="002A246F" w:rsidR="00AB060D" w:rsidP="000F1C89" w:rsidRDefault="00AB060D" w14:paraId="36558BF6" w14:textId="77777777"/>
    <w:p w:rsidRPr="000E1722" w:rsidR="000E1722" w:rsidP="003C7CB5" w:rsidRDefault="000E1722" w14:paraId="39357EC1" w14:textId="018D4F00">
      <w:pPr>
        <w:pStyle w:val="Kop1"/>
      </w:pPr>
      <w:r w:rsidRPr="000E1722">
        <w:lastRenderedPageBreak/>
        <w:t>Aanbieding onderzoek onderwijsdeelname vierjarigen</w:t>
      </w:r>
    </w:p>
    <w:p w:rsidR="00E33A0F" w:rsidP="006054A5" w:rsidRDefault="000E1722" w14:paraId="05BC3AF6" w14:textId="00E3E328">
      <w:r>
        <w:t xml:space="preserve">In Nederland maken veel kinderen een goede start. Deelname aan voorschoolse educatie is hoog (78% van de </w:t>
      </w:r>
      <w:proofErr w:type="spellStart"/>
      <w:r>
        <w:t>doelgroeppeuters</w:t>
      </w:r>
      <w:proofErr w:type="spellEnd"/>
      <w:r>
        <w:t>) en bijna alle ouders schrijven hun kind op vierjarige leeftijd in op school (98%). In de beleidsreactie op het onderzoek ‘Kansen op een goede start’</w:t>
      </w:r>
      <w:r>
        <w:rPr>
          <w:rStyle w:val="Voetnootmarkering"/>
        </w:rPr>
        <w:footnoteReference w:id="23"/>
      </w:r>
      <w:r>
        <w:t xml:space="preserve"> heeft mijn voorganger aangegeven dat het gewenst is een nauwkeuriger beeld te krijgen van de huidige deelname van vierjarigen aan het onderwijs, zodat we een antwoord kunnen geven op vragen als: </w:t>
      </w:r>
      <w:r w:rsidR="00F67B2C">
        <w:t>hoe is het gesteld met de aanwezigheid van vierjarigen op school</w:t>
      </w:r>
      <w:r>
        <w:t xml:space="preserve">, om welke redenen zijn zij afwezig en zijn er bepaalde groepen die duidelijk meer afwezig zijn? Met deze brief bied ik u het onderzoek aan. Ik neem de uitkomsten mee in mijn </w:t>
      </w:r>
      <w:r w:rsidR="00940203">
        <w:t>reeds toegezegde brief over de samenwerking rondom het jonge kind tussen kinderopvang, onderwijs en zorg dit najaar.</w:t>
      </w:r>
    </w:p>
    <w:p w:rsidR="00E33A0F" w:rsidP="003C7CB5" w:rsidRDefault="00E33A0F" w14:paraId="4F5905E2" w14:textId="319292C7">
      <w:pPr>
        <w:pStyle w:val="Kop1"/>
      </w:pPr>
      <w:r w:rsidRPr="00E33A0F">
        <w:t>Aanbieding rapport Inschrijving en toelating</w:t>
      </w:r>
    </w:p>
    <w:p w:rsidRPr="00E33A0F" w:rsidR="00E33A0F" w:rsidP="00E33A0F" w:rsidRDefault="00E33A0F" w14:paraId="0890BA9C" w14:textId="73EC6258">
      <w:r w:rsidRPr="00E33A0F">
        <w:t xml:space="preserve">De </w:t>
      </w:r>
      <w:r>
        <w:t>i</w:t>
      </w:r>
      <w:r w:rsidRPr="00E33A0F">
        <w:t>nspectie heeft deze maand het rapport Inschrijving en toelating opgeleverd. Dit rapport geeft inzicht in de afspraken die gemeenten en schoolbesturen maken over inschrijvings- en toelatingsprocedures van leerlingen in het primair en voortgezet onderwijs. Volgens de Regeling Inspectie van het Onderwijs (RIO) bied ik het rapport aan de Tweede Kamer aan.</w:t>
      </w:r>
    </w:p>
    <w:p w:rsidRPr="00CC5628" w:rsidR="00CC5628" w:rsidP="003C7CB5" w:rsidRDefault="00CC5628" w14:paraId="0DA4D1FE" w14:textId="34DDD856">
      <w:pPr>
        <w:pStyle w:val="Kop1"/>
      </w:pPr>
      <w:r w:rsidRPr="00CC5628">
        <w:t>Proces wijzigingsregeling vormingsonderwijs</w:t>
      </w:r>
    </w:p>
    <w:p w:rsidR="0066783F" w:rsidP="00357547" w:rsidRDefault="00357547" w14:paraId="78C93CD1" w14:textId="037ABDEA">
      <w:r>
        <w:t>In de zomer van 2025 heeft uw Kamer het evaluatierapport ‘Het vormingsonderwijs in Nederland’ ontvangen, met daarbij een voorstel voor een wijzigingsregeling voor de regeling op basis waarvan het vormingsonderwijs wordt gesubsidieerd.</w:t>
      </w:r>
      <w:r>
        <w:rPr>
          <w:rStyle w:val="Voetnootmarkering"/>
        </w:rPr>
        <w:footnoteReference w:id="24"/>
      </w:r>
      <w:r>
        <w:t xml:space="preserve"> De regeling </w:t>
      </w:r>
      <w:r w:rsidR="00DE5E1D">
        <w:t xml:space="preserve">treedt </w:t>
      </w:r>
      <w:r>
        <w:t xml:space="preserve">per 1 augustus 2026 in werking. </w:t>
      </w:r>
    </w:p>
    <w:p w:rsidR="00731760" w:rsidP="00357547" w:rsidRDefault="00DE5E1D" w14:paraId="30C8307A" w14:textId="5429BF22">
      <w:r>
        <w:t>P</w:t>
      </w:r>
      <w:r w:rsidR="00357547">
        <w:t xml:space="preserve">er abuis </w:t>
      </w:r>
      <w:r>
        <w:t xml:space="preserve">was </w:t>
      </w:r>
      <w:r w:rsidR="00357547">
        <w:t>de wijzigingsregeling niet</w:t>
      </w:r>
      <w:r w:rsidR="003147B5">
        <w:t xml:space="preserve"> </w:t>
      </w:r>
      <w:r w:rsidR="00357547">
        <w:t xml:space="preserve">voorgelegd aan het </w:t>
      </w:r>
      <w:r w:rsidRPr="00CE6F09" w:rsidR="00357547">
        <w:t>Adviescollege toetsing regeldruk (</w:t>
      </w:r>
      <w:r w:rsidR="00357547">
        <w:t xml:space="preserve">hierna: </w:t>
      </w:r>
      <w:r w:rsidRPr="00CE6F09" w:rsidR="00357547">
        <w:t xml:space="preserve">ATR) </w:t>
      </w:r>
      <w:r w:rsidR="00357547">
        <w:t xml:space="preserve">voor een toets regeldruk en aan de </w:t>
      </w:r>
      <w:r w:rsidRPr="00CE6F09" w:rsidR="00357547">
        <w:t>Dienst Uitvoering Subsidies aan Instellingen (</w:t>
      </w:r>
      <w:r w:rsidR="00357547">
        <w:t>hierna: DUS-I) voor een uitvoeringstoets</w:t>
      </w:r>
      <w:r>
        <w:t>.</w:t>
      </w:r>
      <w:r w:rsidR="003147B5">
        <w:t xml:space="preserve"> </w:t>
      </w:r>
      <w:r>
        <w:t>Dit</w:t>
      </w:r>
      <w:r w:rsidR="00357547">
        <w:t xml:space="preserve"> is </w:t>
      </w:r>
      <w:r>
        <w:t xml:space="preserve">inmiddels </w:t>
      </w:r>
      <w:r w:rsidR="00357547">
        <w:t xml:space="preserve">alsnog gedaan. De ATR heeft afgezien van een formeel advies en DUS-I heeft aangegeven de wijzigingsregeling uit te kunnen voeren. </w:t>
      </w:r>
    </w:p>
    <w:p w:rsidRPr="00731760" w:rsidR="00731760" w:rsidP="003C7CB5" w:rsidRDefault="00AB060D" w14:paraId="15B941C3" w14:textId="5EA242FB">
      <w:pPr>
        <w:pStyle w:val="Kop1"/>
      </w:pPr>
      <w:r>
        <w:t>Structurele financiering curriculumonderhoud SLO</w:t>
      </w:r>
    </w:p>
    <w:p w:rsidR="00731760" w:rsidP="00357547" w:rsidRDefault="00731760" w14:paraId="74FB7A60" w14:textId="6A1698F6">
      <w:r w:rsidRPr="00731760">
        <w:t>Recent heeft SLO de onderhoudskalender voor periodiek curriculumonderhoud opgeleverd. De kalender is een langjarige planning en maakt inzichtelijk welk leergebied en vak wanneer aan curriculumonderhoud toe is. Dit biedt helderheid en voorspelbaarheid voor scholen, leraren, ontwikkelteams en andere betrokkenen. In de onderhoudskalender staan daarnaast ook de evaluatiemomenten. De onderhoudskalender is te vinden op de website van SLO.</w:t>
      </w:r>
      <w:r>
        <w:rPr>
          <w:rStyle w:val="Voetnootmarkering"/>
        </w:rPr>
        <w:footnoteReference w:id="25"/>
      </w:r>
      <w:r w:rsidRPr="00731760">
        <w:t xml:space="preserve"> De werkzaamheden voor dit periodiek onderhoud worden in lijn met de Wet Subsidiëring Landelijke Onderwijsondersteunende Activiteiten (</w:t>
      </w:r>
      <w:proofErr w:type="spellStart"/>
      <w:r w:rsidRPr="00731760">
        <w:t>WetSLOA</w:t>
      </w:r>
      <w:proofErr w:type="spellEnd"/>
      <w:r w:rsidRPr="00731760">
        <w:t xml:space="preserve">) structureel belegd bij SLO. </w:t>
      </w:r>
      <w:r w:rsidRPr="00E66D78" w:rsidR="00E66D78">
        <w:t>Vanaf 2027 wordt daarom 6 miljoen euro aan incidentele middelen bedoeld voor SLO omgezet in structurele financiering van SLO voor de structurele taak van curriculumonderhoud. Het totale bedrag aan subsidies voor SLO blijft ongewijzigd.</w:t>
      </w:r>
    </w:p>
    <w:p w:rsidR="0023733E" w:rsidP="003C7CB5" w:rsidRDefault="0023733E" w14:paraId="6207B97E" w14:textId="665CD051">
      <w:pPr>
        <w:pStyle w:val="Kop1"/>
      </w:pPr>
      <w:r w:rsidRPr="006B7C19">
        <w:lastRenderedPageBreak/>
        <w:t>Holocausteducatie</w:t>
      </w:r>
    </w:p>
    <w:p w:rsidR="00B370D8" w:rsidP="00B370D8" w:rsidRDefault="0023733E" w14:paraId="05FF6CB3" w14:textId="7E752B58">
      <w:pPr>
        <w:rPr>
          <w:szCs w:val="18"/>
        </w:rPr>
      </w:pPr>
      <w:r w:rsidRPr="0023733E">
        <w:rPr>
          <w:szCs w:val="18"/>
        </w:rPr>
        <w:t>Met de uitvoering van de Strategie Bestrijding Antisemitisme en het Nationaal Plan Holocausteducatie zet het kabinet in op het versterken van onderwijs over de Holocaust.</w:t>
      </w:r>
      <w:r w:rsidR="002C3E3B">
        <w:rPr>
          <w:szCs w:val="18"/>
        </w:rPr>
        <w:t xml:space="preserve"> </w:t>
      </w:r>
      <w:r w:rsidRPr="0023733E" w:rsidR="00C02347">
        <w:rPr>
          <w:szCs w:val="18"/>
        </w:rPr>
        <w:t>In 2025 is onafhankelijk onderzoek uitgevoerd naar belemmerende en bevorderende factoren bij Holocausteducatie.</w:t>
      </w:r>
      <w:r w:rsidR="00C02347">
        <w:rPr>
          <w:szCs w:val="18"/>
        </w:rPr>
        <w:t xml:space="preserve"> Daarmee is uitvoering gegeven aan </w:t>
      </w:r>
      <w:r w:rsidRPr="0023733E" w:rsidR="00C02347">
        <w:rPr>
          <w:szCs w:val="18"/>
        </w:rPr>
        <w:t xml:space="preserve">motie van de leden </w:t>
      </w:r>
      <w:proofErr w:type="spellStart"/>
      <w:r w:rsidRPr="0023733E" w:rsidR="00C02347">
        <w:rPr>
          <w:szCs w:val="18"/>
        </w:rPr>
        <w:t>Struijs</w:t>
      </w:r>
      <w:proofErr w:type="spellEnd"/>
      <w:r w:rsidRPr="0023733E" w:rsidR="00C02347">
        <w:rPr>
          <w:szCs w:val="18"/>
        </w:rPr>
        <w:t xml:space="preserve"> en </w:t>
      </w:r>
      <w:proofErr w:type="spellStart"/>
      <w:r w:rsidRPr="0023733E" w:rsidR="00C02347">
        <w:rPr>
          <w:szCs w:val="18"/>
        </w:rPr>
        <w:t>Bromet</w:t>
      </w:r>
      <w:proofErr w:type="spellEnd"/>
      <w:r w:rsidRPr="0023733E" w:rsidR="00C02347">
        <w:rPr>
          <w:szCs w:val="18"/>
        </w:rPr>
        <w:t>.</w:t>
      </w:r>
      <w:r w:rsidRPr="0023733E" w:rsidR="00C02347">
        <w:rPr>
          <w:rStyle w:val="Voetnootmarkering"/>
          <w:szCs w:val="18"/>
        </w:rPr>
        <w:footnoteReference w:id="26"/>
      </w:r>
      <w:r w:rsidR="00C02347">
        <w:rPr>
          <w:szCs w:val="18"/>
        </w:rPr>
        <w:t xml:space="preserve"> Op basis van de </w:t>
      </w:r>
      <w:r w:rsidRPr="0023733E" w:rsidR="00C02347">
        <w:rPr>
          <w:szCs w:val="18"/>
        </w:rPr>
        <w:t>uitkomsten van de docentenpeiling en de verkenning naar bezoeken aan Holocaustlocaties</w:t>
      </w:r>
      <w:r w:rsidR="00C02347">
        <w:rPr>
          <w:szCs w:val="18"/>
        </w:rPr>
        <w:t xml:space="preserve"> is nieuw beleid ingezet</w:t>
      </w:r>
      <w:r w:rsidRPr="0023733E" w:rsidR="00C02347">
        <w:rPr>
          <w:szCs w:val="18"/>
        </w:rPr>
        <w:t>.</w:t>
      </w:r>
      <w:r w:rsidRPr="0023733E" w:rsidR="00C02347">
        <w:rPr>
          <w:rStyle w:val="Voetnootmarkering"/>
          <w:szCs w:val="18"/>
        </w:rPr>
        <w:footnoteReference w:id="27"/>
      </w:r>
      <w:r w:rsidR="00C02347">
        <w:rPr>
          <w:szCs w:val="18"/>
        </w:rPr>
        <w:t xml:space="preserve"> </w:t>
      </w:r>
      <w:r w:rsidRPr="0023733E">
        <w:rPr>
          <w:szCs w:val="18"/>
        </w:rPr>
        <w:t xml:space="preserve">Voor 2026 en 2027 stel ik </w:t>
      </w:r>
      <w:r w:rsidR="00B370D8">
        <w:rPr>
          <w:szCs w:val="18"/>
        </w:rPr>
        <w:t xml:space="preserve">daarnaast </w:t>
      </w:r>
      <w:r w:rsidRPr="0023733E">
        <w:rPr>
          <w:szCs w:val="18"/>
        </w:rPr>
        <w:t xml:space="preserve">jaarlijks €180.000 beschikbaar voor een pilot met Stichting na de Oorlog die persoonlijke verhalen over de Holocaust beter toegankelijk maakt voor leerlingen. De pilot zal educatief aanbod realiseren voor het </w:t>
      </w:r>
      <w:r w:rsidR="00085D15">
        <w:rPr>
          <w:szCs w:val="18"/>
        </w:rPr>
        <w:t>primair</w:t>
      </w:r>
      <w:r w:rsidRPr="0023733E">
        <w:rPr>
          <w:szCs w:val="18"/>
        </w:rPr>
        <w:t xml:space="preserve">, </w:t>
      </w:r>
      <w:r w:rsidR="00085D15">
        <w:rPr>
          <w:szCs w:val="18"/>
        </w:rPr>
        <w:t>voortgezet</w:t>
      </w:r>
      <w:r w:rsidRPr="0023733E">
        <w:rPr>
          <w:szCs w:val="18"/>
        </w:rPr>
        <w:t xml:space="preserve"> en speciaal onderwijs. Daarnaast maak ik jaarlijks € 70.000 vrij voor de Junior-bus op wielen, gericht op het versterken van basiskennis over de Holocaust in het </w:t>
      </w:r>
      <w:r w:rsidR="00085D15">
        <w:rPr>
          <w:szCs w:val="18"/>
        </w:rPr>
        <w:t>primair onderwijs</w:t>
      </w:r>
      <w:r w:rsidRPr="0023733E">
        <w:rPr>
          <w:szCs w:val="18"/>
        </w:rPr>
        <w:t>. De inzet van deze middelen wordt nog afgestemd met de betrokken organisaties en kan daarom nog wijzigen.</w:t>
      </w:r>
      <w:r w:rsidR="00B370D8">
        <w:rPr>
          <w:szCs w:val="18"/>
        </w:rPr>
        <w:t xml:space="preserve"> </w:t>
      </w:r>
      <w:r w:rsidRPr="0023733E" w:rsidR="00B370D8">
        <w:rPr>
          <w:szCs w:val="18"/>
        </w:rPr>
        <w:t>Hiermee geeft het kabinet opvolging aan de uitkomsten van de docentenpeiling en de verkenning naar bezoeken aan Holocaustlocaties.</w:t>
      </w:r>
      <w:r w:rsidRPr="0023733E" w:rsidR="00B370D8">
        <w:rPr>
          <w:rStyle w:val="Voetnootmarkering"/>
          <w:szCs w:val="18"/>
        </w:rPr>
        <w:footnoteReference w:id="28"/>
      </w:r>
    </w:p>
    <w:p w:rsidR="00AB060D" w:rsidP="00357547" w:rsidRDefault="00B370D8" w14:paraId="2CB55E14" w14:textId="43B97191">
      <w:pPr>
        <w:rPr>
          <w:szCs w:val="18"/>
        </w:rPr>
      </w:pPr>
      <w:r w:rsidRPr="0023733E">
        <w:rPr>
          <w:szCs w:val="18"/>
        </w:rPr>
        <w:t xml:space="preserve">De resultaten </w:t>
      </w:r>
      <w:r>
        <w:rPr>
          <w:szCs w:val="18"/>
        </w:rPr>
        <w:t xml:space="preserve">van het nieuw ingezette beleid </w:t>
      </w:r>
      <w:r w:rsidRPr="0023733E">
        <w:rPr>
          <w:szCs w:val="18"/>
        </w:rPr>
        <w:t xml:space="preserve">worden </w:t>
      </w:r>
      <w:r>
        <w:rPr>
          <w:szCs w:val="18"/>
        </w:rPr>
        <w:t xml:space="preserve">in </w:t>
      </w:r>
      <w:r w:rsidRPr="0023733E">
        <w:rPr>
          <w:szCs w:val="18"/>
        </w:rPr>
        <w:t xml:space="preserve">2027 betrokken bij de </w:t>
      </w:r>
      <w:proofErr w:type="spellStart"/>
      <w:r w:rsidRPr="0023733E">
        <w:rPr>
          <w:szCs w:val="18"/>
        </w:rPr>
        <w:t>midterm</w:t>
      </w:r>
      <w:proofErr w:type="spellEnd"/>
      <w:r w:rsidRPr="0023733E">
        <w:rPr>
          <w:szCs w:val="18"/>
        </w:rPr>
        <w:t xml:space="preserve"> van de strategie antisemitismebestrijding</w:t>
      </w:r>
      <w:r>
        <w:rPr>
          <w:szCs w:val="18"/>
        </w:rPr>
        <w:t xml:space="preserve">. Daarbij </w:t>
      </w:r>
      <w:r w:rsidRPr="0023733E">
        <w:rPr>
          <w:szCs w:val="18"/>
        </w:rPr>
        <w:t xml:space="preserve"> wordt </w:t>
      </w:r>
      <w:r>
        <w:rPr>
          <w:szCs w:val="18"/>
        </w:rPr>
        <w:t xml:space="preserve">ook </w:t>
      </w:r>
      <w:r w:rsidRPr="0023733E">
        <w:rPr>
          <w:szCs w:val="18"/>
        </w:rPr>
        <w:t xml:space="preserve">bezien onder welke voorwaarden structurele financiering van educatief aanbod met persoonlijke Holocaustverhalen mogelijk is. </w:t>
      </w:r>
    </w:p>
    <w:p w:rsidR="00AB060D" w:rsidP="003C7CB5" w:rsidRDefault="00AB060D" w14:paraId="2DD90D92" w14:textId="1DC85B67">
      <w:pPr>
        <w:pStyle w:val="Kop1"/>
      </w:pPr>
      <w:r>
        <w:t>Landelijke afspraken mobiele telefoons in de klas</w:t>
      </w:r>
    </w:p>
    <w:p w:rsidRPr="00AB060D" w:rsidR="00AB060D" w:rsidP="00AB060D" w:rsidRDefault="00AB060D" w14:paraId="4CFC375D" w14:textId="4E28741B">
      <w:r w:rsidRPr="00AB060D">
        <w:t>Vanaf 1 januari 2024 gelden de landelijke afspraken om mobiele telefoons niet langer in de klas te gebruiken</w:t>
      </w:r>
      <w:r w:rsidR="007D4D4B">
        <w:rPr>
          <w:rStyle w:val="Voetnootmarkering"/>
        </w:rPr>
        <w:footnoteReference w:id="29"/>
      </w:r>
      <w:r w:rsidRPr="00AB060D">
        <w:t>. In de zomer van 2025</w:t>
      </w:r>
      <w:r w:rsidR="007D4D4B">
        <w:rPr>
          <w:rStyle w:val="Voetnootmarkering"/>
        </w:rPr>
        <w:footnoteReference w:id="30"/>
      </w:r>
      <w:r w:rsidR="007D4D4B">
        <w:t xml:space="preserve"> </w:t>
      </w:r>
      <w:r w:rsidRPr="00AB060D">
        <w:t>is uw Kamer geïnformeerd over de effecten van deze afspraak. Deze zijn positief. Daarom heeft dit kabinet zich in het coalitieakkoord voorgenomen om deze afspraken aan te scherpen tot een richtlijn ‘thuis of in de kluis’. Ik heb de partijen die eerder de landelijke afspraken hebben gemaakt uitgenodigd deze nogmaals tegen het licht te houden en gezamenlijk aan te scherpen, ook op basis van de ervaringen tot nu toe. Het gesprek hierover loopt</w:t>
      </w:r>
      <w:r w:rsidR="00AF2B85">
        <w:t xml:space="preserve"> en partijen geven aan dat ze hier positief tegenover staan</w:t>
      </w:r>
      <w:r w:rsidRPr="00AB060D">
        <w:t>. Ik hoop dat de sector in de tweede helft van dit jaar tot een nadere uitwerking komt die snel door scholen geïmplementeerd kan worden.</w:t>
      </w:r>
      <w:r w:rsidR="00AF2B85">
        <w:t xml:space="preserve"> Waar dat al vooruitlopend op de onderlinge afspraken gebeurt, juich ik dat toe.</w:t>
      </w:r>
      <w:r w:rsidRPr="00AB060D">
        <w:t xml:space="preserve"> Hiermee geef ik invulling aan de motie van de leden Boomsma (JA21), </w:t>
      </w:r>
      <w:proofErr w:type="spellStart"/>
      <w:r w:rsidRPr="00AB060D">
        <w:t>Rooderkerk</w:t>
      </w:r>
      <w:proofErr w:type="spellEnd"/>
      <w:r w:rsidRPr="00AB060D">
        <w:t xml:space="preserve"> en Van der Werf (beiden D66) die de regering verzoekt haast te maken met een strengere mobieltjesrichtlijn.</w:t>
      </w:r>
      <w:r w:rsidR="007D4D4B">
        <w:rPr>
          <w:rStyle w:val="Voetnootmarkering"/>
        </w:rPr>
        <w:footnoteReference w:id="31"/>
      </w:r>
      <w:r w:rsidR="0009197E">
        <w:t xml:space="preserve"> </w:t>
      </w:r>
      <w:r w:rsidRPr="0009197E" w:rsidR="0009197E">
        <w:t xml:space="preserve">Ik zal uw kamer, samen met de Staatssecretaris van Digitale Zaken en Soevereiniteit, informeren </w:t>
      </w:r>
      <w:r w:rsidR="00722DB4">
        <w:t>over de</w:t>
      </w:r>
      <w:r w:rsidRPr="0009197E" w:rsidR="0009197E">
        <w:t xml:space="preserve"> nadere uitwerking </w:t>
      </w:r>
      <w:r w:rsidR="00722DB4">
        <w:t>in het vierde kwartaal van dit jaar</w:t>
      </w:r>
      <w:r w:rsidRPr="0009197E" w:rsidR="0009197E">
        <w:t>.</w:t>
      </w:r>
    </w:p>
    <w:p w:rsidRPr="00F60174" w:rsidR="00F60174" w:rsidP="003C7CB5" w:rsidRDefault="00F60174" w14:paraId="4F7A6380" w14:textId="3999FA3B">
      <w:pPr>
        <w:pStyle w:val="Kop1"/>
      </w:pPr>
      <w:r w:rsidRPr="00F60174">
        <w:lastRenderedPageBreak/>
        <w:t>Toezegging verkenning deelname financiële geletterdheid PISA-2029</w:t>
      </w:r>
    </w:p>
    <w:p w:rsidR="006A4064" w:rsidP="006A4064" w:rsidRDefault="00AA3E08" w14:paraId="242E44A7" w14:textId="28DC8A51">
      <w:pPr>
        <w:rPr>
          <w:szCs w:val="18"/>
        </w:rPr>
      </w:pPr>
      <w:r>
        <w:rPr>
          <w:szCs w:val="18"/>
        </w:rPr>
        <w:t xml:space="preserve">Er </w:t>
      </w:r>
      <w:r w:rsidR="006A4064">
        <w:rPr>
          <w:szCs w:val="18"/>
        </w:rPr>
        <w:t xml:space="preserve">is verkend </w:t>
      </w:r>
      <w:r w:rsidRPr="008B36A1" w:rsidR="006A4064">
        <w:rPr>
          <w:szCs w:val="18"/>
        </w:rPr>
        <w:t>of financiële geletterdheid meegenomen kan worden bij PISA-2029</w:t>
      </w:r>
      <w:r>
        <w:rPr>
          <w:szCs w:val="18"/>
        </w:rPr>
        <w:t>, zoals toegezegd</w:t>
      </w:r>
      <w:r w:rsidRPr="008B36A1" w:rsidR="006A4064">
        <w:rPr>
          <w:szCs w:val="18"/>
        </w:rPr>
        <w:t>.</w:t>
      </w:r>
      <w:r w:rsidRPr="008B36A1" w:rsidR="006A4064">
        <w:rPr>
          <w:szCs w:val="18"/>
          <w:vertAlign w:val="superscript"/>
        </w:rPr>
        <w:footnoteReference w:id="32"/>
      </w:r>
      <w:r w:rsidRPr="008B36A1" w:rsidR="006A4064">
        <w:rPr>
          <w:szCs w:val="18"/>
        </w:rPr>
        <w:t xml:space="preserve"> </w:t>
      </w:r>
      <w:r w:rsidR="006A4064">
        <w:rPr>
          <w:szCs w:val="18"/>
        </w:rPr>
        <w:t xml:space="preserve">Op basis van deze verkenning is </w:t>
      </w:r>
      <w:r w:rsidRPr="008B36A1" w:rsidR="006A4064">
        <w:rPr>
          <w:szCs w:val="18"/>
        </w:rPr>
        <w:t>besloten niet deel te nemen</w:t>
      </w:r>
      <w:r w:rsidR="006A4064">
        <w:rPr>
          <w:szCs w:val="18"/>
        </w:rPr>
        <w:t xml:space="preserve"> aan deze optionele toets</w:t>
      </w:r>
      <w:r w:rsidRPr="008B36A1" w:rsidR="006A4064">
        <w:rPr>
          <w:szCs w:val="18"/>
        </w:rPr>
        <w:t xml:space="preserve">. </w:t>
      </w:r>
    </w:p>
    <w:p w:rsidRPr="008B36A1" w:rsidR="006A4064" w:rsidP="006A4064" w:rsidRDefault="006A4064" w14:paraId="1E0C80BA" w14:textId="77777777">
      <w:pPr>
        <w:rPr>
          <w:szCs w:val="18"/>
        </w:rPr>
      </w:pPr>
    </w:p>
    <w:p w:rsidRPr="00DB7773" w:rsidR="000D7033" w:rsidP="00DB7773" w:rsidRDefault="006A4064" w14:paraId="2E21BB55" w14:textId="0183875E">
      <w:pPr>
        <w:rPr>
          <w:szCs w:val="18"/>
        </w:rPr>
      </w:pPr>
      <w:r w:rsidRPr="008B36A1">
        <w:rPr>
          <w:szCs w:val="18"/>
        </w:rPr>
        <w:t>In PISA-2015 en PISA-2022 heeft Nederland aan financiële geletterdheid meegedaan</w:t>
      </w:r>
      <w:r>
        <w:rPr>
          <w:szCs w:val="18"/>
        </w:rPr>
        <w:t xml:space="preserve"> (in de huidige PISA ronde, waarvan het rapport in september verschijnt, heeft de OESO dit onderwerp niet onderzocht)</w:t>
      </w:r>
      <w:r w:rsidRPr="008B36A1">
        <w:rPr>
          <w:szCs w:val="18"/>
        </w:rPr>
        <w:t>. Beide rapporten geven een vergelijkbaar positief beeld als het gaat om de prestaties van de Nederlandse 15-jarigen op dit gebied. Zij behoren tot de wereldtop en scoren ruim boven het OESO-gemiddelde.</w:t>
      </w:r>
      <w:r w:rsidR="004C2E9B">
        <w:rPr>
          <w:szCs w:val="18"/>
        </w:rPr>
        <w:t xml:space="preserve"> </w:t>
      </w:r>
      <w:r>
        <w:rPr>
          <w:szCs w:val="18"/>
        </w:rPr>
        <w:t xml:space="preserve">Voor deelname aan financiële geletterdheid zijn </w:t>
      </w:r>
      <w:r>
        <w:t xml:space="preserve">meer scholen en </w:t>
      </w:r>
      <w:r w:rsidRPr="00BE11ED">
        <w:t>leerlinge</w:t>
      </w:r>
      <w:r>
        <w:t xml:space="preserve">n nodig, terwijl het juist </w:t>
      </w:r>
      <w:r>
        <w:rPr>
          <w:bCs/>
        </w:rPr>
        <w:t>d</w:t>
      </w:r>
      <w:r w:rsidRPr="00BE11ED">
        <w:rPr>
          <w:bCs/>
        </w:rPr>
        <w:t xml:space="preserve">e laatste jaren steeds lastiger </w:t>
      </w:r>
      <w:r>
        <w:rPr>
          <w:bCs/>
        </w:rPr>
        <w:t xml:space="preserve">bleek </w:t>
      </w:r>
      <w:r w:rsidRPr="00BE11ED">
        <w:rPr>
          <w:bCs/>
        </w:rPr>
        <w:t>om genoeg deelnemers te werven en de vereiste ondergrens te behalen.</w:t>
      </w:r>
      <w:r>
        <w:rPr>
          <w:bCs/>
        </w:rPr>
        <w:t xml:space="preserve"> </w:t>
      </w:r>
      <w:r w:rsidR="00AA3E08">
        <w:rPr>
          <w:szCs w:val="18"/>
        </w:rPr>
        <w:t xml:space="preserve">Deze zorg wordt gedeeld door de onderzoekspartijen in het PISA-2025 consortium. </w:t>
      </w:r>
      <w:r w:rsidRPr="00DB7773">
        <w:rPr>
          <w:szCs w:val="18"/>
        </w:rPr>
        <w:t xml:space="preserve">Het niet </w:t>
      </w:r>
      <w:r w:rsidR="00AA3E08">
        <w:rPr>
          <w:szCs w:val="18"/>
        </w:rPr>
        <w:t>be</w:t>
      </w:r>
      <w:r w:rsidRPr="00DB7773">
        <w:rPr>
          <w:szCs w:val="18"/>
        </w:rPr>
        <w:t xml:space="preserve">halen van </w:t>
      </w:r>
      <w:r w:rsidR="00AA3E08">
        <w:rPr>
          <w:szCs w:val="18"/>
        </w:rPr>
        <w:t xml:space="preserve">genoeg respons </w:t>
      </w:r>
      <w:r w:rsidRPr="00DB7773">
        <w:rPr>
          <w:szCs w:val="18"/>
        </w:rPr>
        <w:t xml:space="preserve">kan betekenen dat Nederland niet </w:t>
      </w:r>
      <w:r w:rsidR="00AA3E08">
        <w:rPr>
          <w:szCs w:val="18"/>
        </w:rPr>
        <w:t xml:space="preserve">of slechts deels in het internationale PISA-2029 rapport wordt meegenomen. In dit rapport wordt ook over de basisvaardigheden gerapporteerd. </w:t>
      </w:r>
    </w:p>
    <w:p w:rsidRPr="00894E2A" w:rsidR="00894E2A" w:rsidP="003C7CB5" w:rsidRDefault="00894E2A" w14:paraId="2C3C2597" w14:textId="26C9DB2F">
      <w:pPr>
        <w:pStyle w:val="Kop1"/>
      </w:pPr>
      <w:r w:rsidRPr="00894E2A">
        <w:t>M</w:t>
      </w:r>
      <w:r w:rsidR="005D76C2">
        <w:t>DT als begeleidingsinstrument in het kader van de Wet van School naar Duurzaam Werk</w:t>
      </w:r>
    </w:p>
    <w:p w:rsidRPr="00894E2A" w:rsidR="00894E2A" w:rsidP="00894E2A" w:rsidRDefault="00003353" w14:paraId="5B373A65" w14:textId="493C5B36">
      <w:pPr>
        <w:rPr>
          <w:szCs w:val="18"/>
        </w:rPr>
      </w:pPr>
      <w:r>
        <w:rPr>
          <w:szCs w:val="18"/>
        </w:rPr>
        <w:t>De Maatschappelijke Diensttijd</w:t>
      </w:r>
      <w:r w:rsidRPr="00894E2A" w:rsidR="00894E2A">
        <w:rPr>
          <w:szCs w:val="18"/>
        </w:rPr>
        <w:t xml:space="preserve"> </w:t>
      </w:r>
      <w:r w:rsidR="00DB7773">
        <w:rPr>
          <w:szCs w:val="18"/>
        </w:rPr>
        <w:t xml:space="preserve">kan voor jongeren </w:t>
      </w:r>
      <w:r w:rsidR="00280508">
        <w:rPr>
          <w:szCs w:val="18"/>
        </w:rPr>
        <w:t xml:space="preserve">met een afstand tot de arbeidsmarkt </w:t>
      </w:r>
      <w:r w:rsidRPr="00894E2A" w:rsidR="00894E2A">
        <w:rPr>
          <w:szCs w:val="18"/>
        </w:rPr>
        <w:t>een mogelijkheid zijn om op een laagdrempelige manier talenten en interesses te ontdekken</w:t>
      </w:r>
      <w:r>
        <w:rPr>
          <w:szCs w:val="18"/>
        </w:rPr>
        <w:t>.</w:t>
      </w:r>
      <w:r w:rsidRPr="00894E2A" w:rsidR="00894E2A">
        <w:rPr>
          <w:szCs w:val="18"/>
        </w:rPr>
        <w:t xml:space="preserve"> Door vrijwillig iets te doen voor een ander en/of voor de samenleving </w:t>
      </w:r>
      <w:r>
        <w:rPr>
          <w:szCs w:val="18"/>
        </w:rPr>
        <w:t xml:space="preserve">komen jongeren in aanraking met nieuwe vormen van kennis, </w:t>
      </w:r>
      <w:r w:rsidRPr="00894E2A" w:rsidR="00894E2A">
        <w:rPr>
          <w:szCs w:val="18"/>
        </w:rPr>
        <w:t xml:space="preserve">ontwikkelen jongeren sociale </w:t>
      </w:r>
      <w:r>
        <w:rPr>
          <w:szCs w:val="18"/>
        </w:rPr>
        <w:t>en</w:t>
      </w:r>
      <w:r w:rsidRPr="00894E2A" w:rsidR="00894E2A">
        <w:rPr>
          <w:szCs w:val="18"/>
        </w:rPr>
        <w:t xml:space="preserve"> communicatieve vaardigheden en probleemoplossend vermogen. Dit kan hun zelfvertrouwen vergroten en hen beter toerusten voor hun schoolloopbaan of oriëntatie naar werk. </w:t>
      </w:r>
    </w:p>
    <w:p w:rsidR="00DB7773" w:rsidP="00894E2A" w:rsidRDefault="00DB7773" w14:paraId="19576D47" w14:textId="77777777">
      <w:pPr>
        <w:rPr>
          <w:szCs w:val="18"/>
        </w:rPr>
      </w:pPr>
    </w:p>
    <w:p w:rsidRPr="00894E2A" w:rsidR="00894E2A" w:rsidP="00894E2A" w:rsidRDefault="00894E2A" w14:paraId="70C825D5" w14:textId="2B841164">
      <w:pPr>
        <w:rPr>
          <w:szCs w:val="18"/>
        </w:rPr>
      </w:pPr>
      <w:r w:rsidRPr="00894E2A">
        <w:rPr>
          <w:szCs w:val="18"/>
        </w:rPr>
        <w:t>In het programmaplan Maatschappelijke Diensttijd 2026 – 2030</w:t>
      </w:r>
      <w:r w:rsidRPr="00894E2A">
        <w:rPr>
          <w:rStyle w:val="Voetnootmarkering"/>
          <w:szCs w:val="18"/>
        </w:rPr>
        <w:footnoteReference w:id="33"/>
      </w:r>
      <w:r w:rsidRPr="00894E2A">
        <w:rPr>
          <w:szCs w:val="18"/>
        </w:rPr>
        <w:t xml:space="preserve"> is daarom opgenomen dat we de koppeling tussen </w:t>
      </w:r>
      <w:r w:rsidR="00003353">
        <w:rPr>
          <w:szCs w:val="18"/>
        </w:rPr>
        <w:t>de Maatschappelijke Diensttijd</w:t>
      </w:r>
      <w:r w:rsidRPr="00894E2A">
        <w:rPr>
          <w:szCs w:val="18"/>
        </w:rPr>
        <w:t xml:space="preserve"> en belangrijke onderwijsthema’s – zoals voortijdig schoolverlaten (VSV), thuiszitters, burgerschap en LOB – verder intensiveren en concretiseren en dat we daarbij aansluiten bij bestaande initiatieven, waaronder de uitvoering van de Wet van school naar duurzaam werk.</w:t>
      </w:r>
    </w:p>
    <w:p w:rsidRPr="007E0D19" w:rsidR="00F60174" w:rsidP="006054A5" w:rsidRDefault="00894E2A" w14:paraId="04849A81" w14:textId="6F43C506">
      <w:pPr>
        <w:rPr>
          <w:szCs w:val="18"/>
        </w:rPr>
      </w:pPr>
      <w:r w:rsidRPr="00894E2A">
        <w:rPr>
          <w:szCs w:val="18"/>
        </w:rPr>
        <w:t xml:space="preserve">Daarnaast is </w:t>
      </w:r>
      <w:r w:rsidR="00003353">
        <w:rPr>
          <w:szCs w:val="18"/>
        </w:rPr>
        <w:t>de Maatschappelijke Diensttijd</w:t>
      </w:r>
      <w:r w:rsidRPr="00894E2A">
        <w:rPr>
          <w:szCs w:val="18"/>
        </w:rPr>
        <w:t xml:space="preserve"> in de regeling Regionaal programma en Doorstroompuntfunctie 2026-2029 nadrukkelijk benoemd.</w:t>
      </w:r>
      <w:r w:rsidR="00280508">
        <w:rPr>
          <w:szCs w:val="18"/>
        </w:rPr>
        <w:t xml:space="preserve"> S</w:t>
      </w:r>
      <w:r w:rsidRPr="00894E2A">
        <w:rPr>
          <w:szCs w:val="18"/>
        </w:rPr>
        <w:t xml:space="preserve">cholen, het Doorstroompunt en gemeenten </w:t>
      </w:r>
      <w:r w:rsidR="00280508">
        <w:rPr>
          <w:szCs w:val="18"/>
        </w:rPr>
        <w:t xml:space="preserve">worden gestimuleerd </w:t>
      </w:r>
      <w:r w:rsidRPr="00894E2A">
        <w:rPr>
          <w:szCs w:val="18"/>
        </w:rPr>
        <w:t xml:space="preserve">in hun regionaal programma afspraken te maken over MDT als instrument </w:t>
      </w:r>
      <w:r w:rsidR="00280508">
        <w:rPr>
          <w:szCs w:val="18"/>
        </w:rPr>
        <w:t xml:space="preserve">dat kan bijdragen aan het </w:t>
      </w:r>
      <w:r w:rsidRPr="00894E2A">
        <w:rPr>
          <w:szCs w:val="18"/>
        </w:rPr>
        <w:t>voorkomen dat jongeren uitvallen of de terugkeer naar onderwijs of duurzaam werk te bevorderen. In communicatie naar uitvoerende partijen van deze wet is op diverse manier</w:t>
      </w:r>
      <w:r w:rsidR="0070349A">
        <w:rPr>
          <w:szCs w:val="18"/>
        </w:rPr>
        <w:t>en</w:t>
      </w:r>
      <w:r w:rsidR="00280508">
        <w:rPr>
          <w:szCs w:val="18"/>
        </w:rPr>
        <w:t xml:space="preserve"> actie ingezet. Zo is</w:t>
      </w:r>
      <w:r w:rsidRPr="00894E2A">
        <w:rPr>
          <w:szCs w:val="18"/>
        </w:rPr>
        <w:t xml:space="preserve"> de mogelijkheid om MDT op deze </w:t>
      </w:r>
      <w:r w:rsidR="00193408">
        <w:rPr>
          <w:szCs w:val="18"/>
        </w:rPr>
        <w:t>wijze</w:t>
      </w:r>
      <w:r w:rsidRPr="00894E2A">
        <w:rPr>
          <w:szCs w:val="18"/>
        </w:rPr>
        <w:t xml:space="preserve"> in te zetten </w:t>
      </w:r>
      <w:r w:rsidR="00280508">
        <w:rPr>
          <w:szCs w:val="18"/>
        </w:rPr>
        <w:t xml:space="preserve">langs verschillende wegen </w:t>
      </w:r>
      <w:r w:rsidRPr="00894E2A">
        <w:rPr>
          <w:szCs w:val="18"/>
        </w:rPr>
        <w:t xml:space="preserve">onder de aandacht van gemeenten en scholen gebracht. </w:t>
      </w:r>
      <w:r w:rsidR="00003353">
        <w:rPr>
          <w:szCs w:val="18"/>
        </w:rPr>
        <w:t xml:space="preserve">Hiermee is invulling gegeven aan de motie Krul (CDA) en </w:t>
      </w:r>
      <w:r w:rsidRPr="00894E2A" w:rsidR="00003353">
        <w:rPr>
          <w:szCs w:val="18"/>
        </w:rPr>
        <w:t>Ceder (CU)</w:t>
      </w:r>
      <w:r w:rsidRPr="00894E2A" w:rsidR="00003353">
        <w:rPr>
          <w:rStyle w:val="Voetnootmarkering"/>
          <w:szCs w:val="18"/>
        </w:rPr>
        <w:footnoteReference w:id="34"/>
      </w:r>
    </w:p>
    <w:p w:rsidR="007E0D19" w:rsidP="003C7CB5" w:rsidRDefault="007E0D19" w14:paraId="4225EBBB" w14:textId="20EC494A">
      <w:pPr>
        <w:pStyle w:val="Kop1"/>
      </w:pPr>
      <w:r>
        <w:lastRenderedPageBreak/>
        <w:t>Motie Moorman</w:t>
      </w:r>
      <w:r w:rsidR="004468AC">
        <w:t xml:space="preserve"> </w:t>
      </w:r>
      <w:r w:rsidRPr="004468AC" w:rsidR="004468AC">
        <w:t>c.s. over funderend onderwijs bij de portefeuilleverdeling niet ondergeschikt maken aan hoger onderwijs</w:t>
      </w:r>
    </w:p>
    <w:p w:rsidR="006A1AD8" w:rsidP="007E0D19" w:rsidRDefault="007E0D19" w14:paraId="5BE2509F" w14:textId="50D0A10E">
      <w:pPr>
        <w:rPr>
          <w:szCs w:val="18"/>
        </w:rPr>
      </w:pPr>
      <w:r w:rsidRPr="00D92838">
        <w:rPr>
          <w:szCs w:val="18"/>
        </w:rPr>
        <w:t xml:space="preserve">De motie </w:t>
      </w:r>
      <w:r w:rsidRPr="0042154E">
        <w:rPr>
          <w:szCs w:val="18"/>
        </w:rPr>
        <w:t>M</w:t>
      </w:r>
      <w:r w:rsidRPr="00D92838">
        <w:rPr>
          <w:szCs w:val="18"/>
        </w:rPr>
        <w:t xml:space="preserve">oorman </w:t>
      </w:r>
      <w:r w:rsidRPr="0042154E">
        <w:rPr>
          <w:szCs w:val="18"/>
        </w:rPr>
        <w:t>c.s.</w:t>
      </w:r>
      <w:r w:rsidRPr="0042154E">
        <w:rPr>
          <w:rStyle w:val="Voetnootmarkering"/>
          <w:szCs w:val="18"/>
        </w:rPr>
        <w:footnoteReference w:id="35"/>
      </w:r>
      <w:r w:rsidRPr="0042154E">
        <w:rPr>
          <w:szCs w:val="18"/>
        </w:rPr>
        <w:t xml:space="preserve"> </w:t>
      </w:r>
      <w:r w:rsidRPr="00D92838">
        <w:rPr>
          <w:szCs w:val="18"/>
        </w:rPr>
        <w:t xml:space="preserve">roept </w:t>
      </w:r>
      <w:r w:rsidRPr="0042154E">
        <w:rPr>
          <w:szCs w:val="18"/>
        </w:rPr>
        <w:t>op om funderend onderwijs in de verdeling van portefeuilles niet ondergeschikt te maken aan het hoger onderwijs</w:t>
      </w:r>
      <w:r w:rsidRPr="00D92838">
        <w:rPr>
          <w:szCs w:val="18"/>
        </w:rPr>
        <w:t xml:space="preserve">. </w:t>
      </w:r>
      <w:r w:rsidR="00333711">
        <w:rPr>
          <w:szCs w:val="18"/>
        </w:rPr>
        <w:t>De gelijkwaardigheid van het belang van zowel funderend als hoger onderwijs wordt in dit kabinet zowel in financiële middelen als in het benoemen van twee bewindspersonen onderstreept. De minister en ik nemen onze verantwoordelijkheden daarbij even serieus en zetten ons met gedrevenheid, ambitie en betrokkenheid in voor beide. Daarmee beschouw ik de motie als afgedaan.</w:t>
      </w:r>
    </w:p>
    <w:p w:rsidRPr="005B53FC" w:rsidR="006A1AD8" w:rsidP="006A1AD8" w:rsidRDefault="006A1AD8" w14:paraId="4B4C210A" w14:textId="7DDD88AE">
      <w:pPr>
        <w:pStyle w:val="Kop1"/>
      </w:pPr>
      <w:r w:rsidRPr="005B53FC">
        <w:t>Procesupdate bredere verkenning handhaving leerplicht</w:t>
      </w:r>
    </w:p>
    <w:p w:rsidR="006A1AD8" w:rsidP="006A1AD8" w:rsidRDefault="006A1AD8" w14:paraId="4A90E8E7" w14:textId="77777777">
      <w:pPr>
        <w:pStyle w:val="Geenafstand"/>
      </w:pPr>
      <w:r w:rsidRPr="005B53FC">
        <w:t>18 december 2025 is uw Kamer geïnformeerd over een verkenning naar de Leerplichtwet, schoolverzuim en strafrecht.</w:t>
      </w:r>
      <w:r>
        <w:rPr>
          <w:rStyle w:val="Voetnootmarkering"/>
        </w:rPr>
        <w:footnoteReference w:id="36"/>
      </w:r>
      <w:r w:rsidRPr="005B53FC">
        <w:t xml:space="preserve"> Deze bredere verkenning heeft betrekking op alle vormen van schoolgang en schoolverzuim: reguliere schoolgang, vrijstellingen,</w:t>
      </w:r>
      <w:r>
        <w:rPr>
          <w:rStyle w:val="Voetnootmarkering"/>
        </w:rPr>
        <w:footnoteReference w:id="37"/>
      </w:r>
      <w:r w:rsidRPr="005B53FC">
        <w:t xml:space="preserve"> absoluut verzuim</w:t>
      </w:r>
      <w:r>
        <w:rPr>
          <w:rStyle w:val="Voetnootmarkering"/>
        </w:rPr>
        <w:footnoteReference w:id="38"/>
      </w:r>
      <w:r w:rsidRPr="005B53FC">
        <w:t xml:space="preserve"> en relatief verzuim</w:t>
      </w:r>
      <w:r>
        <w:rPr>
          <w:rStyle w:val="Voetnootmarkering"/>
        </w:rPr>
        <w:footnoteReference w:id="39"/>
      </w:r>
      <w:r w:rsidRPr="005B53FC">
        <w:t>, waaronder specifiek ook luxeverzuim.</w:t>
      </w:r>
      <w:r>
        <w:rPr>
          <w:rStyle w:val="Voetnootmarkering"/>
        </w:rPr>
        <w:footnoteReference w:id="40"/>
      </w:r>
      <w:r w:rsidRPr="005B53FC">
        <w:t xml:space="preserve"> Met de verkenning zijn scenario’s voor preventie en dwangmaatregelen in kaart gebracht en getoetst. Deze scenario’s worden op dit moment verder uitgewerkt. In de verkenning hebben vanuit het Ministerie van Onderwijs en dat van Justitie en Veiligheid verschillende activiteiten plaatsgevonden, waaronder enkele (werk-)sessies met de praktijk en wetenschap, een uitvraag onder andere landen naar de vormgeving van leerplicht en handhaving en een door KBA Nijmegen uitgevoerd onderzoek naar de veranderende rol van de leerplichtambtenaar dat mede op verzoek van uw Kamer is uitgevoerd.</w:t>
      </w:r>
      <w:r>
        <w:rPr>
          <w:rStyle w:val="Voetnootmarkering"/>
        </w:rPr>
        <w:footnoteReference w:id="41"/>
      </w:r>
      <w:r w:rsidRPr="005B53FC">
        <w:t xml:space="preserve"> </w:t>
      </w:r>
    </w:p>
    <w:p w:rsidR="006A1AD8" w:rsidP="006A1AD8" w:rsidRDefault="006A1AD8" w14:paraId="7CC64E1B" w14:textId="77777777">
      <w:pPr>
        <w:pStyle w:val="Geenafstand"/>
      </w:pPr>
    </w:p>
    <w:p w:rsidR="006A1AD8" w:rsidRDefault="006A1AD8" w14:paraId="28FBCFD0" w14:textId="77777777">
      <w:pPr>
        <w:spacing w:line="240" w:lineRule="auto"/>
      </w:pPr>
      <w:r>
        <w:br w:type="page"/>
      </w:r>
    </w:p>
    <w:p w:rsidR="006A1AD8" w:rsidP="006A1AD8" w:rsidRDefault="006A1AD8" w14:paraId="291963A8" w14:textId="474479A7">
      <w:pPr>
        <w:pStyle w:val="Geenafstand"/>
      </w:pPr>
      <w:r w:rsidRPr="005B53FC">
        <w:lastRenderedPageBreak/>
        <w:t>Het eindrapport van dat onderzoek is te vinden in de bijlage (‘</w:t>
      </w:r>
      <w:r w:rsidRPr="005B53FC">
        <w:rPr>
          <w:i/>
          <w:iCs/>
        </w:rPr>
        <w:t>Verkenning veranderende rol leerplichtambtenaar</w:t>
      </w:r>
      <w:r w:rsidRPr="005B53FC">
        <w:t>’). Uw Kamer ontvangt voor het einde van het jaar een eindrapportage van de brede verkenning naar de handhaving van de leerplicht met daarbij enkele scenario’s die verder worden uitgewerkt.</w:t>
      </w:r>
    </w:p>
    <w:p w:rsidRPr="006A1AD8" w:rsidR="006A1AD8" w:rsidP="006A1AD8" w:rsidRDefault="006A1AD8" w14:paraId="23BEDC28" w14:textId="77777777">
      <w:pPr>
        <w:pStyle w:val="Geenafstand"/>
      </w:pPr>
    </w:p>
    <w:p w:rsidR="00660934" w:rsidP="00CA35E4" w:rsidRDefault="00660934" w14:paraId="044ED77F" w14:textId="77777777"/>
    <w:p w:rsidR="007E0D19" w:rsidP="00CA35E4" w:rsidRDefault="007E0D19" w14:paraId="03B92292" w14:textId="77777777"/>
    <w:p w:rsidR="007851C4" w:rsidP="00CA35E4" w:rsidRDefault="00C522C1" w14:paraId="5201EDE5" w14:textId="704DE2BD">
      <w:r>
        <w:t>Hoogachtend,</w:t>
      </w:r>
    </w:p>
    <w:p w:rsidR="00EB1FAB" w:rsidP="00CA35E4" w:rsidRDefault="00EB1FAB" w14:paraId="2327AE46" w14:textId="77777777"/>
    <w:p w:rsidR="00820DDA" w:rsidP="00CA35E4" w:rsidRDefault="00D817E4" w14:paraId="2F104F1F" w14:textId="6CD0D927">
      <w:r>
        <w:t>d</w:t>
      </w:r>
      <w:r w:rsidR="00745AE0">
        <w:t xml:space="preserve">e staatssecretaris </w:t>
      </w:r>
      <w:r w:rsidR="00535573">
        <w:t>van Onderwijs</w:t>
      </w:r>
      <w:r>
        <w:t xml:space="preserve"> en Emancipatie</w:t>
      </w:r>
      <w:r w:rsidR="00745AE0">
        <w:t>,</w:t>
      </w:r>
    </w:p>
    <w:p w:rsidR="00745AE0" w:rsidP="003A7160" w:rsidRDefault="00745AE0" w14:paraId="1FB82571" w14:textId="77777777"/>
    <w:p w:rsidR="00745AE0" w:rsidP="003A7160" w:rsidRDefault="00745AE0" w14:paraId="768116F8" w14:textId="77777777"/>
    <w:p w:rsidR="00745AE0" w:rsidP="003A7160" w:rsidRDefault="00745AE0" w14:paraId="515B2DC4" w14:textId="77777777"/>
    <w:p w:rsidR="00745AE0" w:rsidP="003A7160" w:rsidRDefault="00745AE0" w14:paraId="31F793D7" w14:textId="77777777"/>
    <w:p w:rsidR="00745AE0" w:rsidP="003A7160" w:rsidRDefault="00745AE0" w14:paraId="01EF7E91" w14:textId="77777777"/>
    <w:p w:rsidR="00E93891" w:rsidP="00347221" w:rsidRDefault="00E93891" w14:paraId="5BD743E3" w14:textId="77777777"/>
    <w:p w:rsidRPr="00820DDA" w:rsidR="00820DDA" w:rsidP="00AB060D" w:rsidRDefault="00D817E4" w14:paraId="1FC8FB47" w14:textId="13FEBE27">
      <w:r w:rsidRPr="000E04A1">
        <w:t>Judith Zs.C.M. Tielen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8F6F" w14:textId="77777777" w:rsidR="002749FB" w:rsidRDefault="002749FB">
      <w:r>
        <w:separator/>
      </w:r>
    </w:p>
    <w:p w14:paraId="3C4BA2A4" w14:textId="77777777" w:rsidR="002749FB" w:rsidRDefault="002749FB"/>
  </w:endnote>
  <w:endnote w:type="continuationSeparator" w:id="0">
    <w:p w14:paraId="0F72C17B" w14:textId="77777777" w:rsidR="002749FB" w:rsidRDefault="002749FB">
      <w:r>
        <w:continuationSeparator/>
      </w:r>
    </w:p>
    <w:p w14:paraId="40754681" w14:textId="77777777" w:rsidR="002749FB" w:rsidRDefault="00274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9FD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66D04" w14:paraId="604A363B" w14:textId="77777777" w:rsidTr="004C7E1D">
      <w:trPr>
        <w:trHeight w:hRule="exact" w:val="357"/>
      </w:trPr>
      <w:tc>
        <w:tcPr>
          <w:tcW w:w="7603" w:type="dxa"/>
        </w:tcPr>
        <w:p w14:paraId="52322CCE" w14:textId="77777777" w:rsidR="002F71BB" w:rsidRPr="004C7E1D" w:rsidRDefault="002F71BB" w:rsidP="004C7E1D">
          <w:pPr>
            <w:spacing w:line="180" w:lineRule="exact"/>
            <w:rPr>
              <w:sz w:val="13"/>
              <w:szCs w:val="13"/>
            </w:rPr>
          </w:pPr>
        </w:p>
      </w:tc>
      <w:tc>
        <w:tcPr>
          <w:tcW w:w="2172" w:type="dxa"/>
        </w:tcPr>
        <w:p w14:paraId="69EDBBCA" w14:textId="2ED26046" w:rsidR="002F71BB" w:rsidRPr="004C7E1D" w:rsidRDefault="00D817E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D1DD8">
            <w:rPr>
              <w:szCs w:val="13"/>
            </w:rPr>
            <w:t>11</w:t>
          </w:r>
          <w:r w:rsidRPr="004C7E1D">
            <w:rPr>
              <w:szCs w:val="13"/>
            </w:rPr>
            <w:fldChar w:fldCharType="end"/>
          </w:r>
        </w:p>
      </w:tc>
    </w:tr>
  </w:tbl>
  <w:p w14:paraId="1A0F6D5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66D04" w14:paraId="5F918B03" w14:textId="77777777" w:rsidTr="004C7E1D">
      <w:trPr>
        <w:trHeight w:hRule="exact" w:val="357"/>
      </w:trPr>
      <w:tc>
        <w:tcPr>
          <w:tcW w:w="7709" w:type="dxa"/>
        </w:tcPr>
        <w:p w14:paraId="206FE9B7" w14:textId="77777777" w:rsidR="00D17084" w:rsidRPr="004C7E1D" w:rsidRDefault="00D17084" w:rsidP="004C7E1D">
          <w:pPr>
            <w:spacing w:line="180" w:lineRule="exact"/>
            <w:rPr>
              <w:sz w:val="13"/>
              <w:szCs w:val="13"/>
            </w:rPr>
          </w:pPr>
        </w:p>
      </w:tc>
      <w:tc>
        <w:tcPr>
          <w:tcW w:w="2060" w:type="dxa"/>
        </w:tcPr>
        <w:p w14:paraId="0065E1BC" w14:textId="4453D1D4" w:rsidR="00D17084" w:rsidRPr="004C7E1D" w:rsidRDefault="00D817E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D1DD8">
            <w:rPr>
              <w:szCs w:val="13"/>
            </w:rPr>
            <w:t>11</w:t>
          </w:r>
          <w:r w:rsidRPr="004C7E1D">
            <w:rPr>
              <w:szCs w:val="13"/>
            </w:rPr>
            <w:fldChar w:fldCharType="end"/>
          </w:r>
        </w:p>
      </w:tc>
    </w:tr>
  </w:tbl>
  <w:p w14:paraId="6D8EE84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C230" w14:textId="77777777" w:rsidR="002749FB" w:rsidRDefault="002749FB">
      <w:r>
        <w:separator/>
      </w:r>
    </w:p>
    <w:p w14:paraId="159097F0" w14:textId="77777777" w:rsidR="002749FB" w:rsidRDefault="002749FB"/>
  </w:footnote>
  <w:footnote w:type="continuationSeparator" w:id="0">
    <w:p w14:paraId="0C289B66" w14:textId="77777777" w:rsidR="002749FB" w:rsidRDefault="002749FB">
      <w:r>
        <w:continuationSeparator/>
      </w:r>
    </w:p>
    <w:p w14:paraId="0CDE507B" w14:textId="77777777" w:rsidR="002749FB" w:rsidRDefault="002749FB"/>
  </w:footnote>
  <w:footnote w:id="1">
    <w:p w14:paraId="67AB4AEA" w14:textId="77777777" w:rsidR="002E51FE" w:rsidRDefault="002E51FE" w:rsidP="002E51FE">
      <w:pPr>
        <w:pStyle w:val="Voetnoottekst"/>
      </w:pPr>
      <w:r>
        <w:rPr>
          <w:rStyle w:val="Voetnootmarkering"/>
        </w:rPr>
        <w:footnoteRef/>
      </w:r>
      <w:r>
        <w:t xml:space="preserve"> </w:t>
      </w:r>
      <w:r w:rsidRPr="00A07886">
        <w:t xml:space="preserve">Toezegging: </w:t>
      </w:r>
      <w:r w:rsidRPr="00A07886">
        <w:rPr>
          <w:szCs w:val="13"/>
        </w:rPr>
        <w:t>TZ202512-024</w:t>
      </w:r>
    </w:p>
  </w:footnote>
  <w:footnote w:id="2">
    <w:p w14:paraId="3165E7E6" w14:textId="77777777" w:rsidR="002E51FE" w:rsidRPr="00A07886" w:rsidRDefault="002E51FE" w:rsidP="002E51FE">
      <w:pPr>
        <w:rPr>
          <w:sz w:val="20"/>
          <w:szCs w:val="20"/>
        </w:rPr>
      </w:pPr>
      <w:r w:rsidRPr="00A07886">
        <w:rPr>
          <w:rStyle w:val="Voetnootmarkering"/>
          <w:sz w:val="13"/>
          <w:szCs w:val="13"/>
        </w:rPr>
        <w:footnoteRef/>
      </w:r>
      <w:r w:rsidRPr="00A07886">
        <w:rPr>
          <w:sz w:val="13"/>
          <w:szCs w:val="13"/>
        </w:rPr>
        <w:t xml:space="preserve"> Na de inwerkingtreding van de Wet onderwijsondersteuning zieke leerlingen (</w:t>
      </w:r>
      <w:proofErr w:type="spellStart"/>
      <w:r w:rsidRPr="00A07886">
        <w:rPr>
          <w:sz w:val="13"/>
          <w:szCs w:val="13"/>
        </w:rPr>
        <w:t>ozl</w:t>
      </w:r>
      <w:proofErr w:type="spellEnd"/>
      <w:r w:rsidRPr="00A07886">
        <w:rPr>
          <w:sz w:val="13"/>
          <w:szCs w:val="13"/>
        </w:rPr>
        <w:t xml:space="preserve">) zal de Stichting </w:t>
      </w:r>
      <w:proofErr w:type="spellStart"/>
      <w:r w:rsidRPr="00A07886">
        <w:rPr>
          <w:sz w:val="13"/>
          <w:szCs w:val="13"/>
        </w:rPr>
        <w:t>Ziezon</w:t>
      </w:r>
      <w:proofErr w:type="spellEnd"/>
      <w:r w:rsidRPr="00A07886">
        <w:rPr>
          <w:sz w:val="13"/>
          <w:szCs w:val="13"/>
        </w:rPr>
        <w:t xml:space="preserve"> per besluit door de Minister van OCW worden aangewezen als rechtspersoon met de wettelijke taak conform artikel 3c van de Wet SLOA 2013.</w:t>
      </w:r>
    </w:p>
  </w:footnote>
  <w:footnote w:id="3">
    <w:p w14:paraId="2D7E23D2" w14:textId="77777777" w:rsidR="002E51FE" w:rsidRDefault="002E51FE" w:rsidP="002E51FE">
      <w:pPr>
        <w:pStyle w:val="Voetnoottekst"/>
      </w:pPr>
      <w:r>
        <w:rPr>
          <w:rStyle w:val="Voetnootmarkering"/>
        </w:rPr>
        <w:footnoteRef/>
      </w:r>
      <w:r>
        <w:t xml:space="preserve"> </w:t>
      </w:r>
      <w:r w:rsidRPr="00A07886">
        <w:rPr>
          <w:color w:val="000000"/>
          <w:szCs w:val="13"/>
        </w:rPr>
        <w:t>Kamerstukken II 2025</w:t>
      </w:r>
      <w:r>
        <w:rPr>
          <w:color w:val="000000"/>
          <w:szCs w:val="13"/>
        </w:rPr>
        <w:t>-</w:t>
      </w:r>
      <w:r w:rsidRPr="00A07886">
        <w:rPr>
          <w:color w:val="000000"/>
          <w:szCs w:val="13"/>
        </w:rPr>
        <w:t>2026, 36 530, nr. 29</w:t>
      </w:r>
    </w:p>
  </w:footnote>
  <w:footnote w:id="4">
    <w:p w14:paraId="7EABDD09" w14:textId="77777777" w:rsidR="002E51FE" w:rsidRDefault="002E51FE" w:rsidP="002E51FE">
      <w:pPr>
        <w:pStyle w:val="Voetnoottekst"/>
      </w:pPr>
      <w:r>
        <w:rPr>
          <w:rStyle w:val="Voetnootmarkering"/>
        </w:rPr>
        <w:footnoteRef/>
      </w:r>
      <w:r>
        <w:t xml:space="preserve"> </w:t>
      </w:r>
      <w:r w:rsidRPr="00A07886">
        <w:rPr>
          <w:color w:val="000000"/>
          <w:szCs w:val="13"/>
        </w:rPr>
        <w:t xml:space="preserve">Kamerstukken </w:t>
      </w:r>
      <w:r>
        <w:rPr>
          <w:color w:val="000000"/>
          <w:szCs w:val="13"/>
        </w:rPr>
        <w:t xml:space="preserve">II </w:t>
      </w:r>
      <w:r w:rsidRPr="00A07886">
        <w:rPr>
          <w:color w:val="000000"/>
          <w:szCs w:val="13"/>
        </w:rPr>
        <w:t>2025</w:t>
      </w:r>
      <w:r>
        <w:rPr>
          <w:color w:val="000000"/>
          <w:szCs w:val="13"/>
        </w:rPr>
        <w:t>-</w:t>
      </w:r>
      <w:r w:rsidRPr="00A07886">
        <w:rPr>
          <w:color w:val="000000"/>
          <w:szCs w:val="13"/>
        </w:rPr>
        <w:t>2026, 36 530, nr. 25</w:t>
      </w:r>
    </w:p>
  </w:footnote>
  <w:footnote w:id="5">
    <w:p w14:paraId="224B8F11" w14:textId="77777777" w:rsidR="002E51FE" w:rsidRDefault="002E51FE" w:rsidP="002E51FE">
      <w:pPr>
        <w:pStyle w:val="Voetnoottekst"/>
      </w:pPr>
      <w:r>
        <w:rPr>
          <w:rStyle w:val="Voetnootmarkering"/>
        </w:rPr>
        <w:footnoteRef/>
      </w:r>
      <w:r>
        <w:t xml:space="preserve"> </w:t>
      </w:r>
      <w:r w:rsidRPr="00A07886">
        <w:rPr>
          <w:color w:val="000000"/>
          <w:szCs w:val="13"/>
        </w:rPr>
        <w:t>Kamerstukken II 2025</w:t>
      </w:r>
      <w:r>
        <w:rPr>
          <w:color w:val="000000"/>
          <w:szCs w:val="13"/>
        </w:rPr>
        <w:t>-</w:t>
      </w:r>
      <w:r w:rsidRPr="00A07886">
        <w:rPr>
          <w:color w:val="000000"/>
          <w:szCs w:val="13"/>
        </w:rPr>
        <w:t>2026, 36 530, nr. 21</w:t>
      </w:r>
    </w:p>
  </w:footnote>
  <w:footnote w:id="6">
    <w:p w14:paraId="47BC4F20" w14:textId="77777777" w:rsidR="002E51FE" w:rsidRDefault="002E51FE" w:rsidP="002E51FE">
      <w:pPr>
        <w:pStyle w:val="Voetnoottekst"/>
      </w:pPr>
      <w:r>
        <w:rPr>
          <w:rStyle w:val="Voetnootmarkering"/>
        </w:rPr>
        <w:footnoteRef/>
      </w:r>
      <w:r>
        <w:t xml:space="preserve"> </w:t>
      </w:r>
      <w:r w:rsidRPr="00A07886">
        <w:rPr>
          <w:color w:val="000000"/>
          <w:szCs w:val="13"/>
        </w:rPr>
        <w:t>Kamerstukken II 2025</w:t>
      </w:r>
      <w:r>
        <w:rPr>
          <w:color w:val="000000"/>
          <w:szCs w:val="13"/>
        </w:rPr>
        <w:t>-</w:t>
      </w:r>
      <w:r w:rsidRPr="00A07886">
        <w:rPr>
          <w:color w:val="000000"/>
          <w:szCs w:val="13"/>
        </w:rPr>
        <w:t>2026, 36 530, nr. 23 en nr. 24</w:t>
      </w:r>
    </w:p>
  </w:footnote>
  <w:footnote w:id="7">
    <w:p w14:paraId="1E345133" w14:textId="77777777" w:rsidR="002E51FE" w:rsidRDefault="002E51FE" w:rsidP="002E51FE">
      <w:pPr>
        <w:pStyle w:val="Voetnoottekst"/>
      </w:pPr>
      <w:r>
        <w:rPr>
          <w:rStyle w:val="Voetnootmarkering"/>
        </w:rPr>
        <w:footnoteRef/>
      </w:r>
      <w:r>
        <w:t xml:space="preserve"> </w:t>
      </w:r>
      <w:r w:rsidRPr="00A07886">
        <w:rPr>
          <w:color w:val="000000"/>
          <w:szCs w:val="13"/>
        </w:rPr>
        <w:t>Kamerstukken II 2025</w:t>
      </w:r>
      <w:r>
        <w:rPr>
          <w:color w:val="000000"/>
          <w:szCs w:val="13"/>
        </w:rPr>
        <w:t>-</w:t>
      </w:r>
      <w:r w:rsidRPr="00A07886">
        <w:rPr>
          <w:color w:val="000000"/>
          <w:szCs w:val="13"/>
        </w:rPr>
        <w:t>2026, 36 530, nr. 27</w:t>
      </w:r>
    </w:p>
  </w:footnote>
  <w:footnote w:id="8">
    <w:p w14:paraId="581BCB72" w14:textId="77777777" w:rsidR="002E51FE" w:rsidRDefault="002E51FE" w:rsidP="002E51FE">
      <w:pPr>
        <w:pStyle w:val="Voetnoottekst"/>
      </w:pPr>
      <w:r>
        <w:rPr>
          <w:rStyle w:val="Voetnootmarkering"/>
        </w:rPr>
        <w:footnoteRef/>
      </w:r>
      <w:r>
        <w:t xml:space="preserve"> </w:t>
      </w:r>
      <w:r w:rsidRPr="00A07886">
        <w:rPr>
          <w:color w:val="000000"/>
          <w:szCs w:val="13"/>
        </w:rPr>
        <w:t xml:space="preserve">Kamerstukken </w:t>
      </w:r>
      <w:r>
        <w:rPr>
          <w:color w:val="000000"/>
          <w:szCs w:val="13"/>
        </w:rPr>
        <w:t xml:space="preserve">II </w:t>
      </w:r>
      <w:r w:rsidRPr="00A07886">
        <w:rPr>
          <w:color w:val="000000"/>
          <w:szCs w:val="13"/>
        </w:rPr>
        <w:t>2025</w:t>
      </w:r>
      <w:r>
        <w:rPr>
          <w:color w:val="000000"/>
          <w:szCs w:val="13"/>
        </w:rPr>
        <w:t>-</w:t>
      </w:r>
      <w:r w:rsidRPr="00A07886">
        <w:rPr>
          <w:color w:val="000000"/>
          <w:szCs w:val="13"/>
        </w:rPr>
        <w:t>2026, 36 530, nr. 30</w:t>
      </w:r>
    </w:p>
  </w:footnote>
  <w:footnote w:id="9">
    <w:p w14:paraId="3D58BDEA" w14:textId="77777777" w:rsidR="002E51FE" w:rsidRDefault="002E51FE" w:rsidP="002E51FE">
      <w:pPr>
        <w:pStyle w:val="Voetnoottekst"/>
      </w:pPr>
      <w:r>
        <w:rPr>
          <w:rStyle w:val="Voetnootmarkering"/>
        </w:rPr>
        <w:footnoteRef/>
      </w:r>
      <w:r>
        <w:t xml:space="preserve"> Toezegging: </w:t>
      </w:r>
      <w:r w:rsidRPr="00A07886">
        <w:t>TZ202512-022</w:t>
      </w:r>
    </w:p>
  </w:footnote>
  <w:footnote w:id="10">
    <w:p w14:paraId="46A15728" w14:textId="12A39595" w:rsidR="0079521E" w:rsidRDefault="0079521E" w:rsidP="0079521E">
      <w:pPr>
        <w:pStyle w:val="Voetnoottekst"/>
      </w:pPr>
      <w:r>
        <w:rPr>
          <w:rStyle w:val="Voetnootmarkering"/>
        </w:rPr>
        <w:footnoteRef/>
      </w:r>
      <w:r>
        <w:t xml:space="preserve"> </w:t>
      </w:r>
      <w:r w:rsidRPr="00E83C0C">
        <w:t>Voor langdurige klachten na een corona-infectie werd eerder de Engelse term 'long-covid’ gebruikt. Long betekent hier: langdurig. Maar omdat de klachten optreden nadat de infectie voorbij is, gebruikt de overheid de term ‘post-covid’. Post betekent namelijk:</w:t>
      </w:r>
      <w:r>
        <w:t xml:space="preserve"> </w:t>
      </w:r>
      <w:r w:rsidRPr="00E83C0C">
        <w:t>na.</w:t>
      </w:r>
    </w:p>
  </w:footnote>
  <w:footnote w:id="11">
    <w:p w14:paraId="36996F53" w14:textId="77777777" w:rsidR="0079521E" w:rsidRPr="0037562D" w:rsidRDefault="0079521E" w:rsidP="0079521E">
      <w:pPr>
        <w:rPr>
          <w:sz w:val="13"/>
          <w:szCs w:val="13"/>
        </w:rPr>
      </w:pPr>
      <w:r w:rsidRPr="0037562D">
        <w:rPr>
          <w:rStyle w:val="Voetnootmarkering"/>
          <w:sz w:val="13"/>
          <w:szCs w:val="13"/>
        </w:rPr>
        <w:footnoteRef/>
      </w:r>
      <w:r w:rsidRPr="0037562D">
        <w:rPr>
          <w:sz w:val="13"/>
          <w:szCs w:val="13"/>
        </w:rPr>
        <w:t xml:space="preserve"> Kamerstukken II 2025-2026, 36 530, nr. 22</w:t>
      </w:r>
    </w:p>
  </w:footnote>
  <w:footnote w:id="12">
    <w:p w14:paraId="37509C2B" w14:textId="77777777" w:rsidR="0079521E" w:rsidRPr="0037562D" w:rsidRDefault="0079521E" w:rsidP="0079521E">
      <w:pPr>
        <w:pStyle w:val="Voetnoottekst"/>
        <w:rPr>
          <w:szCs w:val="13"/>
        </w:rPr>
      </w:pPr>
      <w:r w:rsidRPr="0037562D">
        <w:rPr>
          <w:rStyle w:val="Voetnootmarkering"/>
          <w:szCs w:val="13"/>
        </w:rPr>
        <w:footnoteRef/>
      </w:r>
      <w:r w:rsidRPr="0037562D">
        <w:rPr>
          <w:szCs w:val="13"/>
        </w:rPr>
        <w:t xml:space="preserve"> Kamerstukken II 2025-2026,</w:t>
      </w:r>
      <w:r>
        <w:rPr>
          <w:szCs w:val="13"/>
        </w:rPr>
        <w:t xml:space="preserve"> 31497, nr. 513</w:t>
      </w:r>
    </w:p>
  </w:footnote>
  <w:footnote w:id="13">
    <w:p w14:paraId="43F8A94F" w14:textId="4854C597" w:rsidR="005E673D" w:rsidRPr="0037562D" w:rsidRDefault="005E673D" w:rsidP="005E673D">
      <w:pPr>
        <w:pStyle w:val="Voetnoottekst"/>
      </w:pPr>
      <w:r w:rsidRPr="0037562D">
        <w:rPr>
          <w:rStyle w:val="Voetnootmarkering"/>
        </w:rPr>
        <w:footnoteRef/>
      </w:r>
      <w:r w:rsidRPr="0037562D">
        <w:t xml:space="preserve"> </w:t>
      </w:r>
      <w:r w:rsidR="003D5DF3" w:rsidRPr="0037562D">
        <w:t xml:space="preserve">Toezegging: </w:t>
      </w:r>
      <w:r w:rsidRPr="0037562D">
        <w:rPr>
          <w:szCs w:val="13"/>
        </w:rPr>
        <w:t>TZ202603-186</w:t>
      </w:r>
    </w:p>
  </w:footnote>
  <w:footnote w:id="14">
    <w:p w14:paraId="56DE7B78" w14:textId="52B31B99" w:rsidR="00A31F28" w:rsidRPr="0037562D" w:rsidRDefault="00A31F28">
      <w:pPr>
        <w:pStyle w:val="Voetnoottekst"/>
      </w:pPr>
      <w:r w:rsidRPr="0037562D">
        <w:rPr>
          <w:rStyle w:val="Voetnootmarkering"/>
        </w:rPr>
        <w:footnoteRef/>
      </w:r>
      <w:r w:rsidRPr="0037562D">
        <w:t xml:space="preserve"> Kamerstukken II 2024-2025, 36</w:t>
      </w:r>
      <w:r w:rsidR="00DE3B06" w:rsidRPr="0037562D">
        <w:t xml:space="preserve"> </w:t>
      </w:r>
      <w:r w:rsidRPr="0037562D">
        <w:t>740 VIII, nr. 12</w:t>
      </w:r>
    </w:p>
  </w:footnote>
  <w:footnote w:id="15">
    <w:p w14:paraId="147248C9" w14:textId="77777777" w:rsidR="009B6005" w:rsidRDefault="009B6005" w:rsidP="009B6005">
      <w:pPr>
        <w:pStyle w:val="Voetnoottekst"/>
      </w:pPr>
      <w:r w:rsidRPr="0037562D">
        <w:rPr>
          <w:rStyle w:val="Voetnootmarkering"/>
        </w:rPr>
        <w:footnoteRef/>
      </w:r>
      <w:r w:rsidRPr="0037562D">
        <w:t xml:space="preserve"> </w:t>
      </w:r>
      <w:r w:rsidRPr="0037562D">
        <w:rPr>
          <w:rFonts w:cs="Open Sans"/>
          <w:color w:val="333333"/>
          <w:szCs w:val="13"/>
          <w:shd w:val="clear" w:color="auto" w:fill="FFFFFF"/>
        </w:rPr>
        <w:t>Kamerstukken II 2024-2025, 31 497, nr. 507 (</w:t>
      </w:r>
      <w:proofErr w:type="spellStart"/>
      <w:r w:rsidRPr="0037562D">
        <w:rPr>
          <w:rFonts w:cs="Open Sans"/>
          <w:color w:val="333333"/>
          <w:szCs w:val="13"/>
          <w:shd w:val="clear" w:color="auto" w:fill="FFFFFF"/>
        </w:rPr>
        <w:t>t.v.v</w:t>
      </w:r>
      <w:proofErr w:type="spellEnd"/>
      <w:r w:rsidRPr="0037562D">
        <w:rPr>
          <w:rFonts w:cs="Open Sans"/>
          <w:color w:val="333333"/>
          <w:szCs w:val="13"/>
          <w:shd w:val="clear" w:color="auto" w:fill="FFFFFF"/>
        </w:rPr>
        <w:t>. 502)</w:t>
      </w:r>
    </w:p>
  </w:footnote>
  <w:footnote w:id="16">
    <w:p w14:paraId="7F5EFC97" w14:textId="72F29E03" w:rsidR="009B6005" w:rsidRPr="007F6070" w:rsidRDefault="009B6005" w:rsidP="009B6005">
      <w:pPr>
        <w:pStyle w:val="Voetnoottekst"/>
        <w:rPr>
          <w:szCs w:val="13"/>
        </w:rPr>
      </w:pPr>
      <w:r>
        <w:rPr>
          <w:rStyle w:val="Voetnootmarkering"/>
        </w:rPr>
        <w:footnoteRef/>
      </w:r>
      <w:r>
        <w:t xml:space="preserve"> </w:t>
      </w:r>
      <w:r w:rsidRPr="00D86783">
        <w:t>Kamerstukken II 2019</w:t>
      </w:r>
      <w:r w:rsidR="00804BE7">
        <w:t>-20</w:t>
      </w:r>
      <w:r w:rsidRPr="00D86783">
        <w:t>20</w:t>
      </w:r>
      <w:r w:rsidRPr="007F6070">
        <w:rPr>
          <w:szCs w:val="13"/>
        </w:rPr>
        <w:t>, 31 497, nr. 334</w:t>
      </w:r>
    </w:p>
  </w:footnote>
  <w:footnote w:id="17">
    <w:p w14:paraId="725AE2C5" w14:textId="77777777" w:rsidR="003C7CB5" w:rsidRPr="00D51056" w:rsidRDefault="003C7CB5" w:rsidP="003C7CB5">
      <w:pPr>
        <w:pStyle w:val="Voetnoottekst"/>
        <w:rPr>
          <w:sz w:val="16"/>
          <w:szCs w:val="16"/>
        </w:rPr>
      </w:pPr>
      <w:r w:rsidRPr="007F6070">
        <w:rPr>
          <w:rStyle w:val="Voetnootmarkering"/>
          <w:szCs w:val="13"/>
        </w:rPr>
        <w:footnoteRef/>
      </w:r>
      <w:r w:rsidRPr="007F6070">
        <w:rPr>
          <w:szCs w:val="13"/>
        </w:rPr>
        <w:t xml:space="preserve"> Een dekkend netwerk houdt in dat er een samenhangend geheel van ondersteuningsvoorzieningen is binnen en tussen scholen, zodat leerlingen een ononderbroken ontwikkelingsproces kunnen doormaken en leerlingen die extra ondersteuning nodig hebben een zo passend mogelijke plaats in het onderwijs krijgen.</w:t>
      </w:r>
      <w:r w:rsidRPr="00D51056">
        <w:rPr>
          <w:sz w:val="16"/>
          <w:szCs w:val="16"/>
        </w:rPr>
        <w:t xml:space="preserve"> </w:t>
      </w:r>
    </w:p>
  </w:footnote>
  <w:footnote w:id="18">
    <w:p w14:paraId="23BA8E8A" w14:textId="77777777" w:rsidR="003C7CB5" w:rsidRPr="002A246F" w:rsidRDefault="003C7CB5" w:rsidP="003C7CB5">
      <w:pPr>
        <w:pStyle w:val="Voetnoottekst"/>
        <w:rPr>
          <w:szCs w:val="13"/>
        </w:rPr>
      </w:pPr>
      <w:r w:rsidRPr="00D41EDA">
        <w:rPr>
          <w:rStyle w:val="Voetnootmarkering"/>
          <w:szCs w:val="13"/>
        </w:rPr>
        <w:footnoteRef/>
      </w:r>
      <w:r w:rsidRPr="00D41EDA">
        <w:rPr>
          <w:szCs w:val="13"/>
        </w:rPr>
        <w:t xml:space="preserve"> Hiermee wordt uitvoering gegeven aan de toezegging: “De Tweede Kamer ontvangt in augustus 2026 een brief van de staatssecretaris met een terugkoppeling van het gesprek dat zij heeft gevoerd met de Inspectie van het Onderwijs over het handhaven van het dekkend aanbod van samenwerkingsverbanden zoals wettelijk vastgelegd”</w:t>
      </w:r>
    </w:p>
  </w:footnote>
  <w:footnote w:id="19">
    <w:p w14:paraId="46FAF80F" w14:textId="77777777" w:rsidR="003C7CB5" w:rsidRPr="00D51056" w:rsidRDefault="003C7CB5" w:rsidP="003C7CB5">
      <w:pPr>
        <w:pStyle w:val="Voetnoottekst"/>
        <w:rPr>
          <w:sz w:val="16"/>
          <w:szCs w:val="16"/>
        </w:rPr>
      </w:pPr>
      <w:r w:rsidRPr="002A246F">
        <w:rPr>
          <w:rStyle w:val="Voetnootmarkering"/>
          <w:szCs w:val="13"/>
        </w:rPr>
        <w:footnoteRef/>
      </w:r>
      <w:r w:rsidRPr="002A246F">
        <w:rPr>
          <w:szCs w:val="13"/>
        </w:rPr>
        <w:t xml:space="preserve"> Dit is uitgewerkt in de </w:t>
      </w:r>
      <w:hyperlink r:id="rId1" w:history="1">
        <w:r w:rsidRPr="002A246F">
          <w:rPr>
            <w:rStyle w:val="Hyperlink"/>
            <w:szCs w:val="13"/>
          </w:rPr>
          <w:t>Onderzoekskaders 2021</w:t>
        </w:r>
      </w:hyperlink>
      <w:r w:rsidRPr="002A246F">
        <w:rPr>
          <w:szCs w:val="13"/>
        </w:rPr>
        <w:t xml:space="preserve"> voor primair onderwijs, voortgezet onderwijs en (voortgezet) speciaal onderwijs, zie: </w:t>
      </w:r>
      <w:hyperlink r:id="rId2" w:history="1">
        <w:r w:rsidRPr="002A246F">
          <w:rPr>
            <w:rStyle w:val="Hyperlink"/>
            <w:szCs w:val="13"/>
          </w:rPr>
          <w:t>https://www.onderwijsinspectie.nl/onderwerpen/onderzoekskaders</w:t>
        </w:r>
      </w:hyperlink>
      <w:r w:rsidRPr="002A246F">
        <w:rPr>
          <w:szCs w:val="13"/>
        </w:rPr>
        <w:t>.</w:t>
      </w:r>
    </w:p>
  </w:footnote>
  <w:footnote w:id="20">
    <w:p w14:paraId="460ED2D0" w14:textId="495D932D" w:rsidR="001C2B62" w:rsidRDefault="001C2B62">
      <w:pPr>
        <w:pStyle w:val="Voetnoottekst"/>
      </w:pPr>
      <w:r>
        <w:rPr>
          <w:rStyle w:val="Voetnootmarkering"/>
        </w:rPr>
        <w:footnoteRef/>
      </w:r>
      <w:r>
        <w:t xml:space="preserve"> </w:t>
      </w:r>
      <w:r w:rsidRPr="001C2B62">
        <w:rPr>
          <w:szCs w:val="18"/>
        </w:rPr>
        <w:t>CUMI staat voor culturele minderheden. Binnen deze systematiek worden middelen verdeeld op basis van de herkomst van leerlingen of hun ouders.</w:t>
      </w:r>
    </w:p>
  </w:footnote>
  <w:footnote w:id="21">
    <w:p w14:paraId="3DFB7DC8" w14:textId="77777777" w:rsidR="00AB060D" w:rsidRPr="0037562D" w:rsidRDefault="00AB060D" w:rsidP="00AB060D">
      <w:pPr>
        <w:pStyle w:val="Voetnoottekst"/>
        <w:rPr>
          <w:szCs w:val="13"/>
        </w:rPr>
      </w:pPr>
      <w:r w:rsidRPr="0037562D">
        <w:rPr>
          <w:rStyle w:val="Voetnootmarkering"/>
        </w:rPr>
        <w:footnoteRef/>
      </w:r>
      <w:r w:rsidRPr="0037562D">
        <w:t xml:space="preserve"> </w:t>
      </w:r>
      <w:r w:rsidRPr="0037562D">
        <w:rPr>
          <w:szCs w:val="13"/>
        </w:rPr>
        <w:t xml:space="preserve">Kamerstukken II 2018–2019, 27 020, nr. 91 </w:t>
      </w:r>
    </w:p>
  </w:footnote>
  <w:footnote w:id="22">
    <w:p w14:paraId="74153828" w14:textId="77777777" w:rsidR="00AB060D" w:rsidRPr="0037562D" w:rsidRDefault="00AB060D" w:rsidP="00AB060D">
      <w:pPr>
        <w:pStyle w:val="Voetnoottekst"/>
        <w:rPr>
          <w:sz w:val="18"/>
          <w:szCs w:val="18"/>
        </w:rPr>
      </w:pPr>
      <w:r w:rsidRPr="0037562D">
        <w:rPr>
          <w:rStyle w:val="Voetnootmarkering"/>
          <w:szCs w:val="13"/>
        </w:rPr>
        <w:footnoteRef/>
      </w:r>
      <w:r w:rsidRPr="0037562D">
        <w:rPr>
          <w:szCs w:val="13"/>
        </w:rPr>
        <w:t xml:space="preserve"> </w:t>
      </w:r>
      <w:hyperlink r:id="rId3" w:history="1">
        <w:r w:rsidRPr="0037562D">
          <w:rPr>
            <w:rStyle w:val="Hyperlink"/>
            <w:szCs w:val="13"/>
          </w:rPr>
          <w:t>Herijking onderwijsachterstandenindicator primair onderwijs 2021 | CBS</w:t>
        </w:r>
      </w:hyperlink>
    </w:p>
  </w:footnote>
  <w:footnote w:id="23">
    <w:p w14:paraId="207B10D8" w14:textId="429EF8FE" w:rsidR="000E1722" w:rsidRDefault="000E1722" w:rsidP="000E1722">
      <w:pPr>
        <w:pStyle w:val="Voetnoottekst"/>
      </w:pPr>
      <w:r w:rsidRPr="0037562D">
        <w:rPr>
          <w:rStyle w:val="Voetnootmarkering"/>
        </w:rPr>
        <w:footnoteRef/>
      </w:r>
      <w:r w:rsidRPr="0037562D">
        <w:t xml:space="preserve"> </w:t>
      </w:r>
      <w:r w:rsidRPr="0037562D">
        <w:rPr>
          <w:szCs w:val="13"/>
        </w:rPr>
        <w:t>Kamerstukken II 2024</w:t>
      </w:r>
      <w:r w:rsidR="0037562D" w:rsidRPr="0037562D">
        <w:rPr>
          <w:szCs w:val="13"/>
        </w:rPr>
        <w:t>-20</w:t>
      </w:r>
      <w:r w:rsidRPr="0037562D">
        <w:rPr>
          <w:szCs w:val="13"/>
        </w:rPr>
        <w:t>25, 27 020, nr. 121</w:t>
      </w:r>
    </w:p>
  </w:footnote>
  <w:footnote w:id="24">
    <w:p w14:paraId="5C320E25" w14:textId="5A3E7836" w:rsidR="00357547" w:rsidRPr="0037562D" w:rsidRDefault="00357547" w:rsidP="00357547">
      <w:pPr>
        <w:pStyle w:val="Voetnoottekst"/>
        <w:rPr>
          <w:szCs w:val="13"/>
        </w:rPr>
      </w:pPr>
      <w:r w:rsidRPr="0037562D">
        <w:rPr>
          <w:rStyle w:val="Voetnootmarkering"/>
          <w:szCs w:val="13"/>
        </w:rPr>
        <w:footnoteRef/>
      </w:r>
      <w:r w:rsidRPr="0037562D">
        <w:rPr>
          <w:szCs w:val="13"/>
        </w:rPr>
        <w:t xml:space="preserve"> Kamerstukken II 2024</w:t>
      </w:r>
      <w:r w:rsidR="0037562D" w:rsidRPr="0037562D">
        <w:rPr>
          <w:szCs w:val="13"/>
        </w:rPr>
        <w:t>-20</w:t>
      </w:r>
      <w:r w:rsidRPr="0037562D">
        <w:rPr>
          <w:szCs w:val="13"/>
        </w:rPr>
        <w:t>25, 36600-VIII-178</w:t>
      </w:r>
    </w:p>
  </w:footnote>
  <w:footnote w:id="25">
    <w:p w14:paraId="5CAAD0AC" w14:textId="1B68D52E" w:rsidR="00731760" w:rsidRDefault="00731760">
      <w:pPr>
        <w:pStyle w:val="Voetnoottekst"/>
      </w:pPr>
      <w:r>
        <w:rPr>
          <w:rStyle w:val="Voetnootmarkering"/>
        </w:rPr>
        <w:footnoteRef/>
      </w:r>
      <w:r>
        <w:t xml:space="preserve"> </w:t>
      </w:r>
      <w:hyperlink r:id="rId4" w:history="1">
        <w:r w:rsidRPr="00E22302">
          <w:rPr>
            <w:rStyle w:val="Hyperlink"/>
          </w:rPr>
          <w:t>https://www.slo.nl/thema/meer/periodiekcurriculumonderhoud/</w:t>
        </w:r>
      </w:hyperlink>
      <w:r>
        <w:t xml:space="preserve"> </w:t>
      </w:r>
    </w:p>
  </w:footnote>
  <w:footnote w:id="26">
    <w:p w14:paraId="5F525585" w14:textId="77777777" w:rsidR="00C02347" w:rsidRDefault="00C02347" w:rsidP="00C02347">
      <w:pPr>
        <w:pStyle w:val="Voetnoottekst"/>
      </w:pPr>
      <w:r w:rsidRPr="0023733E">
        <w:rPr>
          <w:rStyle w:val="Voetnootmarkering"/>
          <w:szCs w:val="13"/>
        </w:rPr>
        <w:footnoteRef/>
      </w:r>
      <w:r w:rsidRPr="0023733E">
        <w:rPr>
          <w:szCs w:val="13"/>
        </w:rPr>
        <w:t xml:space="preserve"> Kamerstukken II</w:t>
      </w:r>
      <w:r>
        <w:rPr>
          <w:szCs w:val="13"/>
        </w:rPr>
        <w:t xml:space="preserve"> </w:t>
      </w:r>
      <w:r w:rsidRPr="0023733E">
        <w:rPr>
          <w:szCs w:val="13"/>
        </w:rPr>
        <w:t>2025-2026, 30 950, nr</w:t>
      </w:r>
      <w:r>
        <w:rPr>
          <w:szCs w:val="13"/>
        </w:rPr>
        <w:t>.</w:t>
      </w:r>
      <w:r w:rsidRPr="0023733E">
        <w:rPr>
          <w:szCs w:val="13"/>
        </w:rPr>
        <w:t xml:space="preserve"> 541</w:t>
      </w:r>
    </w:p>
  </w:footnote>
  <w:footnote w:id="27">
    <w:p w14:paraId="74A7B657" w14:textId="77777777" w:rsidR="00C02347" w:rsidRPr="0023733E" w:rsidRDefault="00C02347" w:rsidP="00C02347">
      <w:pPr>
        <w:pStyle w:val="Voetnoottekst"/>
        <w:spacing w:line="240" w:lineRule="auto"/>
        <w:rPr>
          <w:szCs w:val="13"/>
        </w:rPr>
      </w:pPr>
      <w:r w:rsidRPr="0023733E">
        <w:rPr>
          <w:rStyle w:val="Voetnootmarkering"/>
          <w:szCs w:val="13"/>
        </w:rPr>
        <w:footnoteRef/>
      </w:r>
      <w:r w:rsidRPr="00731760">
        <w:rPr>
          <w:szCs w:val="13"/>
        </w:rPr>
        <w:t xml:space="preserve"> </w:t>
      </w:r>
      <w:hyperlink r:id="rId5" w:history="1">
        <w:r w:rsidRPr="00731760">
          <w:rPr>
            <w:rStyle w:val="Hyperlink"/>
            <w:szCs w:val="13"/>
            <w:u w:val="none"/>
          </w:rPr>
          <w:t>Peiling ondersteuningsbehoeften docenten bij lesgeven over de Holocaust | Rijksoverheid.nl</w:t>
        </w:r>
      </w:hyperlink>
      <w:r w:rsidRPr="00731760">
        <w:rPr>
          <w:szCs w:val="13"/>
        </w:rPr>
        <w:t xml:space="preserve">; </w:t>
      </w:r>
      <w:hyperlink r:id="rId6" w:history="1">
        <w:r w:rsidRPr="00731760">
          <w:rPr>
            <w:rStyle w:val="Hyperlink"/>
            <w:szCs w:val="13"/>
            <w:u w:val="none"/>
          </w:rPr>
          <w:t>Eindrapportage</w:t>
        </w:r>
        <w:r w:rsidRPr="00731760">
          <w:rPr>
            <w:rStyle w:val="Hyperlink"/>
            <w:szCs w:val="13"/>
            <w:u w:val="none"/>
          </w:rPr>
          <w:br/>
          <w:t>Verkenning bezoek Holocaustlocaties | Rijksoverheid.nl</w:t>
        </w:r>
      </w:hyperlink>
    </w:p>
  </w:footnote>
  <w:footnote w:id="28">
    <w:p w14:paraId="57A27A22" w14:textId="77777777" w:rsidR="00B370D8" w:rsidRPr="0023733E" w:rsidRDefault="00B370D8" w:rsidP="00B370D8">
      <w:pPr>
        <w:pStyle w:val="Voetnoottekst"/>
        <w:spacing w:line="240" w:lineRule="auto"/>
        <w:rPr>
          <w:szCs w:val="13"/>
        </w:rPr>
      </w:pPr>
      <w:r w:rsidRPr="0023733E">
        <w:rPr>
          <w:rStyle w:val="Voetnootmarkering"/>
          <w:szCs w:val="13"/>
        </w:rPr>
        <w:footnoteRef/>
      </w:r>
      <w:r w:rsidRPr="00731760">
        <w:rPr>
          <w:szCs w:val="13"/>
        </w:rPr>
        <w:t xml:space="preserve"> </w:t>
      </w:r>
      <w:hyperlink r:id="rId7" w:history="1">
        <w:r w:rsidRPr="00731760">
          <w:rPr>
            <w:rStyle w:val="Hyperlink"/>
            <w:szCs w:val="13"/>
            <w:u w:val="none"/>
          </w:rPr>
          <w:t>Peiling ondersteuningsbehoeften docenten bij lesgeven over de Holocaust | Rijksoverheid.nl</w:t>
        </w:r>
      </w:hyperlink>
      <w:r w:rsidRPr="00731760">
        <w:rPr>
          <w:szCs w:val="13"/>
        </w:rPr>
        <w:t xml:space="preserve">; </w:t>
      </w:r>
      <w:hyperlink r:id="rId8" w:history="1">
        <w:r w:rsidRPr="00731760">
          <w:rPr>
            <w:rStyle w:val="Hyperlink"/>
            <w:szCs w:val="13"/>
            <w:u w:val="none"/>
          </w:rPr>
          <w:t>Eindrapportage</w:t>
        </w:r>
        <w:r w:rsidRPr="00731760">
          <w:rPr>
            <w:rStyle w:val="Hyperlink"/>
            <w:szCs w:val="13"/>
            <w:u w:val="none"/>
          </w:rPr>
          <w:br/>
          <w:t>Verkenning bezoek Holocaustlocaties | Rijksoverheid.nl</w:t>
        </w:r>
      </w:hyperlink>
    </w:p>
  </w:footnote>
  <w:footnote w:id="29">
    <w:p w14:paraId="63FB75BA" w14:textId="6021392F" w:rsidR="007D4D4B" w:rsidRDefault="007D4D4B">
      <w:pPr>
        <w:pStyle w:val="Voetnoottekst"/>
      </w:pPr>
      <w:r>
        <w:rPr>
          <w:rStyle w:val="Voetnootmarkering"/>
        </w:rPr>
        <w:footnoteRef/>
      </w:r>
      <w:r>
        <w:t xml:space="preserve"> </w:t>
      </w:r>
      <w:r w:rsidRPr="007D4D4B">
        <w:t>Kamerstukken II 2022</w:t>
      </w:r>
      <w:r>
        <w:t>-</w:t>
      </w:r>
      <w:r w:rsidRPr="007D4D4B">
        <w:t>2</w:t>
      </w:r>
      <w:r>
        <w:t>02</w:t>
      </w:r>
      <w:r w:rsidRPr="007D4D4B">
        <w:t>3, 36200 VIII, nr. 250</w:t>
      </w:r>
    </w:p>
  </w:footnote>
  <w:footnote w:id="30">
    <w:p w14:paraId="6627CE4E" w14:textId="4A963396" w:rsidR="007D4D4B" w:rsidRDefault="007D4D4B">
      <w:pPr>
        <w:pStyle w:val="Voetnoottekst"/>
      </w:pPr>
      <w:r>
        <w:rPr>
          <w:rStyle w:val="Voetnootmarkering"/>
        </w:rPr>
        <w:footnoteRef/>
      </w:r>
      <w:r>
        <w:t xml:space="preserve"> </w:t>
      </w:r>
      <w:r w:rsidRPr="007D4D4B">
        <w:t>Kamerstukken II 2024</w:t>
      </w:r>
      <w:r>
        <w:t>-</w:t>
      </w:r>
      <w:r w:rsidRPr="007D4D4B">
        <w:t>2</w:t>
      </w:r>
      <w:r>
        <w:t>02</w:t>
      </w:r>
      <w:r w:rsidRPr="007D4D4B">
        <w:t>5, 31293, nr. 830</w:t>
      </w:r>
    </w:p>
  </w:footnote>
  <w:footnote w:id="31">
    <w:p w14:paraId="60C58BF0" w14:textId="7F45E777" w:rsidR="007D4D4B" w:rsidRDefault="007D4D4B">
      <w:pPr>
        <w:pStyle w:val="Voetnoottekst"/>
      </w:pPr>
      <w:r>
        <w:rPr>
          <w:rStyle w:val="Voetnootmarkering"/>
        </w:rPr>
        <w:footnoteRef/>
      </w:r>
      <w:r>
        <w:t xml:space="preserve"> </w:t>
      </w:r>
      <w:r w:rsidR="003754ED" w:rsidRPr="007867E9">
        <w:t>Kamerstukken II 2025-2026, 32034, nr. 76</w:t>
      </w:r>
    </w:p>
  </w:footnote>
  <w:footnote w:id="32">
    <w:p w14:paraId="55B9EDCF" w14:textId="77777777" w:rsidR="006A4064" w:rsidRDefault="006A4064" w:rsidP="006A4064">
      <w:pPr>
        <w:pStyle w:val="Voetnoottekst"/>
      </w:pPr>
      <w:r w:rsidRPr="0037562D">
        <w:rPr>
          <w:rStyle w:val="Voetnootmarkering"/>
          <w:szCs w:val="13"/>
        </w:rPr>
        <w:footnoteRef/>
      </w:r>
      <w:r w:rsidRPr="0037562D">
        <w:rPr>
          <w:szCs w:val="13"/>
        </w:rPr>
        <w:t xml:space="preserve"> Toezegging: TZ202 512-011</w:t>
      </w:r>
    </w:p>
  </w:footnote>
  <w:footnote w:id="33">
    <w:p w14:paraId="31401330" w14:textId="347AC438" w:rsidR="00894E2A" w:rsidRDefault="00894E2A" w:rsidP="00894E2A">
      <w:pPr>
        <w:pStyle w:val="Voetnoottekst"/>
      </w:pPr>
      <w:r w:rsidRPr="0037562D">
        <w:rPr>
          <w:rStyle w:val="Voetnootmarkering"/>
        </w:rPr>
        <w:footnoteRef/>
      </w:r>
      <w:r w:rsidRPr="0037562D">
        <w:t xml:space="preserve"> Kamerstukken II 2025</w:t>
      </w:r>
      <w:r w:rsidR="0037562D" w:rsidRPr="0037562D">
        <w:t>-20</w:t>
      </w:r>
      <w:r w:rsidRPr="0037562D">
        <w:t>26, 35 034, nr. 35</w:t>
      </w:r>
    </w:p>
  </w:footnote>
  <w:footnote w:id="34">
    <w:p w14:paraId="1F011956" w14:textId="77777777" w:rsidR="00003353" w:rsidRPr="0037562D" w:rsidRDefault="00003353" w:rsidP="00003353">
      <w:pPr>
        <w:pStyle w:val="Voetnoottekst"/>
      </w:pPr>
      <w:r w:rsidRPr="0037562D">
        <w:rPr>
          <w:rStyle w:val="Voetnootmarkering"/>
        </w:rPr>
        <w:footnoteRef/>
      </w:r>
      <w:r w:rsidRPr="0037562D">
        <w:t xml:space="preserve"> Kamerstukken II 2024-2025, 36 667, nr. 28</w:t>
      </w:r>
    </w:p>
  </w:footnote>
  <w:footnote w:id="35">
    <w:p w14:paraId="0B49C370" w14:textId="13947A3B" w:rsidR="007E0D19" w:rsidRPr="006348FD" w:rsidRDefault="007E0D19" w:rsidP="007E0D19">
      <w:pPr>
        <w:pStyle w:val="Voetnoottekst"/>
      </w:pPr>
      <w:r w:rsidRPr="006A1AD8">
        <w:rPr>
          <w:rStyle w:val="Voetnootmarkering"/>
        </w:rPr>
        <w:footnoteRef/>
      </w:r>
      <w:r w:rsidRPr="006A1AD8">
        <w:t xml:space="preserve"> </w:t>
      </w:r>
      <w:r w:rsidRPr="006348FD">
        <w:rPr>
          <w:rFonts w:cstheme="minorHAnsi"/>
        </w:rPr>
        <w:t xml:space="preserve">Kamerstukken </w:t>
      </w:r>
      <w:r w:rsidRPr="006348FD">
        <w:t>II</w:t>
      </w:r>
      <w:r w:rsidRPr="006348FD">
        <w:rPr>
          <w:rFonts w:cstheme="minorHAnsi"/>
        </w:rPr>
        <w:t xml:space="preserve"> 2025-2026, 36 800, nr. 96</w:t>
      </w:r>
    </w:p>
  </w:footnote>
  <w:footnote w:id="36">
    <w:p w14:paraId="152C3413" w14:textId="53868A47" w:rsidR="006A1AD8" w:rsidRPr="006348FD" w:rsidRDefault="006A1AD8">
      <w:pPr>
        <w:pStyle w:val="Voetnoottekst"/>
      </w:pPr>
      <w:r w:rsidRPr="006348FD">
        <w:rPr>
          <w:rStyle w:val="Voetnootmarkering"/>
        </w:rPr>
        <w:footnoteRef/>
      </w:r>
      <w:r w:rsidRPr="006348FD">
        <w:t xml:space="preserve"> Kamerstukken II, 2025-2026, 31497, nr. 509</w:t>
      </w:r>
    </w:p>
  </w:footnote>
  <w:footnote w:id="37">
    <w:p w14:paraId="215036A3" w14:textId="67C2379A" w:rsidR="006A1AD8" w:rsidRPr="006348FD" w:rsidRDefault="006A1AD8">
      <w:pPr>
        <w:pStyle w:val="Voetnoottekst"/>
      </w:pPr>
      <w:r w:rsidRPr="006348FD">
        <w:rPr>
          <w:rStyle w:val="Voetnootmarkering"/>
        </w:rPr>
        <w:footnoteRef/>
      </w:r>
      <w:r w:rsidRPr="006348FD">
        <w:t xml:space="preserve"> Bedoeld wordt een vrijstelling van de inschrijfplicht, als bedoeld in de Leerplichtwet 1969 artikel 5.</w:t>
      </w:r>
    </w:p>
  </w:footnote>
  <w:footnote w:id="38">
    <w:p w14:paraId="0B420DB1" w14:textId="72C0F569" w:rsidR="006A1AD8" w:rsidRPr="006348FD" w:rsidRDefault="006A1AD8">
      <w:pPr>
        <w:pStyle w:val="Voetnoottekst"/>
      </w:pPr>
      <w:r w:rsidRPr="006348FD">
        <w:rPr>
          <w:rStyle w:val="Voetnootmarkering"/>
        </w:rPr>
        <w:footnoteRef/>
      </w:r>
      <w:r w:rsidRPr="006348FD">
        <w:t xml:space="preserve"> Dit betreft leer- en </w:t>
      </w:r>
      <w:proofErr w:type="spellStart"/>
      <w:r w:rsidRPr="006348FD">
        <w:t>kwalificatieplichtige</w:t>
      </w:r>
      <w:proofErr w:type="spellEnd"/>
      <w:r w:rsidRPr="006348FD">
        <w:t xml:space="preserve"> jongeren die niet staan ingeschreven op een school en geen vrijstelling van de Leerplichtwet hebben.</w:t>
      </w:r>
    </w:p>
  </w:footnote>
  <w:footnote w:id="39">
    <w:p w14:paraId="048ADF30" w14:textId="09F6E0B9" w:rsidR="006A1AD8" w:rsidRPr="006348FD" w:rsidRDefault="006A1AD8">
      <w:pPr>
        <w:pStyle w:val="Voetnoottekst"/>
      </w:pPr>
      <w:r w:rsidRPr="006348FD">
        <w:rPr>
          <w:rStyle w:val="Voetnootmarkering"/>
        </w:rPr>
        <w:footnoteRef/>
      </w:r>
      <w:r w:rsidRPr="006348FD">
        <w:t xml:space="preserve"> Dit betreft leer- en </w:t>
      </w:r>
      <w:proofErr w:type="spellStart"/>
      <w:r w:rsidRPr="006348FD">
        <w:t>kwalificatieplichtige</w:t>
      </w:r>
      <w:proofErr w:type="spellEnd"/>
      <w:r w:rsidRPr="006348FD">
        <w:t xml:space="preserve"> jongeren die staan ingeschreven op een school, maar zonder geldige reden afwezig zijn zoals bedoeld in de Leerplichtwet 1969, artikel 11.</w:t>
      </w:r>
    </w:p>
  </w:footnote>
  <w:footnote w:id="40">
    <w:p w14:paraId="626D54CC" w14:textId="455D8634" w:rsidR="006A1AD8" w:rsidRPr="006348FD" w:rsidRDefault="006A1AD8">
      <w:pPr>
        <w:pStyle w:val="Voetnoottekst"/>
      </w:pPr>
      <w:r w:rsidRPr="006348FD">
        <w:rPr>
          <w:rStyle w:val="Voetnootmarkering"/>
        </w:rPr>
        <w:footnoteRef/>
      </w:r>
      <w:r w:rsidRPr="006348FD">
        <w:t xml:space="preserve"> Een vorm van relatief verzuim, waarbij een leerling afwezig is omdat hij of zij buiten de schoolvakanties om op vakantie gaat.</w:t>
      </w:r>
    </w:p>
  </w:footnote>
  <w:footnote w:id="41">
    <w:p w14:paraId="3F451BC1" w14:textId="0339B30B" w:rsidR="006A1AD8" w:rsidRPr="006348FD" w:rsidRDefault="006A1AD8">
      <w:pPr>
        <w:pStyle w:val="Voetnoottekst"/>
      </w:pPr>
      <w:r w:rsidRPr="006348FD">
        <w:rPr>
          <w:rStyle w:val="Voetnootmarkering"/>
        </w:rPr>
        <w:footnoteRef/>
      </w:r>
      <w:r w:rsidRPr="006348FD">
        <w:t xml:space="preserve"> Kamerstukken II 2024-25, 31 497, nr. 498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66D04" w14:paraId="39FF2D36" w14:textId="77777777" w:rsidTr="006D2D53">
      <w:trPr>
        <w:trHeight w:hRule="exact" w:val="400"/>
      </w:trPr>
      <w:tc>
        <w:tcPr>
          <w:tcW w:w="7518" w:type="dxa"/>
        </w:tcPr>
        <w:p w14:paraId="2449B05A" w14:textId="77777777" w:rsidR="00527BD4" w:rsidRPr="00275984" w:rsidRDefault="00527BD4" w:rsidP="00BF4427">
          <w:pPr>
            <w:pStyle w:val="Huisstijl-Rubricering"/>
          </w:pPr>
        </w:p>
      </w:tc>
    </w:tr>
  </w:tbl>
  <w:p w14:paraId="0D76332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66D04" w14:paraId="1B6DBFBE" w14:textId="77777777" w:rsidTr="003B528D">
      <w:tc>
        <w:tcPr>
          <w:tcW w:w="2160" w:type="dxa"/>
        </w:tcPr>
        <w:p w14:paraId="0A954466" w14:textId="77777777" w:rsidR="002F71BB" w:rsidRPr="000407BB" w:rsidRDefault="00D817E4" w:rsidP="005D283A">
          <w:pPr>
            <w:pStyle w:val="Colofonkop"/>
            <w:framePr w:hSpace="0" w:wrap="auto" w:vAnchor="margin" w:hAnchor="text" w:xAlign="left" w:yAlign="inline"/>
          </w:pPr>
          <w:r>
            <w:t>Onze referentie</w:t>
          </w:r>
        </w:p>
      </w:tc>
    </w:tr>
    <w:tr w:rsidR="00666D04" w14:paraId="29968776" w14:textId="77777777" w:rsidTr="002F71BB">
      <w:trPr>
        <w:trHeight w:val="259"/>
      </w:trPr>
      <w:tc>
        <w:tcPr>
          <w:tcW w:w="2160" w:type="dxa"/>
        </w:tcPr>
        <w:p w14:paraId="5C61A8D3" w14:textId="58923733" w:rsidR="00E35CF4" w:rsidRPr="005D283A" w:rsidRDefault="007645FF" w:rsidP="0049501A">
          <w:pPr>
            <w:spacing w:line="180" w:lineRule="exact"/>
            <w:rPr>
              <w:sz w:val="13"/>
              <w:szCs w:val="13"/>
            </w:rPr>
          </w:pPr>
          <w:r>
            <w:rPr>
              <w:sz w:val="13"/>
              <w:szCs w:val="13"/>
            </w:rPr>
            <w:t>65046896</w:t>
          </w:r>
        </w:p>
      </w:tc>
    </w:tr>
  </w:tbl>
  <w:p w14:paraId="0ED7876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6D04" w14:paraId="4B828E4B" w14:textId="77777777" w:rsidTr="001377D4">
      <w:trPr>
        <w:trHeight w:val="2636"/>
      </w:trPr>
      <w:tc>
        <w:tcPr>
          <w:tcW w:w="737" w:type="dxa"/>
        </w:tcPr>
        <w:p w14:paraId="58E656FD" w14:textId="77777777" w:rsidR="00704845" w:rsidRDefault="00704845" w:rsidP="0047126E">
          <w:pPr>
            <w:framePr w:w="6339" w:h="2750" w:hRule="exact" w:hSpace="181" w:wrap="around" w:vAnchor="page" w:hAnchor="page" w:x="5586" w:y="1"/>
            <w:spacing w:line="240" w:lineRule="auto"/>
          </w:pPr>
        </w:p>
      </w:tc>
      <w:tc>
        <w:tcPr>
          <w:tcW w:w="5156" w:type="dxa"/>
        </w:tcPr>
        <w:p w14:paraId="17A41948" w14:textId="77777777" w:rsidR="00704845" w:rsidRDefault="00D817E4" w:rsidP="0047126E">
          <w:pPr>
            <w:framePr w:w="3873" w:h="2625" w:hRule="exact" w:wrap="around" w:vAnchor="page" w:hAnchor="page" w:x="6323" w:y="1"/>
          </w:pPr>
          <w:r>
            <w:rPr>
              <w:noProof/>
              <w:lang w:val="en-US" w:eastAsia="en-US"/>
            </w:rPr>
            <w:drawing>
              <wp:inline distT="0" distB="0" distL="0" distR="0" wp14:anchorId="59F0FEE6" wp14:editId="0D6FB66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6A8BD1" w14:textId="77777777" w:rsidR="00483ECA" w:rsidRDefault="00483ECA" w:rsidP="00D037A9"/>
      </w:tc>
    </w:tr>
  </w:tbl>
  <w:p w14:paraId="6A99A40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66D04" w14:paraId="6F68A460" w14:textId="77777777" w:rsidTr="0008539E">
      <w:trPr>
        <w:trHeight w:hRule="exact" w:val="572"/>
      </w:trPr>
      <w:tc>
        <w:tcPr>
          <w:tcW w:w="7520" w:type="dxa"/>
        </w:tcPr>
        <w:p w14:paraId="23362651" w14:textId="77777777" w:rsidR="00527BD4" w:rsidRPr="00963440" w:rsidRDefault="00D817E4" w:rsidP="00210BA3">
          <w:pPr>
            <w:pStyle w:val="Huisstijl-Adres"/>
            <w:spacing w:after="0"/>
          </w:pPr>
          <w:r w:rsidRPr="009E3B07">
            <w:t>&gt;Retouradres </w:t>
          </w:r>
          <w:r>
            <w:t>Postbus 16375 2500 BJ Den Haag</w:t>
          </w:r>
          <w:r w:rsidRPr="009E3B07">
            <w:t xml:space="preserve"> </w:t>
          </w:r>
        </w:p>
      </w:tc>
    </w:tr>
    <w:tr w:rsidR="00666D04" w14:paraId="1828AC17" w14:textId="77777777" w:rsidTr="00E776C6">
      <w:trPr>
        <w:cantSplit/>
        <w:trHeight w:hRule="exact" w:val="238"/>
      </w:trPr>
      <w:tc>
        <w:tcPr>
          <w:tcW w:w="7520" w:type="dxa"/>
        </w:tcPr>
        <w:p w14:paraId="1C76E47F" w14:textId="77777777" w:rsidR="00093ABC" w:rsidRPr="00963440" w:rsidRDefault="00093ABC" w:rsidP="00963440"/>
      </w:tc>
    </w:tr>
    <w:tr w:rsidR="00666D04" w14:paraId="275C6699" w14:textId="77777777" w:rsidTr="00E776C6">
      <w:trPr>
        <w:cantSplit/>
        <w:trHeight w:hRule="exact" w:val="1520"/>
      </w:trPr>
      <w:tc>
        <w:tcPr>
          <w:tcW w:w="7520" w:type="dxa"/>
        </w:tcPr>
        <w:p w14:paraId="6B5E9A90" w14:textId="77777777" w:rsidR="00A604D3" w:rsidRPr="00963440" w:rsidRDefault="00A604D3" w:rsidP="00963440"/>
      </w:tc>
    </w:tr>
    <w:tr w:rsidR="00666D04" w14:paraId="7C1C48F6" w14:textId="77777777" w:rsidTr="00E776C6">
      <w:trPr>
        <w:trHeight w:hRule="exact" w:val="1077"/>
      </w:trPr>
      <w:tc>
        <w:tcPr>
          <w:tcW w:w="7520" w:type="dxa"/>
        </w:tcPr>
        <w:p w14:paraId="1ED8BECC" w14:textId="77777777" w:rsidR="00892BA5" w:rsidRPr="00035E67" w:rsidRDefault="00892BA5" w:rsidP="00892BA5">
          <w:pPr>
            <w:tabs>
              <w:tab w:val="left" w:pos="740"/>
            </w:tabs>
            <w:autoSpaceDE w:val="0"/>
            <w:autoSpaceDN w:val="0"/>
            <w:adjustRightInd w:val="0"/>
            <w:rPr>
              <w:rFonts w:cs="Verdana"/>
              <w:szCs w:val="18"/>
            </w:rPr>
          </w:pPr>
        </w:p>
      </w:tc>
    </w:tr>
  </w:tbl>
  <w:p w14:paraId="6427EFB0" w14:textId="77777777" w:rsidR="006F273B" w:rsidRDefault="006F273B" w:rsidP="00BC4AE3">
    <w:pPr>
      <w:pStyle w:val="Koptekst"/>
    </w:pPr>
  </w:p>
  <w:p w14:paraId="6B23298C" w14:textId="77777777" w:rsidR="00153BD0" w:rsidRDefault="00153BD0" w:rsidP="00BC4AE3">
    <w:pPr>
      <w:pStyle w:val="Koptekst"/>
    </w:pPr>
  </w:p>
  <w:p w14:paraId="3EFDCE4E" w14:textId="77777777" w:rsidR="0044605E" w:rsidRDefault="0044605E" w:rsidP="00BC4AE3">
    <w:pPr>
      <w:pStyle w:val="Koptekst"/>
    </w:pPr>
  </w:p>
  <w:p w14:paraId="29E05649" w14:textId="77777777" w:rsidR="0044605E" w:rsidRDefault="0044605E" w:rsidP="00BC4AE3">
    <w:pPr>
      <w:pStyle w:val="Koptekst"/>
    </w:pPr>
  </w:p>
  <w:p w14:paraId="1E5B011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E46916">
      <w:start w:val="1"/>
      <w:numFmt w:val="bullet"/>
      <w:pStyle w:val="Lijstopsomteken"/>
      <w:lvlText w:val="•"/>
      <w:lvlJc w:val="left"/>
      <w:pPr>
        <w:tabs>
          <w:tab w:val="num" w:pos="227"/>
        </w:tabs>
        <w:ind w:left="227" w:hanging="227"/>
      </w:pPr>
      <w:rPr>
        <w:rFonts w:ascii="Verdana" w:hAnsi="Verdana" w:hint="default"/>
        <w:sz w:val="18"/>
        <w:szCs w:val="18"/>
      </w:rPr>
    </w:lvl>
    <w:lvl w:ilvl="1" w:tplc="EA460ABC" w:tentative="1">
      <w:start w:val="1"/>
      <w:numFmt w:val="bullet"/>
      <w:lvlText w:val="o"/>
      <w:lvlJc w:val="left"/>
      <w:pPr>
        <w:tabs>
          <w:tab w:val="num" w:pos="1440"/>
        </w:tabs>
        <w:ind w:left="1440" w:hanging="360"/>
      </w:pPr>
      <w:rPr>
        <w:rFonts w:ascii="Courier New" w:hAnsi="Courier New" w:cs="Courier New" w:hint="default"/>
      </w:rPr>
    </w:lvl>
    <w:lvl w:ilvl="2" w:tplc="33627E0A" w:tentative="1">
      <w:start w:val="1"/>
      <w:numFmt w:val="bullet"/>
      <w:lvlText w:val=""/>
      <w:lvlJc w:val="left"/>
      <w:pPr>
        <w:tabs>
          <w:tab w:val="num" w:pos="2160"/>
        </w:tabs>
        <w:ind w:left="2160" w:hanging="360"/>
      </w:pPr>
      <w:rPr>
        <w:rFonts w:ascii="Wingdings" w:hAnsi="Wingdings" w:hint="default"/>
      </w:rPr>
    </w:lvl>
    <w:lvl w:ilvl="3" w:tplc="A8C4D62A" w:tentative="1">
      <w:start w:val="1"/>
      <w:numFmt w:val="bullet"/>
      <w:lvlText w:val=""/>
      <w:lvlJc w:val="left"/>
      <w:pPr>
        <w:tabs>
          <w:tab w:val="num" w:pos="2880"/>
        </w:tabs>
        <w:ind w:left="2880" w:hanging="360"/>
      </w:pPr>
      <w:rPr>
        <w:rFonts w:ascii="Symbol" w:hAnsi="Symbol" w:hint="default"/>
      </w:rPr>
    </w:lvl>
    <w:lvl w:ilvl="4" w:tplc="87FC55FA" w:tentative="1">
      <w:start w:val="1"/>
      <w:numFmt w:val="bullet"/>
      <w:lvlText w:val="o"/>
      <w:lvlJc w:val="left"/>
      <w:pPr>
        <w:tabs>
          <w:tab w:val="num" w:pos="3600"/>
        </w:tabs>
        <w:ind w:left="3600" w:hanging="360"/>
      </w:pPr>
      <w:rPr>
        <w:rFonts w:ascii="Courier New" w:hAnsi="Courier New" w:cs="Courier New" w:hint="default"/>
      </w:rPr>
    </w:lvl>
    <w:lvl w:ilvl="5" w:tplc="D55A5870" w:tentative="1">
      <w:start w:val="1"/>
      <w:numFmt w:val="bullet"/>
      <w:lvlText w:val=""/>
      <w:lvlJc w:val="left"/>
      <w:pPr>
        <w:tabs>
          <w:tab w:val="num" w:pos="4320"/>
        </w:tabs>
        <w:ind w:left="4320" w:hanging="360"/>
      </w:pPr>
      <w:rPr>
        <w:rFonts w:ascii="Wingdings" w:hAnsi="Wingdings" w:hint="default"/>
      </w:rPr>
    </w:lvl>
    <w:lvl w:ilvl="6" w:tplc="16E6D582" w:tentative="1">
      <w:start w:val="1"/>
      <w:numFmt w:val="bullet"/>
      <w:lvlText w:val=""/>
      <w:lvlJc w:val="left"/>
      <w:pPr>
        <w:tabs>
          <w:tab w:val="num" w:pos="5040"/>
        </w:tabs>
        <w:ind w:left="5040" w:hanging="360"/>
      </w:pPr>
      <w:rPr>
        <w:rFonts w:ascii="Symbol" w:hAnsi="Symbol" w:hint="default"/>
      </w:rPr>
    </w:lvl>
    <w:lvl w:ilvl="7" w:tplc="952A1668" w:tentative="1">
      <w:start w:val="1"/>
      <w:numFmt w:val="bullet"/>
      <w:lvlText w:val="o"/>
      <w:lvlJc w:val="left"/>
      <w:pPr>
        <w:tabs>
          <w:tab w:val="num" w:pos="5760"/>
        </w:tabs>
        <w:ind w:left="5760" w:hanging="360"/>
      </w:pPr>
      <w:rPr>
        <w:rFonts w:ascii="Courier New" w:hAnsi="Courier New" w:cs="Courier New" w:hint="default"/>
      </w:rPr>
    </w:lvl>
    <w:lvl w:ilvl="8" w:tplc="E750A5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2C418B"/>
    <w:multiLevelType w:val="hybridMultilevel"/>
    <w:tmpl w:val="87040E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5825DE4"/>
    <w:multiLevelType w:val="hybridMultilevel"/>
    <w:tmpl w:val="8E5AB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CA4651"/>
    <w:multiLevelType w:val="hybridMultilevel"/>
    <w:tmpl w:val="BD2CCC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2E561606">
      <w:start w:val="1"/>
      <w:numFmt w:val="bullet"/>
      <w:pStyle w:val="Lijstopsomteken2"/>
      <w:lvlText w:val="–"/>
      <w:lvlJc w:val="left"/>
      <w:pPr>
        <w:tabs>
          <w:tab w:val="num" w:pos="227"/>
        </w:tabs>
        <w:ind w:left="227" w:firstLine="0"/>
      </w:pPr>
      <w:rPr>
        <w:rFonts w:ascii="Verdana" w:hAnsi="Verdana" w:hint="default"/>
      </w:rPr>
    </w:lvl>
    <w:lvl w:ilvl="1" w:tplc="313C3224" w:tentative="1">
      <w:start w:val="1"/>
      <w:numFmt w:val="bullet"/>
      <w:lvlText w:val="o"/>
      <w:lvlJc w:val="left"/>
      <w:pPr>
        <w:tabs>
          <w:tab w:val="num" w:pos="1440"/>
        </w:tabs>
        <w:ind w:left="1440" w:hanging="360"/>
      </w:pPr>
      <w:rPr>
        <w:rFonts w:ascii="Courier New" w:hAnsi="Courier New" w:cs="Courier New" w:hint="default"/>
      </w:rPr>
    </w:lvl>
    <w:lvl w:ilvl="2" w:tplc="DAB87238" w:tentative="1">
      <w:start w:val="1"/>
      <w:numFmt w:val="bullet"/>
      <w:lvlText w:val=""/>
      <w:lvlJc w:val="left"/>
      <w:pPr>
        <w:tabs>
          <w:tab w:val="num" w:pos="2160"/>
        </w:tabs>
        <w:ind w:left="2160" w:hanging="360"/>
      </w:pPr>
      <w:rPr>
        <w:rFonts w:ascii="Wingdings" w:hAnsi="Wingdings" w:hint="default"/>
      </w:rPr>
    </w:lvl>
    <w:lvl w:ilvl="3" w:tplc="4678C4B8" w:tentative="1">
      <w:start w:val="1"/>
      <w:numFmt w:val="bullet"/>
      <w:lvlText w:val=""/>
      <w:lvlJc w:val="left"/>
      <w:pPr>
        <w:tabs>
          <w:tab w:val="num" w:pos="2880"/>
        </w:tabs>
        <w:ind w:left="2880" w:hanging="360"/>
      </w:pPr>
      <w:rPr>
        <w:rFonts w:ascii="Symbol" w:hAnsi="Symbol" w:hint="default"/>
      </w:rPr>
    </w:lvl>
    <w:lvl w:ilvl="4" w:tplc="67D86676" w:tentative="1">
      <w:start w:val="1"/>
      <w:numFmt w:val="bullet"/>
      <w:lvlText w:val="o"/>
      <w:lvlJc w:val="left"/>
      <w:pPr>
        <w:tabs>
          <w:tab w:val="num" w:pos="3600"/>
        </w:tabs>
        <w:ind w:left="3600" w:hanging="360"/>
      </w:pPr>
      <w:rPr>
        <w:rFonts w:ascii="Courier New" w:hAnsi="Courier New" w:cs="Courier New" w:hint="default"/>
      </w:rPr>
    </w:lvl>
    <w:lvl w:ilvl="5" w:tplc="5332FEEC" w:tentative="1">
      <w:start w:val="1"/>
      <w:numFmt w:val="bullet"/>
      <w:lvlText w:val=""/>
      <w:lvlJc w:val="left"/>
      <w:pPr>
        <w:tabs>
          <w:tab w:val="num" w:pos="4320"/>
        </w:tabs>
        <w:ind w:left="4320" w:hanging="360"/>
      </w:pPr>
      <w:rPr>
        <w:rFonts w:ascii="Wingdings" w:hAnsi="Wingdings" w:hint="default"/>
      </w:rPr>
    </w:lvl>
    <w:lvl w:ilvl="6" w:tplc="37EA9C8A" w:tentative="1">
      <w:start w:val="1"/>
      <w:numFmt w:val="bullet"/>
      <w:lvlText w:val=""/>
      <w:lvlJc w:val="left"/>
      <w:pPr>
        <w:tabs>
          <w:tab w:val="num" w:pos="5040"/>
        </w:tabs>
        <w:ind w:left="5040" w:hanging="360"/>
      </w:pPr>
      <w:rPr>
        <w:rFonts w:ascii="Symbol" w:hAnsi="Symbol" w:hint="default"/>
      </w:rPr>
    </w:lvl>
    <w:lvl w:ilvl="7" w:tplc="FB1C0F2A" w:tentative="1">
      <w:start w:val="1"/>
      <w:numFmt w:val="bullet"/>
      <w:lvlText w:val="o"/>
      <w:lvlJc w:val="left"/>
      <w:pPr>
        <w:tabs>
          <w:tab w:val="num" w:pos="5760"/>
        </w:tabs>
        <w:ind w:left="5760" w:hanging="360"/>
      </w:pPr>
      <w:rPr>
        <w:rFonts w:ascii="Courier New" w:hAnsi="Courier New" w:cs="Courier New" w:hint="default"/>
      </w:rPr>
    </w:lvl>
    <w:lvl w:ilvl="8" w:tplc="282215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87E80"/>
    <w:multiLevelType w:val="hybridMultilevel"/>
    <w:tmpl w:val="E94EE3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4333F5"/>
    <w:multiLevelType w:val="hybridMultilevel"/>
    <w:tmpl w:val="E94EE3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223639"/>
    <w:multiLevelType w:val="hybridMultilevel"/>
    <w:tmpl w:val="54523C58"/>
    <w:lvl w:ilvl="0" w:tplc="88F6C77E">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FA38DE"/>
    <w:multiLevelType w:val="hybridMultilevel"/>
    <w:tmpl w:val="BA748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CA5AB1"/>
    <w:multiLevelType w:val="hybridMultilevel"/>
    <w:tmpl w:val="05420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0223639">
    <w:abstractNumId w:val="10"/>
  </w:num>
  <w:num w:numId="2" w16cid:durableId="1176461352">
    <w:abstractNumId w:val="7"/>
  </w:num>
  <w:num w:numId="3" w16cid:durableId="404575257">
    <w:abstractNumId w:val="6"/>
  </w:num>
  <w:num w:numId="4" w16cid:durableId="473328468">
    <w:abstractNumId w:val="5"/>
  </w:num>
  <w:num w:numId="5" w16cid:durableId="908006609">
    <w:abstractNumId w:val="4"/>
  </w:num>
  <w:num w:numId="6" w16cid:durableId="597063075">
    <w:abstractNumId w:val="8"/>
  </w:num>
  <w:num w:numId="7" w16cid:durableId="98331202">
    <w:abstractNumId w:val="3"/>
  </w:num>
  <w:num w:numId="8" w16cid:durableId="1658456107">
    <w:abstractNumId w:val="2"/>
  </w:num>
  <w:num w:numId="9" w16cid:durableId="667101215">
    <w:abstractNumId w:val="1"/>
  </w:num>
  <w:num w:numId="10" w16cid:durableId="1440880648">
    <w:abstractNumId w:val="0"/>
  </w:num>
  <w:num w:numId="11" w16cid:durableId="1134176405">
    <w:abstractNumId w:val="9"/>
  </w:num>
  <w:num w:numId="12" w16cid:durableId="1917276209">
    <w:abstractNumId w:val="14"/>
  </w:num>
  <w:num w:numId="13" w16cid:durableId="366681811">
    <w:abstractNumId w:val="20"/>
  </w:num>
  <w:num w:numId="14" w16cid:durableId="238054173">
    <w:abstractNumId w:val="15"/>
  </w:num>
  <w:num w:numId="15" w16cid:durableId="844512329">
    <w:abstractNumId w:val="11"/>
  </w:num>
  <w:num w:numId="16" w16cid:durableId="1211110690">
    <w:abstractNumId w:val="17"/>
  </w:num>
  <w:num w:numId="17" w16cid:durableId="1069688039">
    <w:abstractNumId w:val="16"/>
  </w:num>
  <w:num w:numId="18" w16cid:durableId="1124227072">
    <w:abstractNumId w:val="18"/>
  </w:num>
  <w:num w:numId="19" w16cid:durableId="2103795578">
    <w:abstractNumId w:val="13"/>
  </w:num>
  <w:num w:numId="20" w16cid:durableId="1123034459">
    <w:abstractNumId w:val="19"/>
  </w:num>
  <w:num w:numId="21" w16cid:durableId="1039361761">
    <w:abstractNumId w:val="12"/>
  </w:num>
  <w:num w:numId="22" w16cid:durableId="687295277">
    <w:abstractNumId w:val="18"/>
  </w:num>
  <w:num w:numId="23" w16cid:durableId="959258544">
    <w:abstractNumId w:val="18"/>
  </w:num>
  <w:num w:numId="24" w16cid:durableId="2016570749">
    <w:abstractNumId w:val="18"/>
    <w:lvlOverride w:ilvl="0">
      <w:startOverride w:val="1"/>
    </w:lvlOverride>
  </w:num>
  <w:num w:numId="25" w16cid:durableId="1836648045">
    <w:abstractNumId w:val="18"/>
  </w:num>
  <w:num w:numId="26" w16cid:durableId="1115640499">
    <w:abstractNumId w:val="18"/>
    <w:lvlOverride w:ilvl="0">
      <w:startOverride w:val="1"/>
    </w:lvlOverride>
  </w:num>
  <w:num w:numId="27" w16cid:durableId="543323936">
    <w:abstractNumId w:val="21"/>
  </w:num>
  <w:num w:numId="28" w16cid:durableId="416825014">
    <w:abstractNumId w:val="18"/>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52F"/>
    <w:rsid w:val="00003185"/>
    <w:rsid w:val="00003353"/>
    <w:rsid w:val="000066C5"/>
    <w:rsid w:val="00006C55"/>
    <w:rsid w:val="00007F8F"/>
    <w:rsid w:val="00011177"/>
    <w:rsid w:val="00013862"/>
    <w:rsid w:val="00014599"/>
    <w:rsid w:val="00016012"/>
    <w:rsid w:val="00020189"/>
    <w:rsid w:val="00020EE4"/>
    <w:rsid w:val="00020FCB"/>
    <w:rsid w:val="000217E8"/>
    <w:rsid w:val="00021B3D"/>
    <w:rsid w:val="00023E9A"/>
    <w:rsid w:val="00025A42"/>
    <w:rsid w:val="00033CDD"/>
    <w:rsid w:val="000349A9"/>
    <w:rsid w:val="00034A84"/>
    <w:rsid w:val="00034D28"/>
    <w:rsid w:val="00035E67"/>
    <w:rsid w:val="000366F3"/>
    <w:rsid w:val="000407BB"/>
    <w:rsid w:val="0004279E"/>
    <w:rsid w:val="0005299A"/>
    <w:rsid w:val="0005404B"/>
    <w:rsid w:val="0005447D"/>
    <w:rsid w:val="000546DE"/>
    <w:rsid w:val="0006024D"/>
    <w:rsid w:val="00062055"/>
    <w:rsid w:val="00065462"/>
    <w:rsid w:val="00066810"/>
    <w:rsid w:val="00067317"/>
    <w:rsid w:val="00070A42"/>
    <w:rsid w:val="00071F28"/>
    <w:rsid w:val="00074079"/>
    <w:rsid w:val="000765B6"/>
    <w:rsid w:val="0008289C"/>
    <w:rsid w:val="000848A6"/>
    <w:rsid w:val="0008539E"/>
    <w:rsid w:val="00085D15"/>
    <w:rsid w:val="0009197E"/>
    <w:rsid w:val="00092799"/>
    <w:rsid w:val="00092A99"/>
    <w:rsid w:val="00092C5F"/>
    <w:rsid w:val="00093ABC"/>
    <w:rsid w:val="00096680"/>
    <w:rsid w:val="000A0F36"/>
    <w:rsid w:val="000A174A"/>
    <w:rsid w:val="000A3E0A"/>
    <w:rsid w:val="000A65AC"/>
    <w:rsid w:val="000B3722"/>
    <w:rsid w:val="000B5EFE"/>
    <w:rsid w:val="000B7281"/>
    <w:rsid w:val="000B7FAB"/>
    <w:rsid w:val="000C1BA1"/>
    <w:rsid w:val="000C3AC7"/>
    <w:rsid w:val="000C3EA9"/>
    <w:rsid w:val="000C4A32"/>
    <w:rsid w:val="000C65BB"/>
    <w:rsid w:val="000C7119"/>
    <w:rsid w:val="000D0225"/>
    <w:rsid w:val="000D249E"/>
    <w:rsid w:val="000D34ED"/>
    <w:rsid w:val="000D6399"/>
    <w:rsid w:val="000D7033"/>
    <w:rsid w:val="000E04A1"/>
    <w:rsid w:val="000E1722"/>
    <w:rsid w:val="000E5886"/>
    <w:rsid w:val="000E6621"/>
    <w:rsid w:val="000E7895"/>
    <w:rsid w:val="000F161D"/>
    <w:rsid w:val="000F1B4E"/>
    <w:rsid w:val="000F1C89"/>
    <w:rsid w:val="000F1FFF"/>
    <w:rsid w:val="000F402B"/>
    <w:rsid w:val="000F5714"/>
    <w:rsid w:val="00100203"/>
    <w:rsid w:val="00101ACB"/>
    <w:rsid w:val="00104B4D"/>
    <w:rsid w:val="001051C0"/>
    <w:rsid w:val="00105677"/>
    <w:rsid w:val="001118D8"/>
    <w:rsid w:val="00114738"/>
    <w:rsid w:val="001177B4"/>
    <w:rsid w:val="00122CF9"/>
    <w:rsid w:val="00123704"/>
    <w:rsid w:val="001270C7"/>
    <w:rsid w:val="00132540"/>
    <w:rsid w:val="001377D4"/>
    <w:rsid w:val="00142E41"/>
    <w:rsid w:val="001468CB"/>
    <w:rsid w:val="0014786A"/>
    <w:rsid w:val="001516A4"/>
    <w:rsid w:val="00151E5F"/>
    <w:rsid w:val="00153BD0"/>
    <w:rsid w:val="001545BF"/>
    <w:rsid w:val="001569AB"/>
    <w:rsid w:val="00157F62"/>
    <w:rsid w:val="00164D63"/>
    <w:rsid w:val="0016725C"/>
    <w:rsid w:val="00167DE5"/>
    <w:rsid w:val="0017008F"/>
    <w:rsid w:val="001726F3"/>
    <w:rsid w:val="00172FA4"/>
    <w:rsid w:val="00173C51"/>
    <w:rsid w:val="001740B9"/>
    <w:rsid w:val="00174CC2"/>
    <w:rsid w:val="00176CC6"/>
    <w:rsid w:val="00177B41"/>
    <w:rsid w:val="0018193C"/>
    <w:rsid w:val="00181BE4"/>
    <w:rsid w:val="00182F1C"/>
    <w:rsid w:val="0018496F"/>
    <w:rsid w:val="00185576"/>
    <w:rsid w:val="00185951"/>
    <w:rsid w:val="00193408"/>
    <w:rsid w:val="00194A00"/>
    <w:rsid w:val="00196B8B"/>
    <w:rsid w:val="001A0063"/>
    <w:rsid w:val="001A0BFA"/>
    <w:rsid w:val="001A1608"/>
    <w:rsid w:val="001A1C1C"/>
    <w:rsid w:val="001A2BEA"/>
    <w:rsid w:val="001A325F"/>
    <w:rsid w:val="001A6BF0"/>
    <w:rsid w:val="001A6D93"/>
    <w:rsid w:val="001B21D3"/>
    <w:rsid w:val="001B2BBA"/>
    <w:rsid w:val="001B35FA"/>
    <w:rsid w:val="001C006F"/>
    <w:rsid w:val="001C2B62"/>
    <w:rsid w:val="001C2C36"/>
    <w:rsid w:val="001C32EC"/>
    <w:rsid w:val="001C38BD"/>
    <w:rsid w:val="001C4D5A"/>
    <w:rsid w:val="001D344D"/>
    <w:rsid w:val="001E0256"/>
    <w:rsid w:val="001E256A"/>
    <w:rsid w:val="001E31F3"/>
    <w:rsid w:val="001E34C6"/>
    <w:rsid w:val="001E3D6D"/>
    <w:rsid w:val="001E5581"/>
    <w:rsid w:val="001E6F5F"/>
    <w:rsid w:val="001F3C70"/>
    <w:rsid w:val="00200D88"/>
    <w:rsid w:val="00200DA6"/>
    <w:rsid w:val="00201C09"/>
    <w:rsid w:val="00201F68"/>
    <w:rsid w:val="0020567A"/>
    <w:rsid w:val="00210BA3"/>
    <w:rsid w:val="0021298E"/>
    <w:rsid w:val="00212F2A"/>
    <w:rsid w:val="00213711"/>
    <w:rsid w:val="002138CD"/>
    <w:rsid w:val="00214F2B"/>
    <w:rsid w:val="00215356"/>
    <w:rsid w:val="00215964"/>
    <w:rsid w:val="00215D8B"/>
    <w:rsid w:val="00216365"/>
    <w:rsid w:val="00217880"/>
    <w:rsid w:val="00222D66"/>
    <w:rsid w:val="0022441A"/>
    <w:rsid w:val="00224A8A"/>
    <w:rsid w:val="002309A8"/>
    <w:rsid w:val="0023173F"/>
    <w:rsid w:val="00232D2A"/>
    <w:rsid w:val="002352E6"/>
    <w:rsid w:val="00236CFE"/>
    <w:rsid w:val="0023733E"/>
    <w:rsid w:val="002428E3"/>
    <w:rsid w:val="00243990"/>
    <w:rsid w:val="0024430A"/>
    <w:rsid w:val="00245FF7"/>
    <w:rsid w:val="00253B65"/>
    <w:rsid w:val="0026060B"/>
    <w:rsid w:val="00260BAF"/>
    <w:rsid w:val="002610A6"/>
    <w:rsid w:val="002626EC"/>
    <w:rsid w:val="00263FD6"/>
    <w:rsid w:val="002650F7"/>
    <w:rsid w:val="0026686B"/>
    <w:rsid w:val="00273F3B"/>
    <w:rsid w:val="002749B2"/>
    <w:rsid w:val="002749FB"/>
    <w:rsid w:val="00274DB7"/>
    <w:rsid w:val="00275984"/>
    <w:rsid w:val="00276199"/>
    <w:rsid w:val="002768F3"/>
    <w:rsid w:val="00276DA4"/>
    <w:rsid w:val="00280508"/>
    <w:rsid w:val="00280F74"/>
    <w:rsid w:val="00285915"/>
    <w:rsid w:val="00286998"/>
    <w:rsid w:val="00291AB7"/>
    <w:rsid w:val="0029265B"/>
    <w:rsid w:val="0029422B"/>
    <w:rsid w:val="00294DCB"/>
    <w:rsid w:val="002A06CE"/>
    <w:rsid w:val="002A0FE6"/>
    <w:rsid w:val="002A246F"/>
    <w:rsid w:val="002A37B5"/>
    <w:rsid w:val="002A66D0"/>
    <w:rsid w:val="002A6722"/>
    <w:rsid w:val="002B153C"/>
    <w:rsid w:val="002B1E9D"/>
    <w:rsid w:val="002B52FC"/>
    <w:rsid w:val="002C26D0"/>
    <w:rsid w:val="002C2830"/>
    <w:rsid w:val="002C3CE0"/>
    <w:rsid w:val="002C3E3B"/>
    <w:rsid w:val="002C40AF"/>
    <w:rsid w:val="002C720E"/>
    <w:rsid w:val="002D001A"/>
    <w:rsid w:val="002D28E2"/>
    <w:rsid w:val="002D2BD9"/>
    <w:rsid w:val="002D317B"/>
    <w:rsid w:val="002D3587"/>
    <w:rsid w:val="002D3F4E"/>
    <w:rsid w:val="002D47F4"/>
    <w:rsid w:val="002D4C68"/>
    <w:rsid w:val="002D502D"/>
    <w:rsid w:val="002D6C72"/>
    <w:rsid w:val="002E0861"/>
    <w:rsid w:val="002E0F69"/>
    <w:rsid w:val="002E1572"/>
    <w:rsid w:val="002E2142"/>
    <w:rsid w:val="002E2DA3"/>
    <w:rsid w:val="002E4CF2"/>
    <w:rsid w:val="002E51FE"/>
    <w:rsid w:val="002E6B1D"/>
    <w:rsid w:val="002E6FC0"/>
    <w:rsid w:val="002F258D"/>
    <w:rsid w:val="002F3F37"/>
    <w:rsid w:val="002F493B"/>
    <w:rsid w:val="002F4ED5"/>
    <w:rsid w:val="002F5147"/>
    <w:rsid w:val="002F5A0B"/>
    <w:rsid w:val="002F71BB"/>
    <w:rsid w:val="002F7ABD"/>
    <w:rsid w:val="0030493E"/>
    <w:rsid w:val="00305F59"/>
    <w:rsid w:val="00307B3C"/>
    <w:rsid w:val="00310EF2"/>
    <w:rsid w:val="003115A6"/>
    <w:rsid w:val="00312597"/>
    <w:rsid w:val="003147B5"/>
    <w:rsid w:val="00322836"/>
    <w:rsid w:val="00323E14"/>
    <w:rsid w:val="0032567D"/>
    <w:rsid w:val="003308B7"/>
    <w:rsid w:val="00333711"/>
    <w:rsid w:val="00334154"/>
    <w:rsid w:val="003341D0"/>
    <w:rsid w:val="003372C4"/>
    <w:rsid w:val="00341FA0"/>
    <w:rsid w:val="00342374"/>
    <w:rsid w:val="00344F3D"/>
    <w:rsid w:val="00345299"/>
    <w:rsid w:val="00347221"/>
    <w:rsid w:val="00351A8D"/>
    <w:rsid w:val="003526BB"/>
    <w:rsid w:val="00352BCF"/>
    <w:rsid w:val="00352DF6"/>
    <w:rsid w:val="00353932"/>
    <w:rsid w:val="0035464B"/>
    <w:rsid w:val="00356825"/>
    <w:rsid w:val="00356D2B"/>
    <w:rsid w:val="00357547"/>
    <w:rsid w:val="00357D12"/>
    <w:rsid w:val="00361A56"/>
    <w:rsid w:val="0036252A"/>
    <w:rsid w:val="00364D9D"/>
    <w:rsid w:val="00371048"/>
    <w:rsid w:val="003713AA"/>
    <w:rsid w:val="0037396C"/>
    <w:rsid w:val="0037421D"/>
    <w:rsid w:val="00374412"/>
    <w:rsid w:val="003754ED"/>
    <w:rsid w:val="0037562D"/>
    <w:rsid w:val="00376093"/>
    <w:rsid w:val="0037715E"/>
    <w:rsid w:val="00383DA1"/>
    <w:rsid w:val="003841B1"/>
    <w:rsid w:val="00385F30"/>
    <w:rsid w:val="003861EA"/>
    <w:rsid w:val="00387600"/>
    <w:rsid w:val="00393696"/>
    <w:rsid w:val="00393963"/>
    <w:rsid w:val="00395575"/>
    <w:rsid w:val="00395672"/>
    <w:rsid w:val="0039754D"/>
    <w:rsid w:val="003A06C8"/>
    <w:rsid w:val="003A0D7C"/>
    <w:rsid w:val="003A6675"/>
    <w:rsid w:val="003A7160"/>
    <w:rsid w:val="003B0155"/>
    <w:rsid w:val="003B09DB"/>
    <w:rsid w:val="003B4551"/>
    <w:rsid w:val="003B528D"/>
    <w:rsid w:val="003B7EE7"/>
    <w:rsid w:val="003C0F3B"/>
    <w:rsid w:val="003C2CCB"/>
    <w:rsid w:val="003C4A1C"/>
    <w:rsid w:val="003C5BCB"/>
    <w:rsid w:val="003C7CB5"/>
    <w:rsid w:val="003D39EC"/>
    <w:rsid w:val="003D40EA"/>
    <w:rsid w:val="003D42B6"/>
    <w:rsid w:val="003D5DF3"/>
    <w:rsid w:val="003E3DD5"/>
    <w:rsid w:val="003F07C6"/>
    <w:rsid w:val="003F1A4B"/>
    <w:rsid w:val="003F1F6B"/>
    <w:rsid w:val="003F3757"/>
    <w:rsid w:val="003F44B7"/>
    <w:rsid w:val="004008E9"/>
    <w:rsid w:val="00401590"/>
    <w:rsid w:val="00405EDF"/>
    <w:rsid w:val="0040710A"/>
    <w:rsid w:val="00407991"/>
    <w:rsid w:val="0041019E"/>
    <w:rsid w:val="00412571"/>
    <w:rsid w:val="00413A61"/>
    <w:rsid w:val="00413D48"/>
    <w:rsid w:val="00422843"/>
    <w:rsid w:val="00424A60"/>
    <w:rsid w:val="00426224"/>
    <w:rsid w:val="00434042"/>
    <w:rsid w:val="00434500"/>
    <w:rsid w:val="00441AC2"/>
    <w:rsid w:val="0044249B"/>
    <w:rsid w:val="004425A7"/>
    <w:rsid w:val="0044605E"/>
    <w:rsid w:val="004468AC"/>
    <w:rsid w:val="0045023C"/>
    <w:rsid w:val="00451241"/>
    <w:rsid w:val="00451A5B"/>
    <w:rsid w:val="00452BCD"/>
    <w:rsid w:val="00452CEA"/>
    <w:rsid w:val="00463A63"/>
    <w:rsid w:val="00465B52"/>
    <w:rsid w:val="0046708E"/>
    <w:rsid w:val="004674A2"/>
    <w:rsid w:val="00467D61"/>
    <w:rsid w:val="0047126E"/>
    <w:rsid w:val="004722BE"/>
    <w:rsid w:val="00472A65"/>
    <w:rsid w:val="00474463"/>
    <w:rsid w:val="00474B75"/>
    <w:rsid w:val="00483ECA"/>
    <w:rsid w:val="00483F0B"/>
    <w:rsid w:val="00486F54"/>
    <w:rsid w:val="0048701F"/>
    <w:rsid w:val="004921AD"/>
    <w:rsid w:val="00494763"/>
    <w:rsid w:val="0049501A"/>
    <w:rsid w:val="00496319"/>
    <w:rsid w:val="0049657E"/>
    <w:rsid w:val="00497279"/>
    <w:rsid w:val="0049777F"/>
    <w:rsid w:val="004A010B"/>
    <w:rsid w:val="004A10AA"/>
    <w:rsid w:val="004A3186"/>
    <w:rsid w:val="004A37ED"/>
    <w:rsid w:val="004A419C"/>
    <w:rsid w:val="004A670A"/>
    <w:rsid w:val="004A734F"/>
    <w:rsid w:val="004B0D9F"/>
    <w:rsid w:val="004B16F0"/>
    <w:rsid w:val="004B5465"/>
    <w:rsid w:val="004B6487"/>
    <w:rsid w:val="004B70F0"/>
    <w:rsid w:val="004C0035"/>
    <w:rsid w:val="004C1299"/>
    <w:rsid w:val="004C13B7"/>
    <w:rsid w:val="004C2E9B"/>
    <w:rsid w:val="004C3760"/>
    <w:rsid w:val="004C59CD"/>
    <w:rsid w:val="004C7E1D"/>
    <w:rsid w:val="004D065C"/>
    <w:rsid w:val="004D1712"/>
    <w:rsid w:val="004D1F4E"/>
    <w:rsid w:val="004D33FE"/>
    <w:rsid w:val="004D39A8"/>
    <w:rsid w:val="004D4703"/>
    <w:rsid w:val="004D505E"/>
    <w:rsid w:val="004D67E8"/>
    <w:rsid w:val="004D6D46"/>
    <w:rsid w:val="004D72CA"/>
    <w:rsid w:val="004E2242"/>
    <w:rsid w:val="004E38E2"/>
    <w:rsid w:val="004F0F6D"/>
    <w:rsid w:val="004F2483"/>
    <w:rsid w:val="004F42FF"/>
    <w:rsid w:val="004F44C2"/>
    <w:rsid w:val="004F5914"/>
    <w:rsid w:val="004F7B4D"/>
    <w:rsid w:val="00502A49"/>
    <w:rsid w:val="00505262"/>
    <w:rsid w:val="005107B1"/>
    <w:rsid w:val="00514D9F"/>
    <w:rsid w:val="00516022"/>
    <w:rsid w:val="00516696"/>
    <w:rsid w:val="00517282"/>
    <w:rsid w:val="00521CEE"/>
    <w:rsid w:val="00521E85"/>
    <w:rsid w:val="0052395E"/>
    <w:rsid w:val="00527BD4"/>
    <w:rsid w:val="00533061"/>
    <w:rsid w:val="00533FA1"/>
    <w:rsid w:val="00534C77"/>
    <w:rsid w:val="00535573"/>
    <w:rsid w:val="005358F8"/>
    <w:rsid w:val="005403C8"/>
    <w:rsid w:val="00541AD9"/>
    <w:rsid w:val="005429DC"/>
    <w:rsid w:val="005446AE"/>
    <w:rsid w:val="005467E7"/>
    <w:rsid w:val="00551AB9"/>
    <w:rsid w:val="005565F9"/>
    <w:rsid w:val="005572B9"/>
    <w:rsid w:val="00560196"/>
    <w:rsid w:val="005639D2"/>
    <w:rsid w:val="00565739"/>
    <w:rsid w:val="00572616"/>
    <w:rsid w:val="00573041"/>
    <w:rsid w:val="005732DB"/>
    <w:rsid w:val="00573524"/>
    <w:rsid w:val="00575B80"/>
    <w:rsid w:val="00577559"/>
    <w:rsid w:val="005819CE"/>
    <w:rsid w:val="0058298D"/>
    <w:rsid w:val="00590595"/>
    <w:rsid w:val="00593C2B"/>
    <w:rsid w:val="0059449F"/>
    <w:rsid w:val="00595231"/>
    <w:rsid w:val="00595CBB"/>
    <w:rsid w:val="00596166"/>
    <w:rsid w:val="005970FA"/>
    <w:rsid w:val="00597F64"/>
    <w:rsid w:val="005A1AF5"/>
    <w:rsid w:val="005A207F"/>
    <w:rsid w:val="005A2F35"/>
    <w:rsid w:val="005A32D9"/>
    <w:rsid w:val="005A5267"/>
    <w:rsid w:val="005A7512"/>
    <w:rsid w:val="005B3441"/>
    <w:rsid w:val="005B463E"/>
    <w:rsid w:val="005B4FAC"/>
    <w:rsid w:val="005B5D8B"/>
    <w:rsid w:val="005C34E1"/>
    <w:rsid w:val="005C3FE0"/>
    <w:rsid w:val="005C4C82"/>
    <w:rsid w:val="005C5BF2"/>
    <w:rsid w:val="005C6617"/>
    <w:rsid w:val="005C740C"/>
    <w:rsid w:val="005D0624"/>
    <w:rsid w:val="005D1DD8"/>
    <w:rsid w:val="005D283A"/>
    <w:rsid w:val="005D464D"/>
    <w:rsid w:val="005D57C8"/>
    <w:rsid w:val="005D625B"/>
    <w:rsid w:val="005D76C2"/>
    <w:rsid w:val="005E3322"/>
    <w:rsid w:val="005E436C"/>
    <w:rsid w:val="005E64E2"/>
    <w:rsid w:val="005E673D"/>
    <w:rsid w:val="005F0B8E"/>
    <w:rsid w:val="005F4276"/>
    <w:rsid w:val="005F586C"/>
    <w:rsid w:val="005F62D3"/>
    <w:rsid w:val="005F6D11"/>
    <w:rsid w:val="00600CF0"/>
    <w:rsid w:val="006026EA"/>
    <w:rsid w:val="006048F4"/>
    <w:rsid w:val="006054A5"/>
    <w:rsid w:val="0060660A"/>
    <w:rsid w:val="00610A24"/>
    <w:rsid w:val="00613B1D"/>
    <w:rsid w:val="00617311"/>
    <w:rsid w:val="00617A44"/>
    <w:rsid w:val="006202B6"/>
    <w:rsid w:val="006205C0"/>
    <w:rsid w:val="00622685"/>
    <w:rsid w:val="00623CB2"/>
    <w:rsid w:val="00625CD0"/>
    <w:rsid w:val="0062627D"/>
    <w:rsid w:val="00627432"/>
    <w:rsid w:val="00632662"/>
    <w:rsid w:val="006348FD"/>
    <w:rsid w:val="00635031"/>
    <w:rsid w:val="00641468"/>
    <w:rsid w:val="0064192A"/>
    <w:rsid w:val="00642768"/>
    <w:rsid w:val="006448E4"/>
    <w:rsid w:val="00645414"/>
    <w:rsid w:val="00651E98"/>
    <w:rsid w:val="0065244E"/>
    <w:rsid w:val="006534D0"/>
    <w:rsid w:val="00653606"/>
    <w:rsid w:val="00656486"/>
    <w:rsid w:val="00656E53"/>
    <w:rsid w:val="00660457"/>
    <w:rsid w:val="00660934"/>
    <w:rsid w:val="006610E9"/>
    <w:rsid w:val="00661591"/>
    <w:rsid w:val="00662A78"/>
    <w:rsid w:val="00663187"/>
    <w:rsid w:val="0066632F"/>
    <w:rsid w:val="006669E7"/>
    <w:rsid w:val="00666D04"/>
    <w:rsid w:val="0066783F"/>
    <w:rsid w:val="0067268F"/>
    <w:rsid w:val="00674A89"/>
    <w:rsid w:val="00674F3D"/>
    <w:rsid w:val="00682E02"/>
    <w:rsid w:val="00685545"/>
    <w:rsid w:val="006864B3"/>
    <w:rsid w:val="00686AED"/>
    <w:rsid w:val="00687511"/>
    <w:rsid w:val="00692BA9"/>
    <w:rsid w:val="00692C30"/>
    <w:rsid w:val="00692D64"/>
    <w:rsid w:val="006966B2"/>
    <w:rsid w:val="00697943"/>
    <w:rsid w:val="006A10F8"/>
    <w:rsid w:val="006A1AD8"/>
    <w:rsid w:val="006A2100"/>
    <w:rsid w:val="006A3B37"/>
    <w:rsid w:val="006A4064"/>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9E5"/>
    <w:rsid w:val="006E3546"/>
    <w:rsid w:val="006E3FA9"/>
    <w:rsid w:val="006E7D82"/>
    <w:rsid w:val="006F038F"/>
    <w:rsid w:val="006F0F93"/>
    <w:rsid w:val="006F273B"/>
    <w:rsid w:val="006F31F2"/>
    <w:rsid w:val="0070349A"/>
    <w:rsid w:val="00704845"/>
    <w:rsid w:val="00706AB3"/>
    <w:rsid w:val="00711C8A"/>
    <w:rsid w:val="00714DC5"/>
    <w:rsid w:val="00715237"/>
    <w:rsid w:val="007166C3"/>
    <w:rsid w:val="007174C0"/>
    <w:rsid w:val="007174F4"/>
    <w:rsid w:val="00721D2E"/>
    <w:rsid w:val="00722DB4"/>
    <w:rsid w:val="007242CC"/>
    <w:rsid w:val="00724A8B"/>
    <w:rsid w:val="007254A5"/>
    <w:rsid w:val="00725748"/>
    <w:rsid w:val="00727047"/>
    <w:rsid w:val="00727AAC"/>
    <w:rsid w:val="00731760"/>
    <w:rsid w:val="00735D88"/>
    <w:rsid w:val="0073720D"/>
    <w:rsid w:val="00737507"/>
    <w:rsid w:val="00740712"/>
    <w:rsid w:val="00741309"/>
    <w:rsid w:val="00742AB9"/>
    <w:rsid w:val="007452EA"/>
    <w:rsid w:val="00745AE0"/>
    <w:rsid w:val="0074658D"/>
    <w:rsid w:val="00751A6A"/>
    <w:rsid w:val="00752291"/>
    <w:rsid w:val="00754AD6"/>
    <w:rsid w:val="00754F48"/>
    <w:rsid w:val="00754FBF"/>
    <w:rsid w:val="007615AC"/>
    <w:rsid w:val="00764585"/>
    <w:rsid w:val="007645FF"/>
    <w:rsid w:val="00767FEF"/>
    <w:rsid w:val="007709EF"/>
    <w:rsid w:val="007777CC"/>
    <w:rsid w:val="00783559"/>
    <w:rsid w:val="007846ED"/>
    <w:rsid w:val="00784C00"/>
    <w:rsid w:val="007851C4"/>
    <w:rsid w:val="00785C3B"/>
    <w:rsid w:val="007867E9"/>
    <w:rsid w:val="00791351"/>
    <w:rsid w:val="0079521E"/>
    <w:rsid w:val="00797AA5"/>
    <w:rsid w:val="007A26BD"/>
    <w:rsid w:val="007A4105"/>
    <w:rsid w:val="007A4F0E"/>
    <w:rsid w:val="007A514C"/>
    <w:rsid w:val="007A5572"/>
    <w:rsid w:val="007B033F"/>
    <w:rsid w:val="007B0D8E"/>
    <w:rsid w:val="007B4503"/>
    <w:rsid w:val="007B7B31"/>
    <w:rsid w:val="007C03C9"/>
    <w:rsid w:val="007C16D8"/>
    <w:rsid w:val="007C406E"/>
    <w:rsid w:val="007C5183"/>
    <w:rsid w:val="007C7573"/>
    <w:rsid w:val="007D4D4B"/>
    <w:rsid w:val="007E0D19"/>
    <w:rsid w:val="007E14E4"/>
    <w:rsid w:val="007E1BA2"/>
    <w:rsid w:val="007E2B20"/>
    <w:rsid w:val="007F5331"/>
    <w:rsid w:val="007F6070"/>
    <w:rsid w:val="007F7C39"/>
    <w:rsid w:val="00800CCA"/>
    <w:rsid w:val="008020E6"/>
    <w:rsid w:val="008020F2"/>
    <w:rsid w:val="0080313F"/>
    <w:rsid w:val="00804A6B"/>
    <w:rsid w:val="00804BE7"/>
    <w:rsid w:val="00806120"/>
    <w:rsid w:val="00807933"/>
    <w:rsid w:val="00810C93"/>
    <w:rsid w:val="00812028"/>
    <w:rsid w:val="00812DD8"/>
    <w:rsid w:val="00813082"/>
    <w:rsid w:val="00813527"/>
    <w:rsid w:val="00814120"/>
    <w:rsid w:val="00814D03"/>
    <w:rsid w:val="00815C7E"/>
    <w:rsid w:val="00820DDA"/>
    <w:rsid w:val="00821114"/>
    <w:rsid w:val="008211EF"/>
    <w:rsid w:val="00821FC1"/>
    <w:rsid w:val="00825A12"/>
    <w:rsid w:val="008267CC"/>
    <w:rsid w:val="00830CCF"/>
    <w:rsid w:val="0083178B"/>
    <w:rsid w:val="008324F3"/>
    <w:rsid w:val="00833695"/>
    <w:rsid w:val="008336B7"/>
    <w:rsid w:val="00833A8E"/>
    <w:rsid w:val="00835ADD"/>
    <w:rsid w:val="0084255A"/>
    <w:rsid w:val="00842CD8"/>
    <w:rsid w:val="008431FA"/>
    <w:rsid w:val="008547BA"/>
    <w:rsid w:val="008553C7"/>
    <w:rsid w:val="00857FEB"/>
    <w:rsid w:val="008601AF"/>
    <w:rsid w:val="00861518"/>
    <w:rsid w:val="0086454B"/>
    <w:rsid w:val="00872271"/>
    <w:rsid w:val="008731F6"/>
    <w:rsid w:val="00874982"/>
    <w:rsid w:val="008762B6"/>
    <w:rsid w:val="00883137"/>
    <w:rsid w:val="00892BA5"/>
    <w:rsid w:val="00893FE4"/>
    <w:rsid w:val="00894E2A"/>
    <w:rsid w:val="008971DB"/>
    <w:rsid w:val="008A0618"/>
    <w:rsid w:val="008A08AC"/>
    <w:rsid w:val="008A1F5D"/>
    <w:rsid w:val="008A28F5"/>
    <w:rsid w:val="008B0E6F"/>
    <w:rsid w:val="008B1198"/>
    <w:rsid w:val="008B2349"/>
    <w:rsid w:val="008B3471"/>
    <w:rsid w:val="008B3929"/>
    <w:rsid w:val="008B3BAB"/>
    <w:rsid w:val="008B4125"/>
    <w:rsid w:val="008B4898"/>
    <w:rsid w:val="008B4CB3"/>
    <w:rsid w:val="008B567B"/>
    <w:rsid w:val="008B7B24"/>
    <w:rsid w:val="008C356D"/>
    <w:rsid w:val="008C6177"/>
    <w:rsid w:val="008D1583"/>
    <w:rsid w:val="008D2BF4"/>
    <w:rsid w:val="008D485B"/>
    <w:rsid w:val="008E0B3F"/>
    <w:rsid w:val="008E1341"/>
    <w:rsid w:val="008E36D1"/>
    <w:rsid w:val="008E3932"/>
    <w:rsid w:val="008E49AD"/>
    <w:rsid w:val="008E698E"/>
    <w:rsid w:val="008E6BDD"/>
    <w:rsid w:val="008E6F2B"/>
    <w:rsid w:val="008F123F"/>
    <w:rsid w:val="008F2584"/>
    <w:rsid w:val="008F3246"/>
    <w:rsid w:val="008F3C1B"/>
    <w:rsid w:val="008F508C"/>
    <w:rsid w:val="008F7D17"/>
    <w:rsid w:val="0090271B"/>
    <w:rsid w:val="00910642"/>
    <w:rsid w:val="00910DDF"/>
    <w:rsid w:val="00916CCD"/>
    <w:rsid w:val="00921861"/>
    <w:rsid w:val="00924639"/>
    <w:rsid w:val="0092611E"/>
    <w:rsid w:val="00926F1F"/>
    <w:rsid w:val="00926F4B"/>
    <w:rsid w:val="00930B13"/>
    <w:rsid w:val="009311C8"/>
    <w:rsid w:val="0093199F"/>
    <w:rsid w:val="00933376"/>
    <w:rsid w:val="00933A2F"/>
    <w:rsid w:val="00935735"/>
    <w:rsid w:val="0094000D"/>
    <w:rsid w:val="00940203"/>
    <w:rsid w:val="00940206"/>
    <w:rsid w:val="00941B16"/>
    <w:rsid w:val="00946703"/>
    <w:rsid w:val="009528B2"/>
    <w:rsid w:val="009607C4"/>
    <w:rsid w:val="00961C09"/>
    <w:rsid w:val="009625DC"/>
    <w:rsid w:val="00962F2A"/>
    <w:rsid w:val="00963440"/>
    <w:rsid w:val="00965502"/>
    <w:rsid w:val="009716D8"/>
    <w:rsid w:val="009718F9"/>
    <w:rsid w:val="009724E4"/>
    <w:rsid w:val="00972FB9"/>
    <w:rsid w:val="009750AC"/>
    <w:rsid w:val="00975112"/>
    <w:rsid w:val="009812EB"/>
    <w:rsid w:val="00981768"/>
    <w:rsid w:val="009838BB"/>
    <w:rsid w:val="00983E8F"/>
    <w:rsid w:val="009900AE"/>
    <w:rsid w:val="00992338"/>
    <w:rsid w:val="00992BB0"/>
    <w:rsid w:val="00994FDA"/>
    <w:rsid w:val="00997D15"/>
    <w:rsid w:val="009A31BF"/>
    <w:rsid w:val="009A3B71"/>
    <w:rsid w:val="009A5914"/>
    <w:rsid w:val="009A61BC"/>
    <w:rsid w:val="009B0138"/>
    <w:rsid w:val="009B0FE9"/>
    <w:rsid w:val="009B173A"/>
    <w:rsid w:val="009B5846"/>
    <w:rsid w:val="009B6005"/>
    <w:rsid w:val="009B601B"/>
    <w:rsid w:val="009C092A"/>
    <w:rsid w:val="009C3F20"/>
    <w:rsid w:val="009C5575"/>
    <w:rsid w:val="009C64FB"/>
    <w:rsid w:val="009C7CA1"/>
    <w:rsid w:val="009D027D"/>
    <w:rsid w:val="009D043D"/>
    <w:rsid w:val="009D371B"/>
    <w:rsid w:val="009D49ED"/>
    <w:rsid w:val="009D716F"/>
    <w:rsid w:val="009E3B07"/>
    <w:rsid w:val="009F3259"/>
    <w:rsid w:val="009F541F"/>
    <w:rsid w:val="00A056DE"/>
    <w:rsid w:val="00A0678A"/>
    <w:rsid w:val="00A07886"/>
    <w:rsid w:val="00A12407"/>
    <w:rsid w:val="00A1289E"/>
    <w:rsid w:val="00A128AD"/>
    <w:rsid w:val="00A1640D"/>
    <w:rsid w:val="00A17415"/>
    <w:rsid w:val="00A20730"/>
    <w:rsid w:val="00A21E76"/>
    <w:rsid w:val="00A22328"/>
    <w:rsid w:val="00A23BC8"/>
    <w:rsid w:val="00A2531F"/>
    <w:rsid w:val="00A30E68"/>
    <w:rsid w:val="00A31933"/>
    <w:rsid w:val="00A31F28"/>
    <w:rsid w:val="00A32073"/>
    <w:rsid w:val="00A32AD5"/>
    <w:rsid w:val="00A3409C"/>
    <w:rsid w:val="00A34AA0"/>
    <w:rsid w:val="00A41FE2"/>
    <w:rsid w:val="00A421A1"/>
    <w:rsid w:val="00A46FEF"/>
    <w:rsid w:val="00A47948"/>
    <w:rsid w:val="00A50CF6"/>
    <w:rsid w:val="00A51C81"/>
    <w:rsid w:val="00A56850"/>
    <w:rsid w:val="00A56946"/>
    <w:rsid w:val="00A577EF"/>
    <w:rsid w:val="00A604D3"/>
    <w:rsid w:val="00A6170E"/>
    <w:rsid w:val="00A63B8C"/>
    <w:rsid w:val="00A64721"/>
    <w:rsid w:val="00A65E7F"/>
    <w:rsid w:val="00A66BDD"/>
    <w:rsid w:val="00A67AC7"/>
    <w:rsid w:val="00A715F8"/>
    <w:rsid w:val="00A741BA"/>
    <w:rsid w:val="00A773CC"/>
    <w:rsid w:val="00A77F6F"/>
    <w:rsid w:val="00A831FD"/>
    <w:rsid w:val="00A83352"/>
    <w:rsid w:val="00A850A2"/>
    <w:rsid w:val="00A91FA3"/>
    <w:rsid w:val="00A927D3"/>
    <w:rsid w:val="00A9429A"/>
    <w:rsid w:val="00A94E89"/>
    <w:rsid w:val="00AA3E08"/>
    <w:rsid w:val="00AA5505"/>
    <w:rsid w:val="00AA70B0"/>
    <w:rsid w:val="00AA7C3F"/>
    <w:rsid w:val="00AA7FC9"/>
    <w:rsid w:val="00AB060D"/>
    <w:rsid w:val="00AB237D"/>
    <w:rsid w:val="00AB4F39"/>
    <w:rsid w:val="00AB50E6"/>
    <w:rsid w:val="00AB5933"/>
    <w:rsid w:val="00AC160D"/>
    <w:rsid w:val="00AC4E45"/>
    <w:rsid w:val="00AD34B3"/>
    <w:rsid w:val="00AD4539"/>
    <w:rsid w:val="00AD5B44"/>
    <w:rsid w:val="00AD7608"/>
    <w:rsid w:val="00AE013D"/>
    <w:rsid w:val="00AE11B7"/>
    <w:rsid w:val="00AE18BA"/>
    <w:rsid w:val="00AE7130"/>
    <w:rsid w:val="00AE7891"/>
    <w:rsid w:val="00AE7F68"/>
    <w:rsid w:val="00AF2321"/>
    <w:rsid w:val="00AF2B85"/>
    <w:rsid w:val="00AF52F6"/>
    <w:rsid w:val="00AF7237"/>
    <w:rsid w:val="00B0043A"/>
    <w:rsid w:val="00B00D75"/>
    <w:rsid w:val="00B04D6B"/>
    <w:rsid w:val="00B0690C"/>
    <w:rsid w:val="00B070CB"/>
    <w:rsid w:val="00B12456"/>
    <w:rsid w:val="00B132B0"/>
    <w:rsid w:val="00B173C6"/>
    <w:rsid w:val="00B20109"/>
    <w:rsid w:val="00B21FF9"/>
    <w:rsid w:val="00B220A5"/>
    <w:rsid w:val="00B2317A"/>
    <w:rsid w:val="00B24133"/>
    <w:rsid w:val="00B259C8"/>
    <w:rsid w:val="00B2604D"/>
    <w:rsid w:val="00B262C5"/>
    <w:rsid w:val="00B26CCF"/>
    <w:rsid w:val="00B30FC2"/>
    <w:rsid w:val="00B31BA0"/>
    <w:rsid w:val="00B331A2"/>
    <w:rsid w:val="00B33CF2"/>
    <w:rsid w:val="00B350A2"/>
    <w:rsid w:val="00B370D8"/>
    <w:rsid w:val="00B374C5"/>
    <w:rsid w:val="00B425F0"/>
    <w:rsid w:val="00B42DFA"/>
    <w:rsid w:val="00B50571"/>
    <w:rsid w:val="00B531DD"/>
    <w:rsid w:val="00B55014"/>
    <w:rsid w:val="00B62232"/>
    <w:rsid w:val="00B6245A"/>
    <w:rsid w:val="00B626DD"/>
    <w:rsid w:val="00B70BF3"/>
    <w:rsid w:val="00B70D24"/>
    <w:rsid w:val="00B70E51"/>
    <w:rsid w:val="00B71619"/>
    <w:rsid w:val="00B71DC2"/>
    <w:rsid w:val="00B750CF"/>
    <w:rsid w:val="00B7524E"/>
    <w:rsid w:val="00B769D4"/>
    <w:rsid w:val="00B80DB6"/>
    <w:rsid w:val="00B81AD2"/>
    <w:rsid w:val="00B81AEC"/>
    <w:rsid w:val="00B85A66"/>
    <w:rsid w:val="00B85ED4"/>
    <w:rsid w:val="00B85F07"/>
    <w:rsid w:val="00B91CFC"/>
    <w:rsid w:val="00B93893"/>
    <w:rsid w:val="00BA439D"/>
    <w:rsid w:val="00BA68D8"/>
    <w:rsid w:val="00BA7E0A"/>
    <w:rsid w:val="00BB4A49"/>
    <w:rsid w:val="00BB61B0"/>
    <w:rsid w:val="00BC0D9E"/>
    <w:rsid w:val="00BC3B53"/>
    <w:rsid w:val="00BC3B96"/>
    <w:rsid w:val="00BC4AE3"/>
    <w:rsid w:val="00BC5B28"/>
    <w:rsid w:val="00BC7264"/>
    <w:rsid w:val="00BD4426"/>
    <w:rsid w:val="00BD62A7"/>
    <w:rsid w:val="00BE17D4"/>
    <w:rsid w:val="00BE2863"/>
    <w:rsid w:val="00BE3F88"/>
    <w:rsid w:val="00BE4756"/>
    <w:rsid w:val="00BE5ED9"/>
    <w:rsid w:val="00BE7B41"/>
    <w:rsid w:val="00BF1DDD"/>
    <w:rsid w:val="00BF4427"/>
    <w:rsid w:val="00BF46B6"/>
    <w:rsid w:val="00BF5675"/>
    <w:rsid w:val="00C02347"/>
    <w:rsid w:val="00C04605"/>
    <w:rsid w:val="00C0495C"/>
    <w:rsid w:val="00C10D98"/>
    <w:rsid w:val="00C15A91"/>
    <w:rsid w:val="00C15DFD"/>
    <w:rsid w:val="00C206F1"/>
    <w:rsid w:val="00C2159D"/>
    <w:rsid w:val="00C217E1"/>
    <w:rsid w:val="00C219B1"/>
    <w:rsid w:val="00C231E2"/>
    <w:rsid w:val="00C24DD5"/>
    <w:rsid w:val="00C2703D"/>
    <w:rsid w:val="00C349C0"/>
    <w:rsid w:val="00C352B6"/>
    <w:rsid w:val="00C4015B"/>
    <w:rsid w:val="00C4044E"/>
    <w:rsid w:val="00C40C60"/>
    <w:rsid w:val="00C44487"/>
    <w:rsid w:val="00C463DB"/>
    <w:rsid w:val="00C46CF6"/>
    <w:rsid w:val="00C47F04"/>
    <w:rsid w:val="00C50E87"/>
    <w:rsid w:val="00C522C1"/>
    <w:rsid w:val="00C5258E"/>
    <w:rsid w:val="00C5333A"/>
    <w:rsid w:val="00C53BD7"/>
    <w:rsid w:val="00C55923"/>
    <w:rsid w:val="00C57714"/>
    <w:rsid w:val="00C619A7"/>
    <w:rsid w:val="00C64E34"/>
    <w:rsid w:val="00C6545E"/>
    <w:rsid w:val="00C66BEB"/>
    <w:rsid w:val="00C7013F"/>
    <w:rsid w:val="00C7097A"/>
    <w:rsid w:val="00C712F9"/>
    <w:rsid w:val="00C736E8"/>
    <w:rsid w:val="00C73D5F"/>
    <w:rsid w:val="00C84423"/>
    <w:rsid w:val="00C939E2"/>
    <w:rsid w:val="00C965EF"/>
    <w:rsid w:val="00C97C80"/>
    <w:rsid w:val="00CA1D00"/>
    <w:rsid w:val="00CA35E4"/>
    <w:rsid w:val="00CA47D3"/>
    <w:rsid w:val="00CA6533"/>
    <w:rsid w:val="00CA6A25"/>
    <w:rsid w:val="00CA6A3F"/>
    <w:rsid w:val="00CA7C99"/>
    <w:rsid w:val="00CB20CE"/>
    <w:rsid w:val="00CC15DE"/>
    <w:rsid w:val="00CC3613"/>
    <w:rsid w:val="00CC5628"/>
    <w:rsid w:val="00CC6290"/>
    <w:rsid w:val="00CD233D"/>
    <w:rsid w:val="00CD362D"/>
    <w:rsid w:val="00CD4080"/>
    <w:rsid w:val="00CE101D"/>
    <w:rsid w:val="00CE1C84"/>
    <w:rsid w:val="00CE4E63"/>
    <w:rsid w:val="00CE5055"/>
    <w:rsid w:val="00CE6426"/>
    <w:rsid w:val="00CE7768"/>
    <w:rsid w:val="00CF053F"/>
    <w:rsid w:val="00CF0E52"/>
    <w:rsid w:val="00CF1A17"/>
    <w:rsid w:val="00D0140D"/>
    <w:rsid w:val="00D01C92"/>
    <w:rsid w:val="00D030AB"/>
    <w:rsid w:val="00D037A9"/>
    <w:rsid w:val="00D0609E"/>
    <w:rsid w:val="00D078E1"/>
    <w:rsid w:val="00D100E9"/>
    <w:rsid w:val="00D17084"/>
    <w:rsid w:val="00D1791D"/>
    <w:rsid w:val="00D21E4B"/>
    <w:rsid w:val="00D22588"/>
    <w:rsid w:val="00D22689"/>
    <w:rsid w:val="00D22996"/>
    <w:rsid w:val="00D23015"/>
    <w:rsid w:val="00D23522"/>
    <w:rsid w:val="00D2433C"/>
    <w:rsid w:val="00D264D6"/>
    <w:rsid w:val="00D33144"/>
    <w:rsid w:val="00D33BF0"/>
    <w:rsid w:val="00D33F30"/>
    <w:rsid w:val="00D34892"/>
    <w:rsid w:val="00D36088"/>
    <w:rsid w:val="00D36447"/>
    <w:rsid w:val="00D404B8"/>
    <w:rsid w:val="00D408CC"/>
    <w:rsid w:val="00D41AC4"/>
    <w:rsid w:val="00D41CE8"/>
    <w:rsid w:val="00D41EDA"/>
    <w:rsid w:val="00D44B73"/>
    <w:rsid w:val="00D4783F"/>
    <w:rsid w:val="00D516BE"/>
    <w:rsid w:val="00D53A2C"/>
    <w:rsid w:val="00D5423B"/>
    <w:rsid w:val="00D54F4E"/>
    <w:rsid w:val="00D57139"/>
    <w:rsid w:val="00D6048B"/>
    <w:rsid w:val="00D604B3"/>
    <w:rsid w:val="00D60BA4"/>
    <w:rsid w:val="00D62419"/>
    <w:rsid w:val="00D62AD8"/>
    <w:rsid w:val="00D65336"/>
    <w:rsid w:val="00D66074"/>
    <w:rsid w:val="00D74F66"/>
    <w:rsid w:val="00D75B3F"/>
    <w:rsid w:val="00D77870"/>
    <w:rsid w:val="00D80977"/>
    <w:rsid w:val="00D80CCE"/>
    <w:rsid w:val="00D813A2"/>
    <w:rsid w:val="00D817E4"/>
    <w:rsid w:val="00D849AF"/>
    <w:rsid w:val="00D86CC6"/>
    <w:rsid w:val="00D86EEA"/>
    <w:rsid w:val="00D87D03"/>
    <w:rsid w:val="00D9010A"/>
    <w:rsid w:val="00D93170"/>
    <w:rsid w:val="00D94AD4"/>
    <w:rsid w:val="00D9561B"/>
    <w:rsid w:val="00D95C88"/>
    <w:rsid w:val="00D97397"/>
    <w:rsid w:val="00D97B2E"/>
    <w:rsid w:val="00DA1A25"/>
    <w:rsid w:val="00DA1BA1"/>
    <w:rsid w:val="00DA241E"/>
    <w:rsid w:val="00DA2D6E"/>
    <w:rsid w:val="00DA51B5"/>
    <w:rsid w:val="00DB01B4"/>
    <w:rsid w:val="00DB36FE"/>
    <w:rsid w:val="00DB38E3"/>
    <w:rsid w:val="00DB533A"/>
    <w:rsid w:val="00DB6307"/>
    <w:rsid w:val="00DB7773"/>
    <w:rsid w:val="00DC18F3"/>
    <w:rsid w:val="00DC2443"/>
    <w:rsid w:val="00DC6870"/>
    <w:rsid w:val="00DC691C"/>
    <w:rsid w:val="00DD1DCD"/>
    <w:rsid w:val="00DD338F"/>
    <w:rsid w:val="00DD3404"/>
    <w:rsid w:val="00DD66F2"/>
    <w:rsid w:val="00DE1EB5"/>
    <w:rsid w:val="00DE3B06"/>
    <w:rsid w:val="00DE3FE0"/>
    <w:rsid w:val="00DE578A"/>
    <w:rsid w:val="00DE5E1D"/>
    <w:rsid w:val="00DE6C22"/>
    <w:rsid w:val="00DF2583"/>
    <w:rsid w:val="00DF27D8"/>
    <w:rsid w:val="00DF2A33"/>
    <w:rsid w:val="00DF3E62"/>
    <w:rsid w:val="00DF4D7F"/>
    <w:rsid w:val="00DF4E80"/>
    <w:rsid w:val="00DF54D9"/>
    <w:rsid w:val="00DF63F3"/>
    <w:rsid w:val="00DF7283"/>
    <w:rsid w:val="00E003A2"/>
    <w:rsid w:val="00E01A59"/>
    <w:rsid w:val="00E0622C"/>
    <w:rsid w:val="00E0675E"/>
    <w:rsid w:val="00E10DC6"/>
    <w:rsid w:val="00E10F95"/>
    <w:rsid w:val="00E11F8E"/>
    <w:rsid w:val="00E13D95"/>
    <w:rsid w:val="00E14AA3"/>
    <w:rsid w:val="00E15881"/>
    <w:rsid w:val="00E16A8F"/>
    <w:rsid w:val="00E17C93"/>
    <w:rsid w:val="00E17CA2"/>
    <w:rsid w:val="00E20C25"/>
    <w:rsid w:val="00E21DE3"/>
    <w:rsid w:val="00E233D5"/>
    <w:rsid w:val="00E24A44"/>
    <w:rsid w:val="00E307D1"/>
    <w:rsid w:val="00E33A0F"/>
    <w:rsid w:val="00E35710"/>
    <w:rsid w:val="00E35CF4"/>
    <w:rsid w:val="00E3731D"/>
    <w:rsid w:val="00E37811"/>
    <w:rsid w:val="00E45B6D"/>
    <w:rsid w:val="00E468E4"/>
    <w:rsid w:val="00E51469"/>
    <w:rsid w:val="00E54114"/>
    <w:rsid w:val="00E54BBB"/>
    <w:rsid w:val="00E6122A"/>
    <w:rsid w:val="00E62709"/>
    <w:rsid w:val="00E634E3"/>
    <w:rsid w:val="00E64F5D"/>
    <w:rsid w:val="00E66D78"/>
    <w:rsid w:val="00E717C4"/>
    <w:rsid w:val="00E74D10"/>
    <w:rsid w:val="00E776C6"/>
    <w:rsid w:val="00E778F9"/>
    <w:rsid w:val="00E77F89"/>
    <w:rsid w:val="00E807BE"/>
    <w:rsid w:val="00E80E71"/>
    <w:rsid w:val="00E81589"/>
    <w:rsid w:val="00E850D3"/>
    <w:rsid w:val="00E853D6"/>
    <w:rsid w:val="00E8544F"/>
    <w:rsid w:val="00E876B9"/>
    <w:rsid w:val="00E913AA"/>
    <w:rsid w:val="00E91B40"/>
    <w:rsid w:val="00E91F7C"/>
    <w:rsid w:val="00E93891"/>
    <w:rsid w:val="00E93CCF"/>
    <w:rsid w:val="00E94D82"/>
    <w:rsid w:val="00E972A2"/>
    <w:rsid w:val="00EA37E4"/>
    <w:rsid w:val="00EA44A1"/>
    <w:rsid w:val="00EA4F68"/>
    <w:rsid w:val="00EA50CF"/>
    <w:rsid w:val="00EA5BA2"/>
    <w:rsid w:val="00EB14C3"/>
    <w:rsid w:val="00EB1FAB"/>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51EA"/>
    <w:rsid w:val="00F16653"/>
    <w:rsid w:val="00F172BB"/>
    <w:rsid w:val="00F17B10"/>
    <w:rsid w:val="00F17BFE"/>
    <w:rsid w:val="00F20147"/>
    <w:rsid w:val="00F21BEF"/>
    <w:rsid w:val="00F2315B"/>
    <w:rsid w:val="00F24479"/>
    <w:rsid w:val="00F24E69"/>
    <w:rsid w:val="00F30CCE"/>
    <w:rsid w:val="00F31111"/>
    <w:rsid w:val="00F32970"/>
    <w:rsid w:val="00F40F11"/>
    <w:rsid w:val="00F41A6F"/>
    <w:rsid w:val="00F45A25"/>
    <w:rsid w:val="00F50F86"/>
    <w:rsid w:val="00F51A76"/>
    <w:rsid w:val="00F53862"/>
    <w:rsid w:val="00F53C9D"/>
    <w:rsid w:val="00F53F91"/>
    <w:rsid w:val="00F54B9F"/>
    <w:rsid w:val="00F60174"/>
    <w:rsid w:val="00F60C6D"/>
    <w:rsid w:val="00F61569"/>
    <w:rsid w:val="00F61A72"/>
    <w:rsid w:val="00F61D5F"/>
    <w:rsid w:val="00F62B67"/>
    <w:rsid w:val="00F66205"/>
    <w:rsid w:val="00F66F13"/>
    <w:rsid w:val="00F67B2C"/>
    <w:rsid w:val="00F70C79"/>
    <w:rsid w:val="00F71018"/>
    <w:rsid w:val="00F7145D"/>
    <w:rsid w:val="00F71B5E"/>
    <w:rsid w:val="00F7267F"/>
    <w:rsid w:val="00F729C5"/>
    <w:rsid w:val="00F74073"/>
    <w:rsid w:val="00F75603"/>
    <w:rsid w:val="00F77BE5"/>
    <w:rsid w:val="00F845B4"/>
    <w:rsid w:val="00F8713B"/>
    <w:rsid w:val="00F904FB"/>
    <w:rsid w:val="00F93F9E"/>
    <w:rsid w:val="00F950BC"/>
    <w:rsid w:val="00FA1D8D"/>
    <w:rsid w:val="00FA2CD7"/>
    <w:rsid w:val="00FA5AD5"/>
    <w:rsid w:val="00FA5E45"/>
    <w:rsid w:val="00FA7882"/>
    <w:rsid w:val="00FB06ED"/>
    <w:rsid w:val="00FC08A4"/>
    <w:rsid w:val="00FC202F"/>
    <w:rsid w:val="00FC3165"/>
    <w:rsid w:val="00FC36AB"/>
    <w:rsid w:val="00FC4300"/>
    <w:rsid w:val="00FC70BE"/>
    <w:rsid w:val="00FC794E"/>
    <w:rsid w:val="00FC7F66"/>
    <w:rsid w:val="00FD3FF4"/>
    <w:rsid w:val="00FD5776"/>
    <w:rsid w:val="00FD6878"/>
    <w:rsid w:val="00FD6A55"/>
    <w:rsid w:val="00FD6CF9"/>
    <w:rsid w:val="00FE1758"/>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23AEA"/>
  <w15:docId w15:val="{E68983C2-FA3A-4AC9-ADA6-86C1DED1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54A5"/>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3C7CB5"/>
    <w:pPr>
      <w:keepNext/>
      <w:numPr>
        <w:numId w:val="18"/>
      </w:numPr>
      <w:spacing w:before="240" w:after="60"/>
      <w:outlineLvl w:val="0"/>
    </w:pPr>
    <w:rPr>
      <w:rFonts w:cs="Arial"/>
      <w:b/>
      <w:bCs/>
      <w:kern w:val="32"/>
      <w:szCs w:val="18"/>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Char, Char"/>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3C7CB5"/>
    <w:rPr>
      <w:rFonts w:ascii="Verdana" w:hAnsi="Verdana" w:cs="Arial"/>
      <w:b/>
      <w:bCs/>
      <w:kern w:val="32"/>
      <w:sz w:val="18"/>
      <w:szCs w:val="18"/>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32567D"/>
    <w:rPr>
      <w:sz w:val="16"/>
      <w:szCs w:val="16"/>
    </w:rPr>
  </w:style>
  <w:style w:type="paragraph" w:styleId="Tekstopmerking">
    <w:name w:val="annotation text"/>
    <w:basedOn w:val="Standaard"/>
    <w:link w:val="TekstopmerkingChar"/>
    <w:uiPriority w:val="99"/>
    <w:rsid w:val="0032567D"/>
    <w:pPr>
      <w:spacing w:line="240" w:lineRule="auto"/>
    </w:pPr>
    <w:rPr>
      <w:sz w:val="20"/>
      <w:szCs w:val="20"/>
    </w:rPr>
  </w:style>
  <w:style w:type="character" w:customStyle="1" w:styleId="TekstopmerkingChar">
    <w:name w:val="Tekst opmerking Char"/>
    <w:basedOn w:val="Standaardalinea-lettertype"/>
    <w:link w:val="Tekstopmerking"/>
    <w:uiPriority w:val="99"/>
    <w:rsid w:val="0032567D"/>
    <w:rPr>
      <w:rFonts w:ascii="Verdana" w:hAnsi="Verdana"/>
      <w:lang w:val="nl-NL" w:eastAsia="nl-NL"/>
    </w:rPr>
  </w:style>
  <w:style w:type="paragraph" w:styleId="Onderwerpvanopmerking">
    <w:name w:val="annotation subject"/>
    <w:basedOn w:val="Tekstopmerking"/>
    <w:next w:val="Tekstopmerking"/>
    <w:link w:val="OnderwerpvanopmerkingChar"/>
    <w:rsid w:val="0032567D"/>
    <w:rPr>
      <w:b/>
      <w:bCs/>
    </w:rPr>
  </w:style>
  <w:style w:type="character" w:customStyle="1" w:styleId="OnderwerpvanopmerkingChar">
    <w:name w:val="Onderwerp van opmerking Char"/>
    <w:basedOn w:val="TekstopmerkingChar"/>
    <w:link w:val="Onderwerpvanopmerking"/>
    <w:rsid w:val="0032567D"/>
    <w:rPr>
      <w:rFonts w:ascii="Verdana" w:hAnsi="Verdana"/>
      <w:b/>
      <w:bCs/>
      <w:lang w:val="nl-NL" w:eastAsia="nl-NL"/>
    </w:rPr>
  </w:style>
  <w:style w:type="paragraph" w:styleId="Lijstalinea">
    <w:name w:val="List Paragraph"/>
    <w:basedOn w:val="Standaard"/>
    <w:uiPriority w:val="34"/>
    <w:qFormat/>
    <w:rsid w:val="008C617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aliases w:val="Char Char, Char Char"/>
    <w:basedOn w:val="Standaardalinea-lettertype"/>
    <w:link w:val="Voetnoottekst"/>
    <w:uiPriority w:val="99"/>
    <w:rsid w:val="008C6177"/>
    <w:rPr>
      <w:rFonts w:ascii="Verdana" w:hAnsi="Verdana"/>
      <w:sz w:val="13"/>
      <w:lang w:val="nl-NL" w:eastAsia="nl-NL"/>
    </w:rPr>
  </w:style>
  <w:style w:type="character" w:styleId="Voetnootmarkering">
    <w:name w:val="footnote reference"/>
    <w:basedOn w:val="Standaardalinea-lettertype"/>
    <w:uiPriority w:val="99"/>
    <w:unhideWhenUsed/>
    <w:rsid w:val="008C6177"/>
    <w:rPr>
      <w:vertAlign w:val="superscript"/>
    </w:rPr>
  </w:style>
  <w:style w:type="paragraph" w:styleId="Revisie">
    <w:name w:val="Revision"/>
    <w:hidden/>
    <w:uiPriority w:val="99"/>
    <w:semiHidden/>
    <w:rsid w:val="00DC687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9265B"/>
    <w:rPr>
      <w:color w:val="605E5C"/>
      <w:shd w:val="clear" w:color="auto" w:fill="E1DFDD"/>
    </w:rPr>
  </w:style>
  <w:style w:type="paragraph" w:styleId="Geenafstand">
    <w:name w:val="No Spacing"/>
    <w:uiPriority w:val="1"/>
    <w:qFormat/>
    <w:rsid w:val="00D2301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2025/05/15/bijlage-2-eindrapportage-verkenning-bezoek-holocaustlocaties" TargetMode="External"/><Relationship Id="rId3" Type="http://schemas.openxmlformats.org/officeDocument/2006/relationships/hyperlink" Target="https://www.cbs.nl/nl-nl/longread/rapportages/2022/herijking-onderwijsachterstandenindicator-primair-onderwijs-2021" TargetMode="External"/><Relationship Id="rId7" Type="http://schemas.openxmlformats.org/officeDocument/2006/relationships/hyperlink" Target="https://www.rijksoverheid.nl/documenten/2025/05/15/bijlage-1-peiling-ondersteuningsbehoeften-docenten-bij-lesgeven-over-de-holocaust" TargetMode="External"/><Relationship Id="rId2" Type="http://schemas.openxmlformats.org/officeDocument/2006/relationships/hyperlink" Target="https://www.onderwijsinspectie.nl/onderwerpen/onderzoekskaders" TargetMode="External"/><Relationship Id="rId1" Type="http://schemas.openxmlformats.org/officeDocument/2006/relationships/hyperlink" Target="https://www.onderwijsinspectie.nl/onderwerpen/onderzoekskaders" TargetMode="External"/><Relationship Id="rId6" Type="http://schemas.openxmlformats.org/officeDocument/2006/relationships/hyperlink" Target="https://www.rijksoverheid.nl/documenten/2025/05/15/bijlage-2-eindrapportage-verkenning-bezoek-holocaustlocaties" TargetMode="External"/><Relationship Id="rId5" Type="http://schemas.openxmlformats.org/officeDocument/2006/relationships/hyperlink" Target="https://www.rijksoverheid.nl/documenten/2025/05/15/bijlage-1-peiling-ondersteuningsbehoeften-docenten-bij-lesgeven-over-de-holocaust" TargetMode="External"/><Relationship Id="rId4" Type="http://schemas.openxmlformats.org/officeDocument/2006/relationships/hyperlink" Target="https://www.slo.nl/thema/meer/periodiekcurriculumonderhou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3935</ap:Words>
  <ap:Characters>21643</ap:Characters>
  <ap:DocSecurity>0</ap:DocSecurity>
  <ap:Lines>180</ap:Lines>
  <ap:Paragraphs>51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2026-07-01T14:28:00.0000000Z</lastPrinted>
  <dcterms:created xsi:type="dcterms:W3CDTF">2026-07-02T17:41:00.0000000Z</dcterms:created>
  <dcterms:modified xsi:type="dcterms:W3CDTF">2026-07-02T17:41:00.0000000Z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O200LEM</vt:lpwstr>
  </property>
  <property fmtid="{D5CDD505-2E9C-101B-9397-08002B2CF9AE}" pid="3" name="Author">
    <vt:lpwstr>O200LEM</vt:lpwstr>
  </property>
  <property fmtid="{D5CDD505-2E9C-101B-9397-08002B2CF9AE}" pid="4" name="cs_objectid">
    <vt:lpwstr>65046896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Verzamelbrief moties en toezeggingen funderend onderwijs</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O200LEM</vt:lpwstr>
  </property>
</Properties>
</file>