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B5F49" w:rsidTr="00D9561B" w14:paraId="6A01B3D6" w14:textId="77777777">
        <w:trPr>
          <w:trHeight w:val="1514"/>
        </w:trPr>
        <w:tc>
          <w:tcPr>
            <w:tcW w:w="7522" w:type="dxa"/>
            <w:tcBorders>
              <w:top w:val="nil"/>
              <w:left w:val="nil"/>
              <w:bottom w:val="nil"/>
              <w:right w:val="nil"/>
            </w:tcBorders>
            <w:tcMar>
              <w:left w:w="0" w:type="dxa"/>
              <w:right w:w="0" w:type="dxa"/>
            </w:tcMar>
          </w:tcPr>
          <w:p w:rsidR="00374412" w:rsidP="00D9561B" w:rsidRDefault="00DD133F" w14:paraId="5BC255EF" w14:textId="52936F16">
            <w:r>
              <w:t>De v</w:t>
            </w:r>
            <w:r w:rsidR="008E3932">
              <w:t>oorzitter van de Tweede Kamer der Staten-Generaal</w:t>
            </w:r>
          </w:p>
          <w:p w:rsidR="00374412" w:rsidP="00D9561B" w:rsidRDefault="00DD133F" w14:paraId="4967922F" w14:textId="77777777">
            <w:r>
              <w:t>Postbus 20018</w:t>
            </w:r>
          </w:p>
          <w:p w:rsidR="008E3932" w:rsidP="00D9561B" w:rsidRDefault="00DD133F" w14:paraId="255FDF2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B5F49" w:rsidTr="00FF66F9" w14:paraId="0F15D640" w14:textId="77777777">
        <w:trPr>
          <w:trHeight w:val="289" w:hRule="exact"/>
        </w:trPr>
        <w:tc>
          <w:tcPr>
            <w:tcW w:w="929" w:type="dxa"/>
          </w:tcPr>
          <w:p w:rsidRPr="00434042" w:rsidR="0005404B" w:rsidP="00FF66F9" w:rsidRDefault="00DD133F" w14:paraId="5E5D078F" w14:textId="77777777">
            <w:pPr>
              <w:rPr>
                <w:lang w:eastAsia="en-US"/>
              </w:rPr>
            </w:pPr>
            <w:r>
              <w:rPr>
                <w:lang w:eastAsia="en-US"/>
              </w:rPr>
              <w:t>Datum</w:t>
            </w:r>
          </w:p>
        </w:tc>
        <w:tc>
          <w:tcPr>
            <w:tcW w:w="6581" w:type="dxa"/>
          </w:tcPr>
          <w:p w:rsidRPr="00434042" w:rsidR="0005404B" w:rsidP="00FF66F9" w:rsidRDefault="006B5444" w14:paraId="31F7EB97" w14:textId="1FC62CEC">
            <w:pPr>
              <w:rPr>
                <w:lang w:eastAsia="en-US"/>
              </w:rPr>
            </w:pPr>
            <w:r>
              <w:rPr>
                <w:lang w:eastAsia="en-US"/>
              </w:rPr>
              <w:t>2 juli 2026</w:t>
            </w:r>
          </w:p>
        </w:tc>
      </w:tr>
      <w:tr w:rsidR="004B5F49" w:rsidTr="00FF66F9" w14:paraId="61AD22BF" w14:textId="77777777">
        <w:trPr>
          <w:trHeight w:val="368"/>
        </w:trPr>
        <w:tc>
          <w:tcPr>
            <w:tcW w:w="929" w:type="dxa"/>
          </w:tcPr>
          <w:p w:rsidR="0005404B" w:rsidP="00FF66F9" w:rsidRDefault="00DD133F" w14:paraId="53C91949" w14:textId="77777777">
            <w:pPr>
              <w:rPr>
                <w:lang w:eastAsia="en-US"/>
              </w:rPr>
            </w:pPr>
            <w:r>
              <w:rPr>
                <w:lang w:eastAsia="en-US"/>
              </w:rPr>
              <w:t>Betreft</w:t>
            </w:r>
          </w:p>
        </w:tc>
        <w:tc>
          <w:tcPr>
            <w:tcW w:w="6581" w:type="dxa"/>
          </w:tcPr>
          <w:p w:rsidR="0005404B" w:rsidP="00FF66F9" w:rsidRDefault="00E66D3D" w14:paraId="64DBDCA9" w14:textId="76BF3EEF">
            <w:pPr>
              <w:rPr>
                <w:lang w:eastAsia="en-US"/>
              </w:rPr>
            </w:pPr>
            <w:r>
              <w:rPr>
                <w:lang w:eastAsia="en-US"/>
              </w:rPr>
              <w:t>Herziening regels stichten</w:t>
            </w:r>
            <w:r w:rsidR="009D25A1">
              <w:rPr>
                <w:lang w:eastAsia="en-US"/>
              </w:rPr>
              <w:t xml:space="preserve"> en</w:t>
            </w:r>
            <w:r>
              <w:rPr>
                <w:lang w:eastAsia="en-US"/>
              </w:rPr>
              <w:t xml:space="preserve"> </w:t>
            </w:r>
            <w:proofErr w:type="spellStart"/>
            <w:r>
              <w:rPr>
                <w:lang w:eastAsia="en-US"/>
              </w:rPr>
              <w:t>instandhouden</w:t>
            </w:r>
            <w:proofErr w:type="spellEnd"/>
            <w:r>
              <w:rPr>
                <w:lang w:eastAsia="en-US"/>
              </w:rPr>
              <w:t xml:space="preserve"> en opheffen </w:t>
            </w:r>
          </w:p>
        </w:tc>
      </w:tr>
    </w:tbl>
    <w:p w:rsidR="004B5F49" w:rsidRDefault="004B5F49" w14:paraId="4A1AF40B" w14:textId="21DE4D23"/>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B5444" w:rsidR="004B5F49" w:rsidTr="006B5444" w14:paraId="633FA9B2" w14:textId="77777777">
        <w:trPr>
          <w:trHeight w:val="1848"/>
        </w:trPr>
        <w:tc>
          <w:tcPr>
            <w:tcW w:w="2160" w:type="dxa"/>
          </w:tcPr>
          <w:p w:rsidRPr="00F53C9D" w:rsidR="006205C0" w:rsidP="00686AED" w:rsidRDefault="00DD133F" w14:paraId="0711311A" w14:textId="77777777">
            <w:pPr>
              <w:pStyle w:val="Colofonkop"/>
              <w:framePr w:hSpace="0" w:wrap="auto" w:hAnchor="text" w:vAnchor="margin" w:xAlign="left" w:yAlign="inline"/>
            </w:pPr>
            <w:r>
              <w:t>Onderwijspersoneel en Primair Onderwijs</w:t>
            </w:r>
          </w:p>
          <w:p w:rsidR="006205C0" w:rsidP="00A421A1" w:rsidRDefault="00DD133F" w14:paraId="39956386" w14:textId="77777777">
            <w:pPr>
              <w:pStyle w:val="Huisstijl-Gegeven"/>
              <w:spacing w:after="0"/>
            </w:pPr>
            <w:r>
              <w:t xml:space="preserve">Rijnstraat 50 </w:t>
            </w:r>
          </w:p>
          <w:p w:rsidR="004425A7" w:rsidP="00E972A2" w:rsidRDefault="00DD133F" w14:paraId="3317E48C" w14:textId="77777777">
            <w:pPr>
              <w:pStyle w:val="Huisstijl-Gegeven"/>
              <w:spacing w:after="0"/>
            </w:pPr>
            <w:r>
              <w:t>Den Haag</w:t>
            </w:r>
          </w:p>
          <w:p w:rsidR="004425A7" w:rsidP="00E972A2" w:rsidRDefault="00DD133F" w14:paraId="36A792AC" w14:textId="77777777">
            <w:pPr>
              <w:pStyle w:val="Huisstijl-Gegeven"/>
              <w:spacing w:after="0"/>
            </w:pPr>
            <w:r>
              <w:t>Postbus 16375</w:t>
            </w:r>
          </w:p>
          <w:p w:rsidR="004425A7" w:rsidP="00E972A2" w:rsidRDefault="00DD133F" w14:paraId="55B292B8" w14:textId="77777777">
            <w:pPr>
              <w:pStyle w:val="Huisstijl-Gegeven"/>
              <w:spacing w:after="0"/>
            </w:pPr>
            <w:r>
              <w:t>2500 BJ Den Haag</w:t>
            </w:r>
          </w:p>
          <w:p w:rsidR="004425A7" w:rsidP="00E972A2" w:rsidRDefault="00DD133F" w14:paraId="3EB38C90" w14:textId="77777777">
            <w:pPr>
              <w:pStyle w:val="Huisstijl-Gegeven"/>
              <w:spacing w:after="90"/>
            </w:pPr>
            <w:r>
              <w:t>www.rijksoverheid.nl</w:t>
            </w:r>
          </w:p>
          <w:p w:rsidRPr="00D86CC6" w:rsidR="006205C0" w:rsidP="00A421A1" w:rsidRDefault="00DD133F" w14:paraId="0924437D" w14:textId="77777777">
            <w:pPr>
              <w:spacing w:line="180" w:lineRule="exact"/>
              <w:rPr>
                <w:b/>
                <w:sz w:val="13"/>
                <w:szCs w:val="13"/>
              </w:rPr>
            </w:pPr>
            <w:r>
              <w:rPr>
                <w:b/>
                <w:sz w:val="13"/>
                <w:szCs w:val="13"/>
              </w:rPr>
              <w:t>Contactpersoon</w:t>
            </w:r>
          </w:p>
          <w:p w:rsidR="006205C0" w:rsidP="006B5444" w:rsidRDefault="006205C0" w14:paraId="666B7943" w14:textId="77777777">
            <w:pPr>
              <w:spacing w:after="90" w:line="180" w:lineRule="exact"/>
              <w:rPr>
                <w:sz w:val="13"/>
                <w:szCs w:val="13"/>
              </w:rPr>
            </w:pPr>
          </w:p>
          <w:p w:rsidRPr="006B5444" w:rsidR="006B5444" w:rsidP="006B5444" w:rsidRDefault="006B5444" w14:paraId="2A6E4451" w14:textId="0C2A816F">
            <w:pPr>
              <w:spacing w:after="90" w:line="180" w:lineRule="exact"/>
              <w:rPr>
                <w:sz w:val="13"/>
                <w:szCs w:val="13"/>
              </w:rPr>
            </w:pPr>
          </w:p>
        </w:tc>
      </w:tr>
      <w:tr w:rsidRPr="006B5444" w:rsidR="004B5F49" w:rsidTr="00A421A1" w14:paraId="5CAA284E" w14:textId="77777777">
        <w:trPr>
          <w:trHeight w:val="200" w:hRule="exact"/>
        </w:trPr>
        <w:tc>
          <w:tcPr>
            <w:tcW w:w="2160" w:type="dxa"/>
          </w:tcPr>
          <w:p w:rsidRPr="005F5F04" w:rsidR="006205C0" w:rsidP="00A421A1" w:rsidRDefault="006205C0" w14:paraId="1C5DFC70" w14:textId="77777777">
            <w:pPr>
              <w:spacing w:after="90" w:line="180" w:lineRule="exact"/>
              <w:rPr>
                <w:sz w:val="13"/>
                <w:szCs w:val="13"/>
                <w:lang w:val="en-US"/>
              </w:rPr>
            </w:pPr>
          </w:p>
        </w:tc>
      </w:tr>
      <w:tr w:rsidR="004B5F49" w:rsidTr="00A421A1" w14:paraId="35609B69" w14:textId="77777777">
        <w:trPr>
          <w:trHeight w:val="450"/>
        </w:trPr>
        <w:tc>
          <w:tcPr>
            <w:tcW w:w="2160" w:type="dxa"/>
          </w:tcPr>
          <w:p w:rsidR="00F51A76" w:rsidP="00A421A1" w:rsidRDefault="00DD133F" w14:paraId="06D92D74" w14:textId="77777777">
            <w:pPr>
              <w:spacing w:line="180" w:lineRule="exact"/>
              <w:rPr>
                <w:b/>
                <w:sz w:val="13"/>
                <w:szCs w:val="13"/>
              </w:rPr>
            </w:pPr>
            <w:r>
              <w:rPr>
                <w:b/>
                <w:sz w:val="13"/>
                <w:szCs w:val="13"/>
              </w:rPr>
              <w:t>Onze referentie</w:t>
            </w:r>
          </w:p>
          <w:p w:rsidRPr="00FA7882" w:rsidR="006205C0" w:rsidP="00215356" w:rsidRDefault="00DD133F" w14:paraId="54B16AF2" w14:textId="77777777">
            <w:pPr>
              <w:spacing w:line="180" w:lineRule="exact"/>
              <w:rPr>
                <w:sz w:val="13"/>
                <w:szCs w:val="13"/>
              </w:rPr>
            </w:pPr>
            <w:r>
              <w:rPr>
                <w:sz w:val="13"/>
                <w:szCs w:val="13"/>
              </w:rPr>
              <w:t>63894823</w:t>
            </w:r>
          </w:p>
        </w:tc>
      </w:tr>
      <w:tr w:rsidR="004B5F49" w:rsidTr="00D130C0" w14:paraId="0EAE7AC1" w14:textId="77777777">
        <w:trPr>
          <w:trHeight w:val="113"/>
        </w:trPr>
        <w:tc>
          <w:tcPr>
            <w:tcW w:w="2160" w:type="dxa"/>
          </w:tcPr>
          <w:p w:rsidRPr="00C5333A" w:rsidR="006205C0" w:rsidP="00D36088" w:rsidRDefault="00DD133F" w14:paraId="5636C849" w14:textId="77777777">
            <w:pPr>
              <w:tabs>
                <w:tab w:val="center" w:pos="1080"/>
              </w:tabs>
              <w:spacing w:line="180" w:lineRule="exact"/>
              <w:rPr>
                <w:sz w:val="13"/>
                <w:szCs w:val="13"/>
              </w:rPr>
            </w:pPr>
            <w:r>
              <w:rPr>
                <w:b/>
                <w:sz w:val="13"/>
                <w:szCs w:val="13"/>
              </w:rPr>
              <w:t>Bijlagen</w:t>
            </w:r>
          </w:p>
        </w:tc>
      </w:tr>
      <w:tr w:rsidR="004B5F49" w:rsidTr="00D130C0" w14:paraId="04AC96DE" w14:textId="77777777">
        <w:trPr>
          <w:trHeight w:val="113"/>
        </w:trPr>
        <w:tc>
          <w:tcPr>
            <w:tcW w:w="2160" w:type="dxa"/>
          </w:tcPr>
          <w:p w:rsidRPr="00D74F66" w:rsidR="006205C0" w:rsidP="00A421A1" w:rsidRDefault="006205C0" w14:paraId="56A7F69C" w14:textId="77777777">
            <w:pPr>
              <w:spacing w:after="90" w:line="180" w:lineRule="exact"/>
              <w:rPr>
                <w:sz w:val="13"/>
              </w:rPr>
            </w:pPr>
          </w:p>
        </w:tc>
      </w:tr>
    </w:tbl>
    <w:p w:rsidR="00B92118" w:rsidP="00A633A0" w:rsidRDefault="004F5315" w14:paraId="06E73937" w14:textId="7B365B93">
      <w:r>
        <w:t xml:space="preserve">Onderwijs biedt vooruitgang: voor leerlingen en hun ontwikkeling, maar ook voor onze samenleving en ons land. </w:t>
      </w:r>
      <w:r w:rsidR="00C84244">
        <w:t>Onderwijs is bepalend voor de uitgangspositie van kinderen,</w:t>
      </w:r>
      <w:r w:rsidR="00031B1C">
        <w:t xml:space="preserve"> </w:t>
      </w:r>
      <w:r>
        <w:t>voor vervolgonderwijs en</w:t>
      </w:r>
      <w:r w:rsidR="00C84244">
        <w:t xml:space="preserve"> </w:t>
      </w:r>
      <w:r w:rsidR="00031B1C">
        <w:t xml:space="preserve">voor </w:t>
      </w:r>
      <w:r>
        <w:t xml:space="preserve">een leven als </w:t>
      </w:r>
      <w:r w:rsidR="00031B1C">
        <w:t xml:space="preserve">vrije, zelfstandige </w:t>
      </w:r>
      <w:r>
        <w:t xml:space="preserve"> volwassene</w:t>
      </w:r>
      <w:r w:rsidR="00F16D3E">
        <w:t xml:space="preserve">. </w:t>
      </w:r>
      <w:r w:rsidR="00E43927">
        <w:t xml:space="preserve">In Nederland staat de kwaliteit van het onderwijs </w:t>
      </w:r>
      <w:r w:rsidR="00031B1C">
        <w:t xml:space="preserve">al geruime tijd </w:t>
      </w:r>
      <w:r w:rsidR="00E43927">
        <w:t xml:space="preserve">onder </w:t>
      </w:r>
      <w:r w:rsidR="00B92118">
        <w:t>spanning</w:t>
      </w:r>
      <w:r w:rsidR="00E43927">
        <w:t xml:space="preserve">. </w:t>
      </w:r>
      <w:r w:rsidR="00031B1C">
        <w:t xml:space="preserve">Dit </w:t>
      </w:r>
      <w:r w:rsidR="00F16D3E">
        <w:t>wordt mede veroorzaakt door de oplopende personeels- en huisvestingstekorten</w:t>
      </w:r>
      <w:r>
        <w:t>.</w:t>
      </w:r>
      <w:r w:rsidR="00F16D3E">
        <w:t xml:space="preserve"> </w:t>
      </w:r>
    </w:p>
    <w:p w:rsidR="00B92118" w:rsidP="00A633A0" w:rsidRDefault="00B92118" w14:paraId="78D32A4E" w14:textId="77777777"/>
    <w:p w:rsidR="00C84244" w:rsidP="0058678E" w:rsidRDefault="00A3000C" w14:paraId="561E0801" w14:textId="7139FC77">
      <w:r>
        <w:t xml:space="preserve">De huidige regels rondom het stichten, </w:t>
      </w:r>
      <w:proofErr w:type="spellStart"/>
      <w:r>
        <w:t>instandhouden</w:t>
      </w:r>
      <w:proofErr w:type="spellEnd"/>
      <w:r>
        <w:t xml:space="preserve"> en opheffen van scholen zorgen voor extra druk op de oplopende personeels- en huisvestingstekorten, wat een risico vormt voor de onderwijskwaliteit. </w:t>
      </w:r>
      <w:r w:rsidR="00031B1C">
        <w:t xml:space="preserve">Een </w:t>
      </w:r>
      <w:r>
        <w:t xml:space="preserve">belangrijke </w:t>
      </w:r>
      <w:r w:rsidR="00031B1C">
        <w:t>factor</w:t>
      </w:r>
      <w:r>
        <w:t xml:space="preserve"> binnen die regels</w:t>
      </w:r>
      <w:r w:rsidR="00031B1C">
        <w:t xml:space="preserve"> is het grote aantal te kleine basisscholen in ons land.</w:t>
      </w:r>
      <w:r>
        <w:t xml:space="preserve"> </w:t>
      </w:r>
      <w:r w:rsidR="00AC47E1">
        <w:t>Er zijn honderden</w:t>
      </w:r>
      <w:r>
        <w:t xml:space="preserve"> basisscholen die onder de gedifferentieerde gemeentelijke opheffingsnorm zitten.</w:t>
      </w:r>
      <w:r w:rsidR="00031B1C">
        <w:t xml:space="preserve"> </w:t>
      </w:r>
      <w:r w:rsidR="006B4D6D">
        <w:t xml:space="preserve">In het licht van de huidige tekorten is het niet langer houdbaar om zoveel te kleine scholen in stand te houden. </w:t>
      </w:r>
      <w:r w:rsidR="00840000">
        <w:t xml:space="preserve">Om het scholenlandschap toekomstbestendig in te richten, is het nodig de regels te herzien. </w:t>
      </w:r>
    </w:p>
    <w:p w:rsidR="00741F2C" w:rsidP="0058678E" w:rsidRDefault="00741F2C" w14:paraId="66F57FE0" w14:textId="77777777"/>
    <w:p w:rsidR="00B92118" w:rsidP="0058678E" w:rsidRDefault="00741F2C" w14:paraId="32B64451" w14:textId="1F1A4A09">
      <w:r>
        <w:t xml:space="preserve">Vanwege de grote samenhang tussen stichten, </w:t>
      </w:r>
      <w:proofErr w:type="spellStart"/>
      <w:r>
        <w:t>instandhouden</w:t>
      </w:r>
      <w:proofErr w:type="spellEnd"/>
      <w:r>
        <w:t xml:space="preserve"> en opheffen kan niet aan één knop worden gedraaid, maar moet het geheel aan regels worden bezien. </w:t>
      </w:r>
      <w:r w:rsidR="000F4477">
        <w:t>We</w:t>
      </w:r>
      <w:r>
        <w:t xml:space="preserve"> zijn </w:t>
      </w:r>
      <w:r w:rsidR="00840000">
        <w:t>hierover</w:t>
      </w:r>
      <w:r>
        <w:t xml:space="preserve"> al enige tijd met veldpartijen in gesprek. </w:t>
      </w:r>
      <w:r w:rsidR="00E66D3D">
        <w:t>Uit deze gesprekken</w:t>
      </w:r>
      <w:r w:rsidR="00FF598F">
        <w:t xml:space="preserve">, </w:t>
      </w:r>
      <w:r w:rsidR="00E66D3D">
        <w:t xml:space="preserve">verschillende onderzoeken en </w:t>
      </w:r>
      <w:r w:rsidR="00FF598F">
        <w:t>de</w:t>
      </w:r>
      <w:r w:rsidR="00E66D3D">
        <w:t xml:space="preserve"> evaluatie van de stichtingsprocedure </w:t>
      </w:r>
      <w:r w:rsidR="00761547">
        <w:t>is</w:t>
      </w:r>
      <w:r w:rsidR="00E66D3D">
        <w:t xml:space="preserve"> een aantal </w:t>
      </w:r>
      <w:r w:rsidR="00840000">
        <w:t>zaken naar voren gekomen die aanpassing behoeven</w:t>
      </w:r>
      <w:r w:rsidR="00E66D3D">
        <w:t xml:space="preserve">. </w:t>
      </w:r>
      <w:r w:rsidR="00840000">
        <w:t>Deze zijn hieronder uiteengezet.</w:t>
      </w:r>
      <w:r w:rsidR="00E66D3D">
        <w:t xml:space="preserve"> </w:t>
      </w:r>
    </w:p>
    <w:p w:rsidR="00E66D3D" w:rsidP="0058678E" w:rsidRDefault="00E66D3D" w14:paraId="68BAEDCF" w14:textId="77777777"/>
    <w:p w:rsidRPr="005C2A4C" w:rsidR="00E66D3D" w:rsidP="0058678E" w:rsidRDefault="00E66D3D" w14:paraId="081EBE15" w14:textId="60673F27">
      <w:pPr>
        <w:rPr>
          <w:b/>
          <w:bCs/>
        </w:rPr>
      </w:pPr>
      <w:r w:rsidRPr="005C2A4C">
        <w:rPr>
          <w:b/>
          <w:bCs/>
        </w:rPr>
        <w:t>Stichten van nieuwe scholen</w:t>
      </w:r>
    </w:p>
    <w:p w:rsidR="00E66D3D" w:rsidP="0058678E" w:rsidRDefault="00E66D3D" w14:paraId="00BEF1A2" w14:textId="422270B3">
      <w:r>
        <w:rPr>
          <w:i/>
          <w:iCs/>
        </w:rPr>
        <w:t>Huidige regelgeving</w:t>
      </w:r>
    </w:p>
    <w:p w:rsidR="00855226" w:rsidP="00A633A0" w:rsidRDefault="00741F2C" w14:paraId="408B842D" w14:textId="477ED77E">
      <w:r w:rsidRPr="005C2A4C">
        <w:t>Elk</w:t>
      </w:r>
      <w:r w:rsidRPr="00795A02" w:rsidR="00736D9F">
        <w:t xml:space="preserve"> jaar </w:t>
      </w:r>
      <w:r w:rsidRPr="005C2A4C">
        <w:t xml:space="preserve">komen er </w:t>
      </w:r>
      <w:r w:rsidRPr="00795A02" w:rsidR="00736D9F">
        <w:t>nieuwe scholen bij in Nederland.</w:t>
      </w:r>
      <w:r w:rsidRPr="005C2A4C" w:rsidR="00E61218">
        <w:rPr>
          <w:rStyle w:val="Voetnootmarkering"/>
        </w:rPr>
        <w:footnoteReference w:id="1"/>
      </w:r>
      <w:r w:rsidRPr="00795A02" w:rsidR="00736D9F">
        <w:t xml:space="preserve"> Dit is een groot goed dat </w:t>
      </w:r>
      <w:r w:rsidRPr="00795A02" w:rsidR="00855226">
        <w:t xml:space="preserve">voortvloeit uit onze </w:t>
      </w:r>
      <w:r w:rsidRPr="00795A02" w:rsidR="00736D9F">
        <w:t xml:space="preserve">Grondwet </w:t>
      </w:r>
      <w:r w:rsidRPr="00795A02" w:rsidR="00855226">
        <w:t>(artikel 23)</w:t>
      </w:r>
      <w:r w:rsidRPr="00795A02" w:rsidR="00736D9F">
        <w:t>: iedereen is vrij om een school te stichten mits deze aan een aantal eisen voldoet.</w:t>
      </w:r>
      <w:r w:rsidR="00736D9F">
        <w:t xml:space="preserve"> </w:t>
      </w:r>
      <w:r w:rsidR="00855226">
        <w:t>Met de wet Meer Ruimte voor Nieuwe Scholen (</w:t>
      </w:r>
      <w:proofErr w:type="spellStart"/>
      <w:r w:rsidR="00855226">
        <w:t>MRvNS</w:t>
      </w:r>
      <w:proofErr w:type="spellEnd"/>
      <w:r w:rsidR="00855226">
        <w:t>) zijn de aanvraagprocedure voor een nieuwe school en de eisen waaraan een aanvraag moet voldoen, ingrijpend veranderd. Een nieuwe school hoeft niet langer te behoren tot een erkende richting (</w:t>
      </w:r>
      <w:r w:rsidRPr="00901FEF" w:rsidR="00855226">
        <w:t>zoals protestants-</w:t>
      </w:r>
      <w:r w:rsidRPr="00901FEF" w:rsidR="00855226">
        <w:lastRenderedPageBreak/>
        <w:t xml:space="preserve">christelijk). Allereerst omdat de richting van een school voor steeds meer ouders van ondergeschikt belang is. Maar ook omdat </w:t>
      </w:r>
      <w:r w:rsidR="00855226">
        <w:t>het</w:t>
      </w:r>
      <w:r w:rsidRPr="00901FEF" w:rsidR="00855226">
        <w:t xml:space="preserve"> systeem ervoor zorgde dat het </w:t>
      </w:r>
      <w:r w:rsidR="00855226">
        <w:t>scholen</w:t>
      </w:r>
      <w:r w:rsidRPr="00901FEF" w:rsidR="00855226">
        <w:t>aanbod niet goed kon meebewegen met de behoeften van ouders en</w:t>
      </w:r>
      <w:r w:rsidR="00855226">
        <w:t xml:space="preserve"> leerlingen.</w:t>
      </w:r>
    </w:p>
    <w:p w:rsidR="00855226" w:rsidP="00A633A0" w:rsidRDefault="00855226" w14:paraId="1F6DB7A3" w14:textId="77777777"/>
    <w:p w:rsidR="00A3000C" w:rsidP="00855226" w:rsidRDefault="00855226" w14:paraId="0E2F7264" w14:textId="681DC839">
      <w:pPr>
        <w:spacing w:line="276" w:lineRule="auto"/>
      </w:pPr>
      <w:r>
        <w:t xml:space="preserve">Met de wet </w:t>
      </w:r>
      <w:proofErr w:type="spellStart"/>
      <w:r>
        <w:t>MRvNS</w:t>
      </w:r>
      <w:proofErr w:type="spellEnd"/>
      <w:r>
        <w:t xml:space="preserve"> ligt de focus ligt op levensvatbaarheid en onderwijskwaliteit. De oude indirecte belangstellingsmeting, waarbij ouders geen stem hadden, is vervangen door </w:t>
      </w:r>
      <w:r w:rsidR="008E10D2">
        <w:t xml:space="preserve">een belangstellingsmeting onder </w:t>
      </w:r>
      <w:r>
        <w:t>ouder</w:t>
      </w:r>
      <w:r w:rsidR="008E10D2">
        <w:t>s</w:t>
      </w:r>
      <w:r>
        <w:t xml:space="preserve"> wonend in het voedingsgebied met kinderen in bepaalde leeftijdscategorieën. </w:t>
      </w:r>
      <w:r w:rsidR="00A3000C">
        <w:t xml:space="preserve">De levensvatbaarheid is van belang in het licht van de tekorten en moet ook </w:t>
      </w:r>
      <w:r w:rsidR="009E01DE">
        <w:t>in de praktijk worden aangetoond</w:t>
      </w:r>
      <w:r w:rsidR="00A3000C">
        <w:t>; als scholen halverwege</w:t>
      </w:r>
      <w:r w:rsidR="009E01DE">
        <w:t xml:space="preserve"> de cursusduur</w:t>
      </w:r>
      <w:r w:rsidR="00A3000C">
        <w:t xml:space="preserve"> onvoldoende leerlingen hebben dan stopt de bekostiging. Daarbij wordt uitgegaan van de stichtingsnorm, wat een significant hogere norm is dan de opheffingsnor</w:t>
      </w:r>
      <w:r w:rsidR="00C201D5">
        <w:t>m</w:t>
      </w:r>
      <w:r w:rsidR="00A3000C">
        <w:t>.</w:t>
      </w:r>
    </w:p>
    <w:p w:rsidR="00A3000C" w:rsidP="00855226" w:rsidRDefault="00A3000C" w14:paraId="368A2A24" w14:textId="77777777">
      <w:pPr>
        <w:spacing w:line="276" w:lineRule="auto"/>
      </w:pPr>
    </w:p>
    <w:p w:rsidR="00855226" w:rsidP="00855226" w:rsidRDefault="00855226" w14:paraId="43701BDB" w14:textId="59972F89">
      <w:pPr>
        <w:spacing w:line="276" w:lineRule="auto"/>
      </w:pPr>
      <w:r>
        <w:t xml:space="preserve">Ook is een kwaliteitstoets onderdeel van de wet </w:t>
      </w:r>
      <w:proofErr w:type="spellStart"/>
      <w:r>
        <w:t>MRvNS</w:t>
      </w:r>
      <w:proofErr w:type="spellEnd"/>
      <w:r>
        <w:t>. Alleen als de inspectie positief is over alle zes deugdelijkheidseisen</w:t>
      </w:r>
      <w:r w:rsidR="00FF598F">
        <w:rPr>
          <w:rStyle w:val="Voetnootmarkering"/>
        </w:rPr>
        <w:footnoteReference w:id="2"/>
      </w:r>
      <w:r>
        <w:t xml:space="preserve"> en dus de te verwachten onderwijskwaliteit, krijgt de school een positief bekostigingsbesluit. </w:t>
      </w:r>
    </w:p>
    <w:p w:rsidR="00855226" w:rsidP="00A633A0" w:rsidRDefault="00855226" w14:paraId="5FB18B88" w14:textId="77777777"/>
    <w:p w:rsidR="00E66D3D" w:rsidP="00A633A0" w:rsidRDefault="00E66D3D" w14:paraId="09B45BBB" w14:textId="1C69564D">
      <w:pPr>
        <w:rPr>
          <w:i/>
          <w:iCs/>
        </w:rPr>
      </w:pPr>
      <w:r>
        <w:rPr>
          <w:i/>
          <w:iCs/>
        </w:rPr>
        <w:t>Evaluatie van de Wet Meer Ruimte voor Nieuwe Scholen (</w:t>
      </w:r>
      <w:proofErr w:type="spellStart"/>
      <w:r>
        <w:rPr>
          <w:i/>
          <w:iCs/>
        </w:rPr>
        <w:t>MRvNS</w:t>
      </w:r>
      <w:proofErr w:type="spellEnd"/>
      <w:r>
        <w:rPr>
          <w:i/>
          <w:iCs/>
        </w:rPr>
        <w:t>)</w:t>
      </w:r>
    </w:p>
    <w:p w:rsidR="00E66D3D" w:rsidP="00E66D3D" w:rsidRDefault="00E66D3D" w14:paraId="5F85CCF0" w14:textId="61204FCA">
      <w:pPr>
        <w:spacing w:line="276" w:lineRule="auto"/>
      </w:pPr>
      <w:r>
        <w:t xml:space="preserve">De wet is de afgelopen vijf jaar gemonitord en geëvalueerd. Voor 2026-2030 en 2031-2035 zijn nog twee evaluatieperiodes gepland. In de evaluatie valt te lezen dat de wet doet waarvoor hij bedoeld is: </w:t>
      </w:r>
      <w:r w:rsidRPr="00353A3A">
        <w:t>er </w:t>
      </w:r>
      <w:r>
        <w:t>zijn</w:t>
      </w:r>
      <w:r w:rsidRPr="00353A3A">
        <w:t xml:space="preserve"> nieuwe scholen </w:t>
      </w:r>
      <w:r>
        <w:t xml:space="preserve">opgericht </w:t>
      </w:r>
      <w:r w:rsidRPr="00353A3A">
        <w:t>die aansluiten op de behoefte</w:t>
      </w:r>
      <w:r>
        <w:t>n</w:t>
      </w:r>
      <w:r w:rsidRPr="00353A3A">
        <w:t xml:space="preserve"> van ouders en leerlingen</w:t>
      </w:r>
      <w:r>
        <w:t xml:space="preserve">. De belangstellingsmeting stelt ouders in staat zich uit te spreken over hun onderwijswensen. </w:t>
      </w:r>
      <w:r w:rsidR="007776D3">
        <w:t xml:space="preserve">Uit de evaluatie en cijfers van de inspectie blijkt dat de onderwijskwaliteit naar behoren is. Van de 96 scholen die sinds 2023 zijn gestart, kregen 70 scholen een voldoende en 23 een oordeel onvoldoende of zeer zwak. Van drie scholen is het inspectieoordeel nog niet definitief. De inspectie heeft tot nu toe 10 (van de 23) herstelonderzoeken afgerond en kende alle scholen </w:t>
      </w:r>
      <w:r w:rsidR="00FF598F">
        <w:t xml:space="preserve">daarna </w:t>
      </w:r>
      <w:r w:rsidR="007776D3">
        <w:t>een voldoende toe. De andere herstelonderzoeken zijn nog niet afgerond.</w:t>
      </w:r>
      <w:r>
        <w:t xml:space="preserve"> Ook </w:t>
      </w:r>
      <w:r w:rsidR="00FF598F">
        <w:t>laat de evaluatie zien dat</w:t>
      </w:r>
      <w:r>
        <w:t xml:space="preserve"> nieuwe scholen onderwijspersoneel</w:t>
      </w:r>
      <w:r w:rsidR="00FF598F">
        <w:t xml:space="preserve"> aantrekken</w:t>
      </w:r>
      <w:r>
        <w:t xml:space="preserve">, dat niet eerder werkzaam was bij een andere school. Tot slot ziet 78% van de gemeenten de nieuwe school als een aanvulling op het bestaande aanbod. </w:t>
      </w:r>
    </w:p>
    <w:p w:rsidR="00E66D3D" w:rsidP="00E66D3D" w:rsidRDefault="00E66D3D" w14:paraId="2B140BE6" w14:textId="77777777">
      <w:pPr>
        <w:spacing w:line="276" w:lineRule="auto"/>
      </w:pPr>
    </w:p>
    <w:p w:rsidRPr="00582976" w:rsidR="00582976" w:rsidP="00582976" w:rsidRDefault="00582976" w14:paraId="51844C0C" w14:textId="77777777">
      <w:pPr>
        <w:spacing w:line="276" w:lineRule="auto"/>
      </w:pPr>
      <w:r w:rsidRPr="00582976">
        <w:t xml:space="preserve">Sinds de invoering van </w:t>
      </w:r>
      <w:proofErr w:type="spellStart"/>
      <w:r w:rsidRPr="00582976">
        <w:t>MRvNS</w:t>
      </w:r>
      <w:proofErr w:type="spellEnd"/>
      <w:r w:rsidRPr="00582976">
        <w:t xml:space="preserve"> zijn meer scholen gesticht, met name in het basisonderwijs. Hoewel deze ontwikkeling was verwacht en het aantal nieuwe po- en vo-scholen (96) beperkt is ten opzichte van het totaal aantal scholen (circa 7.500), kan een nieuwe school grote impact hebben op een lokale situatie (bijvoorbeeld voor de onderwijshuisvesting en de personeelstekorten). Zo staat een gemeente aan de lat om binnen veertien maanden passende onderwijshuisvesting te organiseren. Dit kan extra drukken op de toch al schaarse huisvesting, met name in (grote) steden. Meer grip op het aantal nieuwe scholen binnen bepaalde regio’s is daarom steeds meer noodzaak. Ik ga breed verkennen welke mogelijkheden daartoe zijn. </w:t>
      </w:r>
    </w:p>
    <w:p w:rsidR="00A3000C" w:rsidP="00E66D3D" w:rsidRDefault="00A3000C" w14:paraId="51D52CBB" w14:textId="77777777">
      <w:pPr>
        <w:spacing w:line="276" w:lineRule="auto"/>
      </w:pPr>
    </w:p>
    <w:p w:rsidR="00132D61" w:rsidP="00E66D3D" w:rsidRDefault="00FF598F" w14:paraId="262C20EE" w14:textId="0163D36E">
      <w:pPr>
        <w:spacing w:line="276" w:lineRule="auto"/>
      </w:pPr>
      <w:r w:rsidRPr="00FF598F">
        <w:lastRenderedPageBreak/>
        <w:t xml:space="preserve">Uit de evaluatie blijkt </w:t>
      </w:r>
      <w:r w:rsidR="00A3000C">
        <w:t xml:space="preserve">verder </w:t>
      </w:r>
      <w:r w:rsidRPr="00FF598F">
        <w:t xml:space="preserve">dat sommige gemeenten zich zorgen maken over de </w:t>
      </w:r>
      <w:r w:rsidR="00D25339">
        <w:t xml:space="preserve">maatschappelijke </w:t>
      </w:r>
      <w:r w:rsidRPr="00FF598F">
        <w:t xml:space="preserve">gevolgen van nieuwe scholen. Met betrekking tot onderwijssegregatie wijzen gemeenten op het feit dat er scholen worden opgericht </w:t>
      </w:r>
      <w:r w:rsidR="00D25339">
        <w:t xml:space="preserve">die </w:t>
      </w:r>
      <w:r w:rsidRPr="00FF598F">
        <w:t xml:space="preserve">gestoeld </w:t>
      </w:r>
      <w:r w:rsidR="00D25339">
        <w:t xml:space="preserve">zijn </w:t>
      </w:r>
      <w:r w:rsidRPr="00FF598F">
        <w:t>op vernieuwende onderwijsconcepten of religieuze overwegingen, en dat dit de segregatie verder in de hand zou kunnen werken</w:t>
      </w:r>
      <w:r w:rsidR="00D25339">
        <w:t>.</w:t>
      </w:r>
      <w:r>
        <w:rPr>
          <w:rStyle w:val="Voetnootmarkering"/>
        </w:rPr>
        <w:footnoteReference w:id="3"/>
      </w:r>
      <w:r w:rsidRPr="00FF598F">
        <w:t xml:space="preserve"> De cijfers uit de evaluatie </w:t>
      </w:r>
      <w:r w:rsidR="00D25339">
        <w:t>bevestigen deze zorg niet.</w:t>
      </w:r>
      <w:r w:rsidR="00D25339">
        <w:rPr>
          <w:rStyle w:val="Voetnootmarkering"/>
        </w:rPr>
        <w:footnoteReference w:id="4"/>
      </w:r>
      <w:r w:rsidRPr="00FF598F">
        <w:t xml:space="preserve"> </w:t>
      </w:r>
    </w:p>
    <w:p w:rsidR="00132D61" w:rsidP="00E66D3D" w:rsidRDefault="00132D61" w14:paraId="72DCCC54" w14:textId="77777777">
      <w:pPr>
        <w:spacing w:line="276" w:lineRule="auto"/>
      </w:pPr>
    </w:p>
    <w:p w:rsidR="00A3000C" w:rsidP="00E66D3D" w:rsidRDefault="00E66D3D" w14:paraId="12F73121" w14:textId="4AD8EF85">
      <w:pPr>
        <w:spacing w:line="276" w:lineRule="auto"/>
      </w:pPr>
      <w:r>
        <w:t>De verschillende belangenorganisaties</w:t>
      </w:r>
      <w:r w:rsidR="00D25339">
        <w:rPr>
          <w:rStyle w:val="Voetnootmarkering"/>
        </w:rPr>
        <w:footnoteReference w:id="5"/>
      </w:r>
      <w:r>
        <w:t xml:space="preserve"> in het onderwijs zijn van mening dat de stichtingsprocedure positieve en negatieve effecten heeft. </w:t>
      </w:r>
      <w:r w:rsidR="00C201D5">
        <w:t>Zij zijn</w:t>
      </w:r>
      <w:r w:rsidR="00D25339">
        <w:t xml:space="preserve"> positief over</w:t>
      </w:r>
      <w:r>
        <w:t xml:space="preserve"> de vrijheid van onderwijs en de bijbehorende keuzevrijheid van ouders. Ook waarschuwen ze voor ondoordachte snelle wijzigingen aan de wet. </w:t>
      </w:r>
      <w:r w:rsidR="00D25339">
        <w:t>Minder positief zijn</w:t>
      </w:r>
      <w:r>
        <w:t xml:space="preserve"> de belangenorganisaties </w:t>
      </w:r>
      <w:r w:rsidR="00D25339">
        <w:t>over</w:t>
      </w:r>
      <w:r>
        <w:t xml:space="preserve"> de</w:t>
      </w:r>
      <w:r w:rsidR="00D25339">
        <w:t xml:space="preserve"> druk van</w:t>
      </w:r>
      <w:r>
        <w:t xml:space="preserve"> nieuwe scholen </w:t>
      </w:r>
      <w:r w:rsidR="00D25339">
        <w:t xml:space="preserve">op </w:t>
      </w:r>
      <w:r>
        <w:t xml:space="preserve">de bestaande verhoudingen, de bestaande scholen en het openbaar onderwijs. Ze noemen ook dat nieuwe scholen extra druk leggen op onderwijshuisvesting en het lerarentekort. </w:t>
      </w:r>
      <w:r w:rsidR="007776D3">
        <w:t xml:space="preserve">De belangenorganisaties dragen verschillende opties aan om de stichtingsprocedure te verbeteren. </w:t>
      </w:r>
    </w:p>
    <w:p w:rsidR="00A3000C" w:rsidP="00E66D3D" w:rsidRDefault="00A3000C" w14:paraId="1D1D1B38" w14:textId="77777777">
      <w:pPr>
        <w:spacing w:line="276" w:lineRule="auto"/>
      </w:pPr>
    </w:p>
    <w:p w:rsidR="00E66D3D" w:rsidP="00E66D3D" w:rsidRDefault="00132D61" w14:paraId="3E546847" w14:textId="536D13A8">
      <w:pPr>
        <w:spacing w:line="276" w:lineRule="auto"/>
      </w:pPr>
      <w:r>
        <w:t xml:space="preserve">Als invulling </w:t>
      </w:r>
      <w:r w:rsidR="00A3000C">
        <w:t>van</w:t>
      </w:r>
      <w:r>
        <w:t xml:space="preserve"> het coalitieakkoord en </w:t>
      </w:r>
      <w:r w:rsidR="00A3000C">
        <w:t xml:space="preserve">om </w:t>
      </w:r>
      <w:r w:rsidR="007776D3">
        <w:t xml:space="preserve">tegemoet te komen aan de zorgen van belanghebbenden, werk ik verschillende verbetermaatregelen uit in een wetsvoorstel en in lagere regelgeving. Hiermee doe ik de motie van Paul (VVD) en Van </w:t>
      </w:r>
      <w:proofErr w:type="spellStart"/>
      <w:r w:rsidR="007776D3">
        <w:t>Meenen</w:t>
      </w:r>
      <w:proofErr w:type="spellEnd"/>
      <w:r w:rsidR="007776D3">
        <w:t xml:space="preserve"> (D66)</w:t>
      </w:r>
      <w:r w:rsidR="007776D3">
        <w:rPr>
          <w:rStyle w:val="Voetnootmarkering"/>
        </w:rPr>
        <w:footnoteReference w:id="6"/>
      </w:r>
      <w:r w:rsidR="007776D3">
        <w:t xml:space="preserve"> af. </w:t>
      </w:r>
    </w:p>
    <w:p w:rsidR="00E66D3D" w:rsidP="00E66D3D" w:rsidRDefault="00E66D3D" w14:paraId="47313E70" w14:textId="77777777">
      <w:pPr>
        <w:spacing w:line="276" w:lineRule="auto"/>
      </w:pPr>
    </w:p>
    <w:p w:rsidR="007776D3" w:rsidP="007776D3" w:rsidRDefault="007776D3" w14:paraId="456F9BE1" w14:textId="77777777">
      <w:pPr>
        <w:spacing w:line="276" w:lineRule="auto"/>
        <w:rPr>
          <w:i/>
          <w:iCs/>
        </w:rPr>
      </w:pPr>
      <w:r>
        <w:rPr>
          <w:i/>
          <w:iCs/>
        </w:rPr>
        <w:t>Wetsvoorstel Praktische verbetering stichtingsprocedure</w:t>
      </w:r>
    </w:p>
    <w:p w:rsidR="00E66D3D" w:rsidP="00E66D3D" w:rsidRDefault="00E66D3D" w14:paraId="5F631D90" w14:textId="77777777">
      <w:pPr>
        <w:spacing w:line="276" w:lineRule="auto"/>
      </w:pPr>
      <w:r>
        <w:t>In samenspraak met gemeenten en schoolbesturen werk ik aan het wetsvoorstel Praktische verbetering stichtingsprocedure (PVS). Dit wetsvoorstel:</w:t>
      </w:r>
    </w:p>
    <w:p w:rsidR="00E66D3D" w:rsidP="00E66D3D" w:rsidRDefault="00E66D3D" w14:paraId="7872144C" w14:textId="38EAA029">
      <w:pPr>
        <w:pStyle w:val="Lijstalinea"/>
        <w:numPr>
          <w:ilvl w:val="0"/>
          <w:numId w:val="20"/>
        </w:numPr>
        <w:spacing w:line="276" w:lineRule="auto"/>
      </w:pPr>
      <w:r>
        <w:t>geeft gemeenten maximaal 3 jaar en 6 maanden de tijd om een school te huisvesten (momenteel is dat maximaal 2 jaar en 2 maanden);</w:t>
      </w:r>
    </w:p>
    <w:p w:rsidR="00E66D3D" w:rsidP="00E66D3D" w:rsidRDefault="00E66D3D" w14:paraId="4B819288" w14:textId="77777777">
      <w:pPr>
        <w:pStyle w:val="Lijstalinea"/>
        <w:numPr>
          <w:ilvl w:val="0"/>
          <w:numId w:val="20"/>
        </w:numPr>
        <w:spacing w:line="276" w:lineRule="auto"/>
      </w:pPr>
      <w:r>
        <w:t xml:space="preserve">past de termijnen van de stichtingsprocedure aan zodat de belangstellingsmeting voortaan in het voorjaar kan plaatsvinden (is nu de zomerperiode). De procedure sluit daarmee ook beter aan bij de gemeentelijke plannings- en </w:t>
      </w:r>
      <w:proofErr w:type="spellStart"/>
      <w:r>
        <w:t>controlcyclus</w:t>
      </w:r>
      <w:proofErr w:type="spellEnd"/>
      <w:r>
        <w:t>;</w:t>
      </w:r>
    </w:p>
    <w:p w:rsidR="00E61218" w:rsidP="00E61218" w:rsidRDefault="00E61218" w14:paraId="0E211133" w14:textId="77777777">
      <w:pPr>
        <w:pStyle w:val="Lijstalinea"/>
        <w:numPr>
          <w:ilvl w:val="0"/>
          <w:numId w:val="20"/>
        </w:numPr>
        <w:spacing w:line="276" w:lineRule="auto"/>
      </w:pPr>
      <w:r>
        <w:t xml:space="preserve">schrapt </w:t>
      </w:r>
      <w:proofErr w:type="spellStart"/>
      <w:r>
        <w:t>dubbelingen</w:t>
      </w:r>
      <w:proofErr w:type="spellEnd"/>
      <w:r>
        <w:t xml:space="preserve"> bij de aan te leveren documentatie van initiatiefnemers aan DUO en de inspectie;</w:t>
      </w:r>
    </w:p>
    <w:p w:rsidR="00E61218" w:rsidP="00E66D3D" w:rsidRDefault="00E61218" w14:paraId="3EEA048A" w14:textId="157045B2">
      <w:pPr>
        <w:pStyle w:val="Lijstalinea"/>
        <w:numPr>
          <w:ilvl w:val="0"/>
          <w:numId w:val="20"/>
        </w:numPr>
        <w:spacing w:line="276" w:lineRule="auto"/>
      </w:pPr>
      <w:r>
        <w:t>verbetert enkele specifieke vo-onderdelen, namelijk:</w:t>
      </w:r>
    </w:p>
    <w:p w:rsidR="00E66D3D" w:rsidP="005C2A4C" w:rsidRDefault="00E66D3D" w14:paraId="44DF4D0A" w14:textId="77777777">
      <w:pPr>
        <w:pStyle w:val="Lijstalinea"/>
        <w:numPr>
          <w:ilvl w:val="1"/>
          <w:numId w:val="20"/>
        </w:numPr>
        <w:spacing w:line="276" w:lineRule="auto"/>
      </w:pPr>
      <w:r>
        <w:t>verduidelijkt wanneer een vo-school volgroeid is (en dus kan worden gehouden aan de opheffingsnormen);</w:t>
      </w:r>
    </w:p>
    <w:p w:rsidR="00E66D3D" w:rsidP="005C2A4C" w:rsidRDefault="00E66D3D" w14:paraId="459B461C" w14:textId="77777777">
      <w:pPr>
        <w:pStyle w:val="Lijstalinea"/>
        <w:numPr>
          <w:ilvl w:val="1"/>
          <w:numId w:val="20"/>
        </w:numPr>
        <w:spacing w:line="276" w:lineRule="auto"/>
      </w:pPr>
      <w:r>
        <w:t xml:space="preserve">zorgt dat de tussentijdse toets in het vo op de </w:t>
      </w:r>
      <w:proofErr w:type="spellStart"/>
      <w:r>
        <w:t>leerlinggroei</w:t>
      </w:r>
      <w:proofErr w:type="spellEnd"/>
      <w:r>
        <w:t xml:space="preserve"> weer in alle gevallen uitvoerbaar is voor DUO. Aanstaande oktober kan namelijk één vo-school niet worden getoetst, omdat niet kan worden vastgesteld welke schoolsoort (zoals mavo of havo) (on)voldoende leerlingen heeft;</w:t>
      </w:r>
    </w:p>
    <w:p w:rsidR="00E66D3D" w:rsidP="005C2A4C" w:rsidRDefault="00E66D3D" w14:paraId="7A9062EA" w14:textId="286B1EDD">
      <w:pPr>
        <w:pStyle w:val="Lijstalinea"/>
        <w:numPr>
          <w:ilvl w:val="1"/>
          <w:numId w:val="20"/>
        </w:numPr>
        <w:spacing w:line="276" w:lineRule="auto"/>
      </w:pPr>
      <w:r>
        <w:lastRenderedPageBreak/>
        <w:t>maakt het mogelijk dat gesplitste vo-scholen geen jaar hoeven te wachten tot zij van start kunnen</w:t>
      </w:r>
      <w:r w:rsidR="00E61218">
        <w:t>, en</w:t>
      </w:r>
    </w:p>
    <w:p w:rsidRPr="00ED08A5" w:rsidR="00E66D3D" w:rsidP="005C2A4C" w:rsidRDefault="00E61218" w14:paraId="102FAE83" w14:textId="3A261649">
      <w:pPr>
        <w:pStyle w:val="Lijstalinea"/>
        <w:numPr>
          <w:ilvl w:val="1"/>
          <w:numId w:val="20"/>
        </w:numPr>
        <w:spacing w:line="276" w:lineRule="auto"/>
      </w:pPr>
      <w:r>
        <w:t>v</w:t>
      </w:r>
      <w:r w:rsidR="00E66D3D">
        <w:t>erlaagt de opheffingsnorm voor vbo-profielen.</w:t>
      </w:r>
    </w:p>
    <w:p w:rsidR="007776D3" w:rsidP="00E66D3D" w:rsidRDefault="006A4152" w14:paraId="2BB99884" w14:textId="07439D52">
      <w:pPr>
        <w:spacing w:line="276" w:lineRule="auto"/>
      </w:pPr>
      <w:r>
        <w:t xml:space="preserve">Ik overweeg om nog enkele uitvoeringstechnische punten toe te voegen om de administratieve lasten voor DUO, schoolbesturen en gemeenten terug te dringen. </w:t>
      </w:r>
      <w:r w:rsidR="00C201D5">
        <w:t xml:space="preserve">Ik </w:t>
      </w:r>
      <w:r w:rsidR="009E01DE">
        <w:t>overweeg daarnaast</w:t>
      </w:r>
      <w:r w:rsidR="00C201D5">
        <w:t xml:space="preserve"> om de</w:t>
      </w:r>
      <w:r>
        <w:t xml:space="preserve"> basis voor de </w:t>
      </w:r>
      <w:r w:rsidRPr="006A4152">
        <w:t>tussentijdse toets, waarbij scholen worden getoetst op hun groei richting de stichtingsnorm, aan</w:t>
      </w:r>
      <w:r>
        <w:t xml:space="preserve"> te passen van lineair</w:t>
      </w:r>
      <w:r w:rsidRPr="006A4152">
        <w:t xml:space="preserve"> </w:t>
      </w:r>
      <w:r>
        <w:t>naar</w:t>
      </w:r>
      <w:r w:rsidRPr="006A4152">
        <w:t xml:space="preserve"> exponentieel</w:t>
      </w:r>
      <w:r>
        <w:t xml:space="preserve">. </w:t>
      </w:r>
      <w:r w:rsidR="007776D3">
        <w:t xml:space="preserve">Het wetsvoorstel PVS wordt nog dit jaar naar </w:t>
      </w:r>
      <w:r w:rsidRPr="006638EA" w:rsidR="007776D3">
        <w:t>de Raad van State</w:t>
      </w:r>
      <w:r w:rsidR="007776D3">
        <w:t xml:space="preserve"> gestuurd</w:t>
      </w:r>
      <w:r w:rsidR="00A3000C">
        <w:t xml:space="preserve"> en moet naast een verbetering van administratieve lasten dus ook bijdragen aan een betere balans in het vinden van geschikte huisvesting</w:t>
      </w:r>
      <w:r w:rsidRPr="006638EA" w:rsidR="007776D3">
        <w:t>.</w:t>
      </w:r>
      <w:r w:rsidR="007776D3">
        <w:t xml:space="preserve"> </w:t>
      </w:r>
    </w:p>
    <w:p w:rsidR="0065184C" w:rsidP="00E66D3D" w:rsidRDefault="0065184C" w14:paraId="37AADDAB" w14:textId="77777777">
      <w:pPr>
        <w:spacing w:line="276" w:lineRule="auto"/>
      </w:pPr>
    </w:p>
    <w:p w:rsidRPr="00275870" w:rsidR="0065184C" w:rsidP="0065184C" w:rsidRDefault="0065184C" w14:paraId="482E17C9" w14:textId="441632CE">
      <w:pPr>
        <w:spacing w:line="276" w:lineRule="auto"/>
        <w:rPr>
          <w:i/>
          <w:iCs/>
        </w:rPr>
      </w:pPr>
      <w:r>
        <w:rPr>
          <w:i/>
          <w:iCs/>
        </w:rPr>
        <w:t>Verbeteren van het gesprek in de regio</w:t>
      </w:r>
    </w:p>
    <w:p w:rsidR="007776D3" w:rsidP="007776D3" w:rsidRDefault="007776D3" w14:paraId="16C60F2C" w14:textId="47F715A0">
      <w:pPr>
        <w:spacing w:line="276" w:lineRule="auto"/>
      </w:pPr>
      <w:r w:rsidRPr="00FA6588">
        <w:t xml:space="preserve">Elk bevoegd gezag dat een </w:t>
      </w:r>
      <w:r>
        <w:t xml:space="preserve">nieuwe </w:t>
      </w:r>
      <w:r w:rsidRPr="00FA6588">
        <w:t>school wil stichten, is verplicht om de andere schoolbesturen in de regio, de gemeente en het samenwerkingsverband passend onderwijs uit te nodigen voor een gesprek. Dit gesprek is gericht op vroegtijdige afstemming en het bevorderen van de samenwerking</w:t>
      </w:r>
      <w:r>
        <w:t>. Het gesprek zou</w:t>
      </w:r>
      <w:r w:rsidRPr="00FA6588">
        <w:t xml:space="preserve"> er bijvoorbeeld toe </w:t>
      </w:r>
      <w:r>
        <w:t xml:space="preserve">kunnen </w:t>
      </w:r>
      <w:r w:rsidRPr="00FA6588">
        <w:t xml:space="preserve">leiden dat het stichten van een nieuwe school niet nodig blijkt. </w:t>
      </w:r>
      <w:r>
        <w:t>Initiatiefnemers, gemeenten en schoolbesturen laten weten dat samenwerking vaak niet wordt gevonden</w:t>
      </w:r>
      <w:r w:rsidRPr="00FA6588">
        <w:t>.</w:t>
      </w:r>
      <w:r>
        <w:t xml:space="preserve"> Ik wil dat het gesprek meer procesmatige en inhoudelijke vereisten krijgt</w:t>
      </w:r>
      <w:r w:rsidR="00C201D5">
        <w:t xml:space="preserve"> om zo </w:t>
      </w:r>
      <w:r>
        <w:t>een betere samenwerking</w:t>
      </w:r>
      <w:r w:rsidR="00C201D5">
        <w:t xml:space="preserve"> tot stand te brengen</w:t>
      </w:r>
      <w:r>
        <w:t>.</w:t>
      </w:r>
      <w:r w:rsidRPr="00FA6588">
        <w:t xml:space="preserve"> </w:t>
      </w:r>
      <w:r>
        <w:t xml:space="preserve">Het gesprek in de regio moet meer gewicht krijgen en beter gepositioneerd worden met een wijzigingsvoorstel dat ik het komende half jaar met betrokkenen uitwerk en in mijn volgende Kamerbrief over dit onderwerp aan uw Kamer voorleg. </w:t>
      </w:r>
    </w:p>
    <w:p w:rsidR="0065184C" w:rsidP="0065184C" w:rsidRDefault="0065184C" w14:paraId="3651F5C5" w14:textId="77777777"/>
    <w:p w:rsidRPr="005C2A4C" w:rsidR="0065184C" w:rsidP="00E66D3D" w:rsidRDefault="0065184C" w14:paraId="36559F57" w14:textId="6505B8BF">
      <w:pPr>
        <w:spacing w:line="276" w:lineRule="auto"/>
        <w:rPr>
          <w:i/>
          <w:iCs/>
        </w:rPr>
      </w:pPr>
      <w:r>
        <w:rPr>
          <w:i/>
          <w:iCs/>
        </w:rPr>
        <w:t>Regierol gemeenten</w:t>
      </w:r>
    </w:p>
    <w:p w:rsidR="0065184C" w:rsidP="0065184C" w:rsidRDefault="000009BB" w14:paraId="085A6D74" w14:textId="46D10380">
      <w:pPr>
        <w:spacing w:line="276" w:lineRule="auto"/>
      </w:pPr>
      <w:r>
        <w:t>E</w:t>
      </w:r>
      <w:r w:rsidR="0065184C">
        <w:t xml:space="preserve">lke variant waarbij een gemeente (mee)beslist over de komst van een nieuwe school stuit op grondwettelijke bezwaren en vraagt dus om een wijziging van de </w:t>
      </w:r>
      <w:r w:rsidR="00C201D5">
        <w:t>G</w:t>
      </w:r>
      <w:r w:rsidR="0065184C">
        <w:t xml:space="preserve">rondwet. </w:t>
      </w:r>
      <w:r w:rsidRPr="00BD3070" w:rsidR="0065184C">
        <w:t xml:space="preserve">De grondwettelijke stichtingsvrijheid kan door de overheid alleen met </w:t>
      </w:r>
      <w:r w:rsidRPr="00963B5F" w:rsidR="0065184C">
        <w:rPr>
          <w:i/>
          <w:iCs/>
        </w:rPr>
        <w:t>uniforme bekostigingscriteria</w:t>
      </w:r>
      <w:r w:rsidRPr="00BD3070" w:rsidR="0065184C">
        <w:t xml:space="preserve"> (zoals een belangstellingsmeting of stichtingsnormen) op </w:t>
      </w:r>
      <w:r w:rsidRPr="00963B5F" w:rsidR="0065184C">
        <w:rPr>
          <w:i/>
          <w:iCs/>
        </w:rPr>
        <w:t>rijksniveau</w:t>
      </w:r>
      <w:r w:rsidRPr="00BD3070" w:rsidR="0065184C">
        <w:t xml:space="preserve"> (niet decentraal) worden begrensd.</w:t>
      </w:r>
      <w:r w:rsidR="0065184C">
        <w:t xml:space="preserve"> </w:t>
      </w:r>
      <w:r w:rsidRPr="00BD3070" w:rsidR="0065184C">
        <w:t xml:space="preserve">De overheid gaat dus niet over de </w:t>
      </w:r>
      <w:r w:rsidRPr="00BD3070" w:rsidR="0065184C">
        <w:rPr>
          <w:i/>
          <w:iCs/>
        </w:rPr>
        <w:t>wenselijkheid</w:t>
      </w:r>
      <w:r w:rsidRPr="00BD3070" w:rsidR="0065184C">
        <w:t xml:space="preserve"> van een nieuwe school. Zo voorkomen we willekeur en garanderen we gelijke behandeling.</w:t>
      </w:r>
      <w:r w:rsidR="0065184C">
        <w:t xml:space="preserve"> In het coalitieakkoord is afgesproken artikel 23 van de </w:t>
      </w:r>
      <w:r w:rsidR="00C201D5">
        <w:t>G</w:t>
      </w:r>
      <w:r w:rsidR="0065184C">
        <w:t xml:space="preserve">rondwet niet te wijzigen. Ik beschouw de motie </w:t>
      </w:r>
      <w:proofErr w:type="spellStart"/>
      <w:r w:rsidR="0065184C">
        <w:t>Kisteman</w:t>
      </w:r>
      <w:proofErr w:type="spellEnd"/>
      <w:r w:rsidR="007776D3">
        <w:rPr>
          <w:rStyle w:val="Voetnootmarkering"/>
        </w:rPr>
        <w:footnoteReference w:id="7"/>
      </w:r>
      <w:r w:rsidR="007776D3">
        <w:t xml:space="preserve"> </w:t>
      </w:r>
      <w:r w:rsidR="0065184C">
        <w:t xml:space="preserve">hiermee als afgedaan. </w:t>
      </w:r>
    </w:p>
    <w:p w:rsidR="0065184C" w:rsidP="0065184C" w:rsidRDefault="0065184C" w14:paraId="03BDF12E" w14:textId="77777777">
      <w:pPr>
        <w:spacing w:line="276" w:lineRule="auto"/>
      </w:pPr>
    </w:p>
    <w:p w:rsidR="0065184C" w:rsidP="0065184C" w:rsidRDefault="0065184C" w14:paraId="47396D98" w14:textId="77777777">
      <w:pPr>
        <w:spacing w:line="276" w:lineRule="auto"/>
        <w:rPr>
          <w:i/>
          <w:iCs/>
        </w:rPr>
      </w:pPr>
      <w:r>
        <w:rPr>
          <w:i/>
          <w:iCs/>
        </w:rPr>
        <w:t>Startbekostiging</w:t>
      </w:r>
    </w:p>
    <w:p w:rsidRPr="00FA6588" w:rsidR="0065184C" w:rsidP="0065184C" w:rsidRDefault="0065184C" w14:paraId="012E37D0" w14:textId="33EA58BC">
      <w:pPr>
        <w:spacing w:line="276" w:lineRule="auto"/>
      </w:pPr>
      <w:r>
        <w:t>Uit de evaluatie en uit het recente onderzoek naar startbekostiging blijkt dat de</w:t>
      </w:r>
      <w:r w:rsidR="007776D3">
        <w:t>ze</w:t>
      </w:r>
      <w:r>
        <w:t xml:space="preserve"> in het basisonderwijs niet toereikend is, zeker voor nieuwe scholen van nieuwe schoolbesturen. De startbekostiging is bedoeld voor de kosten voorafgaand aan de opening van de nieuwe school (en loopt dus voor op de reguliere bekostiging) en wordt twee á drie maanden voor de opening uitgekeerd aan het schoolbestuur van de nieuwe school. Ik ben van plan de startbekostiging eerder in het jaar uit te keren. </w:t>
      </w:r>
    </w:p>
    <w:p w:rsidR="0065184C" w:rsidP="0065184C" w:rsidRDefault="0065184C" w14:paraId="5533459D" w14:textId="77777777">
      <w:pPr>
        <w:spacing w:line="276" w:lineRule="auto"/>
      </w:pPr>
    </w:p>
    <w:p w:rsidR="00D61D4E" w:rsidP="0065184C" w:rsidRDefault="00D61D4E" w14:paraId="3570ED5D" w14:textId="77777777">
      <w:pPr>
        <w:spacing w:line="276" w:lineRule="auto"/>
      </w:pPr>
    </w:p>
    <w:p w:rsidR="00D61D4E" w:rsidP="0065184C" w:rsidRDefault="00D61D4E" w14:paraId="3D4CEAB3" w14:textId="77777777">
      <w:pPr>
        <w:spacing w:line="276" w:lineRule="auto"/>
      </w:pPr>
    </w:p>
    <w:p w:rsidRPr="006638EA" w:rsidR="0065184C" w:rsidP="0065184C" w:rsidRDefault="0065184C" w14:paraId="7686E27E" w14:textId="77777777">
      <w:pPr>
        <w:spacing w:line="276" w:lineRule="auto"/>
        <w:rPr>
          <w:i/>
          <w:iCs/>
        </w:rPr>
      </w:pPr>
      <w:r w:rsidRPr="006638EA">
        <w:rPr>
          <w:i/>
          <w:iCs/>
        </w:rPr>
        <w:lastRenderedPageBreak/>
        <w:t>Overige thema’s</w:t>
      </w:r>
    </w:p>
    <w:p w:rsidRPr="00275870" w:rsidR="0065184C" w:rsidP="0065184C" w:rsidRDefault="000009BB" w14:paraId="2FABF1DD" w14:textId="32FC4D61">
      <w:pPr>
        <w:spacing w:line="276" w:lineRule="auto"/>
      </w:pPr>
      <w:r>
        <w:t xml:space="preserve">De komende evaluatieperiode (2026-2030) zal meer licht werpen op </w:t>
      </w:r>
      <w:r w:rsidRPr="0024136E">
        <w:rPr>
          <w:i/>
          <w:iCs/>
        </w:rPr>
        <w:t>onderwijssegregatie</w:t>
      </w:r>
      <w:r>
        <w:t xml:space="preserve">, </w:t>
      </w:r>
      <w:r w:rsidRPr="0024136E">
        <w:rPr>
          <w:i/>
          <w:iCs/>
        </w:rPr>
        <w:t>onderwijskwaliteit</w:t>
      </w:r>
      <w:r>
        <w:t xml:space="preserve">, het </w:t>
      </w:r>
      <w:r w:rsidRPr="0024136E">
        <w:rPr>
          <w:i/>
          <w:iCs/>
        </w:rPr>
        <w:t>lerarentekort</w:t>
      </w:r>
      <w:r>
        <w:t xml:space="preserve">, de positie van </w:t>
      </w:r>
      <w:r w:rsidRPr="0024136E">
        <w:rPr>
          <w:i/>
          <w:iCs/>
        </w:rPr>
        <w:t>bestaande scholen</w:t>
      </w:r>
      <w:r>
        <w:t xml:space="preserve"> en specifiek de positie van het </w:t>
      </w:r>
      <w:r w:rsidRPr="0024136E">
        <w:rPr>
          <w:i/>
          <w:iCs/>
        </w:rPr>
        <w:t>openbaar onderwijs</w:t>
      </w:r>
      <w:r>
        <w:t>. Voor deze thema’s</w:t>
      </w:r>
      <w:r w:rsidR="0065184C">
        <w:t xml:space="preserve"> </w:t>
      </w:r>
      <w:r>
        <w:t>is</w:t>
      </w:r>
      <w:r w:rsidR="0065184C">
        <w:t xml:space="preserve"> meer tijd nodig om de effecten goed in kaart te brengen. Ten tijde van het eerste evaluatierapport waren de eerste nieuwe scholen namelijk pas anderhalf jaar open. Hierdoor konden de onderzoekers slechts eerste beelden geven van de effecten van de wet</w:t>
      </w:r>
      <w:r>
        <w:t xml:space="preserve">. </w:t>
      </w:r>
    </w:p>
    <w:p w:rsidR="0065184C" w:rsidP="0065184C" w:rsidRDefault="0065184C" w14:paraId="419DFE5F" w14:textId="77777777">
      <w:pPr>
        <w:spacing w:line="276" w:lineRule="auto"/>
      </w:pPr>
    </w:p>
    <w:p w:rsidR="00231C25" w:rsidP="00CA4FF9" w:rsidRDefault="00E66D3D" w14:paraId="2AA09869" w14:textId="59D3883D">
      <w:pPr>
        <w:rPr>
          <w:b/>
          <w:bCs/>
        </w:rPr>
      </w:pPr>
      <w:proofErr w:type="spellStart"/>
      <w:r>
        <w:rPr>
          <w:b/>
          <w:bCs/>
        </w:rPr>
        <w:t>I</w:t>
      </w:r>
      <w:r w:rsidR="00F93046">
        <w:rPr>
          <w:b/>
          <w:bCs/>
        </w:rPr>
        <w:t>nstandhouden</w:t>
      </w:r>
      <w:proofErr w:type="spellEnd"/>
      <w:r w:rsidR="00F93046">
        <w:rPr>
          <w:b/>
          <w:bCs/>
        </w:rPr>
        <w:t xml:space="preserve"> en opheffen </w:t>
      </w:r>
      <w:r>
        <w:rPr>
          <w:b/>
          <w:bCs/>
        </w:rPr>
        <w:t>van basisscholen</w:t>
      </w:r>
    </w:p>
    <w:p w:rsidR="0026055A" w:rsidP="00CA4FF9" w:rsidRDefault="00231C25" w14:paraId="2630A52E" w14:textId="2C4700AB">
      <w:pPr>
        <w:rPr>
          <w:i/>
          <w:iCs/>
        </w:rPr>
      </w:pPr>
      <w:r>
        <w:rPr>
          <w:i/>
          <w:iCs/>
        </w:rPr>
        <w:t>De huidige regels</w:t>
      </w:r>
    </w:p>
    <w:p w:rsidR="00795A02" w:rsidP="00231C25" w:rsidRDefault="006B2B4A" w14:paraId="2A15F0ED" w14:textId="57D05983">
      <w:r>
        <w:t>Om een school goed draaiende te houden en goed onderwijs te bieden zijn v</w:t>
      </w:r>
      <w:r w:rsidR="004F5315">
        <w:t>oldoende leerlingen een randvoorwaarde</w:t>
      </w:r>
      <w:r>
        <w:t xml:space="preserve">. </w:t>
      </w:r>
      <w:r w:rsidR="004F5315">
        <w:t xml:space="preserve">Daarom </w:t>
      </w:r>
      <w:r>
        <w:t xml:space="preserve">kent </w:t>
      </w:r>
      <w:r w:rsidR="000009BB">
        <w:t>e</w:t>
      </w:r>
      <w:r w:rsidR="00231C25">
        <w:t xml:space="preserve">lke gemeente </w:t>
      </w:r>
      <w:r>
        <w:t xml:space="preserve">van Nederland </w:t>
      </w:r>
      <w:r w:rsidR="00231C25">
        <w:t xml:space="preserve">een eigen </w:t>
      </w:r>
      <w:r w:rsidR="000009BB">
        <w:t>opheffings</w:t>
      </w:r>
      <w:r w:rsidR="00231C25">
        <w:t xml:space="preserve">norm, gebaseerd op de leerlingdichtheid. Scholen in dunbevolkte gebieden hebben een lagere opheffingsnorm en mogen dus kleiner zijn dan scholen </w:t>
      </w:r>
      <w:r w:rsidRPr="00F93046" w:rsidR="00231C25">
        <w:t>in grote steden</w:t>
      </w:r>
      <w:r w:rsidR="0065184C">
        <w:t>.</w:t>
      </w:r>
      <w:r w:rsidR="004F5315">
        <w:t xml:space="preserve"> Deze </w:t>
      </w:r>
      <w:r>
        <w:t xml:space="preserve">differentiatie </w:t>
      </w:r>
      <w:r w:rsidR="004F5315">
        <w:t xml:space="preserve">is nodig om te zorgen </w:t>
      </w:r>
      <w:r w:rsidR="00231C25">
        <w:t>dat op alle plekken in het land voldoende scholen overblijven om de thuisnabijheid van het onderwijs te kunnen garanderen</w:t>
      </w:r>
      <w:r w:rsidR="00645D89">
        <w:t>.</w:t>
      </w:r>
      <w:r w:rsidR="000009BB">
        <w:t xml:space="preserve"> </w:t>
      </w:r>
    </w:p>
    <w:p w:rsidR="00795A02" w:rsidP="00231C25" w:rsidRDefault="00795A02" w14:paraId="46937FBF" w14:textId="77777777"/>
    <w:p w:rsidR="00F93046" w:rsidP="00CA35E4" w:rsidRDefault="004F5315" w14:paraId="626CD497" w14:textId="734BD091">
      <w:r>
        <w:t>Als</w:t>
      </w:r>
      <w:r w:rsidR="00B77CC2">
        <w:t xml:space="preserve"> het leerlingenaantal op een school zich gedurende drie opeenvolgende jaren onder de gemeentelijke opheffingsnorm bevindt, </w:t>
      </w:r>
      <w:r>
        <w:t xml:space="preserve">wordt </w:t>
      </w:r>
      <w:r w:rsidR="00B77CC2">
        <w:t>de bekostiging van de school beëindigd</w:t>
      </w:r>
      <w:r w:rsidR="00795A02">
        <w:t xml:space="preserve"> tenzij van een uitzonderingsgrond gebruik wordt gemaakt</w:t>
      </w:r>
      <w:r w:rsidR="00B77CC2">
        <w:t xml:space="preserve">. </w:t>
      </w:r>
      <w:r w:rsidR="0009553D">
        <w:t xml:space="preserve">Momenteel </w:t>
      </w:r>
      <w:r w:rsidR="00347CA4">
        <w:t xml:space="preserve">houden deze uitzonderingsgronden </w:t>
      </w:r>
      <w:r w:rsidR="0009553D">
        <w:t>ongeveer 500 van de grofweg 6</w:t>
      </w:r>
      <w:r w:rsidR="0036388C">
        <w:t>0</w:t>
      </w:r>
      <w:r w:rsidR="0009553D">
        <w:t xml:space="preserve">00 basisscholen in stand. </w:t>
      </w:r>
      <w:r>
        <w:t>D</w:t>
      </w:r>
      <w:r w:rsidR="00F93046">
        <w:t xml:space="preserve">eze uitzonderingsgronden </w:t>
      </w:r>
      <w:r>
        <w:t>schieten de uitgangspunten van de gedifferentieerde</w:t>
      </w:r>
      <w:r w:rsidR="00F93046">
        <w:t xml:space="preserve"> opheffingsnormen </w:t>
      </w:r>
      <w:r>
        <w:t>voorbij</w:t>
      </w:r>
      <w:r w:rsidR="00F93046">
        <w:t xml:space="preserve">. </w:t>
      </w:r>
    </w:p>
    <w:p w:rsidR="001E46E5" w:rsidP="00CA35E4" w:rsidRDefault="001E46E5" w14:paraId="5D221ABD" w14:textId="77777777"/>
    <w:p w:rsidR="001E46E5" w:rsidP="00CA35E4" w:rsidRDefault="00524696" w14:paraId="050C10BF" w14:textId="2DDDAFC9">
      <w:r>
        <w:t xml:space="preserve">Onbedoeld </w:t>
      </w:r>
      <w:r w:rsidR="004F5315">
        <w:t>wordt</w:t>
      </w:r>
      <w:r w:rsidR="00795A02">
        <w:t xml:space="preserve"> </w:t>
      </w:r>
      <w:r>
        <w:t>de instandhouding van</w:t>
      </w:r>
      <w:r w:rsidR="00512130">
        <w:t xml:space="preserve"> te</w:t>
      </w:r>
      <w:r>
        <w:t xml:space="preserve"> kleine scholen</w:t>
      </w:r>
      <w:r w:rsidR="004F5315">
        <w:t xml:space="preserve"> </w:t>
      </w:r>
      <w:r w:rsidR="00795A02">
        <w:t xml:space="preserve">extra </w:t>
      </w:r>
      <w:r w:rsidR="004F5315">
        <w:t>gestimuleerd</w:t>
      </w:r>
      <w:r>
        <w:t xml:space="preserve"> door de </w:t>
      </w:r>
      <w:proofErr w:type="spellStart"/>
      <w:r>
        <w:t>kleinescholentoeslag</w:t>
      </w:r>
      <w:proofErr w:type="spellEnd"/>
      <w:r>
        <w:t xml:space="preserve"> </w:t>
      </w:r>
      <w:r w:rsidR="001E46E5">
        <w:t xml:space="preserve">(hierna: KST). Deze </w:t>
      </w:r>
      <w:r w:rsidR="004F5315">
        <w:t>wordt</w:t>
      </w:r>
      <w:r w:rsidR="00347CA4">
        <w:t xml:space="preserve"> momenteel uit</w:t>
      </w:r>
      <w:r w:rsidR="004F5315">
        <w:t>gekeerd</w:t>
      </w:r>
      <w:r w:rsidR="001E46E5">
        <w:t xml:space="preserve"> aan alle scholen met minder dan 150 leerlingen. In combinatie met de uitzonderingsgronden maakt de KST het mogelijk</w:t>
      </w:r>
      <w:r w:rsidR="008E7217">
        <w:t xml:space="preserve"> – en soms zelfs aantrekkelijk – </w:t>
      </w:r>
      <w:r w:rsidR="001E46E5">
        <w:t>voor schoolbesturen om te kleine scholen in stand te houden</w:t>
      </w:r>
      <w:r w:rsidR="000D0814">
        <w:t xml:space="preserve"> terwijl deze niet noodzakelijk zijn voor een aanbod</w:t>
      </w:r>
      <w:r w:rsidR="007E78F9">
        <w:t xml:space="preserve"> van thuisnabij onderwijs</w:t>
      </w:r>
      <w:r w:rsidR="001E46E5">
        <w:t xml:space="preserve">. </w:t>
      </w:r>
    </w:p>
    <w:p w:rsidR="001A765A" w:rsidP="00CA35E4" w:rsidRDefault="001A765A" w14:paraId="1AD3E64E" w14:textId="77777777"/>
    <w:p w:rsidRPr="0026055A" w:rsidR="0026055A" w:rsidP="00CA35E4" w:rsidRDefault="0026055A" w14:paraId="337E6641" w14:textId="2B8FE360">
      <w:pPr>
        <w:rPr>
          <w:i/>
          <w:iCs/>
        </w:rPr>
      </w:pPr>
      <w:r>
        <w:rPr>
          <w:i/>
          <w:iCs/>
        </w:rPr>
        <w:t>Voorstel wijziging</w:t>
      </w:r>
      <w:r w:rsidR="006B2B4A">
        <w:rPr>
          <w:i/>
          <w:iCs/>
        </w:rPr>
        <w:t>en</w:t>
      </w:r>
    </w:p>
    <w:p w:rsidR="00E36A34" w:rsidP="00CA35E4" w:rsidRDefault="00A3000C" w14:paraId="508C5169" w14:textId="5A1CA513">
      <w:r>
        <w:t xml:space="preserve">Over de eerste stappen in de wijzigingen van de regels voor het </w:t>
      </w:r>
      <w:proofErr w:type="spellStart"/>
      <w:r>
        <w:t>instandhouden</w:t>
      </w:r>
      <w:proofErr w:type="spellEnd"/>
      <w:r>
        <w:t xml:space="preserve"> en opheffen van basisscholen hebben mijn ambtsvoorgangers</w:t>
      </w:r>
      <w:r w:rsidRPr="005842CE">
        <w:t xml:space="preserve"> uw Kamer in december 2024 en juli 2025 geïnformeer</w:t>
      </w:r>
      <w:r w:rsidRPr="00231C25">
        <w:t>d.</w:t>
      </w:r>
      <w:r w:rsidRPr="001071E7">
        <w:rPr>
          <w:rStyle w:val="Voetnootmarkering"/>
        </w:rPr>
        <w:footnoteReference w:id="8"/>
      </w:r>
      <w:r>
        <w:t xml:space="preserve"> </w:t>
      </w:r>
      <w:r w:rsidR="008E7217">
        <w:t>Om de opheffin</w:t>
      </w:r>
      <w:r w:rsidR="00D0587F">
        <w:t>g</w:t>
      </w:r>
      <w:r w:rsidR="008E7217">
        <w:t>snormen consistenter tot hun recht te laten komen en daarmee het grote aantal te kleine scholen terug te brengen,</w:t>
      </w:r>
      <w:r w:rsidR="001A765A">
        <w:t xml:space="preserve"> wil ik </w:t>
      </w:r>
      <w:r w:rsidR="007E78F9">
        <w:t xml:space="preserve">in ieder geval </w:t>
      </w:r>
      <w:r w:rsidR="001A765A">
        <w:t>de uitzonderingsgrond ‘gemiddelde schoolgrootte’ schrappe</w:t>
      </w:r>
      <w:r w:rsidR="008E7217">
        <w:t>n</w:t>
      </w:r>
      <w:r w:rsidR="001E46E5">
        <w:t xml:space="preserve"> en de </w:t>
      </w:r>
      <w:proofErr w:type="spellStart"/>
      <w:r w:rsidR="001E46E5">
        <w:t>kleinescholentoeslag</w:t>
      </w:r>
      <w:proofErr w:type="spellEnd"/>
      <w:r w:rsidR="001E46E5">
        <w:t xml:space="preserve"> omvormen</w:t>
      </w:r>
      <w:r w:rsidR="00732D91">
        <w:t>.</w:t>
      </w:r>
      <w:r w:rsidR="001E46E5">
        <w:t xml:space="preserve"> </w:t>
      </w:r>
      <w:r w:rsidR="00732D91">
        <w:t>D</w:t>
      </w:r>
      <w:r w:rsidR="001E46E5">
        <w:t>e</w:t>
      </w:r>
      <w:r w:rsidR="00795A02">
        <w:t xml:space="preserve"> </w:t>
      </w:r>
      <w:proofErr w:type="spellStart"/>
      <w:r w:rsidR="00795A02">
        <w:t>kleinescholentoeslag</w:t>
      </w:r>
      <w:proofErr w:type="spellEnd"/>
      <w:r w:rsidR="001E46E5">
        <w:t xml:space="preserve"> </w:t>
      </w:r>
      <w:r w:rsidR="00732D91">
        <w:t xml:space="preserve">wordt dan </w:t>
      </w:r>
      <w:r w:rsidR="001E46E5">
        <w:t xml:space="preserve">alleen </w:t>
      </w:r>
      <w:r w:rsidR="00347CA4">
        <w:t xml:space="preserve">nog </w:t>
      </w:r>
      <w:r w:rsidR="001E46E5">
        <w:t>uitgekeerd aan scholen in een gemeente met een opheffingsnorm van 150 of lager</w:t>
      </w:r>
      <w:r w:rsidR="00296082">
        <w:t xml:space="preserve">. </w:t>
      </w:r>
      <w:r w:rsidR="001E46E5">
        <w:t xml:space="preserve">Hierdoor </w:t>
      </w:r>
      <w:r w:rsidR="00732D91">
        <w:t>verdwijnen</w:t>
      </w:r>
      <w:r w:rsidR="00EB4E65">
        <w:t xml:space="preserve"> </w:t>
      </w:r>
      <w:r w:rsidR="001E46E5">
        <w:t xml:space="preserve">de prikkels </w:t>
      </w:r>
      <w:r w:rsidR="00795A02">
        <w:t xml:space="preserve">voor bestuurders </w:t>
      </w:r>
      <w:r w:rsidR="001E46E5">
        <w:t xml:space="preserve">om </w:t>
      </w:r>
      <w:r w:rsidR="00E46AC2">
        <w:t xml:space="preserve">te </w:t>
      </w:r>
      <w:r w:rsidR="001E46E5">
        <w:t>kleine scholen in stand te houden</w:t>
      </w:r>
      <w:r w:rsidR="00EB4E65">
        <w:t>.</w:t>
      </w:r>
      <w:r w:rsidR="001E46E5">
        <w:t xml:space="preserve"> </w:t>
      </w:r>
    </w:p>
    <w:p w:rsidR="00E36A34" w:rsidP="00CA35E4" w:rsidRDefault="00E36A34" w14:paraId="08DA2468" w14:textId="77777777"/>
    <w:p w:rsidRPr="00EA5534" w:rsidR="00EA5534" w:rsidP="00EA5534" w:rsidRDefault="001E46E5" w14:paraId="26021098" w14:textId="77777777">
      <w:r>
        <w:t xml:space="preserve">Om te </w:t>
      </w:r>
      <w:r w:rsidR="0047258D">
        <w:t xml:space="preserve">helpen </w:t>
      </w:r>
      <w:r>
        <w:t xml:space="preserve">voorkomen dat </w:t>
      </w:r>
      <w:r w:rsidR="006B2B4A">
        <w:t xml:space="preserve">dusdanig veel scholen sluiten dat er </w:t>
      </w:r>
      <w:r>
        <w:t xml:space="preserve">gaten in het </w:t>
      </w:r>
      <w:r w:rsidR="004A5D12">
        <w:t xml:space="preserve">scholenaanbod </w:t>
      </w:r>
      <w:r>
        <w:t>vallen</w:t>
      </w:r>
      <w:r w:rsidR="007E78F9">
        <w:t xml:space="preserve"> </w:t>
      </w:r>
      <w:r w:rsidR="00795A02">
        <w:t>komt er</w:t>
      </w:r>
      <w:r>
        <w:t xml:space="preserve"> </w:t>
      </w:r>
      <w:r w:rsidR="00795A02">
        <w:t>een</w:t>
      </w:r>
      <w:r>
        <w:t xml:space="preserve"> nieuwe </w:t>
      </w:r>
      <w:r w:rsidR="008E7217">
        <w:t>uitzonderingsgrond</w:t>
      </w:r>
      <w:r w:rsidR="007E78F9">
        <w:t xml:space="preserve"> </w:t>
      </w:r>
      <w:r w:rsidR="003C3D30">
        <w:t>op basis van een afstandscriterium</w:t>
      </w:r>
      <w:r w:rsidR="007E78F9">
        <w:t>. Het uitgangspunt van de nieuwe uitzonderingsgrond is dat</w:t>
      </w:r>
      <w:r w:rsidR="006B2B4A">
        <w:t xml:space="preserve"> </w:t>
      </w:r>
      <w:r w:rsidR="006B2B4A">
        <w:lastRenderedPageBreak/>
        <w:t>schoolbesturen de mogelijkheid krijgen om omwille van bereikbaarheid een te kleine school open te houden</w:t>
      </w:r>
      <w:r w:rsidR="003C3D30">
        <w:t>. Op basis van analyses en gesprekken die er sinds 2024 zijn gevoerd, denk ik aan een afstandscriterium van 3 kilometer</w:t>
      </w:r>
      <w:r w:rsidR="00F2482D">
        <w:t xml:space="preserve"> tussen de te kleine school en de dichtstbijzijnde andere school</w:t>
      </w:r>
      <w:r w:rsidR="0036388C">
        <w:t>, hemelsbreed gemeten</w:t>
      </w:r>
      <w:r w:rsidR="003C3D30">
        <w:t>.</w:t>
      </w:r>
      <w:r w:rsidR="00EA5534">
        <w:t xml:space="preserve"> </w:t>
      </w:r>
      <w:r w:rsidRPr="00EA5534" w:rsidR="00EA5534">
        <w:t xml:space="preserve">Ook de </w:t>
      </w:r>
      <w:r w:rsidRPr="00EA5534" w:rsidR="00EA5534">
        <w:rPr>
          <w:i/>
          <w:iCs/>
        </w:rPr>
        <w:t>laatste school van de richting</w:t>
      </w:r>
      <w:r w:rsidRPr="00EA5534" w:rsidR="00EA5534">
        <w:t xml:space="preserve"> in een straal van een aantal kilometer kan bekostigd blijven, ook wanneer het leerlingaantal onder de gemeentelijke opheffingsnorm ligt. </w:t>
      </w:r>
    </w:p>
    <w:p w:rsidR="009E01DE" w:rsidP="00CA35E4" w:rsidRDefault="009E01DE" w14:paraId="4DB1BF8B" w14:textId="77777777">
      <w:pPr>
        <w:rPr>
          <w:i/>
          <w:iCs/>
        </w:rPr>
      </w:pPr>
    </w:p>
    <w:p w:rsidRPr="00871D7A" w:rsidR="00D0587F" w:rsidP="00CA35E4" w:rsidRDefault="00D0587F" w14:paraId="692751DC" w14:textId="57756508">
      <w:pPr>
        <w:rPr>
          <w:i/>
          <w:iCs/>
        </w:rPr>
      </w:pPr>
      <w:r w:rsidRPr="00871D7A">
        <w:rPr>
          <w:i/>
          <w:iCs/>
        </w:rPr>
        <w:t>Gevolgen van wijzigingen</w:t>
      </w:r>
    </w:p>
    <w:p w:rsidR="001B027D" w:rsidP="00CA35E4" w:rsidRDefault="006A40EF" w14:paraId="17F3E101" w14:textId="56F85C76">
      <w:r>
        <w:t>De voorgestelde wijziging</w:t>
      </w:r>
      <w:r w:rsidR="001E46E5">
        <w:t>en</w:t>
      </w:r>
      <w:r w:rsidR="007E78F9">
        <w:t xml:space="preserve"> zullen er niet toe leiden dat kinderen thuis komen te zitten of </w:t>
      </w:r>
      <w:r w:rsidR="00732D91">
        <w:t xml:space="preserve">zo </w:t>
      </w:r>
      <w:r w:rsidR="007E78F9">
        <w:t>ver moeten reizen</w:t>
      </w:r>
      <w:r w:rsidR="00732D91">
        <w:t xml:space="preserve"> dat naar school fietsen niet meer mogelijk is</w:t>
      </w:r>
      <w:r w:rsidR="007E78F9">
        <w:t xml:space="preserve">. Daar waar nodig, zullen kleine scholen gewoon blijven bestaan. </w:t>
      </w:r>
      <w:r w:rsidR="00BE3557">
        <w:t>Bijvoorbeeld in dunbevolktere regio’s. In stedelijke gebieden is dit anders. Hier creëren d</w:t>
      </w:r>
      <w:r w:rsidR="008E7B81">
        <w:t>e wijzigingen</w:t>
      </w:r>
      <w:r w:rsidR="005E699C">
        <w:t xml:space="preserve"> </w:t>
      </w:r>
      <w:r w:rsidR="008E7B81">
        <w:t>noodzaak</w:t>
      </w:r>
      <w:r w:rsidR="005E699C">
        <w:t xml:space="preserve"> voor </w:t>
      </w:r>
      <w:r w:rsidR="001B027D">
        <w:t xml:space="preserve">schoolbesturen </w:t>
      </w:r>
      <w:r w:rsidR="005E699C">
        <w:t>om</w:t>
      </w:r>
      <w:r w:rsidR="001B027D">
        <w:t xml:space="preserve"> in samenspraak met andere </w:t>
      </w:r>
      <w:r w:rsidRPr="009E01DE" w:rsidR="001B027D">
        <w:t xml:space="preserve">schoolbesturen in hun omgeving en met </w:t>
      </w:r>
      <w:r w:rsidRPr="009E01DE" w:rsidR="00732D91">
        <w:t>de</w:t>
      </w:r>
      <w:r w:rsidRPr="009E01DE" w:rsidR="001B027D">
        <w:t xml:space="preserve"> gemeente</w:t>
      </w:r>
      <w:r w:rsidRPr="009E01DE" w:rsidR="005E699C">
        <w:t xml:space="preserve"> te onderzoeken hoe de onderwijscapaciteit </w:t>
      </w:r>
      <w:r w:rsidRPr="009E01DE" w:rsidR="0047258D">
        <w:t xml:space="preserve">in </w:t>
      </w:r>
      <w:r w:rsidRPr="009E01DE" w:rsidR="00732D91">
        <w:t>de</w:t>
      </w:r>
      <w:r w:rsidRPr="009E01DE" w:rsidR="0047258D">
        <w:t xml:space="preserve"> regio het beste kan worden ingezet. </w:t>
      </w:r>
      <w:r w:rsidRPr="009E01DE" w:rsidR="00795A02">
        <w:t>Daarmee</w:t>
      </w:r>
      <w:r w:rsidRPr="009E01DE" w:rsidR="00BF6C17">
        <w:t xml:space="preserve"> kunnen </w:t>
      </w:r>
      <w:r w:rsidRPr="009E01DE" w:rsidR="00795A02">
        <w:t xml:space="preserve">besturen en gemeenten </w:t>
      </w:r>
      <w:r w:rsidRPr="009E01DE" w:rsidR="00BF6C17">
        <w:t>de druk op het personeels- en huisvestingstekort</w:t>
      </w:r>
      <w:r w:rsidRPr="009E01DE" w:rsidR="005E699C">
        <w:t xml:space="preserve"> en dus op de onderwijskwaliteit</w:t>
      </w:r>
      <w:r w:rsidRPr="009E01DE" w:rsidR="00BF6C17">
        <w:t xml:space="preserve"> verminderen. </w:t>
      </w:r>
      <w:r w:rsidRPr="009E01DE" w:rsidR="004F436D">
        <w:t>Een fusie biedt voor ouders, leerlingen, en onderwijspersoneel een soepelere overgang dan de opheffing van een school.</w:t>
      </w:r>
      <w:r w:rsidRPr="009E01DE" w:rsidR="00BE3557">
        <w:t xml:space="preserve"> </w:t>
      </w:r>
      <w:r w:rsidRPr="005C2A4C" w:rsidR="00BE3557">
        <w:t>Ik moedig schoolbestuurders, zeker in stedelijke gebieden, dan ook aan om mogelijkheden voor fusies van hun (te) kleine scholen te onderzoeken.</w:t>
      </w:r>
    </w:p>
    <w:p w:rsidR="003E3AC2" w:rsidP="00CA35E4" w:rsidRDefault="003E3AC2" w14:paraId="455971C2" w14:textId="77777777"/>
    <w:p w:rsidRPr="005C2A4C" w:rsidR="00D31F26" w:rsidP="005461AB" w:rsidRDefault="00732D91" w14:paraId="35A5600D" w14:textId="10FFF0AA">
      <w:pPr>
        <w:rPr>
          <w:u w:val="single"/>
        </w:rPr>
      </w:pPr>
      <w:r w:rsidRPr="005C2A4C">
        <w:rPr>
          <w:u w:val="single"/>
        </w:rPr>
        <w:t xml:space="preserve">Wijzigingen besproken </w:t>
      </w:r>
      <w:r w:rsidRPr="005C2A4C" w:rsidR="00E36A34">
        <w:rPr>
          <w:u w:val="single"/>
        </w:rPr>
        <w:t xml:space="preserve">met het veld </w:t>
      </w:r>
      <w:r w:rsidRPr="005C2A4C">
        <w:rPr>
          <w:u w:val="single"/>
        </w:rPr>
        <w:t>(</w:t>
      </w:r>
      <w:r w:rsidRPr="005C2A4C" w:rsidR="00CA5DA6">
        <w:rPr>
          <w:u w:val="single"/>
        </w:rPr>
        <w:t>najaar 2025</w:t>
      </w:r>
      <w:r w:rsidRPr="005C2A4C">
        <w:rPr>
          <w:u w:val="single"/>
        </w:rPr>
        <w:t>)</w:t>
      </w:r>
    </w:p>
    <w:p w:rsidR="00D0587F" w:rsidP="00D0587F" w:rsidRDefault="00D0587F" w14:paraId="20A51D67" w14:textId="44C0C7DF">
      <w:r w:rsidDel="00C1590E">
        <w:t xml:space="preserve">Om er zeker van te zijn dat </w:t>
      </w:r>
      <w:r>
        <w:t xml:space="preserve">de overgang naar </w:t>
      </w:r>
      <w:r w:rsidR="00732D91">
        <w:t>gewijzigde</w:t>
      </w:r>
      <w:r>
        <w:t xml:space="preserve"> regels</w:t>
      </w:r>
      <w:r w:rsidR="0047258D">
        <w:t xml:space="preserve"> </w:t>
      </w:r>
      <w:r>
        <w:t>zo soepel mogelijk verloopt</w:t>
      </w:r>
      <w:r w:rsidDel="00C1590E">
        <w:t xml:space="preserve">, hecht ik eraan dat voldoende tijd wordt genomen om de voorgestelde wijzigingen uitvoerig te bespreken en te toetsen. </w:t>
      </w:r>
      <w:r>
        <w:t>Voor een deel van de voorgestelde wijzigingen is dit al gebeurd tijdens de regiobijeenkomsten die in het voorjaar 2025 hebben plaatsgevonden.</w:t>
      </w:r>
      <w:r w:rsidR="00347CA4">
        <w:rPr>
          <w:rStyle w:val="Voetnootmarkering"/>
        </w:rPr>
        <w:footnoteReference w:id="9"/>
      </w:r>
      <w:r>
        <w:t xml:space="preserve"> Graag informeer ik u hieronder over de regiobijeenkomsten die in het najaar van 2025 hebben plaatsgevonden, waarin verder uitgewerkte mogelijke wijzigingen met het veld </w:t>
      </w:r>
      <w:r w:rsidR="00761547">
        <w:t>zijn</w:t>
      </w:r>
      <w:r w:rsidR="00347CA4">
        <w:t xml:space="preserve"> </w:t>
      </w:r>
      <w:r>
        <w:t xml:space="preserve">besproken. In deze bijeenkomsten lag de focus op kansen en uitdagingen bij fusies en samenwerking tussen schoolbesturen. </w:t>
      </w:r>
    </w:p>
    <w:p w:rsidRPr="0026055A" w:rsidR="00486B66" w:rsidP="005461AB" w:rsidRDefault="00486B66" w14:paraId="0267FEBD" w14:textId="77777777">
      <w:pPr>
        <w:rPr>
          <w:b/>
          <w:bCs/>
        </w:rPr>
      </w:pPr>
    </w:p>
    <w:p w:rsidRPr="007D51DC" w:rsidR="007D51DC" w:rsidP="005461AB" w:rsidRDefault="00CA5DA6" w14:paraId="30B13686" w14:textId="35A286F3">
      <w:pPr>
        <w:rPr>
          <w:i/>
          <w:iCs/>
        </w:rPr>
      </w:pPr>
      <w:r>
        <w:rPr>
          <w:i/>
          <w:iCs/>
        </w:rPr>
        <w:t>Fusies en samenwerking</w:t>
      </w:r>
    </w:p>
    <w:p w:rsidR="007D51DC" w:rsidP="00542865" w:rsidRDefault="007D51DC" w14:paraId="0F330F67" w14:textId="4A3A5092">
      <w:r>
        <w:t>Het komen tot een fusie of een samenwerkingsschool kost veel tijd, geld en inspanning, lieten schoolbesturen</w:t>
      </w:r>
      <w:r w:rsidR="005E699C">
        <w:t xml:space="preserve"> in de regiobijeenkomsten</w:t>
      </w:r>
      <w:r>
        <w:t xml:space="preserve"> weten. Temeer wanneer er geen of weinig ervaring is met het </w:t>
      </w:r>
      <w:r w:rsidR="008E7217">
        <w:t>fusie</w:t>
      </w:r>
      <w:r>
        <w:t>proces, of wanneer onrust ontstaat in de lokale</w:t>
      </w:r>
      <w:r w:rsidR="00871D7A">
        <w:t xml:space="preserve"> </w:t>
      </w:r>
      <w:r w:rsidR="008E7217">
        <w:t>gemeenschap</w:t>
      </w:r>
      <w:r>
        <w:t xml:space="preserve">. Naar aanleiding van deze signalen onderzoekt </w:t>
      </w:r>
      <w:r w:rsidR="00732D91">
        <w:t xml:space="preserve">het </w:t>
      </w:r>
      <w:r>
        <w:t>ministerie</w:t>
      </w:r>
      <w:r w:rsidR="00732D91">
        <w:t xml:space="preserve"> van OCW</w:t>
      </w:r>
      <w:r>
        <w:t xml:space="preserve"> of er </w:t>
      </w:r>
      <w:r w:rsidR="008E7217">
        <w:t>mogelijkheden zijn</w:t>
      </w:r>
      <w:r>
        <w:t xml:space="preserve"> om </w:t>
      </w:r>
      <w:r w:rsidR="00542865">
        <w:t>besturen die willen fuseren of een samenwerkingsschool willen vormen</w:t>
      </w:r>
      <w:r w:rsidR="00732D91">
        <w:t>,</w:t>
      </w:r>
      <w:r w:rsidR="00542865">
        <w:t xml:space="preserve"> </w:t>
      </w:r>
      <w:r w:rsidR="0082206B">
        <w:t xml:space="preserve">met expertise te ondersteunen. </w:t>
      </w:r>
      <w:r>
        <w:t xml:space="preserve">Ook werkt </w:t>
      </w:r>
      <w:r w:rsidR="00732D91">
        <w:t xml:space="preserve">het </w:t>
      </w:r>
      <w:r w:rsidR="001D4CE2">
        <w:t xml:space="preserve">ministerie </w:t>
      </w:r>
      <w:r w:rsidRPr="004F436D" w:rsidR="001D4CE2">
        <w:t>aan verschillende manieren om de informatie over fusies en samenwerkingsscholen met het onderwijsveld te delen, bijvoorbeeld via handreikingen. Hieronder valt ook de handreiking voor lokale initiatieven die een zelfstandige school willen oprichten of behouden, die aan uw Kamer is toegezegd.</w:t>
      </w:r>
      <w:r w:rsidR="001D4CE2">
        <w:t xml:space="preserve"> </w:t>
      </w:r>
    </w:p>
    <w:p w:rsidR="001D4CE2" w:rsidP="00542865" w:rsidRDefault="001D4CE2" w14:paraId="158A1BAD" w14:textId="77777777"/>
    <w:p w:rsidR="001D4CE2" w:rsidP="00542865" w:rsidRDefault="001D4CE2" w14:paraId="2700DAA3" w14:textId="54372AA6">
      <w:r>
        <w:t>Tijdens de regiobijeenkomsten hebben schoolbestuurders en gemeenten ook veel succesfactoren gedeeld die de kans van slag van een fusie of samenwerkingsschool vergroten. Graag deel ik</w:t>
      </w:r>
      <w:r w:rsidR="00D5545A">
        <w:t xml:space="preserve"> graag de twee meest genoemde.</w:t>
      </w:r>
    </w:p>
    <w:p w:rsidR="001D4CE2" w:rsidP="00542865" w:rsidRDefault="001D4CE2" w14:paraId="1B91F25F" w14:textId="77777777"/>
    <w:p w:rsidR="00732D91" w:rsidP="00542865" w:rsidRDefault="00D5545A" w14:paraId="4353B6DC" w14:textId="77777777">
      <w:r>
        <w:t xml:space="preserve">Als eerste gaven schoolbestuurders en gemeenten aan </w:t>
      </w:r>
      <w:r w:rsidR="001D4CE2">
        <w:t xml:space="preserve">dat een succesvolle fusie of samenwerking vereist dat bestuurders, schoolleiders en de gemeente een gedeeld beeld hebben en uitdragen over </w:t>
      </w:r>
      <w:r>
        <w:t>de noodzaak</w:t>
      </w:r>
      <w:r w:rsidR="001D4CE2">
        <w:t xml:space="preserve"> van de fusie of samenwerking</w:t>
      </w:r>
      <w:r>
        <w:t xml:space="preserve">, zodat ook leerlingen, ouders, onderwijspersoneel en de lokale gemeenschap zich hiervan bewust worden. Daarbij helpt het om </w:t>
      </w:r>
      <w:r w:rsidR="008E7217">
        <w:t>alle</w:t>
      </w:r>
      <w:r>
        <w:t xml:space="preserve"> belanghebbenden zo vroeg mogelijk te betrekken, zodat zij zich ook onderdeel voelen van de verandering.</w:t>
      </w:r>
    </w:p>
    <w:p w:rsidR="00732D91" w:rsidP="00542865" w:rsidRDefault="00732D91" w14:paraId="645E6DC9" w14:textId="77777777"/>
    <w:p w:rsidRPr="009E01DE" w:rsidR="00D5545A" w:rsidP="00542865" w:rsidRDefault="00D5545A" w14:paraId="383B2C78" w14:textId="37A2B102">
      <w:r>
        <w:t xml:space="preserve">Als tweede noemden schoolbesturen en gemeenten de relevantie van bestuurlijk lef, bijvoorbeeld om het belang van de leerlingen en de baat die zij hebben bij een stabiele school met voldoende onderwijspersoneel te stellen boven het behoud van de eigen school zoals die op dat moment is. </w:t>
      </w:r>
      <w:r w:rsidR="00B747E8">
        <w:t xml:space="preserve">De relevantie van bestuurlijk lef </w:t>
      </w:r>
      <w:r w:rsidR="00347CA4">
        <w:t xml:space="preserve">noemden </w:t>
      </w:r>
      <w:r w:rsidR="00B747E8">
        <w:t>schoolbesturen en gemeenten specifiek in het kader van de toegankelijkheid van het openbaar onderwijs</w:t>
      </w:r>
      <w:r w:rsidR="00A272CB">
        <w:t>. Dat kan</w:t>
      </w:r>
      <w:r w:rsidR="00B747E8">
        <w:t xml:space="preserve"> in dunbevolkte gebieden met een sterke religieuze signatuur onder druk komen te staan. </w:t>
      </w:r>
      <w:r w:rsidR="00A702D6">
        <w:t xml:space="preserve">Schoolbesturen maken zich zorgen dat met het </w:t>
      </w:r>
      <w:r w:rsidRPr="009E01DE" w:rsidR="00A702D6">
        <w:t xml:space="preserve">vervallen van de uitzonderingsgrond gemiddelde schoolgrootte veel kleine openbare scholen verdwijnen. </w:t>
      </w:r>
      <w:r w:rsidRPr="009E01DE" w:rsidR="00F2482D">
        <w:t xml:space="preserve">Dat zou schuren met artikel 23 van de Grondwet, waarin geregeld is dat er voldoende openbaar onderwijs moet zijn. </w:t>
      </w:r>
      <w:r w:rsidRPr="009E01DE" w:rsidR="00A702D6">
        <w:t xml:space="preserve">Daarom onderzoeken we </w:t>
      </w:r>
      <w:r w:rsidRPr="009E01DE" w:rsidR="00A7716F">
        <w:t xml:space="preserve">komend najaar </w:t>
      </w:r>
      <w:r w:rsidRPr="009E01DE" w:rsidR="00A702D6">
        <w:t xml:space="preserve">of het nodig is om </w:t>
      </w:r>
      <w:r w:rsidRPr="009E01DE" w:rsidR="003A1D3A">
        <w:t>aanvullende maatregelen te treffen om de toegankelijkheid van het openbaar onderwijs te borgen</w:t>
      </w:r>
      <w:r w:rsidRPr="009E01DE" w:rsidR="00B61F07">
        <w:t>, zoals ook gevraagd in de motie Beckerman</w:t>
      </w:r>
      <w:r w:rsidRPr="009E01DE" w:rsidR="00A702D6">
        <w:t>.</w:t>
      </w:r>
      <w:r w:rsidRPr="009E01DE" w:rsidR="00B61F07">
        <w:rPr>
          <w:rStyle w:val="Voetnootmarkering"/>
        </w:rPr>
        <w:footnoteReference w:id="10"/>
      </w:r>
      <w:r w:rsidRPr="009E01DE" w:rsidR="00B61F07">
        <w:t xml:space="preserve"> </w:t>
      </w:r>
      <w:r w:rsidRPr="009E01DE" w:rsidR="00F2482D">
        <w:t xml:space="preserve"> </w:t>
      </w:r>
      <w:r w:rsidRPr="009E01DE" w:rsidR="00A702D6">
        <w:t xml:space="preserve"> </w:t>
      </w:r>
      <w:r w:rsidRPr="009E01DE" w:rsidR="00B747E8">
        <w:t xml:space="preserve">  </w:t>
      </w:r>
    </w:p>
    <w:p w:rsidRPr="009E01DE" w:rsidR="008E7217" w:rsidP="00542865" w:rsidRDefault="008E7217" w14:paraId="1E2AC5B9" w14:textId="77777777"/>
    <w:p w:rsidRPr="009E01DE" w:rsidR="0082206B" w:rsidP="0082206B" w:rsidRDefault="008E7217" w14:paraId="180CD4C7" w14:textId="081995D7">
      <w:r w:rsidRPr="009E01DE">
        <w:t xml:space="preserve">Tijdens de regiobijeenkomsten zagen we veel mooie voorbeelden van schoolbesturen en gemeenten die samenwerken om het </w:t>
      </w:r>
      <w:r w:rsidRPr="009E01DE" w:rsidR="004A5D12">
        <w:t>scholenaanbod</w:t>
      </w:r>
      <w:r w:rsidRPr="009E01DE">
        <w:t xml:space="preserve"> in hun regio toekomstbestendig te maken. Ook voordat de regels worden aangepast, is er al veel mogelijk. Ik </w:t>
      </w:r>
      <w:r w:rsidRPr="005C2A4C" w:rsidR="00732D91">
        <w:t xml:space="preserve">roep </w:t>
      </w:r>
      <w:r w:rsidRPr="009E01DE">
        <w:t xml:space="preserve">schoolbesturen en gemeenten </w:t>
      </w:r>
      <w:r w:rsidRPr="005C2A4C" w:rsidR="00732D91">
        <w:t xml:space="preserve">op </w:t>
      </w:r>
      <w:r w:rsidRPr="009E01DE">
        <w:t>om, vooruitlopend op eventuele wijzigingen aan de regels, aan de slag te gaan</w:t>
      </w:r>
      <w:r w:rsidRPr="005C2A4C" w:rsidR="00732D91">
        <w:t xml:space="preserve"> met </w:t>
      </w:r>
      <w:r w:rsidRPr="009E01DE">
        <w:t xml:space="preserve">samen kijken naar hoe het </w:t>
      </w:r>
      <w:r w:rsidRPr="009E01DE" w:rsidR="004A5D12">
        <w:t>scholenaanbod</w:t>
      </w:r>
      <w:r w:rsidRPr="009E01DE">
        <w:t xml:space="preserve"> in hun omgeving het beste ingericht kan worden om goed onderwijs aan hun leerlingen te kunnen garanderen, nu en in de toekomst.</w:t>
      </w:r>
    </w:p>
    <w:p w:rsidRPr="009E01DE" w:rsidR="00234ACE" w:rsidP="0082206B" w:rsidRDefault="00234ACE" w14:paraId="06892207" w14:textId="77777777">
      <w:pPr>
        <w:rPr>
          <w:i/>
          <w:iCs/>
        </w:rPr>
      </w:pPr>
    </w:p>
    <w:p w:rsidRPr="009E01DE" w:rsidR="008C01A1" w:rsidP="0082206B" w:rsidRDefault="00384A2C" w14:paraId="134B865C" w14:textId="2AB89717">
      <w:pPr>
        <w:rPr>
          <w:i/>
          <w:iCs/>
        </w:rPr>
      </w:pPr>
      <w:r w:rsidRPr="009E01DE">
        <w:rPr>
          <w:i/>
          <w:iCs/>
        </w:rPr>
        <w:t>Behoud van onderwijs</w:t>
      </w:r>
      <w:r w:rsidRPr="009E01DE" w:rsidR="008C01A1">
        <w:rPr>
          <w:i/>
          <w:iCs/>
        </w:rPr>
        <w:t xml:space="preserve"> in </w:t>
      </w:r>
      <w:r w:rsidRPr="009E01DE">
        <w:rPr>
          <w:i/>
          <w:iCs/>
        </w:rPr>
        <w:t>dunbevolkte regio’s</w:t>
      </w:r>
    </w:p>
    <w:p w:rsidR="00B747E8" w:rsidP="0082206B" w:rsidRDefault="008E7217" w14:paraId="55D50BA4" w14:textId="315E5315">
      <w:r w:rsidRPr="009E01DE">
        <w:t>Naast</w:t>
      </w:r>
      <w:r w:rsidRPr="009E01DE" w:rsidR="008C01A1">
        <w:t xml:space="preserve"> fusies en samenwerking </w:t>
      </w:r>
      <w:r w:rsidRPr="009E01DE" w:rsidR="00B747E8">
        <w:t>kwam tijdens de regiobijeenkomsten in het najaar</w:t>
      </w:r>
      <w:r w:rsidR="00B747E8">
        <w:t xml:space="preserve"> van 2025 een aantal andere thema’s en vraagstukken herhaaldelijk terug: de kansen die </w:t>
      </w:r>
      <w:r>
        <w:t>kleine</w:t>
      </w:r>
      <w:r w:rsidR="005B66C1">
        <w:t xml:space="preserve"> of juist grotere</w:t>
      </w:r>
      <w:r>
        <w:t xml:space="preserve"> scholen kunnen </w:t>
      </w:r>
      <w:r w:rsidR="00B747E8">
        <w:t>bieden voor het passend onderwijs, de samenhang tussen</w:t>
      </w:r>
      <w:r w:rsidR="00234ACE">
        <w:t xml:space="preserve"> </w:t>
      </w:r>
      <w:r w:rsidR="00B747E8">
        <w:t>het stichten van scholen</w:t>
      </w:r>
      <w:r>
        <w:t xml:space="preserve"> enerzijds en het opheffen van scholen </w:t>
      </w:r>
      <w:r w:rsidR="00D74595">
        <w:t>anderzijds</w:t>
      </w:r>
      <w:r w:rsidR="006C2765">
        <w:t>,</w:t>
      </w:r>
      <w:r w:rsidR="00B747E8">
        <w:t xml:space="preserve"> de rol van gemeenten vanuit hun verantwoordelijkheid voor onderwijshuisvesting</w:t>
      </w:r>
      <w:r>
        <w:t>,</w:t>
      </w:r>
      <w:r w:rsidR="00D0587F">
        <w:t xml:space="preserve"> reeds gedane investeringen in onderwijshuisvesting,</w:t>
      </w:r>
      <w:r w:rsidR="006C2765">
        <w:t xml:space="preserve"> en het belang van </w:t>
      </w:r>
      <w:r w:rsidR="00D0587F">
        <w:t>scholen die een bredere maatschappelijke functie vervullen, bijvoorbeeld omdat ze een gebouw delen met een kinderopvang of bibliotheek.</w:t>
      </w:r>
      <w:r w:rsidR="00860498">
        <w:t xml:space="preserve"> </w:t>
      </w:r>
    </w:p>
    <w:p w:rsidR="00B747E8" w:rsidP="0082206B" w:rsidRDefault="00B747E8" w14:paraId="2E38EF15" w14:textId="77777777"/>
    <w:p w:rsidR="008C01A1" w:rsidP="0082206B" w:rsidRDefault="006C2765" w14:paraId="3317BD83" w14:textId="0A7A0C54">
      <w:r>
        <w:t xml:space="preserve">Ook </w:t>
      </w:r>
      <w:r w:rsidR="003A1D3A">
        <w:t xml:space="preserve">spraken de deelnemers van de regiobijeenkomsten </w:t>
      </w:r>
      <w:r>
        <w:t>opnieuw</w:t>
      </w:r>
      <w:r w:rsidR="008C01A1">
        <w:t xml:space="preserve"> veel over de balans tussen de doelen van </w:t>
      </w:r>
      <w:r w:rsidR="00D0587F">
        <w:t>eventuele wijzigingen aan regels</w:t>
      </w:r>
      <w:r w:rsidR="008C01A1">
        <w:t xml:space="preserve">, namelijk het toewerken naar een toekomstbestendig </w:t>
      </w:r>
      <w:r w:rsidR="00E64C96">
        <w:t>scholenaanbod</w:t>
      </w:r>
      <w:r w:rsidR="008C01A1">
        <w:t xml:space="preserve">, en de school als ankerpunt voor de gemeenschap. </w:t>
      </w:r>
      <w:r>
        <w:t xml:space="preserve">Een zorg die </w:t>
      </w:r>
      <w:r w:rsidR="003A1D3A">
        <w:t>de deelnemers</w:t>
      </w:r>
      <w:r w:rsidR="00347CA4">
        <w:t xml:space="preserve"> </w:t>
      </w:r>
      <w:r>
        <w:t xml:space="preserve">in dat kader veel </w:t>
      </w:r>
      <w:r w:rsidR="003A1D3A">
        <w:t>noemden</w:t>
      </w:r>
      <w:r w:rsidR="008C01A1">
        <w:t xml:space="preserve"> was dat ‘de regio’ geraakt zou worden door een </w:t>
      </w:r>
      <w:r w:rsidR="003A1D3A">
        <w:t xml:space="preserve">wetswijziging </w:t>
      </w:r>
      <w:r w:rsidR="008C01A1">
        <w:t>die in de eerste plaats gericht zou zijn op tekorten in de grote steden.</w:t>
      </w:r>
    </w:p>
    <w:p w:rsidR="008C01A1" w:rsidP="0082206B" w:rsidRDefault="008C01A1" w14:paraId="0D2ECA65" w14:textId="77777777"/>
    <w:p w:rsidR="007E5C5D" w:rsidP="008C01A1" w:rsidRDefault="008C01A1" w14:paraId="66612DE2" w14:textId="0D317069">
      <w:r>
        <w:t xml:space="preserve">Graag herhaal ik wat ook in de </w:t>
      </w:r>
      <w:r w:rsidR="00CA5DA6">
        <w:t xml:space="preserve">regiobijeenkomsten </w:t>
      </w:r>
      <w:r>
        <w:t>uitvoerig besproken is</w:t>
      </w:r>
      <w:r w:rsidR="003A1D3A">
        <w:t>:</w:t>
      </w:r>
      <w:r w:rsidR="007E78F9">
        <w:t xml:space="preserve"> dat de wijzigingen </w:t>
      </w:r>
      <w:r w:rsidR="006237BF">
        <w:t xml:space="preserve">nodig zijn om de kwaliteit </w:t>
      </w:r>
      <w:r w:rsidR="00732D91">
        <w:t xml:space="preserve">van </w:t>
      </w:r>
      <w:r w:rsidR="006237BF">
        <w:t>het onderwijs</w:t>
      </w:r>
      <w:r w:rsidR="00732D91">
        <w:t xml:space="preserve"> in álle regio’s, in grote steden én in dunbevolkte regio’s</w:t>
      </w:r>
      <w:r w:rsidR="006237BF">
        <w:t xml:space="preserve"> te waarborgen. </w:t>
      </w:r>
      <w:r w:rsidR="00684B58">
        <w:t xml:space="preserve">Het is waar dat de lerarentekorten momenteel met name in grote steden worden gevoeld, maar de prognoses laten zien dat deze tekorten over tien jaar ook de rest van het land zullen raken. </w:t>
      </w:r>
    </w:p>
    <w:p w:rsidR="001D22C4" w:rsidP="00CA35E4" w:rsidRDefault="001D22C4" w14:paraId="4F6A62C0" w14:textId="712AFC38"/>
    <w:p w:rsidRPr="005C2A4C" w:rsidR="001864A4" w:rsidP="00CA35E4" w:rsidRDefault="001864A4" w14:paraId="79A5C96D" w14:textId="2BF7A41F">
      <w:pPr>
        <w:rPr>
          <w:u w:val="single"/>
        </w:rPr>
      </w:pPr>
      <w:proofErr w:type="spellStart"/>
      <w:r w:rsidRPr="005C2A4C">
        <w:rPr>
          <w:u w:val="single"/>
        </w:rPr>
        <w:t>Vestigingenbeleid</w:t>
      </w:r>
      <w:proofErr w:type="spellEnd"/>
    </w:p>
    <w:p w:rsidRPr="007E5C5D" w:rsidR="001D22C4" w:rsidP="00CA35E4" w:rsidRDefault="007E5C5D" w14:paraId="7429885E" w14:textId="365C12FC">
      <w:r>
        <w:t xml:space="preserve">Naast de wet- en regelgeving rondom </w:t>
      </w:r>
      <w:proofErr w:type="spellStart"/>
      <w:r>
        <w:t>instandhouden</w:t>
      </w:r>
      <w:proofErr w:type="spellEnd"/>
      <w:r>
        <w:t xml:space="preserve"> en opheffen en de mogelijkheden rondom fusies en samenwerking </w:t>
      </w:r>
      <w:r w:rsidR="003A1D3A">
        <w:t xml:space="preserve">bepalen ook </w:t>
      </w:r>
      <w:r w:rsidR="00FE5E52">
        <w:t xml:space="preserve">de typen vestigingen </w:t>
      </w:r>
      <w:r w:rsidR="00E64C96">
        <w:t>die er bestaan</w:t>
      </w:r>
      <w:r w:rsidR="003A1D3A">
        <w:t xml:space="preserve"> het scholenaanbod</w:t>
      </w:r>
      <w:r>
        <w:t xml:space="preserve">. </w:t>
      </w:r>
      <w:r w:rsidRPr="001D22C4" w:rsidR="001D22C4">
        <w:t xml:space="preserve">Momenteel </w:t>
      </w:r>
      <w:r w:rsidR="00E64C96">
        <w:t xml:space="preserve">zijn dit er drie: </w:t>
      </w:r>
      <w:r w:rsidRPr="001D22C4" w:rsidR="001D22C4">
        <w:t xml:space="preserve">hoofdvestigingen, nevenvestigingen en dislocaties. </w:t>
      </w:r>
    </w:p>
    <w:p w:rsidR="0045010A" w:rsidP="00CA35E4" w:rsidRDefault="0045010A" w14:paraId="4F219736" w14:textId="77777777"/>
    <w:tbl>
      <w:tblPr>
        <w:tblStyle w:val="Rastertabel4-Accent1"/>
        <w:tblW w:w="0" w:type="auto"/>
        <w:tblLook w:val="04A0" w:firstRow="1" w:lastRow="0" w:firstColumn="1" w:lastColumn="0" w:noHBand="0" w:noVBand="1"/>
      </w:tblPr>
      <w:tblGrid>
        <w:gridCol w:w="7490"/>
      </w:tblGrid>
      <w:tr w:rsidR="001D22C4" w:rsidTr="001D22C4" w14:paraId="6869006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0" w:type="dxa"/>
          </w:tcPr>
          <w:p w:rsidR="001D22C4" w:rsidP="001D22C4" w:rsidRDefault="001D22C4" w14:paraId="5292E506" w14:textId="42C1CFB0">
            <w:pPr>
              <w:spacing w:line="360" w:lineRule="auto"/>
            </w:pPr>
            <w:r>
              <w:t>Hoofdvestigingen, nevenvestigingen, dislocaties: wat zijn dat?</w:t>
            </w:r>
          </w:p>
        </w:tc>
      </w:tr>
      <w:tr w:rsidR="001D22C4" w:rsidTr="008D1F53" w14:paraId="04484664" w14:textId="77777777">
        <w:trPr>
          <w:cnfStyle w:val="000000100000" w:firstRow="0" w:lastRow="0" w:firstColumn="0" w:lastColumn="0" w:oddVBand="0" w:evenVBand="0" w:oddHBand="1" w:evenHBand="0" w:firstRowFirstColumn="0" w:firstRowLastColumn="0" w:lastRowFirstColumn="0" w:lastRowLastColumn="0"/>
          <w:trHeight w:val="4503"/>
        </w:trPr>
        <w:tc>
          <w:tcPr>
            <w:cnfStyle w:val="001000000000" w:firstRow="0" w:lastRow="0" w:firstColumn="1" w:lastColumn="0" w:oddVBand="0" w:evenVBand="0" w:oddHBand="0" w:evenHBand="0" w:firstRowFirstColumn="0" w:firstRowLastColumn="0" w:lastRowFirstColumn="0" w:lastRowLastColumn="0"/>
            <w:tcW w:w="7640" w:type="dxa"/>
          </w:tcPr>
          <w:p w:rsidR="008D1F53" w:rsidP="001D22C4" w:rsidRDefault="001D22C4" w14:paraId="31F81DCF" w14:textId="77777777">
            <w:r w:rsidRPr="001D22C4">
              <w:rPr>
                <w:b w:val="0"/>
                <w:bCs w:val="0"/>
              </w:rPr>
              <w:t xml:space="preserve">Een </w:t>
            </w:r>
            <w:r w:rsidRPr="008D1F53">
              <w:t>hoofdvestiging</w:t>
            </w:r>
            <w:r w:rsidRPr="001D22C4">
              <w:rPr>
                <w:b w:val="0"/>
                <w:bCs w:val="0"/>
              </w:rPr>
              <w:t xml:space="preserve"> is het gebouw waarin een schoolbestuur een school sticht. Voor veel basisscholen is de hoofdvestiging de enige vestiging die de school kent.</w:t>
            </w:r>
          </w:p>
          <w:p w:rsidR="008D1F53" w:rsidP="001D22C4" w:rsidRDefault="008D1F53" w14:paraId="6827E235" w14:textId="77777777"/>
          <w:p w:rsidRPr="008D1F53" w:rsidR="001D22C4" w:rsidP="001D22C4" w:rsidRDefault="001D22C4" w14:paraId="74F2F56A" w14:textId="261A42DE">
            <w:r w:rsidRPr="001D22C4">
              <w:rPr>
                <w:b w:val="0"/>
                <w:bCs w:val="0"/>
              </w:rPr>
              <w:t xml:space="preserve">Sommige basisscholen hebben naast de hoofdvestiging ook een </w:t>
            </w:r>
            <w:r w:rsidRPr="008D1F53">
              <w:t>nevenvestiging</w:t>
            </w:r>
            <w:r w:rsidRPr="001D22C4">
              <w:rPr>
                <w:b w:val="0"/>
                <w:bCs w:val="0"/>
              </w:rPr>
              <w:t xml:space="preserve">. </w:t>
            </w:r>
            <w:r w:rsidRPr="008D1F53">
              <w:rPr>
                <w:b w:val="0"/>
                <w:bCs w:val="0"/>
              </w:rPr>
              <w:t>Nevenvestigingen</w:t>
            </w:r>
            <w:r w:rsidRPr="001D22C4">
              <w:rPr>
                <w:b w:val="0"/>
                <w:bCs w:val="0"/>
              </w:rPr>
              <w:t xml:space="preserve"> zijn bij wet deel van dezelfde school als </w:t>
            </w:r>
            <w:r w:rsidR="009E2404">
              <w:rPr>
                <w:b w:val="0"/>
                <w:bCs w:val="0"/>
              </w:rPr>
              <w:t>hun</w:t>
            </w:r>
            <w:r w:rsidRPr="001D22C4" w:rsidR="009E2404">
              <w:rPr>
                <w:b w:val="0"/>
                <w:bCs w:val="0"/>
              </w:rPr>
              <w:t xml:space="preserve"> </w:t>
            </w:r>
            <w:r w:rsidRPr="001D22C4">
              <w:rPr>
                <w:b w:val="0"/>
                <w:bCs w:val="0"/>
              </w:rPr>
              <w:t xml:space="preserve">hoofdvestiging, maar functioneren in de praktijk </w:t>
            </w:r>
            <w:r w:rsidR="00FE5E52">
              <w:rPr>
                <w:b w:val="0"/>
                <w:bCs w:val="0"/>
              </w:rPr>
              <w:t>doorgaans</w:t>
            </w:r>
            <w:r w:rsidR="006237BF">
              <w:rPr>
                <w:b w:val="0"/>
                <w:bCs w:val="0"/>
              </w:rPr>
              <w:t xml:space="preserve"> zelfstandig</w:t>
            </w:r>
            <w:r w:rsidRPr="001D22C4">
              <w:rPr>
                <w:b w:val="0"/>
                <w:bCs w:val="0"/>
              </w:rPr>
              <w:t xml:space="preserve">. Zo’n nevenvestiging kan ontstaan wanneer wat eerst twee hoofdvestigingen waren fuseren, bijvoorbeeld omdat één van de vestigingen een te laag leerlingenaantal had. </w:t>
            </w:r>
            <w:r w:rsidR="00DD3447">
              <w:rPr>
                <w:b w:val="0"/>
                <w:bCs w:val="0"/>
              </w:rPr>
              <w:t xml:space="preserve">Nevenvestigingen hebben dezelfde </w:t>
            </w:r>
            <w:r w:rsidR="00A7716F">
              <w:rPr>
                <w:b w:val="0"/>
                <w:bCs w:val="0"/>
              </w:rPr>
              <w:t>instellingscode (</w:t>
            </w:r>
            <w:r w:rsidR="00DD3447">
              <w:rPr>
                <w:b w:val="0"/>
                <w:bCs w:val="0"/>
              </w:rPr>
              <w:t>BRIN</w:t>
            </w:r>
            <w:r w:rsidR="00A7716F">
              <w:rPr>
                <w:b w:val="0"/>
                <w:bCs w:val="0"/>
              </w:rPr>
              <w:t>)</w:t>
            </w:r>
            <w:r w:rsidR="00DD3447">
              <w:rPr>
                <w:b w:val="0"/>
                <w:bCs w:val="0"/>
              </w:rPr>
              <w:t xml:space="preserve"> als de hoofdvestiging waar ze bij horen</w:t>
            </w:r>
            <w:r w:rsidR="00A7716F">
              <w:rPr>
                <w:b w:val="0"/>
                <w:bCs w:val="0"/>
              </w:rPr>
              <w:t>, maar een andere vestigingscode</w:t>
            </w:r>
            <w:r w:rsidR="00DD3447">
              <w:rPr>
                <w:b w:val="0"/>
                <w:bCs w:val="0"/>
              </w:rPr>
              <w:t>.</w:t>
            </w:r>
          </w:p>
          <w:p w:rsidRPr="001D22C4" w:rsidR="001D22C4" w:rsidP="001D22C4" w:rsidRDefault="001D22C4" w14:paraId="27BDEAE8" w14:textId="77777777">
            <w:pPr>
              <w:rPr>
                <w:b w:val="0"/>
                <w:bCs w:val="0"/>
              </w:rPr>
            </w:pPr>
          </w:p>
          <w:p w:rsidRPr="001D22C4" w:rsidR="001D22C4" w:rsidP="00CA35E4" w:rsidRDefault="00FE5E52" w14:paraId="1F4063FB" w14:textId="3EF2753E">
            <w:pPr>
              <w:rPr>
                <w:b w:val="0"/>
                <w:bCs w:val="0"/>
              </w:rPr>
            </w:pPr>
            <w:r w:rsidRPr="001D22C4">
              <w:rPr>
                <w:b w:val="0"/>
                <w:bCs w:val="0"/>
              </w:rPr>
              <w:t>Zowel hoofd- als nevenvestigingen hebben een duidelijke plaats in de wet, worden door DUO geregistreerd en ontvangen als vestiging vaste bekostiging.</w:t>
            </w:r>
            <w:r>
              <w:rPr>
                <w:b w:val="0"/>
                <w:bCs w:val="0"/>
              </w:rPr>
              <w:t xml:space="preserve"> </w:t>
            </w:r>
            <w:r w:rsidRPr="001D22C4" w:rsidR="001D22C4">
              <w:rPr>
                <w:b w:val="0"/>
                <w:bCs w:val="0"/>
              </w:rPr>
              <w:t xml:space="preserve">Voor </w:t>
            </w:r>
            <w:r w:rsidRPr="008D1F53" w:rsidR="001D22C4">
              <w:t>dislocaties</w:t>
            </w:r>
            <w:r w:rsidRPr="001D22C4" w:rsidR="001D22C4">
              <w:rPr>
                <w:b w:val="0"/>
                <w:bCs w:val="0"/>
              </w:rPr>
              <w:t xml:space="preserve"> is dat anders. Dislocaties hebben géén plaats in de wet, worden door DUO niet erkend of geregistreerd en ontvangen als vestiging geen vaste bekostiging. Oorspronkelijk waren dislocaties bedoeld als bijgebouw om tijdelijk ruimtegebrek op een hoofdvestiging op te vangen. Dat is ook waarom dislocaties geen plaats hebben in de wet. In de praktijk </w:t>
            </w:r>
            <w:r w:rsidR="003A1D3A">
              <w:rPr>
                <w:b w:val="0"/>
                <w:bCs w:val="0"/>
              </w:rPr>
              <w:t xml:space="preserve">zetten schoolbesturen </w:t>
            </w:r>
            <w:r w:rsidRPr="001D22C4" w:rsidR="001D22C4">
              <w:rPr>
                <w:b w:val="0"/>
                <w:bCs w:val="0"/>
              </w:rPr>
              <w:t xml:space="preserve">dislocaties echter voor meer doeleinden in, en functioneren veel dislocaties net als hoofd- en nevenvestigingen als zelfstandige school. </w:t>
            </w:r>
            <w:r w:rsidR="00DD3447">
              <w:rPr>
                <w:b w:val="0"/>
                <w:bCs w:val="0"/>
              </w:rPr>
              <w:t>Dislocaties vallen onder dezelfde BRIN als de hoofdvestiging waar ze bij horen.</w:t>
            </w:r>
          </w:p>
        </w:tc>
      </w:tr>
    </w:tbl>
    <w:p w:rsidR="0033038C" w:rsidP="00CA35E4" w:rsidRDefault="0033038C" w14:paraId="01B5DD23" w14:textId="1A1BD70C"/>
    <w:p w:rsidR="008D1F53" w:rsidP="007E5C5D" w:rsidRDefault="008D1F53" w14:paraId="22A93EF7" w14:textId="7DECBE66">
      <w:r>
        <w:t xml:space="preserve">Het bestaan van dislocaties </w:t>
      </w:r>
      <w:r w:rsidR="00222CE2">
        <w:t xml:space="preserve">leidt tot </w:t>
      </w:r>
      <w:r w:rsidR="004A5D12">
        <w:t xml:space="preserve">onvoorspelbaarheid </w:t>
      </w:r>
      <w:r w:rsidR="00222CE2">
        <w:t>over welke regels gelden voor welke onderwijslocaties</w:t>
      </w:r>
      <w:r w:rsidR="004A5D12">
        <w:t xml:space="preserve"> en tot onduidelijke verschillen hierin. Z</w:t>
      </w:r>
      <w:r w:rsidR="00FE5E52">
        <w:t xml:space="preserve">owel de overheid als </w:t>
      </w:r>
      <w:r>
        <w:t xml:space="preserve">schoolbesturen hebben daar last van. </w:t>
      </w:r>
    </w:p>
    <w:p w:rsidR="008D1F53" w:rsidP="00CA35E4" w:rsidRDefault="008D1F53" w14:paraId="0F5B433A" w14:textId="77777777"/>
    <w:p w:rsidR="0033038C" w:rsidP="008D1F53" w:rsidRDefault="00F3441E" w14:paraId="03D4A69C" w14:textId="3957A24D">
      <w:r>
        <w:t>D</w:t>
      </w:r>
      <w:r w:rsidR="0033038C">
        <w:t xml:space="preserve">islocaties </w:t>
      </w:r>
      <w:r>
        <w:t xml:space="preserve">worden </w:t>
      </w:r>
      <w:r w:rsidR="0033038C">
        <w:t>niet geregistreerd</w:t>
      </w:r>
      <w:r>
        <w:t>, maar</w:t>
      </w:r>
      <w:r w:rsidR="0033038C">
        <w:t xml:space="preserve"> </w:t>
      </w:r>
      <w:r>
        <w:t>s</w:t>
      </w:r>
      <w:r w:rsidR="00FE5E52">
        <w:t xml:space="preserve">choolbesturen kunnen zelf informatie aan de Dienst Uitvoering Onderwijs (DUO) doorgeven over de onderwijslocaties die onder hun bestuur vallen. </w:t>
      </w:r>
      <w:r w:rsidR="0054078A">
        <w:t xml:space="preserve">Dit </w:t>
      </w:r>
      <w:r>
        <w:t xml:space="preserve">levert een incompleet </w:t>
      </w:r>
      <w:r w:rsidR="0054078A">
        <w:t xml:space="preserve">beeld </w:t>
      </w:r>
      <w:r>
        <w:t>op</w:t>
      </w:r>
      <w:r w:rsidR="005B66C1">
        <w:t xml:space="preserve">. </w:t>
      </w:r>
      <w:r w:rsidR="0033038C">
        <w:t>Daarbij komt dat leerlingen die op dislocaties leskrijgen</w:t>
      </w:r>
      <w:r w:rsidR="0054078A">
        <w:t>,</w:t>
      </w:r>
      <w:r w:rsidR="0033038C">
        <w:t xml:space="preserve"> ingeschreven</w:t>
      </w:r>
      <w:r w:rsidR="00645D89">
        <w:t xml:space="preserve"> staan</w:t>
      </w:r>
      <w:r w:rsidR="0033038C">
        <w:t xml:space="preserve"> op de hoofd- of nevenvestigingen waar de dislocatie deel van uitmaakt. Op die manier vertroebelen dislocaties het beeld </w:t>
      </w:r>
      <w:r w:rsidR="008D1F53">
        <w:t>van</w:t>
      </w:r>
      <w:r w:rsidR="0033038C">
        <w:t xml:space="preserve"> het aantal leerlingen per vestiging. </w:t>
      </w:r>
      <w:r w:rsidR="0054078A">
        <w:t>Deze vertroebeling</w:t>
      </w:r>
      <w:r w:rsidR="0033038C">
        <w:t xml:space="preserve"> kan </w:t>
      </w:r>
      <w:r w:rsidR="0054078A">
        <w:t xml:space="preserve">grote </w:t>
      </w:r>
      <w:r w:rsidR="0033038C">
        <w:t xml:space="preserve">gevolgen hebben voor de voorgestelde </w:t>
      </w:r>
      <w:r w:rsidR="00222CE2">
        <w:t>wijzigingen aan de regels</w:t>
      </w:r>
      <w:r w:rsidR="0054078A">
        <w:t>: d</w:t>
      </w:r>
      <w:r w:rsidR="0033038C">
        <w:t xml:space="preserve">oor het bestaan van dislocaties kunnen </w:t>
      </w:r>
      <w:r w:rsidR="00222CE2">
        <w:t xml:space="preserve">er veel meer te kleine scholen zijn dan we nu in beeld hebben. </w:t>
      </w:r>
      <w:r w:rsidR="0054078A">
        <w:t xml:space="preserve">Bovendien kunnen te kleine scholen die onder de </w:t>
      </w:r>
      <w:r w:rsidR="0054078A">
        <w:lastRenderedPageBreak/>
        <w:t xml:space="preserve">huidige regels worden opgeheven, blijven voortbestaan als dislocaties. Dit betekent dat </w:t>
      </w:r>
      <w:r w:rsidR="006B2B4A">
        <w:t xml:space="preserve">er </w:t>
      </w:r>
      <w:r w:rsidR="003A1D3A">
        <w:t xml:space="preserve">geen winst </w:t>
      </w:r>
      <w:r w:rsidR="006B2B4A">
        <w:t xml:space="preserve">ontstaat </w:t>
      </w:r>
      <w:r w:rsidR="0054078A">
        <w:t xml:space="preserve">op het gebied van </w:t>
      </w:r>
      <w:r w:rsidR="006237BF">
        <w:t>personeels</w:t>
      </w:r>
      <w:r w:rsidR="0054078A">
        <w:t>- en huisvestingstekorten</w:t>
      </w:r>
      <w:r w:rsidR="006237BF">
        <w:t>, en dus ook niet op het gebied van onderwijskwaliteit</w:t>
      </w:r>
      <w:r w:rsidR="0054078A">
        <w:t>.</w:t>
      </w:r>
    </w:p>
    <w:p w:rsidR="008D1F53" w:rsidP="00CA35E4" w:rsidRDefault="008D1F53" w14:paraId="618FFF03" w14:textId="77777777"/>
    <w:p w:rsidR="008D1F53" w:rsidP="00CA35E4" w:rsidRDefault="008D1F53" w14:paraId="1FE433F8" w14:textId="32EE8490">
      <w:r>
        <w:t xml:space="preserve">In </w:t>
      </w:r>
      <w:r w:rsidR="0054078A">
        <w:t>de</w:t>
      </w:r>
      <w:r>
        <w:t xml:space="preserve"> brief </w:t>
      </w:r>
      <w:r w:rsidR="0054078A">
        <w:t xml:space="preserve">van </w:t>
      </w:r>
      <w:r w:rsidR="005842CE">
        <w:t>juli 2025</w:t>
      </w:r>
      <w:r w:rsidR="0054078A">
        <w:t xml:space="preserve"> </w:t>
      </w:r>
      <w:r w:rsidR="006B2B4A">
        <w:t>is</w:t>
      </w:r>
      <w:r w:rsidR="0033038C">
        <w:t xml:space="preserve"> een extern onderzoek </w:t>
      </w:r>
      <w:r w:rsidR="006237BF">
        <w:t>aangekondigd</w:t>
      </w:r>
      <w:r w:rsidR="0033038C">
        <w:t xml:space="preserve"> naar de inzet van dislocaties in het </w:t>
      </w:r>
      <w:r w:rsidR="00E64C96">
        <w:t>scholenaanbod</w:t>
      </w:r>
      <w:r w:rsidR="0033038C">
        <w:t>. Dit onderzoek is eind 2025 opgeleverd en begin 2026 met uw Kamer gedeeld</w:t>
      </w:r>
      <w:r w:rsidRPr="005842CE" w:rsidR="0033038C">
        <w:rPr>
          <w:color w:val="000000" w:themeColor="text1"/>
        </w:rPr>
        <w:t>.</w:t>
      </w:r>
      <w:r w:rsidRPr="001071E7" w:rsidR="005842CE">
        <w:rPr>
          <w:rStyle w:val="Voetnootmarkering"/>
          <w:color w:val="000000" w:themeColor="text1"/>
        </w:rPr>
        <w:footnoteReference w:id="11"/>
      </w:r>
      <w:r w:rsidRPr="006237BF" w:rsidR="0033038C">
        <w:rPr>
          <w:color w:val="000000" w:themeColor="text1"/>
        </w:rPr>
        <w:t xml:space="preserve"> </w:t>
      </w:r>
      <w:r w:rsidRPr="006237BF" w:rsidR="0054078A">
        <w:rPr>
          <w:color w:val="000000" w:themeColor="text1"/>
        </w:rPr>
        <w:t>Uit</w:t>
      </w:r>
      <w:r w:rsidRPr="005842CE" w:rsidR="0054078A">
        <w:rPr>
          <w:color w:val="000000" w:themeColor="text1"/>
        </w:rPr>
        <w:t xml:space="preserve"> </w:t>
      </w:r>
      <w:r w:rsidR="00E64C96">
        <w:t>het</w:t>
      </w:r>
      <w:r w:rsidR="0054078A">
        <w:t xml:space="preserve"> onderzoek blijkt dat dislocaties </w:t>
      </w:r>
      <w:r w:rsidR="00E64C96">
        <w:t xml:space="preserve">nu </w:t>
      </w:r>
      <w:r w:rsidR="0054078A">
        <w:t>voor veel verschillende doeleinden worden ingezet. Een deel van de</w:t>
      </w:r>
      <w:r w:rsidR="00E64C96">
        <w:t>ze</w:t>
      </w:r>
      <w:r w:rsidR="0054078A">
        <w:t xml:space="preserve"> </w:t>
      </w:r>
      <w:r w:rsidR="00E64C96">
        <w:t>doeleinden</w:t>
      </w:r>
      <w:r w:rsidR="0054078A">
        <w:t xml:space="preserve"> </w:t>
      </w:r>
      <w:r w:rsidR="004A5D12">
        <w:t>is</w:t>
      </w:r>
      <w:r w:rsidR="0054078A">
        <w:t xml:space="preserve"> van meerwaarde voor het </w:t>
      </w:r>
      <w:r w:rsidR="00E64C96">
        <w:t>onderwijs</w:t>
      </w:r>
      <w:r w:rsidR="004A5D12">
        <w:t xml:space="preserve">, denk aan dislocaties die functioneren als bijgebouw bij ruimtetekort of </w:t>
      </w:r>
      <w:r w:rsidR="00E64C96">
        <w:t>huisvesting</w:t>
      </w:r>
      <w:r w:rsidR="004A5D12">
        <w:t xml:space="preserve"> bieden aan nieuwkomersonderwijs</w:t>
      </w:r>
      <w:r w:rsidR="0054078A">
        <w:t xml:space="preserve">. Deze dislocaties wil ik behouden. </w:t>
      </w:r>
      <w:r w:rsidR="004A5D12">
        <w:t xml:space="preserve">Dit geldt echter niet voor alle </w:t>
      </w:r>
      <w:r w:rsidR="00E64C96">
        <w:t xml:space="preserve">doeleinden en </w:t>
      </w:r>
      <w:r w:rsidR="004A5D12">
        <w:t xml:space="preserve">dislocaties. </w:t>
      </w:r>
      <w:r w:rsidR="00F3441E">
        <w:t>O</w:t>
      </w:r>
      <w:r w:rsidR="000948B3">
        <w:t xml:space="preserve">m het </w:t>
      </w:r>
      <w:r w:rsidR="00E64C96">
        <w:t xml:space="preserve">scholenaanbod </w:t>
      </w:r>
      <w:r w:rsidR="000948B3">
        <w:t xml:space="preserve">toekomstbestendig </w:t>
      </w:r>
      <w:r w:rsidR="004A5D12">
        <w:t xml:space="preserve">en voorspelbaar </w:t>
      </w:r>
      <w:r w:rsidR="000948B3">
        <w:t xml:space="preserve">te maken, </w:t>
      </w:r>
      <w:r w:rsidR="00F3441E">
        <w:t>moet</w:t>
      </w:r>
      <w:r w:rsidR="003A1D3A">
        <w:t xml:space="preserve"> </w:t>
      </w:r>
      <w:r w:rsidR="000948B3">
        <w:t xml:space="preserve">het beleid op dislocaties </w:t>
      </w:r>
      <w:r w:rsidR="003A1D3A">
        <w:t>wijzigen</w:t>
      </w:r>
      <w:r w:rsidR="000948B3">
        <w:t xml:space="preserve">. </w:t>
      </w:r>
      <w:r w:rsidR="007A2D5A">
        <w:t>D</w:t>
      </w:r>
      <w:r w:rsidR="000948B3">
        <w:t xml:space="preserve">islocaties </w:t>
      </w:r>
      <w:r w:rsidR="007A2D5A">
        <w:t xml:space="preserve">moeten worden geregistreerd </w:t>
      </w:r>
      <w:r w:rsidR="006237BF">
        <w:t xml:space="preserve">en </w:t>
      </w:r>
      <w:r w:rsidR="003A1D3A">
        <w:t>in</w:t>
      </w:r>
      <w:r w:rsidR="007A2D5A">
        <w:t>ge</w:t>
      </w:r>
      <w:r w:rsidR="003A1D3A">
        <w:t>pas</w:t>
      </w:r>
      <w:r w:rsidR="007A2D5A">
        <w:t>t</w:t>
      </w:r>
      <w:r w:rsidR="006237BF">
        <w:t xml:space="preserve"> in het reguliere systeem van wet- en regelgeving, </w:t>
      </w:r>
      <w:r w:rsidR="001A135B">
        <w:t>waardoor</w:t>
      </w:r>
      <w:r w:rsidR="006237BF">
        <w:t xml:space="preserve"> </w:t>
      </w:r>
      <w:r w:rsidR="000948B3">
        <w:t xml:space="preserve">de inzet van dislocaties </w:t>
      </w:r>
      <w:r w:rsidR="007A2D5A">
        <w:t>kan worden ge</w:t>
      </w:r>
      <w:r w:rsidR="003A1D3A">
        <w:t>regule</w:t>
      </w:r>
      <w:r w:rsidR="007A2D5A">
        <w:t>e</w:t>
      </w:r>
      <w:r w:rsidR="003A1D3A">
        <w:t>r</w:t>
      </w:r>
      <w:r w:rsidR="007A2D5A">
        <w:t>d</w:t>
      </w:r>
      <w:r w:rsidR="000948B3">
        <w:t xml:space="preserve">. </w:t>
      </w:r>
    </w:p>
    <w:p w:rsidR="001864A4" w:rsidP="001864A4" w:rsidRDefault="001864A4" w14:paraId="43487FED" w14:textId="77777777"/>
    <w:p w:rsidRPr="005C2A4C" w:rsidR="000948B3" w:rsidP="00CA35E4" w:rsidRDefault="000948B3" w14:paraId="00046E24" w14:textId="665EF1CC">
      <w:pPr>
        <w:rPr>
          <w:u w:val="single"/>
        </w:rPr>
      </w:pPr>
      <w:r w:rsidRPr="005C2A4C">
        <w:rPr>
          <w:u w:val="single"/>
        </w:rPr>
        <w:t>Vervolgproces</w:t>
      </w:r>
    </w:p>
    <w:p w:rsidR="00EF1C0A" w:rsidP="00CA35E4" w:rsidRDefault="0082206B" w14:paraId="0836A067" w14:textId="17B5F443">
      <w:r>
        <w:t xml:space="preserve">Op basis van de opbrengsten van de </w:t>
      </w:r>
      <w:r w:rsidR="005842CE">
        <w:t>regio</w:t>
      </w:r>
      <w:r>
        <w:t xml:space="preserve">bijeenkomsten en de uitkomsten van het onderzoek naar dislocaties, </w:t>
      </w:r>
      <w:r w:rsidR="00BE3557">
        <w:t>is</w:t>
      </w:r>
      <w:r w:rsidR="003A1D3A">
        <w:t xml:space="preserve"> </w:t>
      </w:r>
      <w:r>
        <w:t xml:space="preserve">opnieuw naar de </w:t>
      </w:r>
      <w:r w:rsidR="00222CE2">
        <w:t>regels</w:t>
      </w:r>
      <w:r>
        <w:t xml:space="preserve"> gekeken en worden de voorstellen nader </w:t>
      </w:r>
      <w:r w:rsidR="00222CE2">
        <w:t xml:space="preserve">aangescherpt en </w:t>
      </w:r>
      <w:r>
        <w:t xml:space="preserve">uitgewerkt. Hiertoe </w:t>
      </w:r>
      <w:r w:rsidR="006B2B4A">
        <w:t>is</w:t>
      </w:r>
      <w:r w:rsidR="003A1D3A">
        <w:t xml:space="preserve"> </w:t>
      </w:r>
      <w:r>
        <w:t xml:space="preserve">een klankbordgroep gevormd </w:t>
      </w:r>
      <w:r w:rsidR="003A1D3A">
        <w:t xml:space="preserve">om </w:t>
      </w:r>
      <w:r w:rsidR="00222CE2">
        <w:t xml:space="preserve">belangenorganisaties, </w:t>
      </w:r>
      <w:r>
        <w:t xml:space="preserve">ouderorganisaties en vakbonden </w:t>
      </w:r>
      <w:r w:rsidR="003A1D3A">
        <w:t>te betrekken</w:t>
      </w:r>
      <w:r>
        <w:t xml:space="preserve">. In het najaar </w:t>
      </w:r>
      <w:r w:rsidR="007A2D5A">
        <w:t>worden</w:t>
      </w:r>
      <w:r>
        <w:t xml:space="preserve"> </w:t>
      </w:r>
      <w:r w:rsidR="005842CE">
        <w:t xml:space="preserve">opnieuw gesprekken met </w:t>
      </w:r>
      <w:r>
        <w:t>schoolbestuurders en gemeenteambtenaren</w:t>
      </w:r>
      <w:r w:rsidR="006B2B4A">
        <w:t xml:space="preserve"> georganiseerd</w:t>
      </w:r>
      <w:r>
        <w:t xml:space="preserve">. </w:t>
      </w:r>
      <w:r w:rsidR="006B2B4A">
        <w:t>We blijven</w:t>
      </w:r>
      <w:r w:rsidR="00114E59">
        <w:t xml:space="preserve"> in gesprek met alle relevante veldpartijen</w:t>
      </w:r>
      <w:r w:rsidR="006237BF">
        <w:t>,</w:t>
      </w:r>
      <w:r w:rsidR="00B40BA5">
        <w:t xml:space="preserve"> opdat we de voorgestelde wijzigingen zo zorgvuldig mogelijk vormgeven</w:t>
      </w:r>
      <w:r w:rsidR="004F436D">
        <w:t>.</w:t>
      </w:r>
      <w:r w:rsidR="00B40BA5">
        <w:t xml:space="preserve"> Om de onderwijskwaliteit in ons land te borgen, moeten alle randvoorwaarden goed op orde zijn. Dit kunnen we enkel samen bereiken.</w:t>
      </w:r>
    </w:p>
    <w:p w:rsidR="001A135B" w:rsidP="00CA35E4" w:rsidRDefault="001A135B" w14:paraId="6E624008" w14:textId="77777777"/>
    <w:p w:rsidR="001A135B" w:rsidP="00CA35E4" w:rsidRDefault="001A135B" w14:paraId="0D97A6E4" w14:textId="77777777"/>
    <w:p w:rsidR="001A135B" w:rsidP="00CA35E4" w:rsidRDefault="001A135B" w14:paraId="3181EE72" w14:textId="77777777"/>
    <w:p w:rsidR="00B40BA5" w:rsidP="00CA35E4" w:rsidRDefault="001A135B" w14:paraId="7197E581" w14:textId="21F9E4D5">
      <w:r>
        <w:t>Hoogachtend,</w:t>
      </w:r>
    </w:p>
    <w:p w:rsidR="00EF1C0A" w:rsidP="00CA35E4" w:rsidRDefault="00EF1C0A" w14:paraId="4DD81F3D" w14:textId="77777777"/>
    <w:p w:rsidR="00820DDA" w:rsidP="00CA35E4" w:rsidRDefault="00DD133F" w14:paraId="4F8C122F" w14:textId="6CB3EEAC">
      <w:r>
        <w:t>d</w:t>
      </w:r>
      <w:r w:rsidR="00745AE0">
        <w:t xml:space="preserve">e staatssecretaris </w:t>
      </w:r>
      <w:r w:rsidR="00535573">
        <w:t>van Onderwijs</w:t>
      </w:r>
      <w:r>
        <w:t xml:space="preserve"> en Emancipatie</w:t>
      </w:r>
      <w:r w:rsidR="00745AE0">
        <w:t>,</w:t>
      </w:r>
    </w:p>
    <w:p w:rsidR="00745AE0" w:rsidP="003A7160" w:rsidRDefault="00745AE0" w14:paraId="4BA26745" w14:textId="77777777"/>
    <w:p w:rsidR="00745AE0" w:rsidP="003A7160" w:rsidRDefault="00745AE0" w14:paraId="3060A5DF" w14:textId="77777777"/>
    <w:p w:rsidR="00745AE0" w:rsidP="003A7160" w:rsidRDefault="00745AE0" w14:paraId="06C833C2" w14:textId="77777777"/>
    <w:p w:rsidR="00745AE0" w:rsidP="003A7160" w:rsidRDefault="00745AE0" w14:paraId="58BB3219" w14:textId="77777777"/>
    <w:p w:rsidR="00E93891" w:rsidP="00347221" w:rsidRDefault="00E93891" w14:paraId="207DD32F" w14:textId="77777777"/>
    <w:p w:rsidR="00C7013F" w:rsidP="003A7160" w:rsidRDefault="00DD133F" w14:paraId="353E9672" w14:textId="17D8B6DD">
      <w:r w:rsidRPr="000E04A1">
        <w:t xml:space="preserve">Judith </w:t>
      </w:r>
      <w:proofErr w:type="spellStart"/>
      <w:r w:rsidRPr="000E04A1">
        <w:t>Zs.C.M</w:t>
      </w:r>
      <w:proofErr w:type="spellEnd"/>
      <w:r w:rsidRPr="000E04A1">
        <w:t>. Tielen</w:t>
      </w:r>
    </w:p>
    <w:p w:rsidR="00820DDA" w:rsidP="00215964" w:rsidRDefault="00820DDA" w14:paraId="5243F471" w14:textId="77777777">
      <w:pPr>
        <w:spacing w:line="240" w:lineRule="auto"/>
      </w:pPr>
    </w:p>
    <w:p w:rsidR="0065184C" w:rsidP="00215964" w:rsidRDefault="0065184C" w14:paraId="3E7EA08A" w14:textId="77777777">
      <w:pPr>
        <w:spacing w:line="240" w:lineRule="auto"/>
      </w:pPr>
    </w:p>
    <w:p w:rsidR="0065184C" w:rsidP="00215964" w:rsidRDefault="0065184C" w14:paraId="1D7DC43F" w14:textId="77777777">
      <w:pPr>
        <w:spacing w:line="240" w:lineRule="auto"/>
      </w:pPr>
    </w:p>
    <w:p w:rsidR="0065184C" w:rsidP="00215964" w:rsidRDefault="0065184C" w14:paraId="2D350D62" w14:textId="77777777">
      <w:pPr>
        <w:spacing w:line="240" w:lineRule="auto"/>
      </w:pPr>
    </w:p>
    <w:p w:rsidR="0065184C" w:rsidP="00215964" w:rsidRDefault="0065184C" w14:paraId="6AAF2956" w14:textId="77777777">
      <w:pPr>
        <w:spacing w:line="240" w:lineRule="auto"/>
      </w:pPr>
    </w:p>
    <w:p w:rsidR="0065184C" w:rsidP="00215964" w:rsidRDefault="0065184C" w14:paraId="1EBCACF8" w14:textId="77777777">
      <w:pPr>
        <w:spacing w:line="240" w:lineRule="auto"/>
      </w:pPr>
    </w:p>
    <w:p w:rsidR="0065184C" w:rsidP="00215964" w:rsidRDefault="0065184C" w14:paraId="1439AC31" w14:textId="77777777">
      <w:pPr>
        <w:spacing w:line="240" w:lineRule="auto"/>
      </w:pPr>
    </w:p>
    <w:p w:rsidR="0065184C" w:rsidP="00215964" w:rsidRDefault="0065184C" w14:paraId="796A6ABB" w14:textId="77777777">
      <w:pPr>
        <w:spacing w:line="240" w:lineRule="auto"/>
      </w:pPr>
    </w:p>
    <w:p w:rsidR="0065184C" w:rsidP="00215964" w:rsidRDefault="0065184C" w14:paraId="5A6C4911" w14:textId="77777777">
      <w:pPr>
        <w:spacing w:line="240" w:lineRule="auto"/>
      </w:pPr>
    </w:p>
    <w:p w:rsidR="0065184C" w:rsidP="00215964" w:rsidRDefault="0065184C" w14:paraId="6921FD0A" w14:textId="77777777">
      <w:pPr>
        <w:spacing w:line="240" w:lineRule="auto"/>
      </w:pPr>
    </w:p>
    <w:p w:rsidR="0065184C" w:rsidP="00215964" w:rsidRDefault="0065184C" w14:paraId="67D5FAFD" w14:textId="77777777">
      <w:pPr>
        <w:spacing w:line="240" w:lineRule="auto"/>
      </w:pPr>
    </w:p>
    <w:p w:rsidR="0065184C" w:rsidP="00215964" w:rsidRDefault="0065184C" w14:paraId="42D31C5B" w14:textId="77777777">
      <w:pPr>
        <w:spacing w:line="240" w:lineRule="auto"/>
      </w:pPr>
    </w:p>
    <w:p w:rsidR="0065184C" w:rsidP="00215964" w:rsidRDefault="0065184C" w14:paraId="6D5FC695" w14:textId="77777777">
      <w:pPr>
        <w:spacing w:line="240" w:lineRule="auto"/>
      </w:pPr>
    </w:p>
    <w:p w:rsidR="0065184C" w:rsidP="00215964" w:rsidRDefault="0065184C" w14:paraId="4E7CBE1F" w14:textId="77777777">
      <w:pPr>
        <w:spacing w:line="240" w:lineRule="auto"/>
      </w:pPr>
    </w:p>
    <w:p w:rsidR="0065184C" w:rsidP="00215964" w:rsidRDefault="0065184C" w14:paraId="6C85F413" w14:textId="77777777">
      <w:pPr>
        <w:spacing w:line="240" w:lineRule="auto"/>
      </w:pPr>
    </w:p>
    <w:p w:rsidR="0065184C" w:rsidP="00215964" w:rsidRDefault="0065184C" w14:paraId="4E65BC3C" w14:textId="77777777">
      <w:pPr>
        <w:spacing w:line="240" w:lineRule="auto"/>
      </w:pPr>
    </w:p>
    <w:p w:rsidR="007A2D5A" w:rsidP="00215964" w:rsidRDefault="007A2D5A" w14:paraId="7260D230" w14:textId="77777777">
      <w:pPr>
        <w:spacing w:line="240" w:lineRule="auto"/>
      </w:pPr>
    </w:p>
    <w:p w:rsidR="007A2D5A" w:rsidP="00215964" w:rsidRDefault="007A2D5A" w14:paraId="41ADFA9C" w14:textId="77777777">
      <w:pPr>
        <w:spacing w:line="240" w:lineRule="auto"/>
      </w:pPr>
    </w:p>
    <w:p w:rsidR="006B5444" w:rsidP="0065184C" w:rsidRDefault="006B5444" w14:paraId="5FD2559D" w14:textId="77777777">
      <w:pPr>
        <w:spacing w:line="276" w:lineRule="auto"/>
        <w:rPr>
          <w:b/>
          <w:bCs/>
        </w:rPr>
      </w:pPr>
    </w:p>
    <w:p w:rsidRPr="001C713E" w:rsidR="0065184C" w:rsidP="0065184C" w:rsidRDefault="0065184C" w14:paraId="107BEF18" w14:textId="0412C9BF">
      <w:pPr>
        <w:spacing w:line="276" w:lineRule="auto"/>
        <w:rPr>
          <w:b/>
          <w:bCs/>
        </w:rPr>
      </w:pPr>
      <w:r>
        <w:rPr>
          <w:b/>
          <w:bCs/>
        </w:rPr>
        <w:t>Bijlage 1: resultaten vijfde ronde stichtingsaanvragen</w:t>
      </w:r>
    </w:p>
    <w:p w:rsidR="00F97E34" w:rsidP="0065184C" w:rsidRDefault="00F97E34" w14:paraId="3342400A" w14:textId="77777777">
      <w:pPr>
        <w:spacing w:line="276" w:lineRule="auto"/>
      </w:pPr>
    </w:p>
    <w:p w:rsidR="0065184C" w:rsidP="0065184C" w:rsidRDefault="0065184C" w14:paraId="7D901DB1" w14:textId="161EB63F">
      <w:pPr>
        <w:spacing w:line="276" w:lineRule="auto"/>
      </w:pPr>
      <w:r>
        <w:t xml:space="preserve">Met deze brief informeer ik uw Kamer ook over de bekostigingsbesluiten die dit jaar zijn genomen over stichtingsaanvragen voor nieuwe scholen. Aan uw Kamer is bij de totstandkoming van de wet toegezegd zowel de nieuwe aanvragen (in november) als de uiteindelijk goedkeurde initiatieven (in juni) per brief te communiceren. Aangezien de stichtingsprocedure ondertussen enige jaren loopt,  we daarbij zien dat na de aanvraagperiode nog flink wat initiatieven afvallen of afhaken en om de werklast zowel bij u als op mijn ministerie te verminderen stel ik voor uw Kamer vanaf komende periode per junibrief het totaaloverzicht te sturen en geen aparte aanvraagbrief in november meer te sturen. </w:t>
      </w:r>
    </w:p>
    <w:p w:rsidR="0065184C" w:rsidP="0065184C" w:rsidRDefault="0065184C" w14:paraId="1CD0156D" w14:textId="77777777">
      <w:pPr>
        <w:spacing w:line="276" w:lineRule="auto"/>
      </w:pPr>
    </w:p>
    <w:p w:rsidR="0065184C" w:rsidP="0065184C" w:rsidRDefault="0065184C" w14:paraId="2EA26344" w14:textId="77777777">
      <w:pPr>
        <w:spacing w:line="276" w:lineRule="auto"/>
      </w:pPr>
      <w:r w:rsidRPr="007967B9">
        <w:t xml:space="preserve">Tussen 1 juni en 1 juli 2025 hebben 90 initiatiefnemers een pre-registratie gedaan bij DUO om hun voornemen voor het stichten van een nieuwe school kenbaar te maken. Deze initiatieven </w:t>
      </w:r>
      <w:r>
        <w:t xml:space="preserve">onderzochten </w:t>
      </w:r>
      <w:r w:rsidRPr="007967B9">
        <w:t>in de hierop volgende maanden de belangstelling voor hun initiatief. Uiteindelijk dienden v</w:t>
      </w:r>
      <w:r>
        <w:t>óó</w:t>
      </w:r>
      <w:r w:rsidRPr="007967B9">
        <w:t xml:space="preserve">r 1 november 52 van deze initiatiefnemers een aanvraag voor bekostiging in. Het ging om 34 aanvragen in het </w:t>
      </w:r>
      <w:r>
        <w:t>primair onderwijs</w:t>
      </w:r>
      <w:r w:rsidRPr="007967B9">
        <w:t xml:space="preserve"> en 18 in het voortgezet onderwijs (vo).</w:t>
      </w:r>
    </w:p>
    <w:p w:rsidR="0065184C" w:rsidP="0065184C" w:rsidRDefault="0065184C" w14:paraId="26C6E512" w14:textId="77777777">
      <w:pPr>
        <w:spacing w:line="276" w:lineRule="auto"/>
      </w:pPr>
    </w:p>
    <w:p w:rsidR="00A33929" w:rsidP="0065184C" w:rsidRDefault="0065184C" w14:paraId="76CD0DB8" w14:textId="3D8A78FB">
      <w:pPr>
        <w:spacing w:line="276" w:lineRule="auto"/>
      </w:pPr>
      <w:r>
        <w:t xml:space="preserve">De afgelopen maanden hebben DUO en de inspectie de aanvragen getoetst op de wettelijke vereisten voor bekostiging. Zo controleert DUO de belangstellingsmeting, de </w:t>
      </w:r>
      <w:proofErr w:type="spellStart"/>
      <w:r>
        <w:t>VOG’s</w:t>
      </w:r>
      <w:proofErr w:type="spellEnd"/>
      <w:r>
        <w:t xml:space="preserve"> van de bestuurders en de leden van het intern toezicht en of de initiatiefnemer de onderwijspartijen in de regio heeft uitgenodigd voor een gesprek. Indien de aanvraag voldoet, volgt een kwaliteitstoets door de</w:t>
      </w:r>
    </w:p>
    <w:tbl>
      <w:tblPr>
        <w:tblStyle w:val="Tabelraster"/>
        <w:tblpPr w:leftFromText="141" w:rightFromText="141" w:vertAnchor="text" w:horzAnchor="margin" w:tblpY="2382"/>
        <w:tblW w:w="7763" w:type="dxa"/>
        <w:tblLook w:val="04A0" w:firstRow="1" w:lastRow="0" w:firstColumn="1" w:lastColumn="0" w:noHBand="0" w:noVBand="1"/>
      </w:tblPr>
      <w:tblGrid>
        <w:gridCol w:w="2235"/>
        <w:gridCol w:w="2693"/>
        <w:gridCol w:w="2835"/>
      </w:tblGrid>
      <w:tr w:rsidRPr="006B7BC3" w:rsidR="00D25339" w:rsidTr="00D25339" w14:paraId="3C48D4B3" w14:textId="77777777">
        <w:tc>
          <w:tcPr>
            <w:tcW w:w="2235" w:type="dxa"/>
          </w:tcPr>
          <w:p w:rsidRPr="006B7BC3" w:rsidR="00D25339" w:rsidP="00D25339" w:rsidRDefault="00D25339" w14:paraId="2A8D3916" w14:textId="77777777">
            <w:pPr>
              <w:spacing w:line="276" w:lineRule="auto"/>
              <w:rPr>
                <w:sz w:val="16"/>
                <w:szCs w:val="22"/>
              </w:rPr>
            </w:pPr>
          </w:p>
        </w:tc>
        <w:tc>
          <w:tcPr>
            <w:tcW w:w="2693" w:type="dxa"/>
          </w:tcPr>
          <w:p w:rsidRPr="006B7BC3" w:rsidR="00D25339" w:rsidP="00D25339" w:rsidRDefault="00D25339" w14:paraId="06D3C94D" w14:textId="77777777">
            <w:pPr>
              <w:spacing w:line="276" w:lineRule="auto"/>
              <w:rPr>
                <w:b/>
                <w:bCs/>
                <w:sz w:val="16"/>
                <w:szCs w:val="22"/>
              </w:rPr>
            </w:pPr>
            <w:r w:rsidRPr="006B7BC3">
              <w:rPr>
                <w:b/>
                <w:bCs/>
                <w:sz w:val="16"/>
                <w:szCs w:val="22"/>
              </w:rPr>
              <w:t>PO</w:t>
            </w:r>
          </w:p>
        </w:tc>
        <w:tc>
          <w:tcPr>
            <w:tcW w:w="2835" w:type="dxa"/>
          </w:tcPr>
          <w:p w:rsidRPr="006B7BC3" w:rsidR="00D25339" w:rsidP="00D25339" w:rsidRDefault="00D25339" w14:paraId="05DE4D51" w14:textId="77777777">
            <w:pPr>
              <w:spacing w:line="276" w:lineRule="auto"/>
              <w:rPr>
                <w:b/>
                <w:bCs/>
                <w:sz w:val="16"/>
                <w:szCs w:val="22"/>
              </w:rPr>
            </w:pPr>
            <w:r w:rsidRPr="006B7BC3">
              <w:rPr>
                <w:b/>
                <w:bCs/>
                <w:sz w:val="16"/>
                <w:szCs w:val="22"/>
              </w:rPr>
              <w:t>VO</w:t>
            </w:r>
          </w:p>
        </w:tc>
      </w:tr>
      <w:tr w:rsidRPr="006B7BC3" w:rsidR="00D25339" w:rsidTr="00D25339" w14:paraId="6401D2E7" w14:textId="77777777">
        <w:tc>
          <w:tcPr>
            <w:tcW w:w="2235" w:type="dxa"/>
          </w:tcPr>
          <w:p w:rsidRPr="006B7BC3" w:rsidR="00D25339" w:rsidP="00D25339" w:rsidRDefault="00D25339" w14:paraId="51149A50" w14:textId="77777777">
            <w:pPr>
              <w:spacing w:line="276" w:lineRule="auto"/>
              <w:rPr>
                <w:sz w:val="16"/>
                <w:szCs w:val="22"/>
              </w:rPr>
            </w:pPr>
            <w:r w:rsidRPr="006B7BC3">
              <w:rPr>
                <w:sz w:val="16"/>
                <w:szCs w:val="22"/>
              </w:rPr>
              <w:t>Aantal aanvragen</w:t>
            </w:r>
          </w:p>
        </w:tc>
        <w:tc>
          <w:tcPr>
            <w:tcW w:w="2693" w:type="dxa"/>
          </w:tcPr>
          <w:p w:rsidRPr="006B7BC3" w:rsidR="00D25339" w:rsidP="00D25339" w:rsidRDefault="00D25339" w14:paraId="1E70CD40" w14:textId="77777777">
            <w:pPr>
              <w:spacing w:line="276" w:lineRule="auto"/>
              <w:rPr>
                <w:sz w:val="16"/>
                <w:szCs w:val="22"/>
              </w:rPr>
            </w:pPr>
            <w:r w:rsidRPr="006B7BC3">
              <w:rPr>
                <w:sz w:val="16"/>
                <w:szCs w:val="22"/>
              </w:rPr>
              <w:t>34</w:t>
            </w:r>
          </w:p>
        </w:tc>
        <w:tc>
          <w:tcPr>
            <w:tcW w:w="2835" w:type="dxa"/>
          </w:tcPr>
          <w:p w:rsidRPr="006B7BC3" w:rsidR="00D25339" w:rsidP="00D25339" w:rsidRDefault="00D25339" w14:paraId="687ED016" w14:textId="77777777">
            <w:pPr>
              <w:spacing w:line="276" w:lineRule="auto"/>
              <w:rPr>
                <w:sz w:val="16"/>
                <w:szCs w:val="22"/>
              </w:rPr>
            </w:pPr>
            <w:r w:rsidRPr="006B7BC3">
              <w:rPr>
                <w:sz w:val="16"/>
                <w:szCs w:val="22"/>
              </w:rPr>
              <w:t>18</w:t>
            </w:r>
          </w:p>
        </w:tc>
      </w:tr>
      <w:tr w:rsidRPr="006B7BC3" w:rsidR="00D25339" w:rsidTr="00D25339" w14:paraId="1EC8DFC4" w14:textId="77777777">
        <w:tc>
          <w:tcPr>
            <w:tcW w:w="2235" w:type="dxa"/>
          </w:tcPr>
          <w:p w:rsidRPr="006B7BC3" w:rsidR="00D25339" w:rsidP="00D25339" w:rsidRDefault="00D25339" w14:paraId="3504CBE0" w14:textId="77777777">
            <w:pPr>
              <w:spacing w:line="276" w:lineRule="auto"/>
              <w:rPr>
                <w:sz w:val="16"/>
                <w:szCs w:val="22"/>
              </w:rPr>
            </w:pPr>
            <w:r w:rsidRPr="006B7BC3">
              <w:rPr>
                <w:sz w:val="16"/>
                <w:szCs w:val="22"/>
              </w:rPr>
              <w:t>Aantal afgewezen</w:t>
            </w:r>
          </w:p>
        </w:tc>
        <w:tc>
          <w:tcPr>
            <w:tcW w:w="2693" w:type="dxa"/>
          </w:tcPr>
          <w:p w:rsidRPr="006B7BC3" w:rsidR="00D25339" w:rsidP="00D25339" w:rsidRDefault="00D25339" w14:paraId="140E0FB1" w14:textId="77777777">
            <w:pPr>
              <w:spacing w:line="276" w:lineRule="auto"/>
              <w:rPr>
                <w:sz w:val="16"/>
                <w:szCs w:val="22"/>
              </w:rPr>
            </w:pPr>
            <w:r w:rsidRPr="006B7BC3">
              <w:rPr>
                <w:sz w:val="16"/>
                <w:szCs w:val="22"/>
              </w:rPr>
              <w:t>8</w:t>
            </w:r>
          </w:p>
        </w:tc>
        <w:tc>
          <w:tcPr>
            <w:tcW w:w="2835" w:type="dxa"/>
          </w:tcPr>
          <w:p w:rsidRPr="006B7BC3" w:rsidR="00D25339" w:rsidP="00D25339" w:rsidRDefault="00D25339" w14:paraId="7A7CBF6E" w14:textId="77777777">
            <w:pPr>
              <w:spacing w:line="276" w:lineRule="auto"/>
              <w:rPr>
                <w:sz w:val="16"/>
                <w:szCs w:val="22"/>
              </w:rPr>
            </w:pPr>
            <w:r w:rsidRPr="006B7BC3">
              <w:rPr>
                <w:sz w:val="16"/>
                <w:szCs w:val="22"/>
              </w:rPr>
              <w:t>5</w:t>
            </w:r>
          </w:p>
        </w:tc>
      </w:tr>
      <w:tr w:rsidRPr="006B7BC3" w:rsidR="00D25339" w:rsidTr="00D25339" w14:paraId="36AF7124" w14:textId="77777777">
        <w:tc>
          <w:tcPr>
            <w:tcW w:w="2235" w:type="dxa"/>
          </w:tcPr>
          <w:p w:rsidRPr="006B7BC3" w:rsidR="00D25339" w:rsidP="00D25339" w:rsidRDefault="00D25339" w14:paraId="1B3D1EF9" w14:textId="77777777">
            <w:pPr>
              <w:spacing w:line="276" w:lineRule="auto"/>
              <w:rPr>
                <w:b/>
                <w:bCs/>
                <w:sz w:val="16"/>
                <w:szCs w:val="22"/>
              </w:rPr>
            </w:pPr>
            <w:r w:rsidRPr="006B7BC3">
              <w:rPr>
                <w:b/>
                <w:bCs/>
                <w:sz w:val="16"/>
                <w:szCs w:val="22"/>
              </w:rPr>
              <w:t>Aantal goedgekeurd</w:t>
            </w:r>
          </w:p>
        </w:tc>
        <w:tc>
          <w:tcPr>
            <w:tcW w:w="2693" w:type="dxa"/>
          </w:tcPr>
          <w:p w:rsidRPr="006B7BC3" w:rsidR="00D25339" w:rsidP="00D25339" w:rsidRDefault="00D25339" w14:paraId="12D9F5D9" w14:textId="77777777">
            <w:pPr>
              <w:spacing w:line="276" w:lineRule="auto"/>
              <w:rPr>
                <w:b/>
                <w:bCs/>
                <w:sz w:val="16"/>
                <w:szCs w:val="22"/>
              </w:rPr>
            </w:pPr>
            <w:r w:rsidRPr="006B7BC3">
              <w:rPr>
                <w:b/>
                <w:bCs/>
                <w:sz w:val="16"/>
                <w:szCs w:val="22"/>
              </w:rPr>
              <w:t xml:space="preserve">26 </w:t>
            </w:r>
          </w:p>
        </w:tc>
        <w:tc>
          <w:tcPr>
            <w:tcW w:w="2835" w:type="dxa"/>
          </w:tcPr>
          <w:p w:rsidRPr="006B7BC3" w:rsidR="00D25339" w:rsidP="00D25339" w:rsidRDefault="00D25339" w14:paraId="4EB952EF" w14:textId="77777777">
            <w:pPr>
              <w:spacing w:line="276" w:lineRule="auto"/>
              <w:rPr>
                <w:b/>
                <w:bCs/>
                <w:sz w:val="16"/>
                <w:szCs w:val="22"/>
              </w:rPr>
            </w:pPr>
            <w:r w:rsidRPr="006B7BC3">
              <w:rPr>
                <w:b/>
                <w:bCs/>
                <w:sz w:val="16"/>
                <w:szCs w:val="22"/>
              </w:rPr>
              <w:t xml:space="preserve">13 </w:t>
            </w:r>
          </w:p>
        </w:tc>
      </w:tr>
      <w:tr w:rsidRPr="006B7BC3" w:rsidR="00D25339" w:rsidTr="00D25339" w14:paraId="003B6939" w14:textId="77777777">
        <w:tc>
          <w:tcPr>
            <w:tcW w:w="2235" w:type="dxa"/>
          </w:tcPr>
          <w:p w:rsidRPr="00C93ADA" w:rsidR="00D25339" w:rsidP="00D25339" w:rsidRDefault="00D25339" w14:paraId="03945583" w14:textId="77777777">
            <w:pPr>
              <w:spacing w:line="276" w:lineRule="auto"/>
              <w:rPr>
                <w:sz w:val="16"/>
                <w:szCs w:val="22"/>
              </w:rPr>
            </w:pPr>
            <w:r w:rsidRPr="00C93ADA">
              <w:rPr>
                <w:sz w:val="16"/>
                <w:szCs w:val="22"/>
              </w:rPr>
              <w:lastRenderedPageBreak/>
              <w:t>Soorten nieuwe scholen</w:t>
            </w:r>
          </w:p>
        </w:tc>
        <w:tc>
          <w:tcPr>
            <w:tcW w:w="2693" w:type="dxa"/>
          </w:tcPr>
          <w:p w:rsidRPr="00C93ADA" w:rsidR="00D25339" w:rsidP="00D25339" w:rsidRDefault="00D25339" w14:paraId="6CA1377D" w14:textId="77777777">
            <w:pPr>
              <w:spacing w:line="276" w:lineRule="auto"/>
              <w:rPr>
                <w:sz w:val="16"/>
                <w:szCs w:val="22"/>
              </w:rPr>
            </w:pPr>
            <w:r>
              <w:rPr>
                <w:sz w:val="16"/>
                <w:szCs w:val="22"/>
              </w:rPr>
              <w:t xml:space="preserve">22 nieuwe scholen en 4 </w:t>
            </w:r>
            <w:r w:rsidRPr="006B7BC3">
              <w:rPr>
                <w:sz w:val="16"/>
                <w:szCs w:val="22"/>
              </w:rPr>
              <w:t xml:space="preserve"> verzelfstandigingen</w:t>
            </w:r>
            <w:r w:rsidRPr="006B7BC3">
              <w:rPr>
                <w:rStyle w:val="Voetnootmarkering"/>
                <w:sz w:val="16"/>
                <w:szCs w:val="22"/>
              </w:rPr>
              <w:footnoteReference w:id="12"/>
            </w:r>
          </w:p>
        </w:tc>
        <w:tc>
          <w:tcPr>
            <w:tcW w:w="2835" w:type="dxa"/>
          </w:tcPr>
          <w:p w:rsidRPr="00C93ADA" w:rsidR="00D25339" w:rsidP="00D25339" w:rsidRDefault="00D25339" w14:paraId="7FDA9963" w14:textId="77777777">
            <w:pPr>
              <w:spacing w:line="276" w:lineRule="auto"/>
              <w:rPr>
                <w:sz w:val="16"/>
                <w:szCs w:val="22"/>
              </w:rPr>
            </w:pPr>
            <w:r>
              <w:rPr>
                <w:sz w:val="16"/>
                <w:szCs w:val="22"/>
              </w:rPr>
              <w:t xml:space="preserve">3 nieuwe scholen, 4 splitsingen en </w:t>
            </w:r>
            <w:r w:rsidRPr="006B7BC3">
              <w:rPr>
                <w:sz w:val="16"/>
                <w:szCs w:val="22"/>
              </w:rPr>
              <w:t>6 uitbreidingen van bestaande vo-scholen)</w:t>
            </w:r>
            <w:r w:rsidRPr="006B7BC3">
              <w:rPr>
                <w:rStyle w:val="Voetnootmarkering"/>
                <w:sz w:val="16"/>
                <w:szCs w:val="22"/>
              </w:rPr>
              <w:footnoteReference w:id="13"/>
            </w:r>
          </w:p>
        </w:tc>
      </w:tr>
      <w:tr w:rsidRPr="006B7BC3" w:rsidR="00D25339" w:rsidTr="00D25339" w14:paraId="14F2FEB8" w14:textId="77777777">
        <w:tc>
          <w:tcPr>
            <w:tcW w:w="2235" w:type="dxa"/>
          </w:tcPr>
          <w:p w:rsidRPr="00C93ADA" w:rsidR="00D25339" w:rsidP="00D25339" w:rsidRDefault="00D25339" w14:paraId="024065BC" w14:textId="77777777">
            <w:pPr>
              <w:spacing w:line="276" w:lineRule="auto"/>
              <w:rPr>
                <w:sz w:val="16"/>
                <w:szCs w:val="22"/>
              </w:rPr>
            </w:pPr>
            <w:r w:rsidRPr="00C93ADA">
              <w:rPr>
                <w:sz w:val="16"/>
                <w:szCs w:val="22"/>
              </w:rPr>
              <w:t>Onderverdeling openbaar/bijzonder</w:t>
            </w:r>
          </w:p>
        </w:tc>
        <w:tc>
          <w:tcPr>
            <w:tcW w:w="2693" w:type="dxa"/>
          </w:tcPr>
          <w:p w:rsidRPr="00C93ADA" w:rsidR="00D25339" w:rsidP="00D25339" w:rsidRDefault="00D25339" w14:paraId="7B8B8F59" w14:textId="77777777">
            <w:pPr>
              <w:spacing w:line="276" w:lineRule="auto"/>
              <w:rPr>
                <w:sz w:val="16"/>
                <w:szCs w:val="22"/>
              </w:rPr>
            </w:pPr>
            <w:r>
              <w:rPr>
                <w:sz w:val="16"/>
                <w:szCs w:val="22"/>
              </w:rPr>
              <w:t>4 openbare scholen en 22 bijzondere scholen</w:t>
            </w:r>
          </w:p>
        </w:tc>
        <w:tc>
          <w:tcPr>
            <w:tcW w:w="2835" w:type="dxa"/>
          </w:tcPr>
          <w:p w:rsidRPr="00C93ADA" w:rsidR="00D25339" w:rsidP="00D25339" w:rsidRDefault="00D25339" w14:paraId="34073E6F" w14:textId="77777777">
            <w:pPr>
              <w:spacing w:line="276" w:lineRule="auto"/>
              <w:rPr>
                <w:sz w:val="16"/>
                <w:szCs w:val="22"/>
              </w:rPr>
            </w:pPr>
            <w:r>
              <w:rPr>
                <w:sz w:val="16"/>
                <w:szCs w:val="22"/>
              </w:rPr>
              <w:t>1 openbare school en 12 bijzondere scholen</w:t>
            </w:r>
          </w:p>
        </w:tc>
      </w:tr>
    </w:tbl>
    <w:p w:rsidR="0065184C" w:rsidP="0065184C" w:rsidRDefault="00A33929" w14:paraId="6168338F" w14:textId="43E24492">
      <w:pPr>
        <w:spacing w:line="276" w:lineRule="auto"/>
      </w:pPr>
      <w:r>
        <w:t>i</w:t>
      </w:r>
      <w:r w:rsidR="0065184C">
        <w:t>nspectie. Aan de hand van zes deugdelijkheidseisen, waaronder zicht op de ontwikkeling en begeleiding van leerlingen en het burgerschapsonderwijs, brengt de inspectie een positief of een negatief advies uit ten aanzien van de aanvraag. Indien het advies van de inspectie negatief uitvalt of wanneer niet wordt voldaan aan één van de andere bekostigingsvereisten, wordt de aanvraag afgewezen. De initiatieven met een positief bekostigingsbesluit kunnen vervolgens hun deuren openen op 1 augustus 2027.</w:t>
      </w:r>
      <w:r w:rsidR="0065184C">
        <w:rPr>
          <w:rStyle w:val="Voetnootmarkering"/>
        </w:rPr>
        <w:footnoteReference w:id="14"/>
      </w:r>
    </w:p>
    <w:p w:rsidR="00D25339" w:rsidP="0065184C" w:rsidRDefault="00D25339" w14:paraId="7FA7BB9E" w14:textId="77777777">
      <w:pPr>
        <w:spacing w:line="276" w:lineRule="auto"/>
      </w:pPr>
    </w:p>
    <w:p w:rsidR="0065184C" w:rsidP="0065184C" w:rsidRDefault="00D25339" w14:paraId="758ECE43" w14:textId="786E8598">
      <w:pPr>
        <w:spacing w:line="276" w:lineRule="auto"/>
      </w:pPr>
      <w:r>
        <w:t xml:space="preserve">De resultaten van de </w:t>
      </w:r>
      <w:r w:rsidR="00F97E34">
        <w:t>vijfde</w:t>
      </w:r>
      <w:r>
        <w:t xml:space="preserve"> stichtingsronde vindt u in onderstaande tabel.</w:t>
      </w:r>
    </w:p>
    <w:p w:rsidR="00F97E34" w:rsidP="0065184C" w:rsidRDefault="00F97E34" w14:paraId="1F7976D0" w14:textId="77777777">
      <w:pPr>
        <w:spacing w:line="276" w:lineRule="auto"/>
        <w:rPr>
          <w:i/>
          <w:iCs/>
        </w:rPr>
      </w:pPr>
      <w:bookmarkStart w:name="_Hlk198043735" w:id="1"/>
    </w:p>
    <w:p w:rsidR="00F97E34" w:rsidP="0065184C" w:rsidRDefault="00F97E34" w14:paraId="6F39C622" w14:textId="77777777">
      <w:pPr>
        <w:spacing w:line="276" w:lineRule="auto"/>
        <w:rPr>
          <w:i/>
          <w:iCs/>
        </w:rPr>
      </w:pPr>
    </w:p>
    <w:p w:rsidRPr="00456C3C" w:rsidR="0065184C" w:rsidP="0065184C" w:rsidRDefault="0065184C" w14:paraId="1F446902" w14:textId="77777777">
      <w:pPr>
        <w:spacing w:line="276" w:lineRule="auto"/>
        <w:rPr>
          <w:i/>
          <w:iCs/>
        </w:rPr>
      </w:pPr>
      <w:r w:rsidRPr="00456C3C">
        <w:rPr>
          <w:i/>
          <w:iCs/>
        </w:rPr>
        <w:t>Duiding cijfers</w:t>
      </w:r>
    </w:p>
    <w:p w:rsidR="0065184C" w:rsidP="0065184C" w:rsidRDefault="0065184C" w14:paraId="1E7D21C2" w14:textId="75013DEC">
      <w:pPr>
        <w:spacing w:line="276" w:lineRule="auto"/>
      </w:pPr>
      <w:r w:rsidRPr="00456C3C">
        <w:t>Het totale aantal goedgekeurde aanvragen</w:t>
      </w:r>
      <w:r w:rsidR="00D25339">
        <w:t xml:space="preserve"> (39)</w:t>
      </w:r>
      <w:r>
        <w:t xml:space="preserve"> is hoger dan vorig jaar</w:t>
      </w:r>
      <w:r w:rsidR="007776D3">
        <w:t xml:space="preserve"> (29). Het verwachte aantal scholen </w:t>
      </w:r>
      <w:r w:rsidRPr="00456C3C">
        <w:t xml:space="preserve">blijft binnen de verwachte bandbreedte van 20 tot 50 aanvragen voor nieuwe scholen per jaar. </w:t>
      </w:r>
      <w:r>
        <w:t xml:space="preserve">De stijging is voornamelijk te verklaren door het vo. Als we kijken naar de goedgekeurde aanvragen in het vo zien we weinig nieuwe scholen (3), maar vooral een toename van uitbreiding van bestaande vo-scholen met andere onderwijsniveaus (6) en splitsingen van bestaande vo-scholen (4). </w:t>
      </w:r>
    </w:p>
    <w:tbl>
      <w:tblPr>
        <w:tblStyle w:val="Tabelraster"/>
        <w:tblpPr w:leftFromText="141" w:rightFromText="141" w:vertAnchor="text" w:horzAnchor="margin" w:tblpY="235"/>
        <w:tblW w:w="5000" w:type="pct"/>
        <w:tblLook w:val="04A0" w:firstRow="1" w:lastRow="0" w:firstColumn="1" w:lastColumn="0" w:noHBand="0" w:noVBand="1"/>
      </w:tblPr>
      <w:tblGrid>
        <w:gridCol w:w="2305"/>
        <w:gridCol w:w="1037"/>
        <w:gridCol w:w="1037"/>
        <w:gridCol w:w="1037"/>
        <w:gridCol w:w="1037"/>
        <w:gridCol w:w="1037"/>
      </w:tblGrid>
      <w:tr w:rsidRPr="006B7BC3" w:rsidR="00C335D4" w:rsidTr="005C2A4C" w14:paraId="2AFFF108" w14:textId="77777777">
        <w:tc>
          <w:tcPr>
            <w:tcW w:w="1646" w:type="pct"/>
          </w:tcPr>
          <w:p w:rsidRPr="006B7BC3" w:rsidR="00C335D4" w:rsidP="00C335D4" w:rsidRDefault="00C335D4" w14:paraId="524DC342" w14:textId="77777777">
            <w:pPr>
              <w:spacing w:line="276" w:lineRule="auto"/>
              <w:rPr>
                <w:sz w:val="16"/>
                <w:szCs w:val="22"/>
              </w:rPr>
            </w:pPr>
          </w:p>
        </w:tc>
        <w:tc>
          <w:tcPr>
            <w:tcW w:w="671" w:type="pct"/>
          </w:tcPr>
          <w:p w:rsidRPr="006B7BC3" w:rsidR="00C335D4" w:rsidP="00C335D4" w:rsidRDefault="00C335D4" w14:paraId="0C489CC3" w14:textId="77777777">
            <w:pPr>
              <w:spacing w:line="276" w:lineRule="auto"/>
              <w:rPr>
                <w:sz w:val="16"/>
                <w:szCs w:val="22"/>
              </w:rPr>
            </w:pPr>
            <w:r w:rsidRPr="006B7BC3">
              <w:rPr>
                <w:sz w:val="16"/>
                <w:szCs w:val="22"/>
              </w:rPr>
              <w:t>Ronde 1 (aanvraag in 2021)</w:t>
            </w:r>
          </w:p>
        </w:tc>
        <w:tc>
          <w:tcPr>
            <w:tcW w:w="671" w:type="pct"/>
          </w:tcPr>
          <w:p w:rsidRPr="006B7BC3" w:rsidR="00C335D4" w:rsidP="00C335D4" w:rsidRDefault="00C335D4" w14:paraId="58B299E3" w14:textId="77777777">
            <w:pPr>
              <w:spacing w:line="276" w:lineRule="auto"/>
              <w:rPr>
                <w:sz w:val="16"/>
                <w:szCs w:val="22"/>
              </w:rPr>
            </w:pPr>
            <w:r w:rsidRPr="006B7BC3">
              <w:rPr>
                <w:sz w:val="16"/>
                <w:szCs w:val="22"/>
              </w:rPr>
              <w:t>Ronde 2 (aanvraag in 2022)</w:t>
            </w:r>
          </w:p>
        </w:tc>
        <w:tc>
          <w:tcPr>
            <w:tcW w:w="671" w:type="pct"/>
          </w:tcPr>
          <w:p w:rsidRPr="006B7BC3" w:rsidR="00C335D4" w:rsidP="00C335D4" w:rsidRDefault="00C335D4" w14:paraId="56C68A61" w14:textId="77777777">
            <w:pPr>
              <w:spacing w:line="276" w:lineRule="auto"/>
              <w:rPr>
                <w:sz w:val="16"/>
                <w:szCs w:val="22"/>
              </w:rPr>
            </w:pPr>
            <w:r w:rsidRPr="006B7BC3">
              <w:rPr>
                <w:sz w:val="16"/>
                <w:szCs w:val="22"/>
              </w:rPr>
              <w:t>Ronde 3 (aanvraag in 2023)</w:t>
            </w:r>
          </w:p>
        </w:tc>
        <w:tc>
          <w:tcPr>
            <w:tcW w:w="671" w:type="pct"/>
          </w:tcPr>
          <w:p w:rsidRPr="006B7BC3" w:rsidR="00C335D4" w:rsidP="00C335D4" w:rsidRDefault="00C335D4" w14:paraId="19B7A12E" w14:textId="77777777">
            <w:pPr>
              <w:spacing w:line="276" w:lineRule="auto"/>
              <w:rPr>
                <w:sz w:val="16"/>
                <w:szCs w:val="22"/>
              </w:rPr>
            </w:pPr>
            <w:r w:rsidRPr="006B7BC3">
              <w:rPr>
                <w:sz w:val="16"/>
                <w:szCs w:val="22"/>
              </w:rPr>
              <w:t xml:space="preserve">Ronde 4 (aanvraag in 2024) </w:t>
            </w:r>
          </w:p>
        </w:tc>
        <w:tc>
          <w:tcPr>
            <w:tcW w:w="669" w:type="pct"/>
          </w:tcPr>
          <w:p w:rsidRPr="006B7BC3" w:rsidR="00C335D4" w:rsidP="00C335D4" w:rsidRDefault="00C335D4" w14:paraId="34AF1171" w14:textId="77777777">
            <w:pPr>
              <w:spacing w:line="276" w:lineRule="auto"/>
              <w:rPr>
                <w:sz w:val="16"/>
                <w:szCs w:val="22"/>
              </w:rPr>
            </w:pPr>
            <w:r w:rsidRPr="006B7BC3">
              <w:rPr>
                <w:sz w:val="16"/>
                <w:szCs w:val="22"/>
              </w:rPr>
              <w:t>Ronde 5</w:t>
            </w:r>
          </w:p>
          <w:p w:rsidRPr="006B7BC3" w:rsidR="00C335D4" w:rsidP="00C335D4" w:rsidRDefault="00C335D4" w14:paraId="3B3CEA94" w14:textId="77777777">
            <w:pPr>
              <w:spacing w:line="276" w:lineRule="auto"/>
              <w:rPr>
                <w:sz w:val="16"/>
                <w:szCs w:val="22"/>
              </w:rPr>
            </w:pPr>
            <w:r w:rsidRPr="006B7BC3">
              <w:rPr>
                <w:sz w:val="16"/>
                <w:szCs w:val="22"/>
              </w:rPr>
              <w:t>(aanvraag in 2025)</w:t>
            </w:r>
          </w:p>
        </w:tc>
      </w:tr>
      <w:tr w:rsidRPr="006B7BC3" w:rsidR="00C335D4" w:rsidTr="005C2A4C" w14:paraId="58523D57" w14:textId="77777777">
        <w:tc>
          <w:tcPr>
            <w:tcW w:w="1646" w:type="pct"/>
          </w:tcPr>
          <w:p w:rsidRPr="006B7BC3" w:rsidR="00C335D4" w:rsidP="00C335D4" w:rsidRDefault="00C335D4" w14:paraId="37CE7B66" w14:textId="77777777">
            <w:pPr>
              <w:spacing w:line="276" w:lineRule="auto"/>
              <w:rPr>
                <w:sz w:val="16"/>
                <w:szCs w:val="22"/>
              </w:rPr>
            </w:pPr>
            <w:r w:rsidRPr="006B7BC3">
              <w:rPr>
                <w:sz w:val="16"/>
                <w:szCs w:val="22"/>
              </w:rPr>
              <w:t>Ouderverklaringen</w:t>
            </w:r>
          </w:p>
        </w:tc>
        <w:tc>
          <w:tcPr>
            <w:tcW w:w="671" w:type="pct"/>
          </w:tcPr>
          <w:p w:rsidRPr="006B7BC3" w:rsidR="00C335D4" w:rsidP="00C335D4" w:rsidRDefault="00C335D4" w14:paraId="0760DA70" w14:textId="77777777">
            <w:pPr>
              <w:spacing w:line="276" w:lineRule="auto"/>
              <w:rPr>
                <w:sz w:val="16"/>
                <w:szCs w:val="22"/>
              </w:rPr>
            </w:pPr>
            <w:r w:rsidRPr="006B7BC3">
              <w:rPr>
                <w:sz w:val="16"/>
                <w:szCs w:val="22"/>
              </w:rPr>
              <w:t>10.382</w:t>
            </w:r>
          </w:p>
        </w:tc>
        <w:tc>
          <w:tcPr>
            <w:tcW w:w="671" w:type="pct"/>
          </w:tcPr>
          <w:p w:rsidRPr="006B7BC3" w:rsidR="00C335D4" w:rsidP="00C335D4" w:rsidRDefault="00C335D4" w14:paraId="29A8C11F" w14:textId="77777777">
            <w:pPr>
              <w:spacing w:line="276" w:lineRule="auto"/>
              <w:rPr>
                <w:sz w:val="16"/>
                <w:szCs w:val="22"/>
              </w:rPr>
            </w:pPr>
            <w:r w:rsidRPr="006B7BC3">
              <w:rPr>
                <w:sz w:val="16"/>
                <w:szCs w:val="22"/>
              </w:rPr>
              <w:t>7.280</w:t>
            </w:r>
          </w:p>
        </w:tc>
        <w:tc>
          <w:tcPr>
            <w:tcW w:w="671" w:type="pct"/>
          </w:tcPr>
          <w:p w:rsidRPr="006B7BC3" w:rsidR="00C335D4" w:rsidP="00C335D4" w:rsidRDefault="00C335D4" w14:paraId="4A059236" w14:textId="77777777">
            <w:pPr>
              <w:spacing w:line="276" w:lineRule="auto"/>
              <w:rPr>
                <w:sz w:val="16"/>
                <w:szCs w:val="22"/>
              </w:rPr>
            </w:pPr>
            <w:r w:rsidRPr="006B7BC3">
              <w:rPr>
                <w:sz w:val="16"/>
                <w:szCs w:val="22"/>
              </w:rPr>
              <w:t>5.449</w:t>
            </w:r>
          </w:p>
        </w:tc>
        <w:tc>
          <w:tcPr>
            <w:tcW w:w="671" w:type="pct"/>
          </w:tcPr>
          <w:p w:rsidRPr="006B7BC3" w:rsidR="00C335D4" w:rsidP="00C335D4" w:rsidRDefault="00C335D4" w14:paraId="52C6F430" w14:textId="77777777">
            <w:pPr>
              <w:spacing w:line="276" w:lineRule="auto"/>
              <w:rPr>
                <w:sz w:val="16"/>
                <w:szCs w:val="22"/>
              </w:rPr>
            </w:pPr>
            <w:r w:rsidRPr="006B7BC3">
              <w:rPr>
                <w:sz w:val="16"/>
                <w:szCs w:val="22"/>
              </w:rPr>
              <w:t>9.125</w:t>
            </w:r>
          </w:p>
        </w:tc>
        <w:tc>
          <w:tcPr>
            <w:tcW w:w="669" w:type="pct"/>
          </w:tcPr>
          <w:p w:rsidRPr="006B7BC3" w:rsidR="00C335D4" w:rsidP="00C335D4" w:rsidRDefault="00C335D4" w14:paraId="3592B5B9" w14:textId="77777777">
            <w:pPr>
              <w:spacing w:line="276" w:lineRule="auto"/>
              <w:rPr>
                <w:sz w:val="16"/>
                <w:szCs w:val="22"/>
              </w:rPr>
            </w:pPr>
            <w:r w:rsidRPr="006B7BC3">
              <w:rPr>
                <w:sz w:val="16"/>
                <w:szCs w:val="22"/>
              </w:rPr>
              <w:t>10.152</w:t>
            </w:r>
          </w:p>
        </w:tc>
      </w:tr>
      <w:tr w:rsidRPr="006B7BC3" w:rsidR="00C335D4" w:rsidTr="005C2A4C" w14:paraId="1B131AB1" w14:textId="77777777">
        <w:tc>
          <w:tcPr>
            <w:tcW w:w="1646" w:type="pct"/>
          </w:tcPr>
          <w:p w:rsidRPr="006B7BC3" w:rsidR="00C335D4" w:rsidP="00C335D4" w:rsidRDefault="00C335D4" w14:paraId="66082937" w14:textId="77777777">
            <w:pPr>
              <w:spacing w:line="276" w:lineRule="auto"/>
              <w:rPr>
                <w:sz w:val="16"/>
                <w:szCs w:val="22"/>
              </w:rPr>
            </w:pPr>
            <w:r w:rsidRPr="006B7BC3">
              <w:rPr>
                <w:sz w:val="16"/>
                <w:szCs w:val="22"/>
              </w:rPr>
              <w:t>Pre-registraties</w:t>
            </w:r>
          </w:p>
        </w:tc>
        <w:tc>
          <w:tcPr>
            <w:tcW w:w="671" w:type="pct"/>
          </w:tcPr>
          <w:p w:rsidRPr="006B7BC3" w:rsidR="00C335D4" w:rsidP="00C335D4" w:rsidRDefault="00C335D4" w14:paraId="6222116C" w14:textId="77777777">
            <w:pPr>
              <w:spacing w:line="276" w:lineRule="auto"/>
              <w:rPr>
                <w:sz w:val="16"/>
                <w:szCs w:val="22"/>
              </w:rPr>
            </w:pPr>
            <w:r w:rsidRPr="006B7BC3">
              <w:rPr>
                <w:sz w:val="16"/>
                <w:szCs w:val="22"/>
              </w:rPr>
              <w:t>102</w:t>
            </w:r>
          </w:p>
        </w:tc>
        <w:tc>
          <w:tcPr>
            <w:tcW w:w="671" w:type="pct"/>
          </w:tcPr>
          <w:p w:rsidRPr="006B7BC3" w:rsidR="00C335D4" w:rsidP="00C335D4" w:rsidRDefault="00C335D4" w14:paraId="50035265" w14:textId="77777777">
            <w:pPr>
              <w:spacing w:line="276" w:lineRule="auto"/>
              <w:rPr>
                <w:sz w:val="16"/>
                <w:szCs w:val="22"/>
              </w:rPr>
            </w:pPr>
            <w:r w:rsidRPr="006B7BC3">
              <w:rPr>
                <w:sz w:val="16"/>
                <w:szCs w:val="22"/>
              </w:rPr>
              <w:t>98</w:t>
            </w:r>
          </w:p>
        </w:tc>
        <w:tc>
          <w:tcPr>
            <w:tcW w:w="671" w:type="pct"/>
          </w:tcPr>
          <w:p w:rsidRPr="006B7BC3" w:rsidR="00C335D4" w:rsidP="00C335D4" w:rsidRDefault="00C335D4" w14:paraId="2A7CD7B1" w14:textId="77777777">
            <w:pPr>
              <w:spacing w:line="276" w:lineRule="auto"/>
              <w:rPr>
                <w:sz w:val="16"/>
                <w:szCs w:val="22"/>
              </w:rPr>
            </w:pPr>
            <w:r w:rsidRPr="006B7BC3">
              <w:rPr>
                <w:sz w:val="16"/>
                <w:szCs w:val="22"/>
              </w:rPr>
              <w:t>76</w:t>
            </w:r>
          </w:p>
        </w:tc>
        <w:tc>
          <w:tcPr>
            <w:tcW w:w="671" w:type="pct"/>
          </w:tcPr>
          <w:p w:rsidRPr="006B7BC3" w:rsidR="00C335D4" w:rsidP="00C335D4" w:rsidRDefault="00C335D4" w14:paraId="126B6377" w14:textId="77777777">
            <w:pPr>
              <w:spacing w:line="276" w:lineRule="auto"/>
              <w:rPr>
                <w:sz w:val="16"/>
                <w:szCs w:val="22"/>
              </w:rPr>
            </w:pPr>
            <w:r w:rsidRPr="006B7BC3">
              <w:rPr>
                <w:sz w:val="16"/>
                <w:szCs w:val="22"/>
              </w:rPr>
              <w:t>71</w:t>
            </w:r>
          </w:p>
        </w:tc>
        <w:tc>
          <w:tcPr>
            <w:tcW w:w="669" w:type="pct"/>
          </w:tcPr>
          <w:p w:rsidRPr="006B7BC3" w:rsidR="00C335D4" w:rsidP="00C335D4" w:rsidRDefault="00C335D4" w14:paraId="3CD38E9E" w14:textId="77777777">
            <w:pPr>
              <w:spacing w:line="276" w:lineRule="auto"/>
              <w:rPr>
                <w:sz w:val="16"/>
                <w:szCs w:val="22"/>
              </w:rPr>
            </w:pPr>
            <w:r w:rsidRPr="006B7BC3">
              <w:rPr>
                <w:sz w:val="16"/>
                <w:szCs w:val="22"/>
              </w:rPr>
              <w:t>90</w:t>
            </w:r>
          </w:p>
        </w:tc>
      </w:tr>
      <w:tr w:rsidRPr="006B7BC3" w:rsidR="00C335D4" w:rsidTr="005C2A4C" w14:paraId="63F26F06" w14:textId="77777777">
        <w:tc>
          <w:tcPr>
            <w:tcW w:w="1646" w:type="pct"/>
          </w:tcPr>
          <w:p w:rsidRPr="006B7BC3" w:rsidR="00C335D4" w:rsidP="00C335D4" w:rsidRDefault="00C335D4" w14:paraId="46F3C33B" w14:textId="77777777">
            <w:pPr>
              <w:spacing w:line="276" w:lineRule="auto"/>
              <w:rPr>
                <w:sz w:val="16"/>
                <w:szCs w:val="22"/>
              </w:rPr>
            </w:pPr>
            <w:r w:rsidRPr="006B7BC3">
              <w:rPr>
                <w:sz w:val="16"/>
                <w:szCs w:val="22"/>
              </w:rPr>
              <w:t>Aanvragen</w:t>
            </w:r>
          </w:p>
        </w:tc>
        <w:tc>
          <w:tcPr>
            <w:tcW w:w="671" w:type="pct"/>
          </w:tcPr>
          <w:p w:rsidRPr="006B7BC3" w:rsidR="00C335D4" w:rsidP="00C335D4" w:rsidRDefault="00C335D4" w14:paraId="10957A7D" w14:textId="77777777">
            <w:pPr>
              <w:spacing w:line="276" w:lineRule="auto"/>
              <w:rPr>
                <w:sz w:val="16"/>
                <w:szCs w:val="22"/>
              </w:rPr>
            </w:pPr>
            <w:r w:rsidRPr="006B7BC3">
              <w:rPr>
                <w:sz w:val="16"/>
                <w:szCs w:val="22"/>
              </w:rPr>
              <w:t xml:space="preserve">56 </w:t>
            </w:r>
          </w:p>
        </w:tc>
        <w:tc>
          <w:tcPr>
            <w:tcW w:w="671" w:type="pct"/>
          </w:tcPr>
          <w:p w:rsidRPr="006B7BC3" w:rsidR="00C335D4" w:rsidP="00C335D4" w:rsidRDefault="00C335D4" w14:paraId="5188CEE6" w14:textId="77777777">
            <w:pPr>
              <w:spacing w:line="276" w:lineRule="auto"/>
              <w:rPr>
                <w:sz w:val="16"/>
                <w:szCs w:val="22"/>
              </w:rPr>
            </w:pPr>
            <w:r w:rsidRPr="006B7BC3">
              <w:rPr>
                <w:sz w:val="16"/>
                <w:szCs w:val="22"/>
              </w:rPr>
              <w:t>47</w:t>
            </w:r>
          </w:p>
        </w:tc>
        <w:tc>
          <w:tcPr>
            <w:tcW w:w="671" w:type="pct"/>
          </w:tcPr>
          <w:p w:rsidRPr="006B7BC3" w:rsidR="00C335D4" w:rsidP="00C335D4" w:rsidRDefault="00C335D4" w14:paraId="08761DF5" w14:textId="77777777">
            <w:pPr>
              <w:spacing w:line="276" w:lineRule="auto"/>
              <w:rPr>
                <w:sz w:val="16"/>
                <w:szCs w:val="22"/>
              </w:rPr>
            </w:pPr>
            <w:r w:rsidRPr="006B7BC3">
              <w:rPr>
                <w:sz w:val="16"/>
                <w:szCs w:val="22"/>
              </w:rPr>
              <w:t xml:space="preserve">39 </w:t>
            </w:r>
          </w:p>
        </w:tc>
        <w:tc>
          <w:tcPr>
            <w:tcW w:w="671" w:type="pct"/>
          </w:tcPr>
          <w:p w:rsidRPr="006B7BC3" w:rsidR="00C335D4" w:rsidP="00C335D4" w:rsidRDefault="00C335D4" w14:paraId="3667EFA9" w14:textId="77777777">
            <w:pPr>
              <w:spacing w:line="276" w:lineRule="auto"/>
              <w:rPr>
                <w:sz w:val="16"/>
                <w:szCs w:val="22"/>
              </w:rPr>
            </w:pPr>
            <w:r w:rsidRPr="006B7BC3">
              <w:rPr>
                <w:sz w:val="16"/>
                <w:szCs w:val="22"/>
              </w:rPr>
              <w:t>41</w:t>
            </w:r>
          </w:p>
        </w:tc>
        <w:tc>
          <w:tcPr>
            <w:tcW w:w="669" w:type="pct"/>
          </w:tcPr>
          <w:p w:rsidRPr="006B7BC3" w:rsidR="00C335D4" w:rsidP="00C335D4" w:rsidRDefault="00C335D4" w14:paraId="4C61EDF3" w14:textId="77777777">
            <w:pPr>
              <w:spacing w:line="276" w:lineRule="auto"/>
              <w:rPr>
                <w:sz w:val="16"/>
                <w:szCs w:val="22"/>
              </w:rPr>
            </w:pPr>
            <w:r w:rsidRPr="006B7BC3">
              <w:rPr>
                <w:sz w:val="16"/>
                <w:szCs w:val="22"/>
              </w:rPr>
              <w:t>52</w:t>
            </w:r>
          </w:p>
        </w:tc>
      </w:tr>
      <w:tr w:rsidRPr="006B7BC3" w:rsidR="00C335D4" w:rsidTr="005C2A4C" w14:paraId="4833635C" w14:textId="77777777">
        <w:tc>
          <w:tcPr>
            <w:tcW w:w="1646" w:type="pct"/>
          </w:tcPr>
          <w:p w:rsidRPr="006B7BC3" w:rsidR="00C335D4" w:rsidP="00C335D4" w:rsidRDefault="00C335D4" w14:paraId="669A1AA9" w14:textId="77777777">
            <w:pPr>
              <w:spacing w:line="276" w:lineRule="auto"/>
              <w:rPr>
                <w:sz w:val="16"/>
                <w:szCs w:val="22"/>
              </w:rPr>
            </w:pPr>
            <w:r w:rsidRPr="006B7BC3">
              <w:rPr>
                <w:sz w:val="16"/>
                <w:szCs w:val="22"/>
              </w:rPr>
              <w:t>Positieve besluiten</w:t>
            </w:r>
          </w:p>
        </w:tc>
        <w:tc>
          <w:tcPr>
            <w:tcW w:w="671" w:type="pct"/>
          </w:tcPr>
          <w:p w:rsidRPr="006B7BC3" w:rsidR="00C335D4" w:rsidP="00C335D4" w:rsidRDefault="00C335D4" w14:paraId="40FDAB4C" w14:textId="77777777">
            <w:pPr>
              <w:spacing w:line="276" w:lineRule="auto"/>
              <w:rPr>
                <w:sz w:val="16"/>
                <w:szCs w:val="22"/>
              </w:rPr>
            </w:pPr>
            <w:r w:rsidRPr="006B7BC3">
              <w:rPr>
                <w:sz w:val="16"/>
                <w:szCs w:val="22"/>
              </w:rPr>
              <w:t>35</w:t>
            </w:r>
          </w:p>
        </w:tc>
        <w:tc>
          <w:tcPr>
            <w:tcW w:w="671" w:type="pct"/>
          </w:tcPr>
          <w:p w:rsidRPr="006B7BC3" w:rsidR="00C335D4" w:rsidP="00C335D4" w:rsidRDefault="00C335D4" w14:paraId="5EA15DA5" w14:textId="77777777">
            <w:pPr>
              <w:spacing w:line="276" w:lineRule="auto"/>
              <w:rPr>
                <w:sz w:val="16"/>
                <w:szCs w:val="22"/>
              </w:rPr>
            </w:pPr>
            <w:r w:rsidRPr="006B7BC3">
              <w:rPr>
                <w:sz w:val="16"/>
                <w:szCs w:val="22"/>
              </w:rPr>
              <w:t>32</w:t>
            </w:r>
          </w:p>
        </w:tc>
        <w:tc>
          <w:tcPr>
            <w:tcW w:w="671" w:type="pct"/>
          </w:tcPr>
          <w:p w:rsidRPr="006B7BC3" w:rsidR="00C335D4" w:rsidP="00C335D4" w:rsidRDefault="00C335D4" w14:paraId="6F927761" w14:textId="77777777">
            <w:pPr>
              <w:spacing w:line="276" w:lineRule="auto"/>
              <w:rPr>
                <w:sz w:val="16"/>
                <w:szCs w:val="22"/>
              </w:rPr>
            </w:pPr>
            <w:r w:rsidRPr="006B7BC3">
              <w:rPr>
                <w:sz w:val="16"/>
                <w:szCs w:val="22"/>
              </w:rPr>
              <w:t>31</w:t>
            </w:r>
          </w:p>
        </w:tc>
        <w:tc>
          <w:tcPr>
            <w:tcW w:w="671" w:type="pct"/>
          </w:tcPr>
          <w:p w:rsidRPr="006B7BC3" w:rsidR="00C335D4" w:rsidP="00C335D4" w:rsidRDefault="00C335D4" w14:paraId="60FAA86A" w14:textId="77777777">
            <w:pPr>
              <w:spacing w:line="276" w:lineRule="auto"/>
              <w:rPr>
                <w:sz w:val="16"/>
                <w:szCs w:val="22"/>
              </w:rPr>
            </w:pPr>
            <w:r w:rsidRPr="006B7BC3">
              <w:rPr>
                <w:sz w:val="16"/>
                <w:szCs w:val="22"/>
              </w:rPr>
              <w:t>29</w:t>
            </w:r>
          </w:p>
        </w:tc>
        <w:tc>
          <w:tcPr>
            <w:tcW w:w="669" w:type="pct"/>
          </w:tcPr>
          <w:p w:rsidRPr="006B7BC3" w:rsidR="00C335D4" w:rsidP="00C335D4" w:rsidRDefault="00C335D4" w14:paraId="0B1BE52B" w14:textId="77777777">
            <w:pPr>
              <w:spacing w:line="276" w:lineRule="auto"/>
              <w:rPr>
                <w:sz w:val="16"/>
                <w:szCs w:val="22"/>
                <w:highlight w:val="yellow"/>
              </w:rPr>
            </w:pPr>
            <w:r w:rsidRPr="006B7BC3">
              <w:rPr>
                <w:sz w:val="16"/>
                <w:szCs w:val="22"/>
              </w:rPr>
              <w:t>39</w:t>
            </w:r>
          </w:p>
        </w:tc>
      </w:tr>
      <w:tr w:rsidRPr="006B7BC3" w:rsidR="00C335D4" w:rsidTr="005C2A4C" w14:paraId="73F7D410" w14:textId="77777777">
        <w:tc>
          <w:tcPr>
            <w:tcW w:w="1646" w:type="pct"/>
          </w:tcPr>
          <w:p w:rsidRPr="006B7BC3" w:rsidR="00C335D4" w:rsidP="00C335D4" w:rsidRDefault="00C335D4" w14:paraId="767797DC" w14:textId="77777777">
            <w:pPr>
              <w:spacing w:line="276" w:lineRule="auto"/>
              <w:rPr>
                <w:sz w:val="16"/>
                <w:szCs w:val="22"/>
              </w:rPr>
            </w:pPr>
            <w:r w:rsidRPr="006B7BC3">
              <w:rPr>
                <w:sz w:val="16"/>
                <w:szCs w:val="22"/>
              </w:rPr>
              <w:t xml:space="preserve">Verleend uitstel voor de start van de school </w:t>
            </w:r>
          </w:p>
        </w:tc>
        <w:tc>
          <w:tcPr>
            <w:tcW w:w="671" w:type="pct"/>
          </w:tcPr>
          <w:p w:rsidRPr="006B7BC3" w:rsidR="00C335D4" w:rsidP="00C335D4" w:rsidRDefault="00C335D4" w14:paraId="6509D226" w14:textId="77777777">
            <w:pPr>
              <w:spacing w:line="276" w:lineRule="auto"/>
              <w:rPr>
                <w:sz w:val="16"/>
                <w:szCs w:val="22"/>
              </w:rPr>
            </w:pPr>
            <w:r w:rsidRPr="006B7BC3">
              <w:rPr>
                <w:sz w:val="16"/>
                <w:szCs w:val="22"/>
              </w:rPr>
              <w:t>8</w:t>
            </w:r>
          </w:p>
        </w:tc>
        <w:tc>
          <w:tcPr>
            <w:tcW w:w="671" w:type="pct"/>
          </w:tcPr>
          <w:p w:rsidRPr="006B7BC3" w:rsidR="00C335D4" w:rsidP="00C335D4" w:rsidRDefault="00C335D4" w14:paraId="44CFE621" w14:textId="77777777">
            <w:pPr>
              <w:spacing w:line="276" w:lineRule="auto"/>
              <w:rPr>
                <w:sz w:val="16"/>
                <w:szCs w:val="22"/>
              </w:rPr>
            </w:pPr>
            <w:r w:rsidRPr="006B7BC3">
              <w:rPr>
                <w:sz w:val="16"/>
                <w:szCs w:val="22"/>
              </w:rPr>
              <w:t>5</w:t>
            </w:r>
          </w:p>
        </w:tc>
        <w:tc>
          <w:tcPr>
            <w:tcW w:w="671" w:type="pct"/>
          </w:tcPr>
          <w:p w:rsidRPr="006B7BC3" w:rsidR="00C335D4" w:rsidP="00C335D4" w:rsidRDefault="00C335D4" w14:paraId="76BC5029" w14:textId="77777777">
            <w:pPr>
              <w:spacing w:line="276" w:lineRule="auto"/>
              <w:rPr>
                <w:sz w:val="16"/>
                <w:szCs w:val="22"/>
              </w:rPr>
            </w:pPr>
            <w:r w:rsidRPr="006B7BC3">
              <w:rPr>
                <w:sz w:val="16"/>
                <w:szCs w:val="22"/>
              </w:rPr>
              <w:t>4</w:t>
            </w:r>
          </w:p>
        </w:tc>
        <w:tc>
          <w:tcPr>
            <w:tcW w:w="671" w:type="pct"/>
          </w:tcPr>
          <w:p w:rsidRPr="006B7BC3" w:rsidR="00C335D4" w:rsidP="00C335D4" w:rsidRDefault="00C335D4" w14:paraId="315C1C5F" w14:textId="77777777">
            <w:pPr>
              <w:spacing w:line="276" w:lineRule="auto"/>
              <w:rPr>
                <w:sz w:val="16"/>
                <w:szCs w:val="22"/>
              </w:rPr>
            </w:pPr>
            <w:r w:rsidRPr="006B7BC3">
              <w:rPr>
                <w:sz w:val="16"/>
                <w:szCs w:val="22"/>
              </w:rPr>
              <w:t>5</w:t>
            </w:r>
          </w:p>
          <w:p w:rsidRPr="006B7BC3" w:rsidR="00C335D4" w:rsidP="00C335D4" w:rsidRDefault="00C335D4" w14:paraId="35B93C82" w14:textId="77777777">
            <w:pPr>
              <w:spacing w:line="276" w:lineRule="auto"/>
              <w:rPr>
                <w:sz w:val="16"/>
                <w:szCs w:val="22"/>
              </w:rPr>
            </w:pPr>
          </w:p>
        </w:tc>
        <w:tc>
          <w:tcPr>
            <w:tcW w:w="669" w:type="pct"/>
          </w:tcPr>
          <w:p w:rsidRPr="006B7BC3" w:rsidR="00C335D4" w:rsidP="00C335D4" w:rsidRDefault="00C335D4" w14:paraId="1E531275" w14:textId="77777777">
            <w:pPr>
              <w:spacing w:line="276" w:lineRule="auto"/>
              <w:rPr>
                <w:sz w:val="16"/>
                <w:szCs w:val="22"/>
              </w:rPr>
            </w:pPr>
            <w:proofErr w:type="spellStart"/>
            <w:r w:rsidRPr="006B7BC3">
              <w:rPr>
                <w:sz w:val="16"/>
                <w:szCs w:val="22"/>
              </w:rPr>
              <w:t>n.n.b</w:t>
            </w:r>
            <w:proofErr w:type="spellEnd"/>
            <w:r w:rsidRPr="006B7BC3">
              <w:rPr>
                <w:sz w:val="16"/>
                <w:szCs w:val="22"/>
              </w:rPr>
              <w:t>.</w:t>
            </w:r>
          </w:p>
        </w:tc>
      </w:tr>
      <w:tr w:rsidRPr="006B7BC3" w:rsidR="00C335D4" w:rsidTr="005C2A4C" w14:paraId="342B635A" w14:textId="77777777">
        <w:tc>
          <w:tcPr>
            <w:tcW w:w="1646" w:type="pct"/>
          </w:tcPr>
          <w:p w:rsidRPr="006B7BC3" w:rsidR="00C335D4" w:rsidP="00C335D4" w:rsidRDefault="00C335D4" w14:paraId="058F678C" w14:textId="77777777">
            <w:pPr>
              <w:spacing w:line="276" w:lineRule="auto"/>
              <w:rPr>
                <w:sz w:val="16"/>
                <w:szCs w:val="22"/>
              </w:rPr>
            </w:pPr>
            <w:r w:rsidRPr="006B7BC3">
              <w:rPr>
                <w:sz w:val="16"/>
                <w:szCs w:val="22"/>
              </w:rPr>
              <w:t>Gestarte scholen (inclusief  verzelfstandigingen, uitbreidingen bestaande vo-scholen en splitsingen)</w:t>
            </w:r>
          </w:p>
        </w:tc>
        <w:tc>
          <w:tcPr>
            <w:tcW w:w="671" w:type="pct"/>
          </w:tcPr>
          <w:p w:rsidRPr="006B7BC3" w:rsidR="00C335D4" w:rsidP="00C335D4" w:rsidRDefault="00C335D4" w14:paraId="6984118A" w14:textId="77777777">
            <w:pPr>
              <w:spacing w:line="276" w:lineRule="auto"/>
              <w:rPr>
                <w:sz w:val="16"/>
                <w:szCs w:val="22"/>
              </w:rPr>
            </w:pPr>
            <w:r w:rsidRPr="006B7BC3">
              <w:rPr>
                <w:sz w:val="16"/>
                <w:szCs w:val="22"/>
              </w:rPr>
              <w:t>34 in augustus 2023</w:t>
            </w:r>
          </w:p>
        </w:tc>
        <w:tc>
          <w:tcPr>
            <w:tcW w:w="671" w:type="pct"/>
          </w:tcPr>
          <w:p w:rsidRPr="006B7BC3" w:rsidR="00C335D4" w:rsidP="00C335D4" w:rsidRDefault="00C335D4" w14:paraId="0AA1D75E" w14:textId="77777777">
            <w:pPr>
              <w:spacing w:line="276" w:lineRule="auto"/>
              <w:rPr>
                <w:sz w:val="16"/>
                <w:szCs w:val="22"/>
              </w:rPr>
            </w:pPr>
            <w:r w:rsidRPr="006B7BC3">
              <w:rPr>
                <w:sz w:val="16"/>
                <w:szCs w:val="22"/>
              </w:rPr>
              <w:t>31 in augustus 2024</w:t>
            </w:r>
          </w:p>
        </w:tc>
        <w:tc>
          <w:tcPr>
            <w:tcW w:w="671" w:type="pct"/>
          </w:tcPr>
          <w:p w:rsidRPr="006B7BC3" w:rsidR="00C335D4" w:rsidP="00C335D4" w:rsidRDefault="00C335D4" w14:paraId="7DCFEAC4" w14:textId="77777777">
            <w:pPr>
              <w:spacing w:line="276" w:lineRule="auto"/>
              <w:rPr>
                <w:sz w:val="16"/>
                <w:szCs w:val="22"/>
              </w:rPr>
            </w:pPr>
            <w:r w:rsidRPr="006B7BC3">
              <w:rPr>
                <w:sz w:val="16"/>
                <w:szCs w:val="22"/>
              </w:rPr>
              <w:t>31 in augustus 2025</w:t>
            </w:r>
          </w:p>
        </w:tc>
        <w:tc>
          <w:tcPr>
            <w:tcW w:w="671" w:type="pct"/>
          </w:tcPr>
          <w:p w:rsidRPr="006B7BC3" w:rsidR="00C335D4" w:rsidP="00C335D4" w:rsidRDefault="00C335D4" w14:paraId="2C6E5532" w14:textId="77777777">
            <w:pPr>
              <w:spacing w:line="276" w:lineRule="auto"/>
              <w:rPr>
                <w:sz w:val="16"/>
                <w:szCs w:val="22"/>
              </w:rPr>
            </w:pPr>
            <w:proofErr w:type="spellStart"/>
            <w:r w:rsidRPr="006B7BC3">
              <w:rPr>
                <w:sz w:val="16"/>
                <w:szCs w:val="22"/>
              </w:rPr>
              <w:t>n.n.b</w:t>
            </w:r>
            <w:proofErr w:type="spellEnd"/>
            <w:r w:rsidRPr="006B7BC3">
              <w:rPr>
                <w:sz w:val="16"/>
                <w:szCs w:val="22"/>
              </w:rPr>
              <w:t>.</w:t>
            </w:r>
          </w:p>
        </w:tc>
        <w:tc>
          <w:tcPr>
            <w:tcW w:w="669" w:type="pct"/>
          </w:tcPr>
          <w:p w:rsidRPr="006B7BC3" w:rsidR="00C335D4" w:rsidP="00C335D4" w:rsidRDefault="00C335D4" w14:paraId="1FC71989" w14:textId="77777777">
            <w:pPr>
              <w:spacing w:line="276" w:lineRule="auto"/>
              <w:rPr>
                <w:sz w:val="16"/>
                <w:szCs w:val="22"/>
              </w:rPr>
            </w:pPr>
            <w:proofErr w:type="spellStart"/>
            <w:r w:rsidRPr="006B7BC3">
              <w:rPr>
                <w:sz w:val="16"/>
                <w:szCs w:val="22"/>
              </w:rPr>
              <w:t>n.n.b</w:t>
            </w:r>
            <w:proofErr w:type="spellEnd"/>
            <w:r w:rsidRPr="006B7BC3">
              <w:rPr>
                <w:sz w:val="16"/>
                <w:szCs w:val="22"/>
              </w:rPr>
              <w:t>.</w:t>
            </w:r>
          </w:p>
        </w:tc>
      </w:tr>
    </w:tbl>
    <w:p w:rsidR="0065184C" w:rsidP="0065184C" w:rsidRDefault="0065184C" w14:paraId="4184D383" w14:textId="77777777">
      <w:pPr>
        <w:spacing w:line="276" w:lineRule="auto"/>
      </w:pPr>
    </w:p>
    <w:p w:rsidR="0065184C" w:rsidP="0065184C" w:rsidRDefault="0065184C" w14:paraId="15B29EE1" w14:textId="77777777">
      <w:pPr>
        <w:spacing w:line="276" w:lineRule="auto"/>
      </w:pPr>
    </w:p>
    <w:bookmarkEnd w:id="1"/>
    <w:p w:rsidRPr="0070249D" w:rsidR="0065184C" w:rsidP="0065184C" w:rsidRDefault="0065184C" w14:paraId="0085E945" w14:textId="77777777">
      <w:pPr>
        <w:spacing w:line="276" w:lineRule="auto"/>
        <w:rPr>
          <w:b/>
          <w:bCs/>
        </w:rPr>
      </w:pPr>
      <w:r>
        <w:rPr>
          <w:b/>
          <w:bCs/>
        </w:rPr>
        <w:t>K</w:t>
      </w:r>
      <w:r w:rsidRPr="0070249D">
        <w:rPr>
          <w:b/>
          <w:bCs/>
        </w:rPr>
        <w:t xml:space="preserve">waliteitsonderzoeken inspectie </w:t>
      </w:r>
    </w:p>
    <w:p w:rsidR="0065184C" w:rsidP="0065184C" w:rsidRDefault="0065184C" w14:paraId="2C52B324" w14:textId="4BB171A8">
      <w:pPr>
        <w:spacing w:line="276" w:lineRule="auto"/>
      </w:pPr>
      <w:r>
        <w:t xml:space="preserve">De onderwijskwaliteit speelt een belangrijke rol in de stichtingsprocedure: niet alleen moet de inspectie vooraf positief adviseren ten aanzien van de te verwachten onderwijskwaliteit, maar ook bezoekt de inspectie de nieuwe po- en </w:t>
      </w:r>
      <w:r>
        <w:lastRenderedPageBreak/>
        <w:t xml:space="preserve">vo-scholen in het eerste jaar na de start in het kader van een kwaliteitsonderzoek. Zo kan de inspectie erop toezien dat er ook in de praktijk wordt voldaan aan de gestelde kwaliteitseisen. </w:t>
      </w:r>
    </w:p>
    <w:p w:rsidR="0065184C" w:rsidP="0065184C" w:rsidRDefault="0065184C" w14:paraId="7BAF32F5" w14:textId="77777777">
      <w:pPr>
        <w:spacing w:line="276" w:lineRule="auto"/>
      </w:pPr>
    </w:p>
    <w:p w:rsidR="0065184C" w:rsidP="0065184C" w:rsidRDefault="0065184C" w14:paraId="0B42E644" w14:textId="08A992EB">
      <w:pPr>
        <w:spacing w:line="276" w:lineRule="auto"/>
      </w:pPr>
      <w:r>
        <w:t xml:space="preserve">In de onderstaande tabel staan de uitkomsten van de kwaliteitsonderzoeken. Scholen die een oordeel onvoldoende of zeer zwak kregen, zijn aan de slag gegaan met kwaliteitsverbetering. Vaak werd en wordt hiervoor de hulp ingeroepen van </w:t>
      </w:r>
      <w:r w:rsidRPr="00116AFE">
        <w:t>de sectorale programma’s Goed Worden, Goed Blijven (po) en Leren Verbeteren (vo)</w:t>
      </w:r>
      <w:r>
        <w:t xml:space="preserve">. </w:t>
      </w:r>
      <w:r w:rsidR="009329AD">
        <w:t xml:space="preserve">Tot nu toe hebben alle afgeronde hersteltrajecten geleid tot voldoendes. </w:t>
      </w:r>
    </w:p>
    <w:p w:rsidR="0065184C" w:rsidP="0065184C" w:rsidRDefault="0065184C" w14:paraId="20888750" w14:textId="77777777">
      <w:pPr>
        <w:spacing w:line="276" w:lineRule="auto"/>
      </w:pPr>
    </w:p>
    <w:tbl>
      <w:tblPr>
        <w:tblStyle w:val="Tabelraster"/>
        <w:tblW w:w="5296" w:type="pct"/>
        <w:tblLook w:val="04A0" w:firstRow="1" w:lastRow="0" w:firstColumn="1" w:lastColumn="0" w:noHBand="0" w:noVBand="1"/>
      </w:tblPr>
      <w:tblGrid>
        <w:gridCol w:w="1874"/>
        <w:gridCol w:w="1872"/>
        <w:gridCol w:w="1872"/>
        <w:gridCol w:w="2315"/>
      </w:tblGrid>
      <w:tr w:rsidRPr="000B5428" w:rsidR="0065184C" w:rsidTr="00180C0B" w14:paraId="39712548" w14:textId="77777777">
        <w:tc>
          <w:tcPr>
            <w:tcW w:w="1181" w:type="pct"/>
          </w:tcPr>
          <w:p w:rsidRPr="005C2A4C" w:rsidR="0065184C" w:rsidP="00180C0B" w:rsidRDefault="0065184C" w14:paraId="30BBBBEA" w14:textId="77777777">
            <w:pPr>
              <w:spacing w:line="276" w:lineRule="auto"/>
              <w:rPr>
                <w:sz w:val="16"/>
                <w:szCs w:val="22"/>
              </w:rPr>
            </w:pPr>
          </w:p>
        </w:tc>
        <w:tc>
          <w:tcPr>
            <w:tcW w:w="1180" w:type="pct"/>
          </w:tcPr>
          <w:p w:rsidRPr="005C2A4C" w:rsidR="0065184C" w:rsidP="00180C0B" w:rsidRDefault="0065184C" w14:paraId="2D24CE29" w14:textId="77777777">
            <w:pPr>
              <w:spacing w:line="276" w:lineRule="auto"/>
              <w:rPr>
                <w:sz w:val="16"/>
                <w:szCs w:val="22"/>
                <w:lang w:val="en-US"/>
              </w:rPr>
            </w:pPr>
            <w:r w:rsidRPr="005C2A4C">
              <w:rPr>
                <w:sz w:val="16"/>
                <w:szCs w:val="22"/>
                <w:lang w:val="en-US"/>
              </w:rPr>
              <w:t xml:space="preserve">% </w:t>
            </w:r>
            <w:proofErr w:type="spellStart"/>
            <w:r w:rsidRPr="005C2A4C">
              <w:rPr>
                <w:sz w:val="16"/>
                <w:szCs w:val="22"/>
                <w:lang w:val="en-US"/>
              </w:rPr>
              <w:t>voldoende</w:t>
            </w:r>
            <w:proofErr w:type="spellEnd"/>
          </w:p>
        </w:tc>
        <w:tc>
          <w:tcPr>
            <w:tcW w:w="1180" w:type="pct"/>
          </w:tcPr>
          <w:p w:rsidRPr="005C2A4C" w:rsidR="0065184C" w:rsidP="00180C0B" w:rsidRDefault="0065184C" w14:paraId="7805BFAD" w14:textId="77777777">
            <w:pPr>
              <w:spacing w:line="276" w:lineRule="auto"/>
              <w:rPr>
                <w:sz w:val="16"/>
                <w:szCs w:val="22"/>
                <w:lang w:val="en-US"/>
              </w:rPr>
            </w:pPr>
            <w:r w:rsidRPr="005C2A4C">
              <w:rPr>
                <w:sz w:val="16"/>
                <w:szCs w:val="22"/>
                <w:lang w:val="en-US"/>
              </w:rPr>
              <w:t xml:space="preserve">% </w:t>
            </w:r>
            <w:proofErr w:type="spellStart"/>
            <w:r w:rsidRPr="005C2A4C">
              <w:rPr>
                <w:sz w:val="16"/>
                <w:szCs w:val="22"/>
                <w:lang w:val="en-US"/>
              </w:rPr>
              <w:t>onvoldoende</w:t>
            </w:r>
            <w:proofErr w:type="spellEnd"/>
            <w:r w:rsidRPr="005C2A4C">
              <w:rPr>
                <w:sz w:val="16"/>
                <w:szCs w:val="22"/>
                <w:lang w:val="en-US"/>
              </w:rPr>
              <w:t xml:space="preserve"> of </w:t>
            </w:r>
            <w:proofErr w:type="spellStart"/>
            <w:r w:rsidRPr="005C2A4C">
              <w:rPr>
                <w:sz w:val="16"/>
                <w:szCs w:val="22"/>
                <w:lang w:val="en-US"/>
              </w:rPr>
              <w:t>zeer</w:t>
            </w:r>
            <w:proofErr w:type="spellEnd"/>
            <w:r w:rsidRPr="005C2A4C">
              <w:rPr>
                <w:sz w:val="16"/>
                <w:szCs w:val="22"/>
                <w:lang w:val="en-US"/>
              </w:rPr>
              <w:t xml:space="preserve"> </w:t>
            </w:r>
            <w:proofErr w:type="spellStart"/>
            <w:r w:rsidRPr="005C2A4C">
              <w:rPr>
                <w:sz w:val="16"/>
                <w:szCs w:val="22"/>
                <w:lang w:val="en-US"/>
              </w:rPr>
              <w:t>zwak</w:t>
            </w:r>
            <w:proofErr w:type="spellEnd"/>
          </w:p>
        </w:tc>
        <w:tc>
          <w:tcPr>
            <w:tcW w:w="1460" w:type="pct"/>
          </w:tcPr>
          <w:p w:rsidRPr="005C2A4C" w:rsidR="0065184C" w:rsidP="00180C0B" w:rsidRDefault="0065184C" w14:paraId="0F974650" w14:textId="77777777">
            <w:pPr>
              <w:spacing w:line="276" w:lineRule="auto"/>
              <w:rPr>
                <w:sz w:val="16"/>
                <w:szCs w:val="22"/>
              </w:rPr>
            </w:pPr>
            <w:r w:rsidRPr="005C2A4C">
              <w:rPr>
                <w:sz w:val="16"/>
                <w:szCs w:val="22"/>
              </w:rPr>
              <w:t>% onvoldoende of zeer zwak na hersteltermijn</w:t>
            </w:r>
          </w:p>
        </w:tc>
      </w:tr>
      <w:tr w:rsidRPr="000B5428" w:rsidR="0065184C" w:rsidTr="00180C0B" w14:paraId="64963304" w14:textId="77777777">
        <w:tc>
          <w:tcPr>
            <w:tcW w:w="1181" w:type="pct"/>
          </w:tcPr>
          <w:p w:rsidRPr="005C2A4C" w:rsidR="0065184C" w:rsidP="00180C0B" w:rsidRDefault="0065184C" w14:paraId="44B01A2A" w14:textId="77777777">
            <w:pPr>
              <w:spacing w:line="276" w:lineRule="auto"/>
              <w:rPr>
                <w:sz w:val="16"/>
                <w:szCs w:val="22"/>
                <w:lang w:val="en-US"/>
              </w:rPr>
            </w:pPr>
            <w:r w:rsidRPr="005C2A4C">
              <w:rPr>
                <w:sz w:val="16"/>
                <w:szCs w:val="22"/>
                <w:lang w:val="en-US"/>
              </w:rPr>
              <w:t>Cohort 1 (start in ’23-’24)</w:t>
            </w:r>
          </w:p>
        </w:tc>
        <w:tc>
          <w:tcPr>
            <w:tcW w:w="1180" w:type="pct"/>
          </w:tcPr>
          <w:p w:rsidRPr="005C2A4C" w:rsidR="0065184C" w:rsidP="00180C0B" w:rsidRDefault="0065184C" w14:paraId="32E8A363" w14:textId="77777777">
            <w:pPr>
              <w:spacing w:line="276" w:lineRule="auto"/>
              <w:rPr>
                <w:sz w:val="16"/>
                <w:szCs w:val="22"/>
                <w:lang w:val="en-US"/>
              </w:rPr>
            </w:pPr>
            <w:r w:rsidRPr="005C2A4C">
              <w:rPr>
                <w:sz w:val="16"/>
                <w:szCs w:val="22"/>
                <w:lang w:val="en-US"/>
              </w:rPr>
              <w:t xml:space="preserve">85% </w:t>
            </w:r>
          </w:p>
          <w:p w:rsidRPr="005C2A4C" w:rsidR="0065184C" w:rsidP="00180C0B" w:rsidRDefault="0065184C" w14:paraId="21D0D68C" w14:textId="77777777">
            <w:pPr>
              <w:spacing w:line="276" w:lineRule="auto"/>
              <w:rPr>
                <w:sz w:val="16"/>
                <w:szCs w:val="22"/>
                <w:lang w:val="en-US"/>
              </w:rPr>
            </w:pPr>
            <w:r w:rsidRPr="005C2A4C">
              <w:rPr>
                <w:sz w:val="16"/>
                <w:szCs w:val="22"/>
                <w:lang w:val="en-US"/>
              </w:rPr>
              <w:t>29 van de 34</w:t>
            </w:r>
          </w:p>
        </w:tc>
        <w:tc>
          <w:tcPr>
            <w:tcW w:w="1180" w:type="pct"/>
          </w:tcPr>
          <w:p w:rsidRPr="005C2A4C" w:rsidR="0065184C" w:rsidP="00180C0B" w:rsidRDefault="0065184C" w14:paraId="63C37A92" w14:textId="77777777">
            <w:pPr>
              <w:spacing w:line="276" w:lineRule="auto"/>
              <w:rPr>
                <w:sz w:val="16"/>
                <w:szCs w:val="22"/>
                <w:lang w:val="en-US"/>
              </w:rPr>
            </w:pPr>
            <w:r w:rsidRPr="005C2A4C">
              <w:rPr>
                <w:sz w:val="16"/>
                <w:szCs w:val="22"/>
                <w:lang w:val="en-US"/>
              </w:rPr>
              <w:t>15%</w:t>
            </w:r>
          </w:p>
          <w:p w:rsidRPr="005C2A4C" w:rsidR="0065184C" w:rsidP="00180C0B" w:rsidRDefault="0065184C" w14:paraId="5D421857" w14:textId="77777777">
            <w:pPr>
              <w:spacing w:line="276" w:lineRule="auto"/>
              <w:rPr>
                <w:sz w:val="16"/>
                <w:szCs w:val="22"/>
                <w:lang w:val="en-US"/>
              </w:rPr>
            </w:pPr>
            <w:r w:rsidRPr="005C2A4C">
              <w:rPr>
                <w:sz w:val="16"/>
                <w:szCs w:val="22"/>
                <w:lang w:val="en-US"/>
              </w:rPr>
              <w:t>5 van de 34</w:t>
            </w:r>
          </w:p>
        </w:tc>
        <w:tc>
          <w:tcPr>
            <w:tcW w:w="1460" w:type="pct"/>
          </w:tcPr>
          <w:p w:rsidRPr="005C2A4C" w:rsidR="0065184C" w:rsidP="00180C0B" w:rsidRDefault="0065184C" w14:paraId="4BACB19F" w14:textId="77777777">
            <w:pPr>
              <w:spacing w:line="276" w:lineRule="auto"/>
              <w:rPr>
                <w:sz w:val="16"/>
                <w:szCs w:val="22"/>
                <w:lang w:val="en-US"/>
              </w:rPr>
            </w:pPr>
            <w:r w:rsidRPr="005C2A4C">
              <w:rPr>
                <w:sz w:val="16"/>
                <w:szCs w:val="22"/>
                <w:lang w:val="en-US"/>
              </w:rPr>
              <w:t>0%</w:t>
            </w:r>
          </w:p>
          <w:p w:rsidRPr="005C2A4C" w:rsidR="0065184C" w:rsidP="00180C0B" w:rsidRDefault="0065184C" w14:paraId="3B270FCE" w14:textId="77777777">
            <w:pPr>
              <w:spacing w:line="276" w:lineRule="auto"/>
              <w:rPr>
                <w:sz w:val="16"/>
                <w:szCs w:val="22"/>
                <w:lang w:val="en-US"/>
              </w:rPr>
            </w:pPr>
            <w:r w:rsidRPr="005C2A4C">
              <w:rPr>
                <w:sz w:val="16"/>
                <w:szCs w:val="22"/>
                <w:lang w:val="en-US"/>
              </w:rPr>
              <w:t>0 van de 34</w:t>
            </w:r>
          </w:p>
        </w:tc>
      </w:tr>
      <w:tr w:rsidRPr="000B5428" w:rsidR="0065184C" w:rsidTr="00180C0B" w14:paraId="2A0A0FBA" w14:textId="77777777">
        <w:tc>
          <w:tcPr>
            <w:tcW w:w="1181" w:type="pct"/>
          </w:tcPr>
          <w:p w:rsidRPr="005C2A4C" w:rsidR="0065184C" w:rsidP="00180C0B" w:rsidRDefault="0065184C" w14:paraId="713010D8" w14:textId="77777777">
            <w:pPr>
              <w:spacing w:line="276" w:lineRule="auto"/>
              <w:rPr>
                <w:sz w:val="16"/>
                <w:szCs w:val="22"/>
                <w:lang w:val="en-US"/>
              </w:rPr>
            </w:pPr>
            <w:r w:rsidRPr="005C2A4C">
              <w:rPr>
                <w:sz w:val="16"/>
                <w:szCs w:val="22"/>
                <w:lang w:val="en-US"/>
              </w:rPr>
              <w:t>Cohort 2 (start in ’24-’25)</w:t>
            </w:r>
          </w:p>
        </w:tc>
        <w:tc>
          <w:tcPr>
            <w:tcW w:w="1180" w:type="pct"/>
          </w:tcPr>
          <w:p w:rsidRPr="005C2A4C" w:rsidR="0065184C" w:rsidP="00180C0B" w:rsidRDefault="0065184C" w14:paraId="5C0319FD" w14:textId="77777777">
            <w:pPr>
              <w:spacing w:line="276" w:lineRule="auto"/>
              <w:rPr>
                <w:sz w:val="16"/>
                <w:szCs w:val="22"/>
                <w:lang w:val="en-US"/>
              </w:rPr>
            </w:pPr>
            <w:r w:rsidRPr="005C2A4C">
              <w:rPr>
                <w:sz w:val="16"/>
                <w:szCs w:val="22"/>
                <w:lang w:val="en-US"/>
              </w:rPr>
              <w:t>73%</w:t>
            </w:r>
          </w:p>
          <w:p w:rsidRPr="005C2A4C" w:rsidR="0065184C" w:rsidP="00180C0B" w:rsidRDefault="0065184C" w14:paraId="7E08F1EC" w14:textId="77777777">
            <w:pPr>
              <w:spacing w:line="276" w:lineRule="auto"/>
              <w:rPr>
                <w:sz w:val="16"/>
                <w:szCs w:val="22"/>
                <w:lang w:val="en-US"/>
              </w:rPr>
            </w:pPr>
            <w:r w:rsidRPr="005C2A4C">
              <w:rPr>
                <w:sz w:val="16"/>
                <w:szCs w:val="22"/>
                <w:lang w:val="en-US"/>
              </w:rPr>
              <w:t>22 van de 30</w:t>
            </w:r>
          </w:p>
        </w:tc>
        <w:tc>
          <w:tcPr>
            <w:tcW w:w="1180" w:type="pct"/>
          </w:tcPr>
          <w:p w:rsidRPr="005C2A4C" w:rsidR="0065184C" w:rsidP="00180C0B" w:rsidRDefault="0065184C" w14:paraId="3835E3F8" w14:textId="77777777">
            <w:pPr>
              <w:spacing w:line="276" w:lineRule="auto"/>
              <w:rPr>
                <w:sz w:val="16"/>
                <w:szCs w:val="22"/>
                <w:lang w:val="en-US"/>
              </w:rPr>
            </w:pPr>
            <w:r w:rsidRPr="005C2A4C">
              <w:rPr>
                <w:sz w:val="16"/>
                <w:szCs w:val="22"/>
                <w:lang w:val="en-US"/>
              </w:rPr>
              <w:t>27%</w:t>
            </w:r>
          </w:p>
          <w:p w:rsidRPr="005C2A4C" w:rsidR="0065184C" w:rsidP="00180C0B" w:rsidRDefault="0065184C" w14:paraId="0677770A" w14:textId="77777777">
            <w:pPr>
              <w:spacing w:line="276" w:lineRule="auto"/>
              <w:rPr>
                <w:sz w:val="16"/>
                <w:szCs w:val="22"/>
                <w:lang w:val="en-US"/>
              </w:rPr>
            </w:pPr>
            <w:r w:rsidRPr="005C2A4C">
              <w:rPr>
                <w:sz w:val="16"/>
                <w:szCs w:val="22"/>
                <w:lang w:val="en-US"/>
              </w:rPr>
              <w:t>8 van de 30</w:t>
            </w:r>
          </w:p>
        </w:tc>
        <w:tc>
          <w:tcPr>
            <w:tcW w:w="1460" w:type="pct"/>
          </w:tcPr>
          <w:p w:rsidRPr="005C2A4C" w:rsidR="0065184C" w:rsidP="00180C0B" w:rsidRDefault="0065184C" w14:paraId="301E7B39" w14:textId="77777777">
            <w:pPr>
              <w:spacing w:line="276" w:lineRule="auto"/>
              <w:rPr>
                <w:sz w:val="16"/>
                <w:szCs w:val="22"/>
                <w:lang w:val="en-US"/>
              </w:rPr>
            </w:pPr>
            <w:r w:rsidRPr="005C2A4C">
              <w:rPr>
                <w:sz w:val="16"/>
                <w:szCs w:val="22"/>
                <w:lang w:val="en-US"/>
              </w:rPr>
              <w:t>10%*</w:t>
            </w:r>
          </w:p>
          <w:p w:rsidRPr="005C2A4C" w:rsidR="0065184C" w:rsidP="00180C0B" w:rsidRDefault="0065184C" w14:paraId="1C6A0337" w14:textId="77777777">
            <w:pPr>
              <w:spacing w:line="276" w:lineRule="auto"/>
              <w:rPr>
                <w:sz w:val="16"/>
                <w:szCs w:val="22"/>
                <w:lang w:val="en-US"/>
              </w:rPr>
            </w:pPr>
            <w:r w:rsidRPr="005C2A4C">
              <w:rPr>
                <w:sz w:val="16"/>
                <w:szCs w:val="22"/>
                <w:lang w:val="en-US"/>
              </w:rPr>
              <w:t>3 van de 30</w:t>
            </w:r>
          </w:p>
        </w:tc>
      </w:tr>
      <w:tr w:rsidRPr="000B5428" w:rsidR="0065184C" w:rsidTr="00180C0B" w14:paraId="4DCF7F8B" w14:textId="77777777">
        <w:tc>
          <w:tcPr>
            <w:tcW w:w="1181" w:type="pct"/>
          </w:tcPr>
          <w:p w:rsidRPr="005C2A4C" w:rsidR="0065184C" w:rsidP="00180C0B" w:rsidRDefault="0065184C" w14:paraId="5F0A15A1" w14:textId="77777777">
            <w:pPr>
              <w:spacing w:line="276" w:lineRule="auto"/>
              <w:rPr>
                <w:sz w:val="16"/>
                <w:szCs w:val="22"/>
                <w:lang w:val="en-US"/>
              </w:rPr>
            </w:pPr>
            <w:r w:rsidRPr="005C2A4C">
              <w:rPr>
                <w:sz w:val="16"/>
                <w:szCs w:val="22"/>
                <w:lang w:val="en-US"/>
              </w:rPr>
              <w:t>Cohort 3 (start in ’25-’26)**</w:t>
            </w:r>
          </w:p>
        </w:tc>
        <w:tc>
          <w:tcPr>
            <w:tcW w:w="1180" w:type="pct"/>
          </w:tcPr>
          <w:p w:rsidRPr="005C2A4C" w:rsidR="0065184C" w:rsidP="00180C0B" w:rsidRDefault="0065184C" w14:paraId="20ECB122" w14:textId="77777777">
            <w:pPr>
              <w:spacing w:line="276" w:lineRule="auto"/>
              <w:rPr>
                <w:sz w:val="16"/>
                <w:szCs w:val="22"/>
                <w:lang w:val="en-US"/>
              </w:rPr>
            </w:pPr>
            <w:r w:rsidRPr="005C2A4C">
              <w:rPr>
                <w:sz w:val="16"/>
                <w:szCs w:val="22"/>
                <w:lang w:val="en-US"/>
              </w:rPr>
              <w:t>59%</w:t>
            </w:r>
          </w:p>
          <w:p w:rsidRPr="005C2A4C" w:rsidR="0065184C" w:rsidP="00180C0B" w:rsidRDefault="0065184C" w14:paraId="3354318E" w14:textId="77777777">
            <w:pPr>
              <w:spacing w:line="276" w:lineRule="auto"/>
              <w:rPr>
                <w:sz w:val="16"/>
                <w:szCs w:val="22"/>
                <w:lang w:val="en-US"/>
              </w:rPr>
            </w:pPr>
            <w:r w:rsidRPr="005C2A4C">
              <w:rPr>
                <w:sz w:val="16"/>
                <w:szCs w:val="22"/>
                <w:lang w:val="en-US"/>
              </w:rPr>
              <w:t>19 van de 32</w:t>
            </w:r>
          </w:p>
        </w:tc>
        <w:tc>
          <w:tcPr>
            <w:tcW w:w="1180" w:type="pct"/>
          </w:tcPr>
          <w:p w:rsidRPr="005C2A4C" w:rsidR="0065184C" w:rsidP="00180C0B" w:rsidRDefault="0065184C" w14:paraId="3FFDE403" w14:textId="77777777">
            <w:pPr>
              <w:spacing w:line="276" w:lineRule="auto"/>
              <w:rPr>
                <w:sz w:val="16"/>
                <w:szCs w:val="22"/>
                <w:lang w:val="en-US"/>
              </w:rPr>
            </w:pPr>
            <w:r w:rsidRPr="005C2A4C">
              <w:rPr>
                <w:sz w:val="16"/>
                <w:szCs w:val="22"/>
                <w:lang w:val="en-US"/>
              </w:rPr>
              <w:t>31%</w:t>
            </w:r>
          </w:p>
          <w:p w:rsidRPr="005C2A4C" w:rsidR="0065184C" w:rsidP="00180C0B" w:rsidRDefault="0065184C" w14:paraId="0A210F40" w14:textId="77777777">
            <w:pPr>
              <w:spacing w:line="276" w:lineRule="auto"/>
              <w:rPr>
                <w:sz w:val="16"/>
                <w:szCs w:val="22"/>
                <w:lang w:val="en-US"/>
              </w:rPr>
            </w:pPr>
            <w:r w:rsidRPr="005C2A4C">
              <w:rPr>
                <w:sz w:val="16"/>
                <w:szCs w:val="22"/>
                <w:lang w:val="en-US"/>
              </w:rPr>
              <w:t>10 van de 32</w:t>
            </w:r>
          </w:p>
        </w:tc>
        <w:tc>
          <w:tcPr>
            <w:tcW w:w="1460" w:type="pct"/>
          </w:tcPr>
          <w:p w:rsidRPr="005C2A4C" w:rsidR="0065184C" w:rsidP="00180C0B" w:rsidRDefault="0065184C" w14:paraId="3152BAA8" w14:textId="77777777">
            <w:pPr>
              <w:spacing w:line="276" w:lineRule="auto"/>
              <w:rPr>
                <w:sz w:val="16"/>
                <w:szCs w:val="22"/>
                <w:lang w:val="en-US"/>
              </w:rPr>
            </w:pPr>
            <w:proofErr w:type="spellStart"/>
            <w:r w:rsidRPr="005C2A4C">
              <w:rPr>
                <w:sz w:val="16"/>
                <w:szCs w:val="22"/>
                <w:lang w:val="en-US"/>
              </w:rPr>
              <w:t>n.n.b</w:t>
            </w:r>
            <w:proofErr w:type="spellEnd"/>
            <w:r w:rsidRPr="005C2A4C">
              <w:rPr>
                <w:sz w:val="16"/>
                <w:szCs w:val="22"/>
                <w:lang w:val="en-US"/>
              </w:rPr>
              <w:t>.</w:t>
            </w:r>
          </w:p>
        </w:tc>
      </w:tr>
    </w:tbl>
    <w:p w:rsidRPr="005C2A4C" w:rsidR="0065184C" w:rsidP="0065184C" w:rsidRDefault="0065184C" w14:paraId="2C5CE066" w14:textId="77777777">
      <w:pPr>
        <w:spacing w:line="276" w:lineRule="auto"/>
        <w:rPr>
          <w:i/>
          <w:iCs/>
          <w:sz w:val="14"/>
          <w:szCs w:val="20"/>
        </w:rPr>
      </w:pPr>
      <w:r w:rsidRPr="005C2A4C">
        <w:rPr>
          <w:sz w:val="14"/>
          <w:szCs w:val="20"/>
        </w:rPr>
        <w:t>*</w:t>
      </w:r>
      <w:r w:rsidRPr="005C2A4C">
        <w:rPr>
          <w:i/>
          <w:iCs/>
          <w:sz w:val="14"/>
          <w:szCs w:val="20"/>
        </w:rPr>
        <w:t>dit percentage kan nog verder dalen, omdat het herstelonderzoek van drie scholen nog niet is afgerond.</w:t>
      </w:r>
    </w:p>
    <w:p w:rsidRPr="005C2A4C" w:rsidR="0065184C" w:rsidP="0065184C" w:rsidRDefault="0065184C" w14:paraId="021967EC" w14:textId="77777777">
      <w:pPr>
        <w:spacing w:line="276" w:lineRule="auto"/>
        <w:rPr>
          <w:i/>
          <w:iCs/>
          <w:sz w:val="14"/>
          <w:szCs w:val="20"/>
        </w:rPr>
      </w:pPr>
      <w:r w:rsidRPr="005C2A4C">
        <w:rPr>
          <w:i/>
          <w:iCs/>
          <w:sz w:val="14"/>
          <w:szCs w:val="20"/>
        </w:rPr>
        <w:t>**van drie scholen in dit cohort is het eerste kwaliteitsonderzoek nog niet afgerond. De percentages tellen daarom op tot 90% en niet tot 100%.</w:t>
      </w:r>
    </w:p>
    <w:p w:rsidRPr="005C2A4C" w:rsidR="0065184C" w:rsidP="0065184C" w:rsidRDefault="0065184C" w14:paraId="23B48B6C" w14:textId="77777777">
      <w:pPr>
        <w:spacing w:line="276" w:lineRule="auto"/>
        <w:rPr>
          <w:sz w:val="16"/>
          <w:szCs w:val="22"/>
        </w:rPr>
      </w:pPr>
    </w:p>
    <w:p w:rsidR="0065184C" w:rsidP="0065184C" w:rsidRDefault="0065184C" w14:paraId="60557B09" w14:textId="6C75ED20">
      <w:pPr>
        <w:spacing w:line="276" w:lineRule="auto"/>
      </w:pPr>
      <w:r w:rsidRPr="000B5428">
        <w:t>Uit de laatste Staat v</w:t>
      </w:r>
      <w:r>
        <w:t>an het Onderwijs</w:t>
      </w:r>
      <w:r>
        <w:rPr>
          <w:rStyle w:val="Voetnootmarkering"/>
        </w:rPr>
        <w:footnoteReference w:id="15"/>
      </w:r>
      <w:r>
        <w:t xml:space="preserve"> blijkt dat 81% van de scholen een eindoordeel ‘voldoende’ krijgt, 19% krijgt een oordeel ‘onvoldoende’ of ‘zeer zwak’. </w:t>
      </w:r>
    </w:p>
    <w:p w:rsidRPr="00820DDA" w:rsidR="0065184C" w:rsidP="00215964" w:rsidRDefault="0065184C" w14:paraId="02758B40" w14:textId="77777777">
      <w:pPr>
        <w:spacing w:line="240" w:lineRule="auto"/>
      </w:pPr>
    </w:p>
    <w:sectPr w:rsidRPr="00820DDA" w:rsidR="0065184C"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A182" w14:textId="77777777" w:rsidR="00C65FBE" w:rsidRDefault="00C65FBE">
      <w:r>
        <w:separator/>
      </w:r>
    </w:p>
    <w:p w14:paraId="25A7D8A9" w14:textId="77777777" w:rsidR="00C65FBE" w:rsidRDefault="00C65FBE"/>
  </w:endnote>
  <w:endnote w:type="continuationSeparator" w:id="0">
    <w:p w14:paraId="44926F9A" w14:textId="77777777" w:rsidR="00C65FBE" w:rsidRDefault="00C65FBE">
      <w:r>
        <w:continuationSeparator/>
      </w:r>
    </w:p>
    <w:p w14:paraId="40D02FC7" w14:textId="77777777" w:rsidR="00C65FBE" w:rsidRDefault="00C65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991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B5F49" w14:paraId="28F4FFA1" w14:textId="77777777" w:rsidTr="004C7E1D">
      <w:trPr>
        <w:trHeight w:hRule="exact" w:val="357"/>
      </w:trPr>
      <w:tc>
        <w:tcPr>
          <w:tcW w:w="7603" w:type="dxa"/>
        </w:tcPr>
        <w:p w14:paraId="7C1E9731" w14:textId="77777777" w:rsidR="002F71BB" w:rsidRPr="004C7E1D" w:rsidRDefault="002F71BB" w:rsidP="004C7E1D">
          <w:pPr>
            <w:spacing w:line="180" w:lineRule="exact"/>
            <w:rPr>
              <w:sz w:val="13"/>
              <w:szCs w:val="13"/>
            </w:rPr>
          </w:pPr>
        </w:p>
      </w:tc>
      <w:tc>
        <w:tcPr>
          <w:tcW w:w="2172" w:type="dxa"/>
        </w:tcPr>
        <w:p w14:paraId="3C9B32B4" w14:textId="5FFCAD8C" w:rsidR="002F71BB" w:rsidRPr="004C7E1D" w:rsidRDefault="00DD133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B5444">
            <w:rPr>
              <w:szCs w:val="13"/>
            </w:rPr>
            <w:t>12</w:t>
          </w:r>
          <w:r w:rsidRPr="004C7E1D">
            <w:rPr>
              <w:szCs w:val="13"/>
            </w:rPr>
            <w:fldChar w:fldCharType="end"/>
          </w:r>
        </w:p>
      </w:tc>
    </w:tr>
  </w:tbl>
  <w:p w14:paraId="59FF8DF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B5F49" w14:paraId="01A115C8" w14:textId="77777777" w:rsidTr="004C7E1D">
      <w:trPr>
        <w:trHeight w:hRule="exact" w:val="357"/>
      </w:trPr>
      <w:tc>
        <w:tcPr>
          <w:tcW w:w="7709" w:type="dxa"/>
        </w:tcPr>
        <w:p w14:paraId="5B731E85" w14:textId="77777777" w:rsidR="00D17084" w:rsidRPr="004C7E1D" w:rsidRDefault="00D17084" w:rsidP="004C7E1D">
          <w:pPr>
            <w:spacing w:line="180" w:lineRule="exact"/>
            <w:rPr>
              <w:sz w:val="13"/>
              <w:szCs w:val="13"/>
            </w:rPr>
          </w:pPr>
        </w:p>
      </w:tc>
      <w:tc>
        <w:tcPr>
          <w:tcW w:w="2060" w:type="dxa"/>
        </w:tcPr>
        <w:p w14:paraId="6A66B7AB" w14:textId="66CDF6B5" w:rsidR="00D17084" w:rsidRPr="004C7E1D" w:rsidRDefault="00DD133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B5444">
            <w:rPr>
              <w:szCs w:val="13"/>
            </w:rPr>
            <w:t>12</w:t>
          </w:r>
          <w:r w:rsidRPr="004C7E1D">
            <w:rPr>
              <w:szCs w:val="13"/>
            </w:rPr>
            <w:fldChar w:fldCharType="end"/>
          </w:r>
        </w:p>
      </w:tc>
    </w:tr>
  </w:tbl>
  <w:p w14:paraId="1BCD5A6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E942" w14:textId="77777777" w:rsidR="00C65FBE" w:rsidRDefault="00C65FBE">
      <w:r>
        <w:separator/>
      </w:r>
    </w:p>
    <w:p w14:paraId="6B655062" w14:textId="77777777" w:rsidR="00C65FBE" w:rsidRDefault="00C65FBE"/>
  </w:footnote>
  <w:footnote w:type="continuationSeparator" w:id="0">
    <w:p w14:paraId="59A8AEDE" w14:textId="77777777" w:rsidR="00C65FBE" w:rsidRDefault="00C65FBE">
      <w:r>
        <w:continuationSeparator/>
      </w:r>
    </w:p>
    <w:p w14:paraId="37495FCD" w14:textId="77777777" w:rsidR="00C65FBE" w:rsidRDefault="00C65FBE"/>
  </w:footnote>
  <w:footnote w:id="1">
    <w:p w14:paraId="3B6D8D16" w14:textId="5E26C7AB" w:rsidR="00E61218" w:rsidRDefault="00E61218">
      <w:pPr>
        <w:pStyle w:val="Voetnoottekst"/>
      </w:pPr>
      <w:r>
        <w:rPr>
          <w:rStyle w:val="Voetnootmarkering"/>
        </w:rPr>
        <w:footnoteRef/>
      </w:r>
      <w:r>
        <w:t xml:space="preserve"> In de bijlage treft u de cijfers en duiding van de aanvraagronde 2025 – 2026 aan.</w:t>
      </w:r>
    </w:p>
  </w:footnote>
  <w:footnote w:id="2">
    <w:p w14:paraId="23998DC2" w14:textId="77777777" w:rsidR="00FF598F" w:rsidRDefault="00FF598F" w:rsidP="00FF598F">
      <w:pPr>
        <w:pStyle w:val="Voetnoottekst"/>
        <w:spacing w:line="240" w:lineRule="auto"/>
      </w:pPr>
      <w:r>
        <w:rPr>
          <w:rStyle w:val="Voetnootmarkering"/>
        </w:rPr>
        <w:footnoteRef/>
      </w:r>
      <w:r>
        <w:t xml:space="preserve"> </w:t>
      </w:r>
      <w:r w:rsidRPr="00C93ADA">
        <w:rPr>
          <w:sz w:val="12"/>
          <w:szCs w:val="12"/>
        </w:rPr>
        <w:t>De zes deu</w:t>
      </w:r>
      <w:r>
        <w:rPr>
          <w:sz w:val="12"/>
          <w:szCs w:val="12"/>
        </w:rPr>
        <w:t>gd</w:t>
      </w:r>
      <w:r w:rsidRPr="00C93ADA">
        <w:rPr>
          <w:sz w:val="12"/>
          <w:szCs w:val="12"/>
        </w:rPr>
        <w:t>elijkheidseisen zijn: aanbod, burgerschapsonderwijs, zicht op ontwikkeling en begeleiding, extra ondersteuning, onderwijstijd en bestuur en intern toezicht</w:t>
      </w:r>
    </w:p>
  </w:footnote>
  <w:footnote w:id="3">
    <w:p w14:paraId="46589AC7" w14:textId="3FB3274F" w:rsidR="00FF598F" w:rsidRPr="005C2A4C" w:rsidRDefault="00FF598F" w:rsidP="005C2A4C">
      <w:pPr>
        <w:pStyle w:val="Voetnoottekst"/>
        <w:spacing w:line="240" w:lineRule="auto"/>
        <w:rPr>
          <w:i/>
          <w:iCs/>
        </w:rPr>
      </w:pPr>
      <w:r>
        <w:rPr>
          <w:rStyle w:val="Voetnootmarkering"/>
        </w:rPr>
        <w:footnoteRef/>
      </w:r>
      <w:r>
        <w:t xml:space="preserve"> </w:t>
      </w:r>
      <w:r w:rsidRPr="00C93ADA">
        <w:t>In het geval van de komst van een nieuwe school maken 5 op de 10 gemeenten zich zorgen om onderwijssegregatie als gevolg. In geval van een verzelfstandiging of splitsing maken slechts 2 op de 10 gemeenten zich hier zorgen over.</w:t>
      </w:r>
      <w:r>
        <w:t xml:space="preserve"> </w:t>
      </w:r>
      <w:r w:rsidR="00D25339">
        <w:t xml:space="preserve">(Oberon. </w:t>
      </w:r>
      <w:r w:rsidR="00D25339">
        <w:rPr>
          <w:i/>
          <w:iCs/>
        </w:rPr>
        <w:t xml:space="preserve">Evaluatie Wet Meer Ruimte voor Nieuwe Scholen. </w:t>
      </w:r>
      <w:r w:rsidR="00D25339">
        <w:t>2026)</w:t>
      </w:r>
      <w:r w:rsidR="00D25339">
        <w:rPr>
          <w:i/>
          <w:iCs/>
        </w:rPr>
        <w:t xml:space="preserve"> </w:t>
      </w:r>
    </w:p>
  </w:footnote>
  <w:footnote w:id="4">
    <w:p w14:paraId="36EE85CB" w14:textId="46A021A0" w:rsidR="00D25339" w:rsidRPr="005C2A4C" w:rsidRDefault="00D25339" w:rsidP="005C2A4C">
      <w:pPr>
        <w:pStyle w:val="Voetnoottekst"/>
        <w:spacing w:line="240" w:lineRule="auto"/>
        <w:rPr>
          <w:i/>
          <w:iCs/>
        </w:rPr>
      </w:pPr>
      <w:r>
        <w:rPr>
          <w:rStyle w:val="Voetnootmarkering"/>
        </w:rPr>
        <w:footnoteRef/>
      </w:r>
      <w:r>
        <w:t xml:space="preserve"> </w:t>
      </w:r>
      <w:r w:rsidRPr="005C2A4C">
        <w:t xml:space="preserve">Analyses uit de evaluatie laten zien dat nieuwe basisscholen onder de </w:t>
      </w:r>
      <w:proofErr w:type="spellStart"/>
      <w:r w:rsidRPr="005C2A4C">
        <w:t>MRvNS</w:t>
      </w:r>
      <w:proofErr w:type="spellEnd"/>
      <w:r w:rsidRPr="005C2A4C">
        <w:t>-wet nauwelijks invloed hebben op segregatie. Voor het voortgezet onderwijs lijkt de segregatie toe te nemen, maar door het beperkte aantal nieuwe scholen en andere ontwikkelingen is dit niet direct aan de komst van nieuwe scholen toe te schrijven</w:t>
      </w:r>
      <w:r>
        <w:t>.</w:t>
      </w:r>
    </w:p>
  </w:footnote>
  <w:footnote w:id="5">
    <w:p w14:paraId="1C2C551C" w14:textId="34FCCAEC" w:rsidR="00D25339" w:rsidRDefault="00D25339" w:rsidP="00D25339">
      <w:pPr>
        <w:pStyle w:val="Voetnoottekst"/>
        <w:spacing w:line="240" w:lineRule="auto"/>
      </w:pPr>
      <w:r>
        <w:rPr>
          <w:rStyle w:val="Voetnootmarkering"/>
        </w:rPr>
        <w:footnoteRef/>
      </w:r>
      <w:r>
        <w:t xml:space="preserve"> In maart en april 2026 heeft het ministerie van OCW gesproken met vertegenwoordigers van </w:t>
      </w:r>
      <w:proofErr w:type="spellStart"/>
      <w:r>
        <w:t>Verus</w:t>
      </w:r>
      <w:proofErr w:type="spellEnd"/>
      <w:r>
        <w:t>, VGS, ISBO, VOS-ABB, VOO, Ouders en Onderwijs, ROV, PO-Raad, VO-raad en de VNG.</w:t>
      </w:r>
    </w:p>
  </w:footnote>
  <w:footnote w:id="6">
    <w:p w14:paraId="60AC7845" w14:textId="77777777" w:rsidR="007776D3" w:rsidRDefault="007776D3" w:rsidP="007776D3">
      <w:pPr>
        <w:pStyle w:val="Voetnoottekst"/>
        <w:spacing w:line="240" w:lineRule="auto"/>
      </w:pPr>
      <w:r>
        <w:rPr>
          <w:rStyle w:val="Voetnootmarkering"/>
        </w:rPr>
        <w:footnoteRef/>
      </w:r>
      <w:r>
        <w:t xml:space="preserve"> Motie Paul en Van </w:t>
      </w:r>
      <w:proofErr w:type="spellStart"/>
      <w:r>
        <w:t>Meenen</w:t>
      </w:r>
      <w:proofErr w:type="spellEnd"/>
      <w:r>
        <w:t xml:space="preserve">: </w:t>
      </w:r>
      <w:r w:rsidRPr="00ED08A5">
        <w:t>Tweede Kamer, vergaderjaar 202</w:t>
      </w:r>
      <w:r>
        <w:t>1</w:t>
      </w:r>
      <w:r w:rsidRPr="00ED08A5">
        <w:t>–202</w:t>
      </w:r>
      <w:r>
        <w:t>2</w:t>
      </w:r>
      <w:r w:rsidRPr="00ED08A5">
        <w:t xml:space="preserve">, 35 050, nr. </w:t>
      </w:r>
      <w:r>
        <w:t>51.</w:t>
      </w:r>
    </w:p>
  </w:footnote>
  <w:footnote w:id="7">
    <w:p w14:paraId="3C92D64C" w14:textId="6F93C6D3" w:rsidR="007776D3" w:rsidRDefault="007776D3" w:rsidP="007776D3">
      <w:pPr>
        <w:pStyle w:val="Voetnoottekst"/>
        <w:spacing w:line="240" w:lineRule="auto"/>
      </w:pPr>
      <w:r>
        <w:rPr>
          <w:rStyle w:val="Voetnootmarkering"/>
        </w:rPr>
        <w:footnoteRef/>
      </w:r>
      <w:r>
        <w:t xml:space="preserve"> Motie </w:t>
      </w:r>
      <w:proofErr w:type="spellStart"/>
      <w:r>
        <w:t>Kisteman</w:t>
      </w:r>
      <w:proofErr w:type="spellEnd"/>
      <w:r>
        <w:t xml:space="preserve">. </w:t>
      </w:r>
      <w:r w:rsidRPr="00ED08A5">
        <w:t>Tweede Kamer, vergaderjaar 2025–2026, 35 050, nr. 6</w:t>
      </w:r>
      <w:r>
        <w:t>3</w:t>
      </w:r>
    </w:p>
  </w:footnote>
  <w:footnote w:id="8">
    <w:p w14:paraId="6C8FAEE0" w14:textId="77777777" w:rsidR="00A3000C" w:rsidRPr="005842CE" w:rsidRDefault="00A3000C" w:rsidP="00A3000C">
      <w:pPr>
        <w:pStyle w:val="Voetnoottekst"/>
        <w:spacing w:line="240" w:lineRule="auto"/>
        <w:rPr>
          <w:highlight w:val="yellow"/>
        </w:rPr>
      </w:pPr>
      <w:r w:rsidRPr="001071E7">
        <w:rPr>
          <w:rStyle w:val="Voetnootmarkering"/>
        </w:rPr>
        <w:footnoteRef/>
      </w:r>
      <w:r w:rsidRPr="001071E7">
        <w:t xml:space="preserve"> Zie: </w:t>
      </w:r>
      <w:hyperlink r:id="rId1" w:history="1">
        <w:r w:rsidRPr="001071E7">
          <w:rPr>
            <w:rStyle w:val="Hyperlink"/>
          </w:rPr>
          <w:t>Kamerbrief over aanpassingen in het stelsel van instandhouding en opheffing basisscholen | Rijksoverheid.nl</w:t>
        </w:r>
      </w:hyperlink>
      <w:r>
        <w:t xml:space="preserve"> en </w:t>
      </w:r>
      <w:hyperlink r:id="rId2" w:history="1">
        <w:r w:rsidRPr="001071E7">
          <w:rPr>
            <w:rStyle w:val="Hyperlink"/>
          </w:rPr>
          <w:t>Kamerbrief over stand van zaken instandhouding in het basisonderwijs en update regiobijeenkomsten | Rijksoverheid.nl</w:t>
        </w:r>
      </w:hyperlink>
      <w:r>
        <w:t>.</w:t>
      </w:r>
    </w:p>
  </w:footnote>
  <w:footnote w:id="9">
    <w:p w14:paraId="14CB098F" w14:textId="0316E7D4" w:rsidR="00347CA4" w:rsidRDefault="00347CA4" w:rsidP="005C2A4C">
      <w:pPr>
        <w:pStyle w:val="Voetnoottekst"/>
        <w:spacing w:line="240" w:lineRule="auto"/>
      </w:pPr>
      <w:r>
        <w:rPr>
          <w:rStyle w:val="Voetnootmarkering"/>
        </w:rPr>
        <w:footnoteRef/>
      </w:r>
      <w:r w:rsidR="00A7716F">
        <w:t xml:space="preserve"> Zie voor informatie over de voorjaarssessies</w:t>
      </w:r>
      <w:r>
        <w:t xml:space="preserve"> </w:t>
      </w:r>
      <w:hyperlink r:id="rId3" w:history="1">
        <w:r w:rsidRPr="001071E7">
          <w:rPr>
            <w:rStyle w:val="Hyperlink"/>
          </w:rPr>
          <w:t>Kamerbrief over stand van zaken instandhouding in het basisonderwijs en update regiobijeenkomsten | Rijksoverheid.nl</w:t>
        </w:r>
      </w:hyperlink>
      <w:r w:rsidRPr="001071E7">
        <w:t xml:space="preserve"> </w:t>
      </w:r>
    </w:p>
  </w:footnote>
  <w:footnote w:id="10">
    <w:p w14:paraId="1A9544F6" w14:textId="7432AB17" w:rsidR="00B61F07" w:rsidRDefault="00B61F07">
      <w:pPr>
        <w:pStyle w:val="Voetnoottekst"/>
      </w:pPr>
      <w:r>
        <w:rPr>
          <w:rStyle w:val="Voetnootmarkering"/>
        </w:rPr>
        <w:footnoteRef/>
      </w:r>
      <w:r>
        <w:t xml:space="preserve"> Motie Beckerman</w:t>
      </w:r>
      <w:r w:rsidR="00F70AB4">
        <w:t>.</w:t>
      </w:r>
      <w:r>
        <w:t xml:space="preserve"> Tweede Kamer</w:t>
      </w:r>
      <w:r w:rsidR="00F70AB4">
        <w:t>, vergader</w:t>
      </w:r>
      <w:r>
        <w:t>jaar 2025</w:t>
      </w:r>
      <w:r w:rsidR="00F70AB4">
        <w:t>-</w:t>
      </w:r>
      <w:r>
        <w:t>2026, 31293, nr</w:t>
      </w:r>
      <w:r w:rsidR="00F70AB4">
        <w:t>.</w:t>
      </w:r>
      <w:r>
        <w:t xml:space="preserve"> 852.</w:t>
      </w:r>
    </w:p>
  </w:footnote>
  <w:footnote w:id="11">
    <w:p w14:paraId="736644B1" w14:textId="382D5FDB" w:rsidR="005842CE" w:rsidRDefault="005842CE" w:rsidP="005C2A4C">
      <w:pPr>
        <w:pStyle w:val="Voetnoottekst"/>
        <w:spacing w:line="240" w:lineRule="auto"/>
      </w:pPr>
      <w:r w:rsidRPr="00EE1E1E">
        <w:rPr>
          <w:rStyle w:val="Voetnootmarkering"/>
        </w:rPr>
        <w:footnoteRef/>
      </w:r>
      <w:r w:rsidRPr="00EE1E1E">
        <w:t xml:space="preserve"> </w:t>
      </w:r>
      <w:r w:rsidR="006237BF" w:rsidRPr="008B49C9">
        <w:t>Oberon (2025). Dislocaties gelokaliseerd: Onderzoek naar de spreiding, kenmerken en redenen van dislocaties in het primair</w:t>
      </w:r>
      <w:r w:rsidR="006237BF">
        <w:t xml:space="preserve"> onderwijs (auteurs: Bisschop, P., </w:t>
      </w:r>
      <w:proofErr w:type="spellStart"/>
      <w:r w:rsidR="006237BF">
        <w:t>Carrilho</w:t>
      </w:r>
      <w:proofErr w:type="spellEnd"/>
      <w:r w:rsidR="006237BF">
        <w:t xml:space="preserve">, S., Gerritsen, S. Den Hartog, R). </w:t>
      </w:r>
    </w:p>
  </w:footnote>
  <w:footnote w:id="12">
    <w:p w14:paraId="49229CE1" w14:textId="77777777" w:rsidR="00D25339" w:rsidRDefault="00D25339" w:rsidP="00D25339">
      <w:pPr>
        <w:pStyle w:val="Voetnoottekst"/>
        <w:spacing w:line="240" w:lineRule="auto"/>
      </w:pPr>
      <w:r>
        <w:rPr>
          <w:rStyle w:val="Voetnootmarkering"/>
        </w:rPr>
        <w:footnoteRef/>
      </w:r>
      <w:r>
        <w:t xml:space="preserve"> </w:t>
      </w:r>
      <w:r w:rsidRPr="00521F14">
        <w:rPr>
          <w:sz w:val="12"/>
          <w:szCs w:val="12"/>
        </w:rPr>
        <w:t>Het bevoegd gezag kan een aanvraag indienen om een nevenvestiging, die zich op een andere locatie bevindt dan de hoofdvestiging van die school, te verzelfstandigen.</w:t>
      </w:r>
    </w:p>
  </w:footnote>
  <w:footnote w:id="13">
    <w:p w14:paraId="4FE93AE1" w14:textId="77777777" w:rsidR="00D25339" w:rsidRDefault="00D25339" w:rsidP="00D25339">
      <w:pPr>
        <w:pStyle w:val="Voetnoottekst"/>
        <w:spacing w:line="240" w:lineRule="auto"/>
      </w:pPr>
      <w:r w:rsidRPr="00DE7F31">
        <w:rPr>
          <w:rStyle w:val="Voetnootmarkering"/>
          <w:sz w:val="12"/>
          <w:szCs w:val="12"/>
        </w:rPr>
        <w:footnoteRef/>
      </w:r>
      <w:r w:rsidRPr="00DE7F31">
        <w:rPr>
          <w:sz w:val="12"/>
          <w:szCs w:val="12"/>
        </w:rPr>
        <w:t xml:space="preserve"> Een</w:t>
      </w:r>
      <w:r>
        <w:rPr>
          <w:sz w:val="12"/>
          <w:szCs w:val="12"/>
        </w:rPr>
        <w:t xml:space="preserve"> </w:t>
      </w:r>
      <w:r w:rsidRPr="00DE7F31">
        <w:rPr>
          <w:sz w:val="12"/>
          <w:szCs w:val="12"/>
        </w:rPr>
        <w:t>bestaande school of scholengemeenschap kan worden gesplitst in twee scholen of scholengemeenschappen. Het bevoegd gezag kan de school of scholengemeenschap (die ontstaat na splitsing van een school of scholengemeenschap) voor bekostiging in aanmerking brengen.</w:t>
      </w:r>
    </w:p>
  </w:footnote>
  <w:footnote w:id="14">
    <w:p w14:paraId="4A5E0014" w14:textId="77777777" w:rsidR="0065184C" w:rsidRDefault="0065184C" w:rsidP="0065184C">
      <w:pPr>
        <w:pStyle w:val="Voetnoottekst"/>
        <w:spacing w:line="240" w:lineRule="auto"/>
      </w:pPr>
      <w:r>
        <w:rPr>
          <w:rStyle w:val="Voetnootmarkering"/>
        </w:rPr>
        <w:footnoteRef/>
      </w:r>
      <w:bookmarkStart w:id="0" w:name="_Hlk199838520"/>
      <w:r>
        <w:t xml:space="preserve"> </w:t>
      </w:r>
      <w:r w:rsidRPr="00DE7F31">
        <w:rPr>
          <w:sz w:val="12"/>
          <w:szCs w:val="12"/>
        </w:rPr>
        <w:t>In het geval van verzelfstandigingen van bestaande onderwijslocaties (po) vangt de startdatum voor bekostiging aan in hetzelfde kalenderjaar als het besluit, i.e. augustus 202</w:t>
      </w:r>
      <w:r>
        <w:rPr>
          <w:sz w:val="12"/>
          <w:szCs w:val="12"/>
        </w:rPr>
        <w:t>6</w:t>
      </w:r>
      <w:r w:rsidRPr="00DE7F31">
        <w:rPr>
          <w:sz w:val="12"/>
          <w:szCs w:val="12"/>
        </w:rPr>
        <w:t>.</w:t>
      </w:r>
      <w:bookmarkEnd w:id="0"/>
    </w:p>
  </w:footnote>
  <w:footnote w:id="15">
    <w:p w14:paraId="69C3AF27" w14:textId="77777777" w:rsidR="0065184C" w:rsidRPr="00880C34" w:rsidRDefault="0065184C" w:rsidP="0065184C">
      <w:pPr>
        <w:pStyle w:val="Voetnoottekst"/>
        <w:rPr>
          <w:i/>
          <w:iCs/>
        </w:rPr>
      </w:pPr>
      <w:r>
        <w:rPr>
          <w:rStyle w:val="Voetnootmarkering"/>
        </w:rPr>
        <w:footnoteRef/>
      </w:r>
      <w:r>
        <w:t xml:space="preserve">  Inspectie van het Onderwijs (2026). </w:t>
      </w:r>
      <w:r>
        <w:rPr>
          <w:i/>
          <w:iCs/>
        </w:rPr>
        <w:t>Staat van het Onderwijs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B5F49" w14:paraId="35A2DFCD" w14:textId="77777777" w:rsidTr="006D2D53">
      <w:trPr>
        <w:trHeight w:hRule="exact" w:val="400"/>
      </w:trPr>
      <w:tc>
        <w:tcPr>
          <w:tcW w:w="7518" w:type="dxa"/>
        </w:tcPr>
        <w:p w14:paraId="08D02EDF" w14:textId="77777777" w:rsidR="00527BD4" w:rsidRPr="00275984" w:rsidRDefault="00527BD4" w:rsidP="00BF4427">
          <w:pPr>
            <w:pStyle w:val="Huisstijl-Rubricering"/>
          </w:pPr>
        </w:p>
      </w:tc>
    </w:tr>
  </w:tbl>
  <w:p w14:paraId="44709D8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B5F49" w14:paraId="096758AA" w14:textId="77777777" w:rsidTr="003B528D">
      <w:tc>
        <w:tcPr>
          <w:tcW w:w="2160" w:type="dxa"/>
        </w:tcPr>
        <w:p w14:paraId="2F592183" w14:textId="77777777" w:rsidR="002F71BB" w:rsidRPr="000407BB" w:rsidRDefault="00DD133F" w:rsidP="005D283A">
          <w:pPr>
            <w:pStyle w:val="Colofonkop"/>
            <w:framePr w:hSpace="0" w:wrap="auto" w:vAnchor="margin" w:hAnchor="text" w:xAlign="left" w:yAlign="inline"/>
          </w:pPr>
          <w:r>
            <w:t>Onze referentie</w:t>
          </w:r>
        </w:p>
      </w:tc>
    </w:tr>
    <w:tr w:rsidR="004B5F49" w14:paraId="776DEF99" w14:textId="77777777" w:rsidTr="002F71BB">
      <w:trPr>
        <w:trHeight w:val="259"/>
      </w:trPr>
      <w:tc>
        <w:tcPr>
          <w:tcW w:w="2160" w:type="dxa"/>
        </w:tcPr>
        <w:p w14:paraId="5CC11C77" w14:textId="77777777" w:rsidR="00E35CF4" w:rsidRPr="005D283A" w:rsidRDefault="00DD133F" w:rsidP="0049501A">
          <w:pPr>
            <w:spacing w:line="180" w:lineRule="exact"/>
            <w:rPr>
              <w:sz w:val="13"/>
              <w:szCs w:val="13"/>
            </w:rPr>
          </w:pPr>
          <w:r>
            <w:rPr>
              <w:sz w:val="13"/>
              <w:szCs w:val="13"/>
            </w:rPr>
            <w:t>63894823</w:t>
          </w:r>
        </w:p>
      </w:tc>
    </w:tr>
  </w:tbl>
  <w:p w14:paraId="4F8DAFC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B5F49" w14:paraId="2FC197D2" w14:textId="77777777" w:rsidTr="001377D4">
      <w:trPr>
        <w:trHeight w:val="2636"/>
      </w:trPr>
      <w:tc>
        <w:tcPr>
          <w:tcW w:w="737" w:type="dxa"/>
        </w:tcPr>
        <w:p w14:paraId="6DF74C3D" w14:textId="77777777" w:rsidR="00704845" w:rsidRDefault="00704845" w:rsidP="0047126E">
          <w:pPr>
            <w:framePr w:w="6339" w:h="2750" w:hRule="exact" w:hSpace="181" w:wrap="around" w:vAnchor="page" w:hAnchor="page" w:x="5586" w:y="1"/>
            <w:spacing w:line="240" w:lineRule="auto"/>
          </w:pPr>
        </w:p>
      </w:tc>
      <w:tc>
        <w:tcPr>
          <w:tcW w:w="5156" w:type="dxa"/>
        </w:tcPr>
        <w:p w14:paraId="4334B4AC" w14:textId="77777777" w:rsidR="00704845" w:rsidRDefault="00DD133F" w:rsidP="0047126E">
          <w:pPr>
            <w:framePr w:w="3873" w:h="2625" w:hRule="exact" w:wrap="around" w:vAnchor="page" w:hAnchor="page" w:x="6323" w:y="1"/>
          </w:pPr>
          <w:r>
            <w:rPr>
              <w:noProof/>
              <w:lang w:val="en-US" w:eastAsia="en-US"/>
            </w:rPr>
            <w:drawing>
              <wp:inline distT="0" distB="0" distL="0" distR="0" wp14:anchorId="39F4FD4E" wp14:editId="06A65BF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80415B5" w14:textId="77777777" w:rsidR="00483ECA" w:rsidRDefault="00483ECA" w:rsidP="00D037A9"/>
      </w:tc>
    </w:tr>
  </w:tbl>
  <w:p w14:paraId="30EA2FA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B5F49" w14:paraId="16FC6912" w14:textId="77777777" w:rsidTr="0008539E">
      <w:trPr>
        <w:trHeight w:hRule="exact" w:val="572"/>
      </w:trPr>
      <w:tc>
        <w:tcPr>
          <w:tcW w:w="7520" w:type="dxa"/>
        </w:tcPr>
        <w:p w14:paraId="2333D844" w14:textId="77777777" w:rsidR="00527BD4" w:rsidRPr="00963440" w:rsidRDefault="00DD133F" w:rsidP="00210BA3">
          <w:pPr>
            <w:pStyle w:val="Huisstijl-Adres"/>
            <w:spacing w:after="0"/>
          </w:pPr>
          <w:r w:rsidRPr="009E3B07">
            <w:t>&gt;Retouradres </w:t>
          </w:r>
          <w:r>
            <w:t>Postbus 16375 2500 BJ Den Haag</w:t>
          </w:r>
          <w:r w:rsidRPr="009E3B07">
            <w:t xml:space="preserve"> </w:t>
          </w:r>
        </w:p>
      </w:tc>
    </w:tr>
    <w:tr w:rsidR="004B5F49" w14:paraId="75A8082F" w14:textId="77777777" w:rsidTr="00E776C6">
      <w:trPr>
        <w:cantSplit/>
        <w:trHeight w:hRule="exact" w:val="238"/>
      </w:trPr>
      <w:tc>
        <w:tcPr>
          <w:tcW w:w="7520" w:type="dxa"/>
        </w:tcPr>
        <w:p w14:paraId="6C578C23" w14:textId="77777777" w:rsidR="00093ABC" w:rsidRPr="00963440" w:rsidRDefault="00093ABC" w:rsidP="00963440"/>
      </w:tc>
    </w:tr>
    <w:tr w:rsidR="004B5F49" w14:paraId="4E45A5AA" w14:textId="77777777" w:rsidTr="00E776C6">
      <w:trPr>
        <w:cantSplit/>
        <w:trHeight w:hRule="exact" w:val="1520"/>
      </w:trPr>
      <w:tc>
        <w:tcPr>
          <w:tcW w:w="7520" w:type="dxa"/>
        </w:tcPr>
        <w:p w14:paraId="4A4EDB73" w14:textId="77777777" w:rsidR="00A604D3" w:rsidRPr="00963440" w:rsidRDefault="00A604D3" w:rsidP="00963440"/>
      </w:tc>
    </w:tr>
    <w:tr w:rsidR="004B5F49" w14:paraId="24C73D66" w14:textId="77777777" w:rsidTr="00E776C6">
      <w:trPr>
        <w:trHeight w:hRule="exact" w:val="1077"/>
      </w:trPr>
      <w:tc>
        <w:tcPr>
          <w:tcW w:w="7520" w:type="dxa"/>
        </w:tcPr>
        <w:p w14:paraId="60F15142" w14:textId="77777777" w:rsidR="00892BA5" w:rsidRPr="00035E67" w:rsidRDefault="00892BA5" w:rsidP="00892BA5">
          <w:pPr>
            <w:tabs>
              <w:tab w:val="left" w:pos="740"/>
            </w:tabs>
            <w:autoSpaceDE w:val="0"/>
            <w:autoSpaceDN w:val="0"/>
            <w:adjustRightInd w:val="0"/>
            <w:rPr>
              <w:rFonts w:cs="Verdana"/>
              <w:szCs w:val="18"/>
            </w:rPr>
          </w:pPr>
        </w:p>
      </w:tc>
    </w:tr>
  </w:tbl>
  <w:p w14:paraId="0A8B4587" w14:textId="77777777" w:rsidR="006F273B" w:rsidRDefault="006F273B" w:rsidP="00BC4AE3">
    <w:pPr>
      <w:pStyle w:val="Koptekst"/>
    </w:pPr>
  </w:p>
  <w:p w14:paraId="1BF70CDC" w14:textId="77777777" w:rsidR="00153BD0" w:rsidRDefault="00153BD0" w:rsidP="00BC4AE3">
    <w:pPr>
      <w:pStyle w:val="Koptekst"/>
    </w:pPr>
  </w:p>
  <w:p w14:paraId="6FB50BF7" w14:textId="77777777" w:rsidR="0044605E" w:rsidRDefault="0044605E" w:rsidP="00BC4AE3">
    <w:pPr>
      <w:pStyle w:val="Koptekst"/>
    </w:pPr>
  </w:p>
  <w:p w14:paraId="0F98FDD7" w14:textId="77777777" w:rsidR="0044605E" w:rsidRDefault="0044605E" w:rsidP="00BC4AE3">
    <w:pPr>
      <w:pStyle w:val="Koptekst"/>
    </w:pPr>
  </w:p>
  <w:p w14:paraId="7B4EE55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DB7DDE"/>
    <w:multiLevelType w:val="hybridMultilevel"/>
    <w:tmpl w:val="227AE412"/>
    <w:lvl w:ilvl="0" w:tplc="329E20AC">
      <w:start w:val="1"/>
      <w:numFmt w:val="bullet"/>
      <w:lvlText w:val=""/>
      <w:lvlJc w:val="left"/>
      <w:pPr>
        <w:ind w:left="1020" w:hanging="360"/>
      </w:pPr>
      <w:rPr>
        <w:rFonts w:ascii="Symbol" w:hAnsi="Symbol"/>
      </w:rPr>
    </w:lvl>
    <w:lvl w:ilvl="1" w:tplc="B3B23684">
      <w:start w:val="1"/>
      <w:numFmt w:val="bullet"/>
      <w:lvlText w:val=""/>
      <w:lvlJc w:val="left"/>
      <w:pPr>
        <w:ind w:left="1020" w:hanging="360"/>
      </w:pPr>
      <w:rPr>
        <w:rFonts w:ascii="Symbol" w:hAnsi="Symbol"/>
      </w:rPr>
    </w:lvl>
    <w:lvl w:ilvl="2" w:tplc="C3BA2976">
      <w:start w:val="1"/>
      <w:numFmt w:val="bullet"/>
      <w:lvlText w:val=""/>
      <w:lvlJc w:val="left"/>
      <w:pPr>
        <w:ind w:left="1020" w:hanging="360"/>
      </w:pPr>
      <w:rPr>
        <w:rFonts w:ascii="Symbol" w:hAnsi="Symbol"/>
      </w:rPr>
    </w:lvl>
    <w:lvl w:ilvl="3" w:tplc="F18E9126">
      <w:start w:val="1"/>
      <w:numFmt w:val="bullet"/>
      <w:lvlText w:val=""/>
      <w:lvlJc w:val="left"/>
      <w:pPr>
        <w:ind w:left="1020" w:hanging="360"/>
      </w:pPr>
      <w:rPr>
        <w:rFonts w:ascii="Symbol" w:hAnsi="Symbol"/>
      </w:rPr>
    </w:lvl>
    <w:lvl w:ilvl="4" w:tplc="C2886FF8">
      <w:start w:val="1"/>
      <w:numFmt w:val="bullet"/>
      <w:lvlText w:val=""/>
      <w:lvlJc w:val="left"/>
      <w:pPr>
        <w:ind w:left="1020" w:hanging="360"/>
      </w:pPr>
      <w:rPr>
        <w:rFonts w:ascii="Symbol" w:hAnsi="Symbol"/>
      </w:rPr>
    </w:lvl>
    <w:lvl w:ilvl="5" w:tplc="FA2AE3BA">
      <w:start w:val="1"/>
      <w:numFmt w:val="bullet"/>
      <w:lvlText w:val=""/>
      <w:lvlJc w:val="left"/>
      <w:pPr>
        <w:ind w:left="1020" w:hanging="360"/>
      </w:pPr>
      <w:rPr>
        <w:rFonts w:ascii="Symbol" w:hAnsi="Symbol"/>
      </w:rPr>
    </w:lvl>
    <w:lvl w:ilvl="6" w:tplc="F9E42B64">
      <w:start w:val="1"/>
      <w:numFmt w:val="bullet"/>
      <w:lvlText w:val=""/>
      <w:lvlJc w:val="left"/>
      <w:pPr>
        <w:ind w:left="1020" w:hanging="360"/>
      </w:pPr>
      <w:rPr>
        <w:rFonts w:ascii="Symbol" w:hAnsi="Symbol"/>
      </w:rPr>
    </w:lvl>
    <w:lvl w:ilvl="7" w:tplc="0CF8EB10">
      <w:start w:val="1"/>
      <w:numFmt w:val="bullet"/>
      <w:lvlText w:val=""/>
      <w:lvlJc w:val="left"/>
      <w:pPr>
        <w:ind w:left="1020" w:hanging="360"/>
      </w:pPr>
      <w:rPr>
        <w:rFonts w:ascii="Symbol" w:hAnsi="Symbol"/>
      </w:rPr>
    </w:lvl>
    <w:lvl w:ilvl="8" w:tplc="5AAAC87E">
      <w:start w:val="1"/>
      <w:numFmt w:val="bullet"/>
      <w:lvlText w:val=""/>
      <w:lvlJc w:val="left"/>
      <w:pPr>
        <w:ind w:left="1020" w:hanging="360"/>
      </w:pPr>
      <w:rPr>
        <w:rFonts w:ascii="Symbol" w:hAnsi="Symbol"/>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550C3A34">
      <w:start w:val="1"/>
      <w:numFmt w:val="bullet"/>
      <w:pStyle w:val="Lijstopsomteken"/>
      <w:lvlText w:val="•"/>
      <w:lvlJc w:val="left"/>
      <w:pPr>
        <w:tabs>
          <w:tab w:val="num" w:pos="227"/>
        </w:tabs>
        <w:ind w:left="227" w:hanging="227"/>
      </w:pPr>
      <w:rPr>
        <w:rFonts w:ascii="Verdana" w:hAnsi="Verdana" w:hint="default"/>
        <w:sz w:val="18"/>
        <w:szCs w:val="18"/>
      </w:rPr>
    </w:lvl>
    <w:lvl w:ilvl="1" w:tplc="4B323632" w:tentative="1">
      <w:start w:val="1"/>
      <w:numFmt w:val="bullet"/>
      <w:lvlText w:val="o"/>
      <w:lvlJc w:val="left"/>
      <w:pPr>
        <w:tabs>
          <w:tab w:val="num" w:pos="1440"/>
        </w:tabs>
        <w:ind w:left="1440" w:hanging="360"/>
      </w:pPr>
      <w:rPr>
        <w:rFonts w:ascii="Courier New" w:hAnsi="Courier New" w:cs="Courier New" w:hint="default"/>
      </w:rPr>
    </w:lvl>
    <w:lvl w:ilvl="2" w:tplc="AC2A4934" w:tentative="1">
      <w:start w:val="1"/>
      <w:numFmt w:val="bullet"/>
      <w:lvlText w:val=""/>
      <w:lvlJc w:val="left"/>
      <w:pPr>
        <w:tabs>
          <w:tab w:val="num" w:pos="2160"/>
        </w:tabs>
        <w:ind w:left="2160" w:hanging="360"/>
      </w:pPr>
      <w:rPr>
        <w:rFonts w:ascii="Wingdings" w:hAnsi="Wingdings" w:hint="default"/>
      </w:rPr>
    </w:lvl>
    <w:lvl w:ilvl="3" w:tplc="AC9ED4FA" w:tentative="1">
      <w:start w:val="1"/>
      <w:numFmt w:val="bullet"/>
      <w:lvlText w:val=""/>
      <w:lvlJc w:val="left"/>
      <w:pPr>
        <w:tabs>
          <w:tab w:val="num" w:pos="2880"/>
        </w:tabs>
        <w:ind w:left="2880" w:hanging="360"/>
      </w:pPr>
      <w:rPr>
        <w:rFonts w:ascii="Symbol" w:hAnsi="Symbol" w:hint="default"/>
      </w:rPr>
    </w:lvl>
    <w:lvl w:ilvl="4" w:tplc="FF7E3212" w:tentative="1">
      <w:start w:val="1"/>
      <w:numFmt w:val="bullet"/>
      <w:lvlText w:val="o"/>
      <w:lvlJc w:val="left"/>
      <w:pPr>
        <w:tabs>
          <w:tab w:val="num" w:pos="3600"/>
        </w:tabs>
        <w:ind w:left="3600" w:hanging="360"/>
      </w:pPr>
      <w:rPr>
        <w:rFonts w:ascii="Courier New" w:hAnsi="Courier New" w:cs="Courier New" w:hint="default"/>
      </w:rPr>
    </w:lvl>
    <w:lvl w:ilvl="5" w:tplc="49FE2054" w:tentative="1">
      <w:start w:val="1"/>
      <w:numFmt w:val="bullet"/>
      <w:lvlText w:val=""/>
      <w:lvlJc w:val="left"/>
      <w:pPr>
        <w:tabs>
          <w:tab w:val="num" w:pos="4320"/>
        </w:tabs>
        <w:ind w:left="4320" w:hanging="360"/>
      </w:pPr>
      <w:rPr>
        <w:rFonts w:ascii="Wingdings" w:hAnsi="Wingdings" w:hint="default"/>
      </w:rPr>
    </w:lvl>
    <w:lvl w:ilvl="6" w:tplc="A810FE3C" w:tentative="1">
      <w:start w:val="1"/>
      <w:numFmt w:val="bullet"/>
      <w:lvlText w:val=""/>
      <w:lvlJc w:val="left"/>
      <w:pPr>
        <w:tabs>
          <w:tab w:val="num" w:pos="5040"/>
        </w:tabs>
        <w:ind w:left="5040" w:hanging="360"/>
      </w:pPr>
      <w:rPr>
        <w:rFonts w:ascii="Symbol" w:hAnsi="Symbol" w:hint="default"/>
      </w:rPr>
    </w:lvl>
    <w:lvl w:ilvl="7" w:tplc="1200C692" w:tentative="1">
      <w:start w:val="1"/>
      <w:numFmt w:val="bullet"/>
      <w:lvlText w:val="o"/>
      <w:lvlJc w:val="left"/>
      <w:pPr>
        <w:tabs>
          <w:tab w:val="num" w:pos="5760"/>
        </w:tabs>
        <w:ind w:left="5760" w:hanging="360"/>
      </w:pPr>
      <w:rPr>
        <w:rFonts w:ascii="Courier New" w:hAnsi="Courier New" w:cs="Courier New" w:hint="default"/>
      </w:rPr>
    </w:lvl>
    <w:lvl w:ilvl="8" w:tplc="6A00028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E83770"/>
    <w:multiLevelType w:val="hybridMultilevel"/>
    <w:tmpl w:val="757CB14E"/>
    <w:lvl w:ilvl="0" w:tplc="62607504">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4EC6800">
      <w:start w:val="1"/>
      <w:numFmt w:val="bullet"/>
      <w:pStyle w:val="Lijstopsomteken2"/>
      <w:lvlText w:val="–"/>
      <w:lvlJc w:val="left"/>
      <w:pPr>
        <w:tabs>
          <w:tab w:val="num" w:pos="227"/>
        </w:tabs>
        <w:ind w:left="227" w:firstLine="0"/>
      </w:pPr>
      <w:rPr>
        <w:rFonts w:ascii="Verdana" w:hAnsi="Verdana" w:hint="default"/>
      </w:rPr>
    </w:lvl>
    <w:lvl w:ilvl="1" w:tplc="4684CCA8" w:tentative="1">
      <w:start w:val="1"/>
      <w:numFmt w:val="bullet"/>
      <w:lvlText w:val="o"/>
      <w:lvlJc w:val="left"/>
      <w:pPr>
        <w:tabs>
          <w:tab w:val="num" w:pos="1440"/>
        </w:tabs>
        <w:ind w:left="1440" w:hanging="360"/>
      </w:pPr>
      <w:rPr>
        <w:rFonts w:ascii="Courier New" w:hAnsi="Courier New" w:cs="Courier New" w:hint="default"/>
      </w:rPr>
    </w:lvl>
    <w:lvl w:ilvl="2" w:tplc="DA5A44FA" w:tentative="1">
      <w:start w:val="1"/>
      <w:numFmt w:val="bullet"/>
      <w:lvlText w:val=""/>
      <w:lvlJc w:val="left"/>
      <w:pPr>
        <w:tabs>
          <w:tab w:val="num" w:pos="2160"/>
        </w:tabs>
        <w:ind w:left="2160" w:hanging="360"/>
      </w:pPr>
      <w:rPr>
        <w:rFonts w:ascii="Wingdings" w:hAnsi="Wingdings" w:hint="default"/>
      </w:rPr>
    </w:lvl>
    <w:lvl w:ilvl="3" w:tplc="859422F2" w:tentative="1">
      <w:start w:val="1"/>
      <w:numFmt w:val="bullet"/>
      <w:lvlText w:val=""/>
      <w:lvlJc w:val="left"/>
      <w:pPr>
        <w:tabs>
          <w:tab w:val="num" w:pos="2880"/>
        </w:tabs>
        <w:ind w:left="2880" w:hanging="360"/>
      </w:pPr>
      <w:rPr>
        <w:rFonts w:ascii="Symbol" w:hAnsi="Symbol" w:hint="default"/>
      </w:rPr>
    </w:lvl>
    <w:lvl w:ilvl="4" w:tplc="E87679FA" w:tentative="1">
      <w:start w:val="1"/>
      <w:numFmt w:val="bullet"/>
      <w:lvlText w:val="o"/>
      <w:lvlJc w:val="left"/>
      <w:pPr>
        <w:tabs>
          <w:tab w:val="num" w:pos="3600"/>
        </w:tabs>
        <w:ind w:left="3600" w:hanging="360"/>
      </w:pPr>
      <w:rPr>
        <w:rFonts w:ascii="Courier New" w:hAnsi="Courier New" w:cs="Courier New" w:hint="default"/>
      </w:rPr>
    </w:lvl>
    <w:lvl w:ilvl="5" w:tplc="FE081132" w:tentative="1">
      <w:start w:val="1"/>
      <w:numFmt w:val="bullet"/>
      <w:lvlText w:val=""/>
      <w:lvlJc w:val="left"/>
      <w:pPr>
        <w:tabs>
          <w:tab w:val="num" w:pos="4320"/>
        </w:tabs>
        <w:ind w:left="4320" w:hanging="360"/>
      </w:pPr>
      <w:rPr>
        <w:rFonts w:ascii="Wingdings" w:hAnsi="Wingdings" w:hint="default"/>
      </w:rPr>
    </w:lvl>
    <w:lvl w:ilvl="6" w:tplc="27CAC0C8" w:tentative="1">
      <w:start w:val="1"/>
      <w:numFmt w:val="bullet"/>
      <w:lvlText w:val=""/>
      <w:lvlJc w:val="left"/>
      <w:pPr>
        <w:tabs>
          <w:tab w:val="num" w:pos="5040"/>
        </w:tabs>
        <w:ind w:left="5040" w:hanging="360"/>
      </w:pPr>
      <w:rPr>
        <w:rFonts w:ascii="Symbol" w:hAnsi="Symbol" w:hint="default"/>
      </w:rPr>
    </w:lvl>
    <w:lvl w:ilvl="7" w:tplc="3886BFCA" w:tentative="1">
      <w:start w:val="1"/>
      <w:numFmt w:val="bullet"/>
      <w:lvlText w:val="o"/>
      <w:lvlJc w:val="left"/>
      <w:pPr>
        <w:tabs>
          <w:tab w:val="num" w:pos="5760"/>
        </w:tabs>
        <w:ind w:left="5760" w:hanging="360"/>
      </w:pPr>
      <w:rPr>
        <w:rFonts w:ascii="Courier New" w:hAnsi="Courier New" w:cs="Courier New" w:hint="default"/>
      </w:rPr>
    </w:lvl>
    <w:lvl w:ilvl="8" w:tplc="4702756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3B7542"/>
    <w:multiLevelType w:val="hybridMultilevel"/>
    <w:tmpl w:val="3FCE46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E93BC8"/>
    <w:multiLevelType w:val="hybridMultilevel"/>
    <w:tmpl w:val="676612EA"/>
    <w:lvl w:ilvl="0" w:tplc="F8706A10">
      <w:start w:val="1"/>
      <w:numFmt w:val="bullet"/>
      <w:lvlText w:val=""/>
      <w:lvlJc w:val="left"/>
      <w:pPr>
        <w:ind w:left="1020" w:hanging="360"/>
      </w:pPr>
      <w:rPr>
        <w:rFonts w:ascii="Symbol" w:hAnsi="Symbol"/>
      </w:rPr>
    </w:lvl>
    <w:lvl w:ilvl="1" w:tplc="70B2DEDE">
      <w:start w:val="1"/>
      <w:numFmt w:val="bullet"/>
      <w:lvlText w:val=""/>
      <w:lvlJc w:val="left"/>
      <w:pPr>
        <w:ind w:left="1020" w:hanging="360"/>
      </w:pPr>
      <w:rPr>
        <w:rFonts w:ascii="Symbol" w:hAnsi="Symbol"/>
      </w:rPr>
    </w:lvl>
    <w:lvl w:ilvl="2" w:tplc="A7584DA6">
      <w:start w:val="1"/>
      <w:numFmt w:val="bullet"/>
      <w:lvlText w:val=""/>
      <w:lvlJc w:val="left"/>
      <w:pPr>
        <w:ind w:left="1020" w:hanging="360"/>
      </w:pPr>
      <w:rPr>
        <w:rFonts w:ascii="Symbol" w:hAnsi="Symbol"/>
      </w:rPr>
    </w:lvl>
    <w:lvl w:ilvl="3" w:tplc="6030A1E6">
      <w:start w:val="1"/>
      <w:numFmt w:val="bullet"/>
      <w:lvlText w:val=""/>
      <w:lvlJc w:val="left"/>
      <w:pPr>
        <w:ind w:left="1020" w:hanging="360"/>
      </w:pPr>
      <w:rPr>
        <w:rFonts w:ascii="Symbol" w:hAnsi="Symbol"/>
      </w:rPr>
    </w:lvl>
    <w:lvl w:ilvl="4" w:tplc="83EA3D78">
      <w:start w:val="1"/>
      <w:numFmt w:val="bullet"/>
      <w:lvlText w:val=""/>
      <w:lvlJc w:val="left"/>
      <w:pPr>
        <w:ind w:left="1020" w:hanging="360"/>
      </w:pPr>
      <w:rPr>
        <w:rFonts w:ascii="Symbol" w:hAnsi="Symbol"/>
      </w:rPr>
    </w:lvl>
    <w:lvl w:ilvl="5" w:tplc="AEC8D5B6">
      <w:start w:val="1"/>
      <w:numFmt w:val="bullet"/>
      <w:lvlText w:val=""/>
      <w:lvlJc w:val="left"/>
      <w:pPr>
        <w:ind w:left="1020" w:hanging="360"/>
      </w:pPr>
      <w:rPr>
        <w:rFonts w:ascii="Symbol" w:hAnsi="Symbol"/>
      </w:rPr>
    </w:lvl>
    <w:lvl w:ilvl="6" w:tplc="2E7C9B92">
      <w:start w:val="1"/>
      <w:numFmt w:val="bullet"/>
      <w:lvlText w:val=""/>
      <w:lvlJc w:val="left"/>
      <w:pPr>
        <w:ind w:left="1020" w:hanging="360"/>
      </w:pPr>
      <w:rPr>
        <w:rFonts w:ascii="Symbol" w:hAnsi="Symbol"/>
      </w:rPr>
    </w:lvl>
    <w:lvl w:ilvl="7" w:tplc="A6A23234">
      <w:start w:val="1"/>
      <w:numFmt w:val="bullet"/>
      <w:lvlText w:val=""/>
      <w:lvlJc w:val="left"/>
      <w:pPr>
        <w:ind w:left="1020" w:hanging="360"/>
      </w:pPr>
      <w:rPr>
        <w:rFonts w:ascii="Symbol" w:hAnsi="Symbol"/>
      </w:rPr>
    </w:lvl>
    <w:lvl w:ilvl="8" w:tplc="43D6C906">
      <w:start w:val="1"/>
      <w:numFmt w:val="bullet"/>
      <w:lvlText w:val=""/>
      <w:lvlJc w:val="left"/>
      <w:pPr>
        <w:ind w:left="1020" w:hanging="360"/>
      </w:pPr>
      <w:rPr>
        <w:rFonts w:ascii="Symbol" w:hAnsi="Symbol"/>
      </w:rPr>
    </w:lvl>
  </w:abstractNum>
  <w:abstractNum w:abstractNumId="17" w15:restartNumberingAfterBreak="0">
    <w:nsid w:val="3EFD4370"/>
    <w:multiLevelType w:val="hybridMultilevel"/>
    <w:tmpl w:val="A4FCD8BC"/>
    <w:lvl w:ilvl="0" w:tplc="32542DC2">
      <w:start w:val="1"/>
      <w:numFmt w:val="bullet"/>
      <w:lvlText w:val=""/>
      <w:lvlJc w:val="left"/>
      <w:pPr>
        <w:ind w:left="1020" w:hanging="360"/>
      </w:pPr>
      <w:rPr>
        <w:rFonts w:ascii="Symbol" w:hAnsi="Symbol"/>
      </w:rPr>
    </w:lvl>
    <w:lvl w:ilvl="1" w:tplc="F1C6BA80">
      <w:start w:val="1"/>
      <w:numFmt w:val="bullet"/>
      <w:lvlText w:val=""/>
      <w:lvlJc w:val="left"/>
      <w:pPr>
        <w:ind w:left="1020" w:hanging="360"/>
      </w:pPr>
      <w:rPr>
        <w:rFonts w:ascii="Symbol" w:hAnsi="Symbol"/>
      </w:rPr>
    </w:lvl>
    <w:lvl w:ilvl="2" w:tplc="65B2E06A">
      <w:start w:val="1"/>
      <w:numFmt w:val="bullet"/>
      <w:lvlText w:val=""/>
      <w:lvlJc w:val="left"/>
      <w:pPr>
        <w:ind w:left="1020" w:hanging="360"/>
      </w:pPr>
      <w:rPr>
        <w:rFonts w:ascii="Symbol" w:hAnsi="Symbol"/>
      </w:rPr>
    </w:lvl>
    <w:lvl w:ilvl="3" w:tplc="FDB8FEEA">
      <w:start w:val="1"/>
      <w:numFmt w:val="bullet"/>
      <w:lvlText w:val=""/>
      <w:lvlJc w:val="left"/>
      <w:pPr>
        <w:ind w:left="1020" w:hanging="360"/>
      </w:pPr>
      <w:rPr>
        <w:rFonts w:ascii="Symbol" w:hAnsi="Symbol"/>
      </w:rPr>
    </w:lvl>
    <w:lvl w:ilvl="4" w:tplc="09A8AC64">
      <w:start w:val="1"/>
      <w:numFmt w:val="bullet"/>
      <w:lvlText w:val=""/>
      <w:lvlJc w:val="left"/>
      <w:pPr>
        <w:ind w:left="1020" w:hanging="360"/>
      </w:pPr>
      <w:rPr>
        <w:rFonts w:ascii="Symbol" w:hAnsi="Symbol"/>
      </w:rPr>
    </w:lvl>
    <w:lvl w:ilvl="5" w:tplc="F74EF272">
      <w:start w:val="1"/>
      <w:numFmt w:val="bullet"/>
      <w:lvlText w:val=""/>
      <w:lvlJc w:val="left"/>
      <w:pPr>
        <w:ind w:left="1020" w:hanging="360"/>
      </w:pPr>
      <w:rPr>
        <w:rFonts w:ascii="Symbol" w:hAnsi="Symbol"/>
      </w:rPr>
    </w:lvl>
    <w:lvl w:ilvl="6" w:tplc="88746BCA">
      <w:start w:val="1"/>
      <w:numFmt w:val="bullet"/>
      <w:lvlText w:val=""/>
      <w:lvlJc w:val="left"/>
      <w:pPr>
        <w:ind w:left="1020" w:hanging="360"/>
      </w:pPr>
      <w:rPr>
        <w:rFonts w:ascii="Symbol" w:hAnsi="Symbol"/>
      </w:rPr>
    </w:lvl>
    <w:lvl w:ilvl="7" w:tplc="A94EAE42">
      <w:start w:val="1"/>
      <w:numFmt w:val="bullet"/>
      <w:lvlText w:val=""/>
      <w:lvlJc w:val="left"/>
      <w:pPr>
        <w:ind w:left="1020" w:hanging="360"/>
      </w:pPr>
      <w:rPr>
        <w:rFonts w:ascii="Symbol" w:hAnsi="Symbol"/>
      </w:rPr>
    </w:lvl>
    <w:lvl w:ilvl="8" w:tplc="98CEA23E">
      <w:start w:val="1"/>
      <w:numFmt w:val="bullet"/>
      <w:lvlText w:val=""/>
      <w:lvlJc w:val="left"/>
      <w:pPr>
        <w:ind w:left="1020" w:hanging="360"/>
      </w:pPr>
      <w:rPr>
        <w:rFonts w:ascii="Symbol" w:hAnsi="Symbol"/>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B512DF"/>
    <w:multiLevelType w:val="hybridMultilevel"/>
    <w:tmpl w:val="414A0E18"/>
    <w:lvl w:ilvl="0" w:tplc="1A8E013C">
      <w:start w:val="1"/>
      <w:numFmt w:val="bullet"/>
      <w:lvlText w:val=""/>
      <w:lvlJc w:val="left"/>
      <w:pPr>
        <w:ind w:left="1020" w:hanging="360"/>
      </w:pPr>
      <w:rPr>
        <w:rFonts w:ascii="Symbol" w:hAnsi="Symbol"/>
      </w:rPr>
    </w:lvl>
    <w:lvl w:ilvl="1" w:tplc="A99EC2F4">
      <w:start w:val="1"/>
      <w:numFmt w:val="bullet"/>
      <w:lvlText w:val=""/>
      <w:lvlJc w:val="left"/>
      <w:pPr>
        <w:ind w:left="1020" w:hanging="360"/>
      </w:pPr>
      <w:rPr>
        <w:rFonts w:ascii="Symbol" w:hAnsi="Symbol"/>
      </w:rPr>
    </w:lvl>
    <w:lvl w:ilvl="2" w:tplc="91FAC982">
      <w:start w:val="1"/>
      <w:numFmt w:val="bullet"/>
      <w:lvlText w:val=""/>
      <w:lvlJc w:val="left"/>
      <w:pPr>
        <w:ind w:left="1020" w:hanging="360"/>
      </w:pPr>
      <w:rPr>
        <w:rFonts w:ascii="Symbol" w:hAnsi="Symbol"/>
      </w:rPr>
    </w:lvl>
    <w:lvl w:ilvl="3" w:tplc="090EAFDC">
      <w:start w:val="1"/>
      <w:numFmt w:val="bullet"/>
      <w:lvlText w:val=""/>
      <w:lvlJc w:val="left"/>
      <w:pPr>
        <w:ind w:left="1020" w:hanging="360"/>
      </w:pPr>
      <w:rPr>
        <w:rFonts w:ascii="Symbol" w:hAnsi="Symbol"/>
      </w:rPr>
    </w:lvl>
    <w:lvl w:ilvl="4" w:tplc="11A64910">
      <w:start w:val="1"/>
      <w:numFmt w:val="bullet"/>
      <w:lvlText w:val=""/>
      <w:lvlJc w:val="left"/>
      <w:pPr>
        <w:ind w:left="1020" w:hanging="360"/>
      </w:pPr>
      <w:rPr>
        <w:rFonts w:ascii="Symbol" w:hAnsi="Symbol"/>
      </w:rPr>
    </w:lvl>
    <w:lvl w:ilvl="5" w:tplc="4E184954">
      <w:start w:val="1"/>
      <w:numFmt w:val="bullet"/>
      <w:lvlText w:val=""/>
      <w:lvlJc w:val="left"/>
      <w:pPr>
        <w:ind w:left="1020" w:hanging="360"/>
      </w:pPr>
      <w:rPr>
        <w:rFonts w:ascii="Symbol" w:hAnsi="Symbol"/>
      </w:rPr>
    </w:lvl>
    <w:lvl w:ilvl="6" w:tplc="76DEC7E2">
      <w:start w:val="1"/>
      <w:numFmt w:val="bullet"/>
      <w:lvlText w:val=""/>
      <w:lvlJc w:val="left"/>
      <w:pPr>
        <w:ind w:left="1020" w:hanging="360"/>
      </w:pPr>
      <w:rPr>
        <w:rFonts w:ascii="Symbol" w:hAnsi="Symbol"/>
      </w:rPr>
    </w:lvl>
    <w:lvl w:ilvl="7" w:tplc="CDD60156">
      <w:start w:val="1"/>
      <w:numFmt w:val="bullet"/>
      <w:lvlText w:val=""/>
      <w:lvlJc w:val="left"/>
      <w:pPr>
        <w:ind w:left="1020" w:hanging="360"/>
      </w:pPr>
      <w:rPr>
        <w:rFonts w:ascii="Symbol" w:hAnsi="Symbol"/>
      </w:rPr>
    </w:lvl>
    <w:lvl w:ilvl="8" w:tplc="C08C6BE0">
      <w:start w:val="1"/>
      <w:numFmt w:val="bullet"/>
      <w:lvlText w:val=""/>
      <w:lvlJc w:val="left"/>
      <w:pPr>
        <w:ind w:left="1020" w:hanging="360"/>
      </w:pPr>
      <w:rPr>
        <w:rFonts w:ascii="Symbol" w:hAnsi="Symbol"/>
      </w:rPr>
    </w:lvl>
  </w:abstractNum>
  <w:num w:numId="1" w16cid:durableId="2080251301">
    <w:abstractNumId w:val="11"/>
  </w:num>
  <w:num w:numId="2" w16cid:durableId="83259325">
    <w:abstractNumId w:val="7"/>
  </w:num>
  <w:num w:numId="3" w16cid:durableId="110130803">
    <w:abstractNumId w:val="6"/>
  </w:num>
  <w:num w:numId="4" w16cid:durableId="979846898">
    <w:abstractNumId w:val="5"/>
  </w:num>
  <w:num w:numId="5" w16cid:durableId="604652280">
    <w:abstractNumId w:val="4"/>
  </w:num>
  <w:num w:numId="6" w16cid:durableId="53043853">
    <w:abstractNumId w:val="8"/>
  </w:num>
  <w:num w:numId="7" w16cid:durableId="267741994">
    <w:abstractNumId w:val="3"/>
  </w:num>
  <w:num w:numId="8" w16cid:durableId="2105109144">
    <w:abstractNumId w:val="2"/>
  </w:num>
  <w:num w:numId="9" w16cid:durableId="110901670">
    <w:abstractNumId w:val="1"/>
  </w:num>
  <w:num w:numId="10" w16cid:durableId="425005736">
    <w:abstractNumId w:val="0"/>
  </w:num>
  <w:num w:numId="11" w16cid:durableId="1504279641">
    <w:abstractNumId w:val="10"/>
  </w:num>
  <w:num w:numId="12" w16cid:durableId="656955595">
    <w:abstractNumId w:val="13"/>
  </w:num>
  <w:num w:numId="13" w16cid:durableId="1920403085">
    <w:abstractNumId w:val="18"/>
  </w:num>
  <w:num w:numId="14" w16cid:durableId="183981875">
    <w:abstractNumId w:val="14"/>
  </w:num>
  <w:num w:numId="15" w16cid:durableId="1582909404">
    <w:abstractNumId w:val="17"/>
  </w:num>
  <w:num w:numId="16" w16cid:durableId="591937529">
    <w:abstractNumId w:val="9"/>
  </w:num>
  <w:num w:numId="17" w16cid:durableId="630673412">
    <w:abstractNumId w:val="12"/>
  </w:num>
  <w:num w:numId="18" w16cid:durableId="841579375">
    <w:abstractNumId w:val="16"/>
  </w:num>
  <w:num w:numId="19" w16cid:durableId="1859352058">
    <w:abstractNumId w:val="19"/>
  </w:num>
  <w:num w:numId="20" w16cid:durableId="206493967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9BB"/>
    <w:rsid w:val="000022CD"/>
    <w:rsid w:val="00003185"/>
    <w:rsid w:val="00005102"/>
    <w:rsid w:val="00006C55"/>
    <w:rsid w:val="00013862"/>
    <w:rsid w:val="00014599"/>
    <w:rsid w:val="00014F22"/>
    <w:rsid w:val="00016012"/>
    <w:rsid w:val="00020189"/>
    <w:rsid w:val="00020EE4"/>
    <w:rsid w:val="00020FCB"/>
    <w:rsid w:val="000217E8"/>
    <w:rsid w:val="00023E9A"/>
    <w:rsid w:val="00024551"/>
    <w:rsid w:val="00025A42"/>
    <w:rsid w:val="00031B1C"/>
    <w:rsid w:val="00033CDD"/>
    <w:rsid w:val="00034A84"/>
    <w:rsid w:val="00034D28"/>
    <w:rsid w:val="00035E67"/>
    <w:rsid w:val="000366F3"/>
    <w:rsid w:val="00040217"/>
    <w:rsid w:val="000407BB"/>
    <w:rsid w:val="000431FD"/>
    <w:rsid w:val="000505D2"/>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48B3"/>
    <w:rsid w:val="0009553D"/>
    <w:rsid w:val="00096680"/>
    <w:rsid w:val="000A0F36"/>
    <w:rsid w:val="000A174A"/>
    <w:rsid w:val="000A3E0A"/>
    <w:rsid w:val="000A65AC"/>
    <w:rsid w:val="000B7281"/>
    <w:rsid w:val="000B7FAB"/>
    <w:rsid w:val="000C1BA1"/>
    <w:rsid w:val="000C3919"/>
    <w:rsid w:val="000C3EA9"/>
    <w:rsid w:val="000C4A32"/>
    <w:rsid w:val="000C65BB"/>
    <w:rsid w:val="000C7119"/>
    <w:rsid w:val="000D0225"/>
    <w:rsid w:val="000D0814"/>
    <w:rsid w:val="000D249E"/>
    <w:rsid w:val="000D6399"/>
    <w:rsid w:val="000E029D"/>
    <w:rsid w:val="000E04A1"/>
    <w:rsid w:val="000E5886"/>
    <w:rsid w:val="000E6621"/>
    <w:rsid w:val="000E7895"/>
    <w:rsid w:val="000F095D"/>
    <w:rsid w:val="000F161D"/>
    <w:rsid w:val="000F1B4E"/>
    <w:rsid w:val="000F1FFF"/>
    <w:rsid w:val="000F4477"/>
    <w:rsid w:val="000F458B"/>
    <w:rsid w:val="00100203"/>
    <w:rsid w:val="00104B4D"/>
    <w:rsid w:val="00105677"/>
    <w:rsid w:val="001071E7"/>
    <w:rsid w:val="00114E59"/>
    <w:rsid w:val="001162DE"/>
    <w:rsid w:val="001177B4"/>
    <w:rsid w:val="00122CF9"/>
    <w:rsid w:val="00123704"/>
    <w:rsid w:val="001270C7"/>
    <w:rsid w:val="00132540"/>
    <w:rsid w:val="00132D61"/>
    <w:rsid w:val="001377D4"/>
    <w:rsid w:val="00142E41"/>
    <w:rsid w:val="0014786A"/>
    <w:rsid w:val="001516A4"/>
    <w:rsid w:val="00151E5F"/>
    <w:rsid w:val="00153BD0"/>
    <w:rsid w:val="001569AB"/>
    <w:rsid w:val="00164D63"/>
    <w:rsid w:val="0016725C"/>
    <w:rsid w:val="00167DE5"/>
    <w:rsid w:val="00167FE3"/>
    <w:rsid w:val="0017008F"/>
    <w:rsid w:val="001726F3"/>
    <w:rsid w:val="00173C51"/>
    <w:rsid w:val="001740B9"/>
    <w:rsid w:val="00174CC2"/>
    <w:rsid w:val="00176CC6"/>
    <w:rsid w:val="00177B41"/>
    <w:rsid w:val="0018193C"/>
    <w:rsid w:val="00181BE4"/>
    <w:rsid w:val="0018496F"/>
    <w:rsid w:val="00185576"/>
    <w:rsid w:val="00185951"/>
    <w:rsid w:val="001864A4"/>
    <w:rsid w:val="0018652F"/>
    <w:rsid w:val="00194A00"/>
    <w:rsid w:val="00196B8B"/>
    <w:rsid w:val="001A0BFA"/>
    <w:rsid w:val="001A135B"/>
    <w:rsid w:val="001A1608"/>
    <w:rsid w:val="001A2BEA"/>
    <w:rsid w:val="001A325F"/>
    <w:rsid w:val="001A3E64"/>
    <w:rsid w:val="001A6D93"/>
    <w:rsid w:val="001A765A"/>
    <w:rsid w:val="001B027D"/>
    <w:rsid w:val="001B2BBA"/>
    <w:rsid w:val="001B35FA"/>
    <w:rsid w:val="001C006F"/>
    <w:rsid w:val="001C2C36"/>
    <w:rsid w:val="001C32EC"/>
    <w:rsid w:val="001C38BD"/>
    <w:rsid w:val="001C4332"/>
    <w:rsid w:val="001C4D5A"/>
    <w:rsid w:val="001D22C4"/>
    <w:rsid w:val="001D4CE2"/>
    <w:rsid w:val="001E0256"/>
    <w:rsid w:val="001E34C6"/>
    <w:rsid w:val="001E46E5"/>
    <w:rsid w:val="001E508C"/>
    <w:rsid w:val="001E5581"/>
    <w:rsid w:val="001F3C70"/>
    <w:rsid w:val="001F5C4A"/>
    <w:rsid w:val="00200D88"/>
    <w:rsid w:val="00201C09"/>
    <w:rsid w:val="00201F68"/>
    <w:rsid w:val="00205B2E"/>
    <w:rsid w:val="00210BA3"/>
    <w:rsid w:val="00212F2A"/>
    <w:rsid w:val="00214565"/>
    <w:rsid w:val="00214F2B"/>
    <w:rsid w:val="00215356"/>
    <w:rsid w:val="00215964"/>
    <w:rsid w:val="00215D8B"/>
    <w:rsid w:val="00217880"/>
    <w:rsid w:val="00222CE2"/>
    <w:rsid w:val="00222D66"/>
    <w:rsid w:val="0022441A"/>
    <w:rsid w:val="00224A8A"/>
    <w:rsid w:val="002309A8"/>
    <w:rsid w:val="00231C25"/>
    <w:rsid w:val="00234ACE"/>
    <w:rsid w:val="00236CFE"/>
    <w:rsid w:val="002428E3"/>
    <w:rsid w:val="0024430A"/>
    <w:rsid w:val="002450EA"/>
    <w:rsid w:val="00245FF7"/>
    <w:rsid w:val="00250E64"/>
    <w:rsid w:val="00253834"/>
    <w:rsid w:val="00253B65"/>
    <w:rsid w:val="0026055A"/>
    <w:rsid w:val="0026060B"/>
    <w:rsid w:val="00260BAF"/>
    <w:rsid w:val="002610A6"/>
    <w:rsid w:val="00263FD6"/>
    <w:rsid w:val="002650F7"/>
    <w:rsid w:val="0026686B"/>
    <w:rsid w:val="00267CE6"/>
    <w:rsid w:val="00273F3B"/>
    <w:rsid w:val="00274DB7"/>
    <w:rsid w:val="00275984"/>
    <w:rsid w:val="00276199"/>
    <w:rsid w:val="002768F3"/>
    <w:rsid w:val="00276DA4"/>
    <w:rsid w:val="00280F74"/>
    <w:rsid w:val="00286998"/>
    <w:rsid w:val="00291AB7"/>
    <w:rsid w:val="0029422B"/>
    <w:rsid w:val="00294DCB"/>
    <w:rsid w:val="00296082"/>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D7AD9"/>
    <w:rsid w:val="002E0F69"/>
    <w:rsid w:val="002E1572"/>
    <w:rsid w:val="002E2142"/>
    <w:rsid w:val="002E2DA3"/>
    <w:rsid w:val="002E4CF2"/>
    <w:rsid w:val="002E6FC0"/>
    <w:rsid w:val="002F0141"/>
    <w:rsid w:val="002F258D"/>
    <w:rsid w:val="002F3F37"/>
    <w:rsid w:val="002F493B"/>
    <w:rsid w:val="002F4ED5"/>
    <w:rsid w:val="002F5147"/>
    <w:rsid w:val="002F5A0B"/>
    <w:rsid w:val="002F71BB"/>
    <w:rsid w:val="002F7ABD"/>
    <w:rsid w:val="00307B3C"/>
    <w:rsid w:val="00310EF2"/>
    <w:rsid w:val="003115A6"/>
    <w:rsid w:val="00312597"/>
    <w:rsid w:val="00322836"/>
    <w:rsid w:val="0033038C"/>
    <w:rsid w:val="00334154"/>
    <w:rsid w:val="003341D0"/>
    <w:rsid w:val="003372C4"/>
    <w:rsid w:val="00341FA0"/>
    <w:rsid w:val="00342374"/>
    <w:rsid w:val="00344F3D"/>
    <w:rsid w:val="00345299"/>
    <w:rsid w:val="00347221"/>
    <w:rsid w:val="00347CA4"/>
    <w:rsid w:val="00351A8D"/>
    <w:rsid w:val="003526BB"/>
    <w:rsid w:val="00352BCF"/>
    <w:rsid w:val="00353932"/>
    <w:rsid w:val="0035464B"/>
    <w:rsid w:val="00356D2B"/>
    <w:rsid w:val="00361A56"/>
    <w:rsid w:val="0036252A"/>
    <w:rsid w:val="0036388C"/>
    <w:rsid w:val="00364D9D"/>
    <w:rsid w:val="00367E88"/>
    <w:rsid w:val="00371048"/>
    <w:rsid w:val="0037396C"/>
    <w:rsid w:val="0037421D"/>
    <w:rsid w:val="00374412"/>
    <w:rsid w:val="00376093"/>
    <w:rsid w:val="0037715E"/>
    <w:rsid w:val="00383DA1"/>
    <w:rsid w:val="00384A2C"/>
    <w:rsid w:val="00385F30"/>
    <w:rsid w:val="00387600"/>
    <w:rsid w:val="00393696"/>
    <w:rsid w:val="00393963"/>
    <w:rsid w:val="00395575"/>
    <w:rsid w:val="00395672"/>
    <w:rsid w:val="003A06C8"/>
    <w:rsid w:val="003A0D7C"/>
    <w:rsid w:val="003A1D3A"/>
    <w:rsid w:val="003A2095"/>
    <w:rsid w:val="003A6BF3"/>
    <w:rsid w:val="003A7160"/>
    <w:rsid w:val="003B0155"/>
    <w:rsid w:val="003B09DB"/>
    <w:rsid w:val="003B4551"/>
    <w:rsid w:val="003B528D"/>
    <w:rsid w:val="003B7EE7"/>
    <w:rsid w:val="003C2CCB"/>
    <w:rsid w:val="003C3D30"/>
    <w:rsid w:val="003C4A1C"/>
    <w:rsid w:val="003C5BCB"/>
    <w:rsid w:val="003D39EC"/>
    <w:rsid w:val="003D40EA"/>
    <w:rsid w:val="003E28A2"/>
    <w:rsid w:val="003E3AC2"/>
    <w:rsid w:val="003E3DD5"/>
    <w:rsid w:val="003F07C6"/>
    <w:rsid w:val="003F1F6B"/>
    <w:rsid w:val="003F342C"/>
    <w:rsid w:val="003F3757"/>
    <w:rsid w:val="003F44B7"/>
    <w:rsid w:val="004008E9"/>
    <w:rsid w:val="00407991"/>
    <w:rsid w:val="0041019E"/>
    <w:rsid w:val="00413D48"/>
    <w:rsid w:val="00424A60"/>
    <w:rsid w:val="00427CAF"/>
    <w:rsid w:val="00434042"/>
    <w:rsid w:val="00434500"/>
    <w:rsid w:val="00434BE8"/>
    <w:rsid w:val="004408E7"/>
    <w:rsid w:val="00441AC2"/>
    <w:rsid w:val="0044249B"/>
    <w:rsid w:val="004425A7"/>
    <w:rsid w:val="0044605E"/>
    <w:rsid w:val="0045010A"/>
    <w:rsid w:val="0045023C"/>
    <w:rsid w:val="00451A5B"/>
    <w:rsid w:val="00452BCD"/>
    <w:rsid w:val="00452CEA"/>
    <w:rsid w:val="00460A85"/>
    <w:rsid w:val="00463A63"/>
    <w:rsid w:val="00465B52"/>
    <w:rsid w:val="0046708E"/>
    <w:rsid w:val="00467D61"/>
    <w:rsid w:val="0047126E"/>
    <w:rsid w:val="004722BE"/>
    <w:rsid w:val="0047258D"/>
    <w:rsid w:val="00472A65"/>
    <w:rsid w:val="00474463"/>
    <w:rsid w:val="00474B75"/>
    <w:rsid w:val="00483ECA"/>
    <w:rsid w:val="00483F0B"/>
    <w:rsid w:val="00485027"/>
    <w:rsid w:val="00486B66"/>
    <w:rsid w:val="00491DF0"/>
    <w:rsid w:val="00493F98"/>
    <w:rsid w:val="0049501A"/>
    <w:rsid w:val="00496319"/>
    <w:rsid w:val="0049657E"/>
    <w:rsid w:val="00497279"/>
    <w:rsid w:val="004A010B"/>
    <w:rsid w:val="004A3186"/>
    <w:rsid w:val="004A419C"/>
    <w:rsid w:val="004A47D9"/>
    <w:rsid w:val="004A5D12"/>
    <w:rsid w:val="004A670A"/>
    <w:rsid w:val="004B2E31"/>
    <w:rsid w:val="004B5465"/>
    <w:rsid w:val="004B5F49"/>
    <w:rsid w:val="004B6487"/>
    <w:rsid w:val="004B70F0"/>
    <w:rsid w:val="004C0035"/>
    <w:rsid w:val="004C1299"/>
    <w:rsid w:val="004C7CE1"/>
    <w:rsid w:val="004C7E1D"/>
    <w:rsid w:val="004D065C"/>
    <w:rsid w:val="004D33FE"/>
    <w:rsid w:val="004D39A8"/>
    <w:rsid w:val="004D4703"/>
    <w:rsid w:val="004D505E"/>
    <w:rsid w:val="004D67E8"/>
    <w:rsid w:val="004D72CA"/>
    <w:rsid w:val="004E2242"/>
    <w:rsid w:val="004F0F6D"/>
    <w:rsid w:val="004F2483"/>
    <w:rsid w:val="004F42FF"/>
    <w:rsid w:val="004F436D"/>
    <w:rsid w:val="004F44C2"/>
    <w:rsid w:val="004F5315"/>
    <w:rsid w:val="004F71C7"/>
    <w:rsid w:val="00503CFD"/>
    <w:rsid w:val="00505262"/>
    <w:rsid w:val="005107B1"/>
    <w:rsid w:val="00512130"/>
    <w:rsid w:val="00516022"/>
    <w:rsid w:val="00521CEE"/>
    <w:rsid w:val="005244AF"/>
    <w:rsid w:val="00524696"/>
    <w:rsid w:val="00527BD4"/>
    <w:rsid w:val="00532DB2"/>
    <w:rsid w:val="00533061"/>
    <w:rsid w:val="00533D0F"/>
    <w:rsid w:val="00533FA1"/>
    <w:rsid w:val="00534C77"/>
    <w:rsid w:val="00535573"/>
    <w:rsid w:val="005403C8"/>
    <w:rsid w:val="0054078A"/>
    <w:rsid w:val="00541AD9"/>
    <w:rsid w:val="00542865"/>
    <w:rsid w:val="005429DC"/>
    <w:rsid w:val="005449F1"/>
    <w:rsid w:val="005461AB"/>
    <w:rsid w:val="00547F98"/>
    <w:rsid w:val="005565F9"/>
    <w:rsid w:val="005639D2"/>
    <w:rsid w:val="00565739"/>
    <w:rsid w:val="00573041"/>
    <w:rsid w:val="00575B80"/>
    <w:rsid w:val="00577559"/>
    <w:rsid w:val="00580BC7"/>
    <w:rsid w:val="005819CE"/>
    <w:rsid w:val="00582976"/>
    <w:rsid w:val="0058298D"/>
    <w:rsid w:val="005842CE"/>
    <w:rsid w:val="0058678E"/>
    <w:rsid w:val="00590595"/>
    <w:rsid w:val="00590D08"/>
    <w:rsid w:val="00593C2B"/>
    <w:rsid w:val="00595231"/>
    <w:rsid w:val="00595CBB"/>
    <w:rsid w:val="00596166"/>
    <w:rsid w:val="00597F64"/>
    <w:rsid w:val="005A1AF5"/>
    <w:rsid w:val="005A1FE8"/>
    <w:rsid w:val="005A207F"/>
    <w:rsid w:val="005A2F35"/>
    <w:rsid w:val="005A7512"/>
    <w:rsid w:val="005B3441"/>
    <w:rsid w:val="005B463E"/>
    <w:rsid w:val="005B49D2"/>
    <w:rsid w:val="005B4FAC"/>
    <w:rsid w:val="005B5D8B"/>
    <w:rsid w:val="005B66C1"/>
    <w:rsid w:val="005C2A4C"/>
    <w:rsid w:val="005C34E1"/>
    <w:rsid w:val="005C3FE0"/>
    <w:rsid w:val="005C4C82"/>
    <w:rsid w:val="005C740C"/>
    <w:rsid w:val="005D283A"/>
    <w:rsid w:val="005D625B"/>
    <w:rsid w:val="005E17F0"/>
    <w:rsid w:val="005E3322"/>
    <w:rsid w:val="005E436C"/>
    <w:rsid w:val="005E5491"/>
    <w:rsid w:val="005E64E2"/>
    <w:rsid w:val="005E699C"/>
    <w:rsid w:val="005E6FC8"/>
    <w:rsid w:val="005F5F04"/>
    <w:rsid w:val="005F62D3"/>
    <w:rsid w:val="005F6D11"/>
    <w:rsid w:val="00600CF0"/>
    <w:rsid w:val="006048F4"/>
    <w:rsid w:val="0060660A"/>
    <w:rsid w:val="00607CB3"/>
    <w:rsid w:val="00610A24"/>
    <w:rsid w:val="00613377"/>
    <w:rsid w:val="00613B1D"/>
    <w:rsid w:val="00615816"/>
    <w:rsid w:val="00617311"/>
    <w:rsid w:val="00617A44"/>
    <w:rsid w:val="006202B6"/>
    <w:rsid w:val="006205C0"/>
    <w:rsid w:val="006237BF"/>
    <w:rsid w:val="00623CB2"/>
    <w:rsid w:val="00624FD3"/>
    <w:rsid w:val="00625CD0"/>
    <w:rsid w:val="0062627D"/>
    <w:rsid w:val="00627432"/>
    <w:rsid w:val="00635031"/>
    <w:rsid w:val="006400A9"/>
    <w:rsid w:val="00641345"/>
    <w:rsid w:val="0064192A"/>
    <w:rsid w:val="00642768"/>
    <w:rsid w:val="006448E4"/>
    <w:rsid w:val="00645414"/>
    <w:rsid w:val="00645D89"/>
    <w:rsid w:val="0065184C"/>
    <w:rsid w:val="0065244E"/>
    <w:rsid w:val="006534D0"/>
    <w:rsid w:val="00653606"/>
    <w:rsid w:val="006610E9"/>
    <w:rsid w:val="00661591"/>
    <w:rsid w:val="00662A78"/>
    <w:rsid w:val="00663187"/>
    <w:rsid w:val="0066632F"/>
    <w:rsid w:val="00674A89"/>
    <w:rsid w:val="00674F3D"/>
    <w:rsid w:val="00682E02"/>
    <w:rsid w:val="00684951"/>
    <w:rsid w:val="00684B58"/>
    <w:rsid w:val="00685545"/>
    <w:rsid w:val="006864B3"/>
    <w:rsid w:val="00686AED"/>
    <w:rsid w:val="00687511"/>
    <w:rsid w:val="00692BA9"/>
    <w:rsid w:val="00692C30"/>
    <w:rsid w:val="00692D64"/>
    <w:rsid w:val="00697943"/>
    <w:rsid w:val="00697F3A"/>
    <w:rsid w:val="006A10F8"/>
    <w:rsid w:val="006A2100"/>
    <w:rsid w:val="006A40EF"/>
    <w:rsid w:val="006A4152"/>
    <w:rsid w:val="006B0BF3"/>
    <w:rsid w:val="006B0D3A"/>
    <w:rsid w:val="006B1521"/>
    <w:rsid w:val="006B2A77"/>
    <w:rsid w:val="006B2B4A"/>
    <w:rsid w:val="006B357C"/>
    <w:rsid w:val="006B421D"/>
    <w:rsid w:val="006B4D6D"/>
    <w:rsid w:val="006B5444"/>
    <w:rsid w:val="006B775E"/>
    <w:rsid w:val="006B7B87"/>
    <w:rsid w:val="006B7BC7"/>
    <w:rsid w:val="006C0013"/>
    <w:rsid w:val="006C2093"/>
    <w:rsid w:val="006C2278"/>
    <w:rsid w:val="006C2535"/>
    <w:rsid w:val="006C2765"/>
    <w:rsid w:val="006C311B"/>
    <w:rsid w:val="006C3DEE"/>
    <w:rsid w:val="006C441E"/>
    <w:rsid w:val="006C4B90"/>
    <w:rsid w:val="006C54E0"/>
    <w:rsid w:val="006D0091"/>
    <w:rsid w:val="006D1016"/>
    <w:rsid w:val="006D17F2"/>
    <w:rsid w:val="006D2D53"/>
    <w:rsid w:val="006E1124"/>
    <w:rsid w:val="006E3546"/>
    <w:rsid w:val="006E3FA9"/>
    <w:rsid w:val="006E7D82"/>
    <w:rsid w:val="006F038F"/>
    <w:rsid w:val="006F0F93"/>
    <w:rsid w:val="006F273B"/>
    <w:rsid w:val="006F31F2"/>
    <w:rsid w:val="00704845"/>
    <w:rsid w:val="00706AB3"/>
    <w:rsid w:val="00714DC5"/>
    <w:rsid w:val="00715237"/>
    <w:rsid w:val="0071674D"/>
    <w:rsid w:val="007174F4"/>
    <w:rsid w:val="00721D2E"/>
    <w:rsid w:val="007242CC"/>
    <w:rsid w:val="00724A8B"/>
    <w:rsid w:val="007254A5"/>
    <w:rsid w:val="00725748"/>
    <w:rsid w:val="00727001"/>
    <w:rsid w:val="00727AAC"/>
    <w:rsid w:val="00732D91"/>
    <w:rsid w:val="00735D88"/>
    <w:rsid w:val="00736D9F"/>
    <w:rsid w:val="0073720D"/>
    <w:rsid w:val="00737507"/>
    <w:rsid w:val="00740712"/>
    <w:rsid w:val="00741309"/>
    <w:rsid w:val="00741F2C"/>
    <w:rsid w:val="00742AB9"/>
    <w:rsid w:val="00745AE0"/>
    <w:rsid w:val="00751A6A"/>
    <w:rsid w:val="00754AD6"/>
    <w:rsid w:val="00754FBF"/>
    <w:rsid w:val="00761547"/>
    <w:rsid w:val="007615AC"/>
    <w:rsid w:val="00764585"/>
    <w:rsid w:val="00767FEF"/>
    <w:rsid w:val="007709EF"/>
    <w:rsid w:val="007776D3"/>
    <w:rsid w:val="00783559"/>
    <w:rsid w:val="007846ED"/>
    <w:rsid w:val="007851C4"/>
    <w:rsid w:val="00785C3B"/>
    <w:rsid w:val="007877DC"/>
    <w:rsid w:val="00793D08"/>
    <w:rsid w:val="00795A02"/>
    <w:rsid w:val="00797AA5"/>
    <w:rsid w:val="007A0C7F"/>
    <w:rsid w:val="007A26BD"/>
    <w:rsid w:val="007A2D5A"/>
    <w:rsid w:val="007A4105"/>
    <w:rsid w:val="007A4F0E"/>
    <w:rsid w:val="007A514C"/>
    <w:rsid w:val="007B0D8E"/>
    <w:rsid w:val="007B1276"/>
    <w:rsid w:val="007B4503"/>
    <w:rsid w:val="007C03C9"/>
    <w:rsid w:val="007C16D8"/>
    <w:rsid w:val="007C406E"/>
    <w:rsid w:val="007C5183"/>
    <w:rsid w:val="007C7573"/>
    <w:rsid w:val="007C75E5"/>
    <w:rsid w:val="007C7E64"/>
    <w:rsid w:val="007D3394"/>
    <w:rsid w:val="007D51DC"/>
    <w:rsid w:val="007E0EBD"/>
    <w:rsid w:val="007E14E4"/>
    <w:rsid w:val="007E2B20"/>
    <w:rsid w:val="007E5C5D"/>
    <w:rsid w:val="007E78F9"/>
    <w:rsid w:val="007F4AEA"/>
    <w:rsid w:val="007F5331"/>
    <w:rsid w:val="007F7010"/>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206B"/>
    <w:rsid w:val="00823BF1"/>
    <w:rsid w:val="008267CC"/>
    <w:rsid w:val="0083178B"/>
    <w:rsid w:val="00833695"/>
    <w:rsid w:val="008336B7"/>
    <w:rsid w:val="00833A8E"/>
    <w:rsid w:val="00840000"/>
    <w:rsid w:val="0084255A"/>
    <w:rsid w:val="00842CD8"/>
    <w:rsid w:val="008431FA"/>
    <w:rsid w:val="00846377"/>
    <w:rsid w:val="00852FD7"/>
    <w:rsid w:val="008547BA"/>
    <w:rsid w:val="00855226"/>
    <w:rsid w:val="008553C7"/>
    <w:rsid w:val="00857FEB"/>
    <w:rsid w:val="008601AF"/>
    <w:rsid w:val="00860498"/>
    <w:rsid w:val="00871D7A"/>
    <w:rsid w:val="00872271"/>
    <w:rsid w:val="008731F6"/>
    <w:rsid w:val="00874982"/>
    <w:rsid w:val="008762B6"/>
    <w:rsid w:val="00883137"/>
    <w:rsid w:val="00892BA5"/>
    <w:rsid w:val="0089346B"/>
    <w:rsid w:val="0089477A"/>
    <w:rsid w:val="008A08AC"/>
    <w:rsid w:val="008A1F5D"/>
    <w:rsid w:val="008A28F5"/>
    <w:rsid w:val="008B0E6F"/>
    <w:rsid w:val="008B1198"/>
    <w:rsid w:val="008B2349"/>
    <w:rsid w:val="008B3471"/>
    <w:rsid w:val="008B3929"/>
    <w:rsid w:val="008B3BAB"/>
    <w:rsid w:val="008B4125"/>
    <w:rsid w:val="008B49C9"/>
    <w:rsid w:val="008B4CB3"/>
    <w:rsid w:val="008B567B"/>
    <w:rsid w:val="008B6392"/>
    <w:rsid w:val="008B7B24"/>
    <w:rsid w:val="008C01A1"/>
    <w:rsid w:val="008C356D"/>
    <w:rsid w:val="008D1583"/>
    <w:rsid w:val="008D1F53"/>
    <w:rsid w:val="008E02F4"/>
    <w:rsid w:val="008E0B3F"/>
    <w:rsid w:val="008E10D2"/>
    <w:rsid w:val="008E1341"/>
    <w:rsid w:val="008E3932"/>
    <w:rsid w:val="008E49AD"/>
    <w:rsid w:val="008E698E"/>
    <w:rsid w:val="008E7217"/>
    <w:rsid w:val="008E7B81"/>
    <w:rsid w:val="008F123F"/>
    <w:rsid w:val="008F2584"/>
    <w:rsid w:val="008F3246"/>
    <w:rsid w:val="008F3C1B"/>
    <w:rsid w:val="008F508C"/>
    <w:rsid w:val="008F70D6"/>
    <w:rsid w:val="0090271B"/>
    <w:rsid w:val="00903D94"/>
    <w:rsid w:val="009054A2"/>
    <w:rsid w:val="00910642"/>
    <w:rsid w:val="00910DDF"/>
    <w:rsid w:val="00921861"/>
    <w:rsid w:val="00924639"/>
    <w:rsid w:val="0092611E"/>
    <w:rsid w:val="00926F1F"/>
    <w:rsid w:val="00926F4B"/>
    <w:rsid w:val="00930B13"/>
    <w:rsid w:val="009311C8"/>
    <w:rsid w:val="0093199F"/>
    <w:rsid w:val="009329AD"/>
    <w:rsid w:val="00933376"/>
    <w:rsid w:val="00933A2F"/>
    <w:rsid w:val="009374AA"/>
    <w:rsid w:val="0094000D"/>
    <w:rsid w:val="00940206"/>
    <w:rsid w:val="00941B16"/>
    <w:rsid w:val="00946703"/>
    <w:rsid w:val="009528B2"/>
    <w:rsid w:val="009607C4"/>
    <w:rsid w:val="00962F2A"/>
    <w:rsid w:val="00962FD6"/>
    <w:rsid w:val="00963440"/>
    <w:rsid w:val="009646B4"/>
    <w:rsid w:val="00965C8A"/>
    <w:rsid w:val="00966F37"/>
    <w:rsid w:val="009716D8"/>
    <w:rsid w:val="009718F9"/>
    <w:rsid w:val="009724E4"/>
    <w:rsid w:val="00972FB9"/>
    <w:rsid w:val="00975112"/>
    <w:rsid w:val="00976794"/>
    <w:rsid w:val="009812EB"/>
    <w:rsid w:val="00981768"/>
    <w:rsid w:val="009838BB"/>
    <w:rsid w:val="00983E8F"/>
    <w:rsid w:val="00986096"/>
    <w:rsid w:val="00992338"/>
    <w:rsid w:val="00994FDA"/>
    <w:rsid w:val="00997D15"/>
    <w:rsid w:val="009A31BF"/>
    <w:rsid w:val="009A3B71"/>
    <w:rsid w:val="009A5914"/>
    <w:rsid w:val="009A61BC"/>
    <w:rsid w:val="009B0138"/>
    <w:rsid w:val="009B0FE9"/>
    <w:rsid w:val="009B173A"/>
    <w:rsid w:val="009B5846"/>
    <w:rsid w:val="009B601B"/>
    <w:rsid w:val="009B7D47"/>
    <w:rsid w:val="009C3F20"/>
    <w:rsid w:val="009C64FB"/>
    <w:rsid w:val="009C77A8"/>
    <w:rsid w:val="009C7CA1"/>
    <w:rsid w:val="009D043D"/>
    <w:rsid w:val="009D25A1"/>
    <w:rsid w:val="009D716F"/>
    <w:rsid w:val="009E01DE"/>
    <w:rsid w:val="009E2404"/>
    <w:rsid w:val="009E3B07"/>
    <w:rsid w:val="009E55F1"/>
    <w:rsid w:val="009E695C"/>
    <w:rsid w:val="009F3259"/>
    <w:rsid w:val="009F3520"/>
    <w:rsid w:val="009F541F"/>
    <w:rsid w:val="00A008B3"/>
    <w:rsid w:val="00A056DE"/>
    <w:rsid w:val="00A0678A"/>
    <w:rsid w:val="00A1289E"/>
    <w:rsid w:val="00A128AD"/>
    <w:rsid w:val="00A20730"/>
    <w:rsid w:val="00A20BC9"/>
    <w:rsid w:val="00A21E76"/>
    <w:rsid w:val="00A23BC8"/>
    <w:rsid w:val="00A2531F"/>
    <w:rsid w:val="00A272CB"/>
    <w:rsid w:val="00A3000C"/>
    <w:rsid w:val="00A30E68"/>
    <w:rsid w:val="00A31933"/>
    <w:rsid w:val="00A32073"/>
    <w:rsid w:val="00A33929"/>
    <w:rsid w:val="00A33C0D"/>
    <w:rsid w:val="00A34AA0"/>
    <w:rsid w:val="00A36AC4"/>
    <w:rsid w:val="00A41FE2"/>
    <w:rsid w:val="00A421A1"/>
    <w:rsid w:val="00A46FEF"/>
    <w:rsid w:val="00A47948"/>
    <w:rsid w:val="00A50CF6"/>
    <w:rsid w:val="00A51C81"/>
    <w:rsid w:val="00A56850"/>
    <w:rsid w:val="00A56946"/>
    <w:rsid w:val="00A604D3"/>
    <w:rsid w:val="00A6170E"/>
    <w:rsid w:val="00A633A0"/>
    <w:rsid w:val="00A63B8C"/>
    <w:rsid w:val="00A65914"/>
    <w:rsid w:val="00A67AC7"/>
    <w:rsid w:val="00A702D6"/>
    <w:rsid w:val="00A715F8"/>
    <w:rsid w:val="00A741BA"/>
    <w:rsid w:val="00A7716F"/>
    <w:rsid w:val="00A773CC"/>
    <w:rsid w:val="00A77F6F"/>
    <w:rsid w:val="00A831FD"/>
    <w:rsid w:val="00A83352"/>
    <w:rsid w:val="00A850A2"/>
    <w:rsid w:val="00A91F84"/>
    <w:rsid w:val="00A91FA3"/>
    <w:rsid w:val="00A927D3"/>
    <w:rsid w:val="00A9429A"/>
    <w:rsid w:val="00AA39FD"/>
    <w:rsid w:val="00AA70B0"/>
    <w:rsid w:val="00AA7FC9"/>
    <w:rsid w:val="00AB237D"/>
    <w:rsid w:val="00AB50E6"/>
    <w:rsid w:val="00AB5933"/>
    <w:rsid w:val="00AB771D"/>
    <w:rsid w:val="00AC2188"/>
    <w:rsid w:val="00AC47E1"/>
    <w:rsid w:val="00AC4959"/>
    <w:rsid w:val="00AD0B96"/>
    <w:rsid w:val="00AD34B3"/>
    <w:rsid w:val="00AD5B44"/>
    <w:rsid w:val="00AD7608"/>
    <w:rsid w:val="00AE013D"/>
    <w:rsid w:val="00AE11B7"/>
    <w:rsid w:val="00AE18BA"/>
    <w:rsid w:val="00AE3215"/>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0BA5"/>
    <w:rsid w:val="00B425F0"/>
    <w:rsid w:val="00B42A12"/>
    <w:rsid w:val="00B42DFA"/>
    <w:rsid w:val="00B50571"/>
    <w:rsid w:val="00B531DD"/>
    <w:rsid w:val="00B55014"/>
    <w:rsid w:val="00B60396"/>
    <w:rsid w:val="00B61F07"/>
    <w:rsid w:val="00B62232"/>
    <w:rsid w:val="00B626DD"/>
    <w:rsid w:val="00B65220"/>
    <w:rsid w:val="00B70BF3"/>
    <w:rsid w:val="00B70D24"/>
    <w:rsid w:val="00B70E51"/>
    <w:rsid w:val="00B71DC2"/>
    <w:rsid w:val="00B747E8"/>
    <w:rsid w:val="00B77CC2"/>
    <w:rsid w:val="00B80459"/>
    <w:rsid w:val="00B80DB6"/>
    <w:rsid w:val="00B81AD2"/>
    <w:rsid w:val="00B81AEC"/>
    <w:rsid w:val="00B85A66"/>
    <w:rsid w:val="00B85ED4"/>
    <w:rsid w:val="00B85F07"/>
    <w:rsid w:val="00B91CFC"/>
    <w:rsid w:val="00B92118"/>
    <w:rsid w:val="00B93893"/>
    <w:rsid w:val="00BA439D"/>
    <w:rsid w:val="00BA6976"/>
    <w:rsid w:val="00BA7E0A"/>
    <w:rsid w:val="00BB4157"/>
    <w:rsid w:val="00BB61B0"/>
    <w:rsid w:val="00BC0D9E"/>
    <w:rsid w:val="00BC3B53"/>
    <w:rsid w:val="00BC3B96"/>
    <w:rsid w:val="00BC4AE3"/>
    <w:rsid w:val="00BC5B28"/>
    <w:rsid w:val="00BC7264"/>
    <w:rsid w:val="00BD7127"/>
    <w:rsid w:val="00BE0007"/>
    <w:rsid w:val="00BE17D4"/>
    <w:rsid w:val="00BE2863"/>
    <w:rsid w:val="00BE3557"/>
    <w:rsid w:val="00BE3F88"/>
    <w:rsid w:val="00BE4756"/>
    <w:rsid w:val="00BE5ED9"/>
    <w:rsid w:val="00BE7B41"/>
    <w:rsid w:val="00BF4427"/>
    <w:rsid w:val="00BF46B6"/>
    <w:rsid w:val="00BF5675"/>
    <w:rsid w:val="00BF6C17"/>
    <w:rsid w:val="00C0708C"/>
    <w:rsid w:val="00C123BC"/>
    <w:rsid w:val="00C1590E"/>
    <w:rsid w:val="00C15A91"/>
    <w:rsid w:val="00C201D5"/>
    <w:rsid w:val="00C206F1"/>
    <w:rsid w:val="00C2159D"/>
    <w:rsid w:val="00C217E1"/>
    <w:rsid w:val="00C219B1"/>
    <w:rsid w:val="00C231E2"/>
    <w:rsid w:val="00C2703D"/>
    <w:rsid w:val="00C32C61"/>
    <w:rsid w:val="00C335D4"/>
    <w:rsid w:val="00C352B6"/>
    <w:rsid w:val="00C4015B"/>
    <w:rsid w:val="00C4044E"/>
    <w:rsid w:val="00C40C60"/>
    <w:rsid w:val="00C42435"/>
    <w:rsid w:val="00C44487"/>
    <w:rsid w:val="00C47F04"/>
    <w:rsid w:val="00C50E87"/>
    <w:rsid w:val="00C5258E"/>
    <w:rsid w:val="00C5333A"/>
    <w:rsid w:val="00C53BD7"/>
    <w:rsid w:val="00C55923"/>
    <w:rsid w:val="00C619A7"/>
    <w:rsid w:val="00C64E34"/>
    <w:rsid w:val="00C6545E"/>
    <w:rsid w:val="00C65FBE"/>
    <w:rsid w:val="00C67B9A"/>
    <w:rsid w:val="00C7013F"/>
    <w:rsid w:val="00C7097A"/>
    <w:rsid w:val="00C736E8"/>
    <w:rsid w:val="00C73D5F"/>
    <w:rsid w:val="00C84244"/>
    <w:rsid w:val="00C965EF"/>
    <w:rsid w:val="00C97C80"/>
    <w:rsid w:val="00CA1D00"/>
    <w:rsid w:val="00CA2B66"/>
    <w:rsid w:val="00CA35E4"/>
    <w:rsid w:val="00CA3FC6"/>
    <w:rsid w:val="00CA47D3"/>
    <w:rsid w:val="00CA4FF9"/>
    <w:rsid w:val="00CA5DA6"/>
    <w:rsid w:val="00CA6533"/>
    <w:rsid w:val="00CA6A25"/>
    <w:rsid w:val="00CA6A3F"/>
    <w:rsid w:val="00CA6FAD"/>
    <w:rsid w:val="00CA7C99"/>
    <w:rsid w:val="00CC15DE"/>
    <w:rsid w:val="00CC57C2"/>
    <w:rsid w:val="00CC6290"/>
    <w:rsid w:val="00CD233D"/>
    <w:rsid w:val="00CD362D"/>
    <w:rsid w:val="00CD587E"/>
    <w:rsid w:val="00CE101D"/>
    <w:rsid w:val="00CE1C84"/>
    <w:rsid w:val="00CE4E63"/>
    <w:rsid w:val="00CE5055"/>
    <w:rsid w:val="00CE6426"/>
    <w:rsid w:val="00CF053F"/>
    <w:rsid w:val="00CF1A17"/>
    <w:rsid w:val="00D0140D"/>
    <w:rsid w:val="00D01C92"/>
    <w:rsid w:val="00D030AB"/>
    <w:rsid w:val="00D037A9"/>
    <w:rsid w:val="00D0587F"/>
    <w:rsid w:val="00D0609E"/>
    <w:rsid w:val="00D0769B"/>
    <w:rsid w:val="00D0784F"/>
    <w:rsid w:val="00D078E1"/>
    <w:rsid w:val="00D07939"/>
    <w:rsid w:val="00D100E9"/>
    <w:rsid w:val="00D17084"/>
    <w:rsid w:val="00D1791D"/>
    <w:rsid w:val="00D21E4B"/>
    <w:rsid w:val="00D22588"/>
    <w:rsid w:val="00D22689"/>
    <w:rsid w:val="00D23522"/>
    <w:rsid w:val="00D25339"/>
    <w:rsid w:val="00D264D6"/>
    <w:rsid w:val="00D31F26"/>
    <w:rsid w:val="00D33144"/>
    <w:rsid w:val="00D33BF0"/>
    <w:rsid w:val="00D33F30"/>
    <w:rsid w:val="00D34892"/>
    <w:rsid w:val="00D35188"/>
    <w:rsid w:val="00D36088"/>
    <w:rsid w:val="00D36447"/>
    <w:rsid w:val="00D41CE8"/>
    <w:rsid w:val="00D44B73"/>
    <w:rsid w:val="00D516BE"/>
    <w:rsid w:val="00D5423B"/>
    <w:rsid w:val="00D54F4E"/>
    <w:rsid w:val="00D5545A"/>
    <w:rsid w:val="00D604B3"/>
    <w:rsid w:val="00D60BA4"/>
    <w:rsid w:val="00D61D4E"/>
    <w:rsid w:val="00D62419"/>
    <w:rsid w:val="00D62AD8"/>
    <w:rsid w:val="00D651BF"/>
    <w:rsid w:val="00D65336"/>
    <w:rsid w:val="00D65EF1"/>
    <w:rsid w:val="00D66074"/>
    <w:rsid w:val="00D674D4"/>
    <w:rsid w:val="00D74595"/>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4719"/>
    <w:rsid w:val="00DA51B5"/>
    <w:rsid w:val="00DB36FE"/>
    <w:rsid w:val="00DB38E3"/>
    <w:rsid w:val="00DB533A"/>
    <w:rsid w:val="00DB6307"/>
    <w:rsid w:val="00DC18F3"/>
    <w:rsid w:val="00DC2443"/>
    <w:rsid w:val="00DC5052"/>
    <w:rsid w:val="00DC691C"/>
    <w:rsid w:val="00DC7684"/>
    <w:rsid w:val="00DD133F"/>
    <w:rsid w:val="00DD1DCD"/>
    <w:rsid w:val="00DD338F"/>
    <w:rsid w:val="00DD3404"/>
    <w:rsid w:val="00DD3447"/>
    <w:rsid w:val="00DD66F2"/>
    <w:rsid w:val="00DD75F1"/>
    <w:rsid w:val="00DE001E"/>
    <w:rsid w:val="00DE1EB5"/>
    <w:rsid w:val="00DE3FE0"/>
    <w:rsid w:val="00DE578A"/>
    <w:rsid w:val="00DF2583"/>
    <w:rsid w:val="00DF3E62"/>
    <w:rsid w:val="00DF4D7F"/>
    <w:rsid w:val="00DF4E80"/>
    <w:rsid w:val="00DF54D9"/>
    <w:rsid w:val="00DF63F3"/>
    <w:rsid w:val="00DF7283"/>
    <w:rsid w:val="00E00BCD"/>
    <w:rsid w:val="00E01A59"/>
    <w:rsid w:val="00E0622C"/>
    <w:rsid w:val="00E0675E"/>
    <w:rsid w:val="00E10DC6"/>
    <w:rsid w:val="00E11F8E"/>
    <w:rsid w:val="00E13D95"/>
    <w:rsid w:val="00E1476B"/>
    <w:rsid w:val="00E14AA3"/>
    <w:rsid w:val="00E15881"/>
    <w:rsid w:val="00E16A8F"/>
    <w:rsid w:val="00E17CA2"/>
    <w:rsid w:val="00E20C25"/>
    <w:rsid w:val="00E21DE3"/>
    <w:rsid w:val="00E21EAB"/>
    <w:rsid w:val="00E233D5"/>
    <w:rsid w:val="00E23B86"/>
    <w:rsid w:val="00E301A3"/>
    <w:rsid w:val="00E307D1"/>
    <w:rsid w:val="00E35710"/>
    <w:rsid w:val="00E35CF4"/>
    <w:rsid w:val="00E36A34"/>
    <w:rsid w:val="00E3731D"/>
    <w:rsid w:val="00E37811"/>
    <w:rsid w:val="00E41345"/>
    <w:rsid w:val="00E43927"/>
    <w:rsid w:val="00E457D9"/>
    <w:rsid w:val="00E468E4"/>
    <w:rsid w:val="00E46AC2"/>
    <w:rsid w:val="00E51469"/>
    <w:rsid w:val="00E54114"/>
    <w:rsid w:val="00E61218"/>
    <w:rsid w:val="00E62709"/>
    <w:rsid w:val="00E634E3"/>
    <w:rsid w:val="00E64C96"/>
    <w:rsid w:val="00E66D3D"/>
    <w:rsid w:val="00E717C4"/>
    <w:rsid w:val="00E74D10"/>
    <w:rsid w:val="00E7713B"/>
    <w:rsid w:val="00E771DB"/>
    <w:rsid w:val="00E776C6"/>
    <w:rsid w:val="00E77F89"/>
    <w:rsid w:val="00E80E71"/>
    <w:rsid w:val="00E81589"/>
    <w:rsid w:val="00E850D3"/>
    <w:rsid w:val="00E853D6"/>
    <w:rsid w:val="00E8544F"/>
    <w:rsid w:val="00E876B9"/>
    <w:rsid w:val="00E91B40"/>
    <w:rsid w:val="00E91F7C"/>
    <w:rsid w:val="00E93891"/>
    <w:rsid w:val="00E94D82"/>
    <w:rsid w:val="00E972A2"/>
    <w:rsid w:val="00EA5534"/>
    <w:rsid w:val="00EA5BA2"/>
    <w:rsid w:val="00EB2FEB"/>
    <w:rsid w:val="00EB4E65"/>
    <w:rsid w:val="00EB73E0"/>
    <w:rsid w:val="00EC0A13"/>
    <w:rsid w:val="00EC0DFF"/>
    <w:rsid w:val="00EC237D"/>
    <w:rsid w:val="00EC25AB"/>
    <w:rsid w:val="00EC25B9"/>
    <w:rsid w:val="00EC2927"/>
    <w:rsid w:val="00EC3AC4"/>
    <w:rsid w:val="00EC4507"/>
    <w:rsid w:val="00EC4D0E"/>
    <w:rsid w:val="00EC4E2B"/>
    <w:rsid w:val="00ED072A"/>
    <w:rsid w:val="00ED2F32"/>
    <w:rsid w:val="00ED539E"/>
    <w:rsid w:val="00ED576F"/>
    <w:rsid w:val="00ED5E4D"/>
    <w:rsid w:val="00EE1E1E"/>
    <w:rsid w:val="00EE429F"/>
    <w:rsid w:val="00EE4A1F"/>
    <w:rsid w:val="00EE4C2D"/>
    <w:rsid w:val="00EF0CCB"/>
    <w:rsid w:val="00EF1B5A"/>
    <w:rsid w:val="00EF1C0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5482"/>
    <w:rsid w:val="00F16D3E"/>
    <w:rsid w:val="00F172BB"/>
    <w:rsid w:val="00F17B10"/>
    <w:rsid w:val="00F17BFE"/>
    <w:rsid w:val="00F20147"/>
    <w:rsid w:val="00F21814"/>
    <w:rsid w:val="00F21BEF"/>
    <w:rsid w:val="00F2315B"/>
    <w:rsid w:val="00F2482D"/>
    <w:rsid w:val="00F31111"/>
    <w:rsid w:val="00F3441E"/>
    <w:rsid w:val="00F40F11"/>
    <w:rsid w:val="00F41A6F"/>
    <w:rsid w:val="00F45A25"/>
    <w:rsid w:val="00F50F86"/>
    <w:rsid w:val="00F51A76"/>
    <w:rsid w:val="00F53862"/>
    <w:rsid w:val="00F53C9D"/>
    <w:rsid w:val="00F53F91"/>
    <w:rsid w:val="00F54B9F"/>
    <w:rsid w:val="00F57782"/>
    <w:rsid w:val="00F61569"/>
    <w:rsid w:val="00F61A72"/>
    <w:rsid w:val="00F62B67"/>
    <w:rsid w:val="00F6598C"/>
    <w:rsid w:val="00F66F13"/>
    <w:rsid w:val="00F70AB4"/>
    <w:rsid w:val="00F7145D"/>
    <w:rsid w:val="00F71B5E"/>
    <w:rsid w:val="00F74073"/>
    <w:rsid w:val="00F75603"/>
    <w:rsid w:val="00F77BE5"/>
    <w:rsid w:val="00F845B4"/>
    <w:rsid w:val="00F8713B"/>
    <w:rsid w:val="00F904FB"/>
    <w:rsid w:val="00F93046"/>
    <w:rsid w:val="00F93F9E"/>
    <w:rsid w:val="00F950BC"/>
    <w:rsid w:val="00F97E34"/>
    <w:rsid w:val="00FA2C85"/>
    <w:rsid w:val="00FA2CD7"/>
    <w:rsid w:val="00FA5AD5"/>
    <w:rsid w:val="00FA7882"/>
    <w:rsid w:val="00FB06ED"/>
    <w:rsid w:val="00FC08A4"/>
    <w:rsid w:val="00FC202F"/>
    <w:rsid w:val="00FC3165"/>
    <w:rsid w:val="00FC36AB"/>
    <w:rsid w:val="00FC4300"/>
    <w:rsid w:val="00FC6B09"/>
    <w:rsid w:val="00FC7F66"/>
    <w:rsid w:val="00FD0945"/>
    <w:rsid w:val="00FD1EB6"/>
    <w:rsid w:val="00FD51F0"/>
    <w:rsid w:val="00FD5776"/>
    <w:rsid w:val="00FD622C"/>
    <w:rsid w:val="00FD6A55"/>
    <w:rsid w:val="00FD6CF9"/>
    <w:rsid w:val="00FD7768"/>
    <w:rsid w:val="00FD7AAB"/>
    <w:rsid w:val="00FE1CB6"/>
    <w:rsid w:val="00FE486B"/>
    <w:rsid w:val="00FE4F08"/>
    <w:rsid w:val="00FE5E52"/>
    <w:rsid w:val="00FF192E"/>
    <w:rsid w:val="00FF3C8D"/>
    <w:rsid w:val="00FF598F"/>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DBF1C"/>
  <w15:docId w15:val="{D074150A-6820-4E12-B2C2-E5678DB4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42C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9E695C"/>
    <w:rPr>
      <w:sz w:val="16"/>
      <w:szCs w:val="16"/>
    </w:rPr>
  </w:style>
  <w:style w:type="paragraph" w:styleId="Tekstopmerking">
    <w:name w:val="annotation text"/>
    <w:basedOn w:val="Standaard"/>
    <w:link w:val="TekstopmerkingChar"/>
    <w:rsid w:val="009E695C"/>
    <w:pPr>
      <w:spacing w:line="240" w:lineRule="auto"/>
    </w:pPr>
    <w:rPr>
      <w:sz w:val="20"/>
      <w:szCs w:val="20"/>
    </w:rPr>
  </w:style>
  <w:style w:type="character" w:customStyle="1" w:styleId="TekstopmerkingChar">
    <w:name w:val="Tekst opmerking Char"/>
    <w:basedOn w:val="Standaardalinea-lettertype"/>
    <w:link w:val="Tekstopmerking"/>
    <w:rsid w:val="009E695C"/>
    <w:rPr>
      <w:rFonts w:ascii="Verdana" w:hAnsi="Verdana"/>
      <w:lang w:val="nl-NL" w:eastAsia="nl-NL"/>
    </w:rPr>
  </w:style>
  <w:style w:type="paragraph" w:styleId="Onderwerpvanopmerking">
    <w:name w:val="annotation subject"/>
    <w:basedOn w:val="Tekstopmerking"/>
    <w:next w:val="Tekstopmerking"/>
    <w:link w:val="OnderwerpvanopmerkingChar"/>
    <w:rsid w:val="009E695C"/>
    <w:rPr>
      <w:b/>
      <w:bCs/>
    </w:rPr>
  </w:style>
  <w:style w:type="character" w:customStyle="1" w:styleId="OnderwerpvanopmerkingChar">
    <w:name w:val="Onderwerp van opmerking Char"/>
    <w:basedOn w:val="TekstopmerkingChar"/>
    <w:link w:val="Onderwerpvanopmerking"/>
    <w:rsid w:val="009E695C"/>
    <w:rPr>
      <w:rFonts w:ascii="Verdana" w:hAnsi="Verdana"/>
      <w:b/>
      <w:bCs/>
      <w:lang w:val="nl-NL" w:eastAsia="nl-NL"/>
    </w:rPr>
  </w:style>
  <w:style w:type="paragraph" w:styleId="Revisie">
    <w:name w:val="Revision"/>
    <w:hidden/>
    <w:uiPriority w:val="99"/>
    <w:semiHidden/>
    <w:rsid w:val="001C4332"/>
    <w:rPr>
      <w:rFonts w:ascii="Verdana" w:hAnsi="Verdana"/>
      <w:sz w:val="18"/>
      <w:szCs w:val="24"/>
      <w:lang w:val="nl-NL" w:eastAsia="nl-NL"/>
    </w:rPr>
  </w:style>
  <w:style w:type="table" w:styleId="Rastertabel4-Accent5">
    <w:name w:val="Grid Table 4 Accent 5"/>
    <w:basedOn w:val="Standaardtabel"/>
    <w:uiPriority w:val="49"/>
    <w:rsid w:val="001D22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4-Accent1">
    <w:name w:val="Grid Table 4 Accent 1"/>
    <w:basedOn w:val="Standaardtabel"/>
    <w:uiPriority w:val="49"/>
    <w:rsid w:val="001D22C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Voetnootmarkering">
    <w:name w:val="footnote reference"/>
    <w:basedOn w:val="Standaardalinea-lettertype"/>
    <w:uiPriority w:val="99"/>
    <w:rsid w:val="0047258D"/>
    <w:rPr>
      <w:vertAlign w:val="superscript"/>
    </w:rPr>
  </w:style>
  <w:style w:type="character" w:styleId="Onopgelostemelding">
    <w:name w:val="Unresolved Mention"/>
    <w:basedOn w:val="Standaardalinea-lettertype"/>
    <w:uiPriority w:val="99"/>
    <w:semiHidden/>
    <w:unhideWhenUsed/>
    <w:rsid w:val="00231C25"/>
    <w:rPr>
      <w:color w:val="605E5C"/>
      <w:shd w:val="clear" w:color="auto" w:fill="E1DFDD"/>
    </w:rPr>
  </w:style>
  <w:style w:type="character" w:customStyle="1" w:styleId="VoetnoottekstChar">
    <w:name w:val="Voetnoottekst Char"/>
    <w:basedOn w:val="Standaardalinea-lettertype"/>
    <w:link w:val="Voetnoottekst"/>
    <w:semiHidden/>
    <w:rsid w:val="00AC2188"/>
    <w:rPr>
      <w:rFonts w:ascii="Verdana" w:hAnsi="Verdana"/>
      <w:sz w:val="13"/>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741F2C"/>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E66D3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2025/07/03/stand-van-zaken-instandhouding-in-het-basisonderwijs-en-update-regiobijeenkomsten" TargetMode="External"/><Relationship Id="rId2" Type="http://schemas.openxmlformats.org/officeDocument/2006/relationships/hyperlink" Target="https://www.rijksoverheid.nl/documenten/2025/07/03/stand-van-zaken-instandhouding-in-het-basisonderwijs-en-update-regiobijeenkomsten" TargetMode="External"/><Relationship Id="rId1" Type="http://schemas.openxmlformats.org/officeDocument/2006/relationships/hyperlink" Target="https://www.rijksoverheid.nl/documenten/2024/12/19/aanpassingen-in-het-stelsel-van-instandhouding-en-opheffing-in-het-primair-onderwij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4537</ap:Words>
  <ap:Characters>24959</ap:Characters>
  <ap:DocSecurity>4</ap:DocSecurity>
  <ap:Lines>207</ap:Lines>
  <ap:Paragraphs>58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29438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2026-07-02T16:43:00.0000000Z</lastPrinted>
  <dcterms:created xsi:type="dcterms:W3CDTF">2026-07-02T16:49:00.0000000Z</dcterms:created>
  <dcterms:modified xsi:type="dcterms:W3CDTF">2026-07-02T16:49:00.0000000Z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O202COL</vt:lpwstr>
  </property>
  <property fmtid="{D5CDD505-2E9C-101B-9397-08002B2CF9AE}" pid="3" name="Author">
    <vt:lpwstr>O202COL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Stand van zaken stelselherziening instandhouding in het basisonderwijs</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O202COL</vt:lpwstr>
  </property>
</Properties>
</file>