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C239F6" w14:paraId="32BB9497" w14:textId="77777777">
        <w:tc>
          <w:tcPr>
            <w:tcW w:w="7792" w:type="dxa"/>
            <w:gridSpan w:val="2"/>
          </w:tcPr>
          <w:p w:rsidR="005D2AE9" w:rsidP="00A75997" w:rsidRDefault="005D2AE9" w14:paraId="1BBCBD6C" w14:textId="77777777">
            <w:pPr>
              <w:spacing w:after="40"/>
            </w:pPr>
            <w:r w:rsidRPr="00DD78C0">
              <w:rPr>
                <w:sz w:val="13"/>
                <w:szCs w:val="13"/>
              </w:rPr>
              <w:t>&gt; Retouradres Postbus 20701 2500 ES Den Haag</w:t>
            </w:r>
          </w:p>
        </w:tc>
      </w:tr>
      <w:tr w:rsidR="005D2AE9" w:rsidTr="00C239F6" w14:paraId="40440335" w14:textId="77777777">
        <w:tc>
          <w:tcPr>
            <w:tcW w:w="7792" w:type="dxa"/>
            <w:gridSpan w:val="2"/>
          </w:tcPr>
          <w:p w:rsidR="005D2AE9" w:rsidP="00A75997" w:rsidRDefault="005D2AE9" w14:paraId="61403776" w14:textId="77777777">
            <w:pPr>
              <w:tabs>
                <w:tab w:val="left" w:pos="614"/>
              </w:tabs>
              <w:spacing w:after="0"/>
            </w:pPr>
            <w:r>
              <w:t>de Voorzitter van de Tweede Kamer</w:t>
            </w:r>
          </w:p>
          <w:p w:rsidR="005D2AE9" w:rsidP="00A75997" w:rsidRDefault="005D2AE9" w14:paraId="779CA0D0" w14:textId="77777777">
            <w:pPr>
              <w:tabs>
                <w:tab w:val="left" w:pos="614"/>
              </w:tabs>
              <w:spacing w:after="0"/>
            </w:pPr>
            <w:r>
              <w:t>der Staten-Generaal</w:t>
            </w:r>
          </w:p>
          <w:p w:rsidR="005D2AE9" w:rsidP="00A75997" w:rsidRDefault="005D2AE9" w14:paraId="4ED24625" w14:textId="77777777">
            <w:pPr>
              <w:tabs>
                <w:tab w:val="left" w:pos="614"/>
              </w:tabs>
              <w:spacing w:after="0"/>
            </w:pPr>
            <w:r>
              <w:t xml:space="preserve">Bezuidenhoutseweg 67 </w:t>
            </w:r>
          </w:p>
          <w:p w:rsidRPr="007B30DD" w:rsidR="00866A83" w:rsidP="007B30DD" w:rsidRDefault="005D2AE9" w14:paraId="2F7F4342" w14:textId="1ECB7D2A">
            <w:pPr>
              <w:tabs>
                <w:tab w:val="left" w:pos="614"/>
              </w:tabs>
              <w:spacing w:after="240"/>
            </w:pPr>
            <w:r>
              <w:t>2594 AC Den Haag</w:t>
            </w:r>
          </w:p>
        </w:tc>
      </w:tr>
      <w:tr w:rsidR="005D2AE9" w:rsidTr="5FD86A0F" w14:paraId="34FA4C08" w14:textId="77777777">
        <w:trPr>
          <w:trHeight w:val="283"/>
        </w:trPr>
        <w:tc>
          <w:tcPr>
            <w:tcW w:w="1969" w:type="dxa"/>
          </w:tcPr>
          <w:p w:rsidR="005D2AE9" w:rsidP="00A75997" w:rsidRDefault="005D2AE9" w14:paraId="0C3BE5FE" w14:textId="77777777">
            <w:pPr>
              <w:tabs>
                <w:tab w:val="left" w:pos="614"/>
              </w:tabs>
              <w:spacing w:after="0"/>
            </w:pPr>
            <w:r>
              <w:t>Datum</w:t>
            </w:r>
          </w:p>
        </w:tc>
        <w:sdt>
          <w:sdtPr>
            <w:alias w:val="Datum daadwerkelijke verzending"/>
            <w:tag w:val="Datum daadwerkelijke verzending"/>
            <w:id w:val="1978256768"/>
            <w:placeholder>
              <w:docPart w:val="5DA9B968501E4C70BD1AF4262F6FB983"/>
            </w:placeholder>
            <w:date w:fullDate="2026-07-02T00:00:00Z">
              <w:dateFormat w:val="d MMMM yyyy"/>
              <w:lid w:val="nl-NL"/>
              <w:storeMappedDataAs w:val="dateTime"/>
              <w:calendar w:val="gregorian"/>
            </w:date>
          </w:sdtPr>
          <w:sdtEndPr/>
          <w:sdtContent>
            <w:tc>
              <w:tcPr>
                <w:tcW w:w="5823" w:type="dxa"/>
              </w:tcPr>
              <w:p w:rsidR="005D2AE9" w:rsidP="00644FB4" w:rsidRDefault="000225DE" w14:paraId="70F2FDAA" w14:textId="5DE70AAF">
                <w:pPr>
                  <w:keepNext/>
                  <w:spacing w:after="0"/>
                </w:pPr>
                <w:r>
                  <w:t>2 juli 2026</w:t>
                </w:r>
              </w:p>
            </w:tc>
          </w:sdtContent>
        </w:sdt>
      </w:tr>
      <w:tr w:rsidR="005D2AE9" w:rsidTr="5FD86A0F" w14:paraId="1231E641" w14:textId="77777777">
        <w:trPr>
          <w:trHeight w:val="283"/>
        </w:trPr>
        <w:tc>
          <w:tcPr>
            <w:tcW w:w="1969" w:type="dxa"/>
          </w:tcPr>
          <w:p w:rsidR="005D2AE9" w:rsidP="00A75997" w:rsidRDefault="005D2AE9" w14:paraId="0143B0B1" w14:textId="77777777">
            <w:pPr>
              <w:tabs>
                <w:tab w:val="left" w:pos="614"/>
              </w:tabs>
              <w:spacing w:after="0"/>
            </w:pPr>
            <w:r>
              <w:t>Betreft</w:t>
            </w:r>
          </w:p>
        </w:tc>
        <w:tc>
          <w:tcPr>
            <w:tcW w:w="5823" w:type="dxa"/>
          </w:tcPr>
          <w:p w:rsidR="005D2AE9" w:rsidP="00A75997" w:rsidRDefault="00866A83" w14:paraId="1CDE2B5A" w14:textId="77777777">
            <w:pPr>
              <w:tabs>
                <w:tab w:val="left" w:pos="614"/>
              </w:tabs>
              <w:spacing w:after="0"/>
            </w:pPr>
            <w:r>
              <w:t>Leveringen militaire goederen aan Oekraïne</w:t>
            </w:r>
          </w:p>
        </w:tc>
      </w:tr>
    </w:tbl>
    <w:p w:rsidRPr="005D2AE9" w:rsidR="005D2AE9" w:rsidP="005D2AE9" w:rsidRDefault="005D2AE9" w14:paraId="1F5B0054" w14:textId="77777777">
      <w:r>
        <w:rPr>
          <w:noProof/>
          <w:lang w:eastAsia="nl-NL" w:bidi="ar-SA"/>
        </w:rPr>
        <mc:AlternateContent>
          <mc:Choice Requires="wps">
            <w:drawing>
              <wp:anchor distT="0" distB="0" distL="114300" distR="114300" simplePos="0" relativeHeight="251658240" behindDoc="0" locked="0" layoutInCell="1" allowOverlap="1" wp14:editId="5638F895" wp14:anchorId="15937D42">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20870" w:rsidP="00A75997" w:rsidRDefault="00F20870" w14:paraId="2B5483D4" w14:textId="77777777">
                            <w:pPr>
                              <w:pStyle w:val="ReferentiegegevenskopW1-Huisstijl"/>
                              <w:spacing w:before="360"/>
                            </w:pPr>
                            <w:r>
                              <w:t>Ministerie van Defensie</w:t>
                            </w:r>
                          </w:p>
                          <w:p w:rsidR="00F20870" w:rsidP="00A75997" w:rsidRDefault="00F20870" w14:paraId="64522811" w14:textId="77777777">
                            <w:pPr>
                              <w:pStyle w:val="Referentiegegevens-Huisstijl"/>
                            </w:pPr>
                            <w:r>
                              <w:t>Plein 4</w:t>
                            </w:r>
                          </w:p>
                          <w:p w:rsidR="00F20870" w:rsidP="00A75997" w:rsidRDefault="00F20870" w14:paraId="3ED7FC07" w14:textId="77777777">
                            <w:pPr>
                              <w:pStyle w:val="Referentiegegevens-Huisstijl"/>
                            </w:pPr>
                            <w:r>
                              <w:t>MPC 58 B</w:t>
                            </w:r>
                          </w:p>
                          <w:p w:rsidRPr="00866A83" w:rsidR="00F20870" w:rsidP="00A75997" w:rsidRDefault="00F20870" w14:paraId="7EEC68F0" w14:textId="77777777">
                            <w:pPr>
                              <w:pStyle w:val="Referentiegegevens-Huisstijl"/>
                              <w:rPr>
                                <w:lang w:val="de-DE"/>
                              </w:rPr>
                            </w:pPr>
                            <w:r w:rsidRPr="00866A83">
                              <w:rPr>
                                <w:lang w:val="de-DE"/>
                              </w:rPr>
                              <w:t>Postbus 20701</w:t>
                            </w:r>
                          </w:p>
                          <w:p w:rsidRPr="00866A83" w:rsidR="00F20870" w:rsidP="00A75997" w:rsidRDefault="00F20870" w14:paraId="4E82BB91" w14:textId="77777777">
                            <w:pPr>
                              <w:pStyle w:val="Referentiegegevens-Huisstijl"/>
                              <w:rPr>
                                <w:lang w:val="de-DE"/>
                              </w:rPr>
                            </w:pPr>
                            <w:r w:rsidRPr="00866A83">
                              <w:rPr>
                                <w:lang w:val="de-DE"/>
                              </w:rPr>
                              <w:t>2500 ES Den Haag</w:t>
                            </w:r>
                          </w:p>
                          <w:p w:rsidRPr="00866A83" w:rsidR="00F20870" w:rsidP="00A75997" w:rsidRDefault="00F20870" w14:paraId="08629799" w14:textId="77777777">
                            <w:pPr>
                              <w:pStyle w:val="Referentiegegevens-Huisstijl"/>
                              <w:rPr>
                                <w:lang w:val="de-DE"/>
                              </w:rPr>
                            </w:pPr>
                            <w:r w:rsidRPr="00866A83">
                              <w:rPr>
                                <w:lang w:val="de-DE"/>
                              </w:rPr>
                              <w:t>www.defensie.nl</w:t>
                            </w:r>
                          </w:p>
                          <w:sdt>
                            <w:sdtPr>
                              <w:id w:val="-1579366926"/>
                              <w:lock w:val="contentLocked"/>
                              <w:placeholder>
                                <w:docPart w:val="57E68DABBED84F31BAB8ED822AF20A57"/>
                              </w:placeholder>
                            </w:sdtPr>
                            <w:sdtEndPr/>
                            <w:sdtContent>
                              <w:p w:rsidR="00F20870" w:rsidP="00A75997" w:rsidRDefault="00F20870" w14:paraId="495E8DF7" w14:textId="77777777">
                                <w:pPr>
                                  <w:pStyle w:val="ReferentiegegevenskopW1-Huisstijl"/>
                                  <w:spacing w:before="120"/>
                                </w:pPr>
                                <w:r>
                                  <w:t>Onze referentie</w:t>
                                </w:r>
                              </w:p>
                            </w:sdtContent>
                          </w:sdt>
                          <w:p w:rsidRPr="00493617" w:rsidR="00F20870" w:rsidP="001F3E12" w:rsidRDefault="00F20870" w14:paraId="1E8D405B" w14:textId="0E87F8AE">
                            <w:pPr>
                              <w:pStyle w:val="Algemenevoorwaarden-Huisstijl"/>
                              <w:spacing w:before="0"/>
                              <w:rPr>
                                <w:i w:val="0"/>
                              </w:rPr>
                            </w:pPr>
                            <w:r w:rsidRPr="00493617">
                              <w:rPr>
                                <w:i w:val="0"/>
                              </w:rPr>
                              <w:t>MINDEF2026</w:t>
                            </w:r>
                            <w:r>
                              <w:rPr>
                                <w:i w:val="0"/>
                              </w:rPr>
                              <w:t>0</w:t>
                            </w:r>
                            <w:r w:rsidR="00631C3F">
                              <w:rPr>
                                <w:i w:val="0"/>
                              </w:rPr>
                              <w:t>46327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5937D42">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F20870" w:rsidP="00A75997" w:rsidRDefault="00F20870" w14:paraId="2B5483D4" w14:textId="77777777">
                      <w:pPr>
                        <w:pStyle w:val="ReferentiegegevenskopW1-Huisstijl"/>
                        <w:spacing w:before="360"/>
                      </w:pPr>
                      <w:r>
                        <w:t>Ministerie van Defensie</w:t>
                      </w:r>
                    </w:p>
                    <w:p w:rsidR="00F20870" w:rsidP="00A75997" w:rsidRDefault="00F20870" w14:paraId="64522811" w14:textId="77777777">
                      <w:pPr>
                        <w:pStyle w:val="Referentiegegevens-Huisstijl"/>
                      </w:pPr>
                      <w:r>
                        <w:t>Plein 4</w:t>
                      </w:r>
                    </w:p>
                    <w:p w:rsidR="00F20870" w:rsidP="00A75997" w:rsidRDefault="00F20870" w14:paraId="3ED7FC07" w14:textId="77777777">
                      <w:pPr>
                        <w:pStyle w:val="Referentiegegevens-Huisstijl"/>
                      </w:pPr>
                      <w:r>
                        <w:t>MPC 58 B</w:t>
                      </w:r>
                    </w:p>
                    <w:p w:rsidRPr="00866A83" w:rsidR="00F20870" w:rsidP="00A75997" w:rsidRDefault="00F20870" w14:paraId="7EEC68F0" w14:textId="77777777">
                      <w:pPr>
                        <w:pStyle w:val="Referentiegegevens-Huisstijl"/>
                        <w:rPr>
                          <w:lang w:val="de-DE"/>
                        </w:rPr>
                      </w:pPr>
                      <w:r w:rsidRPr="00866A83">
                        <w:rPr>
                          <w:lang w:val="de-DE"/>
                        </w:rPr>
                        <w:t>Postbus 20701</w:t>
                      </w:r>
                    </w:p>
                    <w:p w:rsidRPr="00866A83" w:rsidR="00F20870" w:rsidP="00A75997" w:rsidRDefault="00F20870" w14:paraId="4E82BB91" w14:textId="77777777">
                      <w:pPr>
                        <w:pStyle w:val="Referentiegegevens-Huisstijl"/>
                        <w:rPr>
                          <w:lang w:val="de-DE"/>
                        </w:rPr>
                      </w:pPr>
                      <w:r w:rsidRPr="00866A83">
                        <w:rPr>
                          <w:lang w:val="de-DE"/>
                        </w:rPr>
                        <w:t>2500 ES Den Haag</w:t>
                      </w:r>
                    </w:p>
                    <w:p w:rsidRPr="00866A83" w:rsidR="00F20870" w:rsidP="00A75997" w:rsidRDefault="00F20870" w14:paraId="08629799" w14:textId="77777777">
                      <w:pPr>
                        <w:pStyle w:val="Referentiegegevens-Huisstijl"/>
                        <w:rPr>
                          <w:lang w:val="de-DE"/>
                        </w:rPr>
                      </w:pPr>
                      <w:r w:rsidRPr="00866A83">
                        <w:rPr>
                          <w:lang w:val="de-DE"/>
                        </w:rPr>
                        <w:t>www.defensie.nl</w:t>
                      </w:r>
                    </w:p>
                    <w:sdt>
                      <w:sdtPr>
                        <w:id w:val="-1579366926"/>
                        <w:lock w:val="contentLocked"/>
                        <w:placeholder>
                          <w:docPart w:val="57E68DABBED84F31BAB8ED822AF20A57"/>
                        </w:placeholder>
                      </w:sdtPr>
                      <w:sdtEndPr/>
                      <w:sdtContent>
                        <w:p w:rsidR="00F20870" w:rsidP="00A75997" w:rsidRDefault="00F20870" w14:paraId="495E8DF7" w14:textId="77777777">
                          <w:pPr>
                            <w:pStyle w:val="ReferentiegegevenskopW1-Huisstijl"/>
                            <w:spacing w:before="120"/>
                          </w:pPr>
                          <w:r>
                            <w:t>Onze referentie</w:t>
                          </w:r>
                        </w:p>
                      </w:sdtContent>
                    </w:sdt>
                    <w:p w:rsidRPr="00493617" w:rsidR="00F20870" w:rsidP="001F3E12" w:rsidRDefault="00F20870" w14:paraId="1E8D405B" w14:textId="0E87F8AE">
                      <w:pPr>
                        <w:pStyle w:val="Algemenevoorwaarden-Huisstijl"/>
                        <w:spacing w:before="0"/>
                        <w:rPr>
                          <w:i w:val="0"/>
                        </w:rPr>
                      </w:pPr>
                      <w:r w:rsidRPr="00493617">
                        <w:rPr>
                          <w:i w:val="0"/>
                        </w:rPr>
                        <w:t>MINDEF2026</w:t>
                      </w:r>
                      <w:r>
                        <w:rPr>
                          <w:i w:val="0"/>
                        </w:rPr>
                        <w:t>0</w:t>
                      </w:r>
                      <w:r w:rsidR="00631C3F">
                        <w:rPr>
                          <w:i w:val="0"/>
                        </w:rPr>
                        <w:t>46327</w:t>
                      </w:r>
                    </w:p>
                  </w:txbxContent>
                </v:textbox>
                <w10:wrap anchorx="page" anchory="page"/>
              </v:shape>
            </w:pict>
          </mc:Fallback>
        </mc:AlternateContent>
      </w:r>
    </w:p>
    <w:p w:rsidR="00A13329" w:rsidP="00A13329" w:rsidRDefault="00A13329" w14:paraId="034DA422" w14:textId="77777777">
      <w:pPr>
        <w:spacing w:after="0" w:line="276" w:lineRule="auto"/>
        <w:rPr>
          <w:color w:val="000000"/>
        </w:rPr>
      </w:pPr>
      <w:r>
        <w:rPr>
          <w:color w:val="000000"/>
        </w:rPr>
        <w:t xml:space="preserve">Geachte voorzitter, </w:t>
      </w:r>
    </w:p>
    <w:p w:rsidR="00A13329" w:rsidP="00A13329" w:rsidRDefault="00A13329" w14:paraId="549E5A65" w14:textId="77777777">
      <w:pPr>
        <w:spacing w:after="0" w:line="276" w:lineRule="auto"/>
        <w:rPr>
          <w:color w:val="000000"/>
        </w:rPr>
      </w:pPr>
    </w:p>
    <w:p w:rsidR="00A13329" w:rsidP="00095EF0" w:rsidRDefault="006C2D74" w14:paraId="1CE17667" w14:textId="035CBD5D">
      <w:pPr>
        <w:pStyle w:val="Default"/>
        <w:spacing w:line="276" w:lineRule="auto"/>
        <w:rPr>
          <w:rFonts w:cs="Lohit Hindi"/>
          <w:color w:val="auto"/>
          <w:kern w:val="3"/>
          <w:sz w:val="18"/>
          <w:szCs w:val="18"/>
          <w:lang w:bidi="hi-IN"/>
        </w:rPr>
      </w:pPr>
      <w:r>
        <w:rPr>
          <w:rFonts w:cs="Lohit Hindi"/>
          <w:color w:val="auto"/>
          <w:kern w:val="3"/>
          <w:sz w:val="18"/>
          <w:szCs w:val="18"/>
          <w:lang w:bidi="hi-IN"/>
        </w:rPr>
        <w:t>Zoals toegezegd aan uw Kamer en i</w:t>
      </w:r>
      <w:r w:rsidRPr="00263C35" w:rsidR="00A13329">
        <w:rPr>
          <w:rFonts w:cs="Lohit Hindi"/>
          <w:color w:val="auto"/>
          <w:kern w:val="3"/>
          <w:sz w:val="18"/>
          <w:szCs w:val="18"/>
          <w:lang w:bidi="hi-IN"/>
        </w:rPr>
        <w:t xml:space="preserve">n vervolg op de vorige update van leveringen van militaire goederen aan Oekraïne </w:t>
      </w:r>
      <w:r w:rsidRPr="00260C2A" w:rsidR="00A13329">
        <w:rPr>
          <w:rFonts w:cs="Lohit Hindi"/>
          <w:color w:val="auto"/>
          <w:kern w:val="3"/>
          <w:sz w:val="18"/>
          <w:szCs w:val="18"/>
          <w:lang w:bidi="hi-IN"/>
        </w:rPr>
        <w:t>(K</w:t>
      </w:r>
      <w:r w:rsidR="00644FB4">
        <w:rPr>
          <w:rFonts w:cs="Lohit Hindi"/>
          <w:color w:val="auto"/>
          <w:kern w:val="3"/>
          <w:sz w:val="18"/>
          <w:szCs w:val="18"/>
          <w:lang w:bidi="hi-IN"/>
        </w:rPr>
        <w:t>amerstuk 22 054, nr. 479</w:t>
      </w:r>
      <w:r w:rsidRPr="00260C2A" w:rsidR="00807154">
        <w:rPr>
          <w:rFonts w:cs="Lohit Hindi"/>
          <w:color w:val="auto"/>
          <w:kern w:val="3"/>
          <w:sz w:val="18"/>
          <w:szCs w:val="18"/>
          <w:lang w:bidi="hi-IN"/>
        </w:rPr>
        <w:t xml:space="preserve">, </w:t>
      </w:r>
      <w:r w:rsidR="00F071A0">
        <w:rPr>
          <w:rFonts w:cs="Lohit Hindi"/>
          <w:color w:val="auto"/>
          <w:kern w:val="3"/>
          <w:sz w:val="18"/>
          <w:szCs w:val="18"/>
          <w:lang w:bidi="hi-IN"/>
        </w:rPr>
        <w:t>dd.</w:t>
      </w:r>
      <w:r w:rsidRPr="00260C2A" w:rsidR="00807154">
        <w:rPr>
          <w:rFonts w:cs="Lohit Hindi"/>
          <w:color w:val="auto"/>
          <w:kern w:val="3"/>
          <w:sz w:val="18"/>
          <w:szCs w:val="18"/>
          <w:lang w:bidi="hi-IN"/>
        </w:rPr>
        <w:t xml:space="preserve"> </w:t>
      </w:r>
      <w:r w:rsidR="00644FB4">
        <w:rPr>
          <w:rFonts w:cs="Lohit Hindi"/>
          <w:color w:val="auto"/>
          <w:kern w:val="3"/>
          <w:sz w:val="18"/>
          <w:szCs w:val="18"/>
          <w:lang w:bidi="hi-IN"/>
        </w:rPr>
        <w:t>27 februari</w:t>
      </w:r>
      <w:r w:rsidR="004A4726">
        <w:rPr>
          <w:rFonts w:cs="Lohit Hindi"/>
          <w:color w:val="auto"/>
          <w:kern w:val="3"/>
          <w:sz w:val="18"/>
          <w:szCs w:val="18"/>
          <w:lang w:bidi="hi-IN"/>
        </w:rPr>
        <w:t xml:space="preserve"> 202</w:t>
      </w:r>
      <w:r w:rsidR="00B30227">
        <w:rPr>
          <w:rFonts w:cs="Lohit Hindi"/>
          <w:color w:val="auto"/>
          <w:kern w:val="3"/>
          <w:sz w:val="18"/>
          <w:szCs w:val="18"/>
          <w:lang w:bidi="hi-IN"/>
        </w:rPr>
        <w:t>6</w:t>
      </w:r>
      <w:r w:rsidRPr="00260C2A" w:rsidR="00A13329">
        <w:rPr>
          <w:rFonts w:cs="Lohit Hindi"/>
          <w:color w:val="auto"/>
          <w:kern w:val="3"/>
          <w:sz w:val="18"/>
          <w:szCs w:val="18"/>
          <w:lang w:bidi="hi-IN"/>
        </w:rPr>
        <w:t>)</w:t>
      </w:r>
      <w:r w:rsidRPr="00263C35" w:rsidR="00521203">
        <w:rPr>
          <w:rFonts w:cs="Lohit Hindi"/>
          <w:color w:val="auto"/>
          <w:kern w:val="3"/>
          <w:sz w:val="18"/>
          <w:szCs w:val="18"/>
          <w:lang w:bidi="hi-IN"/>
        </w:rPr>
        <w:t xml:space="preserve"> </w:t>
      </w:r>
      <w:r w:rsidRPr="00263C35" w:rsidR="00A13329">
        <w:rPr>
          <w:rFonts w:cs="Lohit Hindi"/>
          <w:color w:val="auto"/>
          <w:kern w:val="3"/>
          <w:sz w:val="18"/>
          <w:szCs w:val="18"/>
          <w:lang w:bidi="hi-IN"/>
        </w:rPr>
        <w:t xml:space="preserve">informeer ik u, mede namens de minister van Buitenlandse Zaken en </w:t>
      </w:r>
      <w:r w:rsidRPr="00122A27" w:rsidR="00A13329">
        <w:rPr>
          <w:rFonts w:cs="Lohit Hindi"/>
          <w:color w:val="auto"/>
          <w:kern w:val="3"/>
          <w:sz w:val="18"/>
          <w:szCs w:val="18"/>
          <w:lang w:bidi="hi-IN"/>
        </w:rPr>
        <w:t xml:space="preserve">de </w:t>
      </w:r>
      <w:r w:rsidR="00B30227">
        <w:rPr>
          <w:rFonts w:cs="Lohit Hindi"/>
          <w:color w:val="auto"/>
          <w:kern w:val="3"/>
          <w:sz w:val="18"/>
          <w:szCs w:val="18"/>
          <w:lang w:bidi="hi-IN"/>
        </w:rPr>
        <w:t>minister van</w:t>
      </w:r>
      <w:r w:rsidRPr="00122A27" w:rsidR="00A13329">
        <w:rPr>
          <w:rFonts w:cs="Lohit Hindi"/>
          <w:color w:val="auto"/>
          <w:kern w:val="3"/>
          <w:sz w:val="18"/>
          <w:szCs w:val="18"/>
          <w:lang w:bidi="hi-IN"/>
        </w:rPr>
        <w:t xml:space="preserve"> Buitenlandse Handel</w:t>
      </w:r>
      <w:r w:rsidRPr="00122A27" w:rsidR="00FE4A2A">
        <w:rPr>
          <w:rFonts w:cs="Lohit Hindi"/>
          <w:color w:val="auto"/>
          <w:kern w:val="3"/>
          <w:sz w:val="18"/>
          <w:szCs w:val="18"/>
          <w:lang w:bidi="hi-IN"/>
        </w:rPr>
        <w:t xml:space="preserve"> en </w:t>
      </w:r>
      <w:r w:rsidRPr="00122A27" w:rsidR="00434ACD">
        <w:rPr>
          <w:rFonts w:cs="Lohit Hindi"/>
          <w:color w:val="auto"/>
          <w:kern w:val="3"/>
          <w:sz w:val="18"/>
          <w:szCs w:val="18"/>
          <w:lang w:bidi="hi-IN"/>
        </w:rPr>
        <w:t>O</w:t>
      </w:r>
      <w:r w:rsidR="00434ACD">
        <w:rPr>
          <w:rFonts w:cs="Lohit Hindi"/>
          <w:color w:val="auto"/>
          <w:kern w:val="3"/>
          <w:sz w:val="18"/>
          <w:szCs w:val="18"/>
          <w:lang w:bidi="hi-IN"/>
        </w:rPr>
        <w:t>ntwikkelingssamenwerking</w:t>
      </w:r>
      <w:r w:rsidRPr="00122A27" w:rsidR="00434ACD">
        <w:rPr>
          <w:rFonts w:cs="Lohit Hindi"/>
          <w:color w:val="auto"/>
          <w:kern w:val="3"/>
          <w:sz w:val="18"/>
          <w:szCs w:val="18"/>
          <w:lang w:bidi="hi-IN"/>
        </w:rPr>
        <w:t xml:space="preserve"> </w:t>
      </w:r>
      <w:r w:rsidRPr="00263C35" w:rsidR="00A13329">
        <w:rPr>
          <w:rFonts w:cs="Lohit Hindi"/>
          <w:color w:val="auto"/>
          <w:kern w:val="3"/>
          <w:sz w:val="18"/>
          <w:szCs w:val="18"/>
          <w:lang w:bidi="hi-IN"/>
        </w:rPr>
        <w:t xml:space="preserve">over de laatste stand van zaken omtrent de levering van militaire goederen aan Oekraïne. </w:t>
      </w:r>
      <w:r w:rsidR="00157F3F">
        <w:rPr>
          <w:rFonts w:cs="Lohit Hindi"/>
          <w:color w:val="auto"/>
          <w:kern w:val="3"/>
          <w:sz w:val="18"/>
          <w:szCs w:val="18"/>
          <w:lang w:bidi="hi-IN"/>
        </w:rPr>
        <w:t xml:space="preserve">Het kabinet zet de militaire en financiële steun aan Oekraïne meerjarig en onverminderd voort. Door de samenwerking tussen Nederland en Oekraïne wordt Oekraïne in staat gesteld zich te weren tegen de voortdurende Russische agressie, ontwikkelt de Nederlandse krijgsmacht zich door de uitwisseling van geleerde lessen, en kunnen de Oekraïense en Nederlandse industrie gezamenlijk innoveren en zich verder ontwikkelen. </w:t>
      </w:r>
      <w:r w:rsidRPr="00263C35" w:rsidR="00521203">
        <w:rPr>
          <w:rFonts w:cs="Lohit Hindi"/>
          <w:color w:val="auto"/>
          <w:kern w:val="3"/>
          <w:sz w:val="18"/>
          <w:szCs w:val="18"/>
          <w:lang w:bidi="hi-IN"/>
        </w:rPr>
        <w:t>Nederland</w:t>
      </w:r>
      <w:r w:rsidR="00F703BD">
        <w:rPr>
          <w:rFonts w:cs="Lohit Hindi"/>
          <w:color w:val="auto"/>
          <w:kern w:val="3"/>
          <w:sz w:val="18"/>
          <w:szCs w:val="18"/>
          <w:lang w:bidi="hi-IN"/>
        </w:rPr>
        <w:t xml:space="preserve"> heeft sinds de aanvang van de grootschalige agressieoorlog </w:t>
      </w:r>
      <w:r w:rsidR="00260C2A">
        <w:rPr>
          <w:rFonts w:cs="Lohit Hindi"/>
          <w:color w:val="auto"/>
          <w:kern w:val="3"/>
          <w:sz w:val="18"/>
          <w:szCs w:val="18"/>
          <w:lang w:bidi="hi-IN"/>
        </w:rPr>
        <w:t xml:space="preserve">circa </w:t>
      </w:r>
      <w:r w:rsidR="007B5DEE">
        <w:rPr>
          <w:rFonts w:cs="Lohit Hindi"/>
          <w:color w:val="auto"/>
          <w:kern w:val="3"/>
          <w:sz w:val="18"/>
          <w:szCs w:val="18"/>
          <w:lang w:bidi="hi-IN"/>
        </w:rPr>
        <w:t>€</w:t>
      </w:r>
      <w:r w:rsidR="00095EF0">
        <w:rPr>
          <w:rFonts w:cs="Lohit Hindi"/>
          <w:color w:val="auto"/>
          <w:kern w:val="3"/>
          <w:sz w:val="18"/>
          <w:szCs w:val="18"/>
          <w:lang w:bidi="hi-IN"/>
        </w:rPr>
        <w:t>14,</w:t>
      </w:r>
      <w:r w:rsidR="00E8297A">
        <w:rPr>
          <w:rFonts w:cs="Lohit Hindi"/>
          <w:color w:val="auto"/>
          <w:kern w:val="3"/>
          <w:sz w:val="18"/>
          <w:szCs w:val="18"/>
          <w:lang w:bidi="hi-IN"/>
        </w:rPr>
        <w:t>8</w:t>
      </w:r>
      <w:r w:rsidRPr="00263C35" w:rsidR="00521203">
        <w:rPr>
          <w:rFonts w:cs="Lohit Hindi"/>
          <w:color w:val="auto"/>
          <w:kern w:val="3"/>
          <w:sz w:val="18"/>
          <w:szCs w:val="18"/>
          <w:lang w:bidi="hi-IN"/>
        </w:rPr>
        <w:t xml:space="preserve"> </w:t>
      </w:r>
      <w:r w:rsidR="009B1724">
        <w:rPr>
          <w:rFonts w:cs="Lohit Hindi"/>
          <w:color w:val="auto"/>
          <w:kern w:val="3"/>
          <w:sz w:val="18"/>
          <w:szCs w:val="18"/>
          <w:lang w:bidi="hi-IN"/>
        </w:rPr>
        <w:t>mld.</w:t>
      </w:r>
      <w:r w:rsidRPr="00263C35" w:rsidR="009B1724">
        <w:rPr>
          <w:rFonts w:cs="Lohit Hindi"/>
          <w:color w:val="auto"/>
          <w:kern w:val="3"/>
          <w:sz w:val="18"/>
          <w:szCs w:val="18"/>
          <w:lang w:bidi="hi-IN"/>
        </w:rPr>
        <w:t xml:space="preserve"> </w:t>
      </w:r>
      <w:r w:rsidRPr="00263C35" w:rsidR="00521203">
        <w:rPr>
          <w:rFonts w:cs="Lohit Hindi"/>
          <w:color w:val="auto"/>
          <w:kern w:val="3"/>
          <w:sz w:val="18"/>
          <w:szCs w:val="18"/>
          <w:lang w:bidi="hi-IN"/>
        </w:rPr>
        <w:t>aan</w:t>
      </w:r>
      <w:r w:rsidR="008546A5">
        <w:rPr>
          <w:rFonts w:cs="Lohit Hindi"/>
          <w:color w:val="auto"/>
          <w:kern w:val="3"/>
          <w:sz w:val="18"/>
          <w:szCs w:val="18"/>
          <w:lang w:bidi="hi-IN"/>
        </w:rPr>
        <w:t xml:space="preserve"> (bruto)</w:t>
      </w:r>
      <w:r w:rsidRPr="00263C35" w:rsidR="00521203">
        <w:rPr>
          <w:rFonts w:cs="Lohit Hindi"/>
          <w:color w:val="auto"/>
          <w:kern w:val="3"/>
          <w:sz w:val="18"/>
          <w:szCs w:val="18"/>
          <w:lang w:bidi="hi-IN"/>
        </w:rPr>
        <w:t xml:space="preserve"> militaire steun</w:t>
      </w:r>
      <w:r w:rsidR="00F703BD">
        <w:rPr>
          <w:rFonts w:cs="Lohit Hindi"/>
          <w:color w:val="auto"/>
          <w:kern w:val="3"/>
          <w:sz w:val="18"/>
          <w:szCs w:val="18"/>
          <w:lang w:bidi="hi-IN"/>
        </w:rPr>
        <w:t xml:space="preserve"> </w:t>
      </w:r>
      <w:r>
        <w:rPr>
          <w:rFonts w:cs="Lohit Hindi"/>
          <w:color w:val="auto"/>
          <w:kern w:val="3"/>
          <w:sz w:val="18"/>
          <w:szCs w:val="18"/>
          <w:lang w:bidi="hi-IN"/>
        </w:rPr>
        <w:t>aan Oekraïne</w:t>
      </w:r>
      <w:r w:rsidR="00F703BD">
        <w:rPr>
          <w:rFonts w:cs="Lohit Hindi"/>
          <w:color w:val="auto"/>
          <w:kern w:val="3"/>
          <w:sz w:val="18"/>
          <w:szCs w:val="18"/>
          <w:lang w:bidi="hi-IN"/>
        </w:rPr>
        <w:t xml:space="preserve"> </w:t>
      </w:r>
      <w:r w:rsidR="008546A5">
        <w:rPr>
          <w:rFonts w:cs="Lohit Hindi"/>
          <w:color w:val="auto"/>
          <w:kern w:val="3"/>
          <w:sz w:val="18"/>
          <w:szCs w:val="18"/>
          <w:lang w:bidi="hi-IN"/>
        </w:rPr>
        <w:t>toegekend</w:t>
      </w:r>
      <w:r w:rsidRPr="00263C35" w:rsidR="00521203">
        <w:rPr>
          <w:rFonts w:cs="Lohit Hindi"/>
          <w:color w:val="auto"/>
          <w:kern w:val="3"/>
          <w:sz w:val="18"/>
          <w:szCs w:val="18"/>
          <w:lang w:bidi="hi-IN"/>
        </w:rPr>
        <w:t>.</w:t>
      </w:r>
      <w:r w:rsidR="008546A5">
        <w:rPr>
          <w:rFonts w:cs="Lohit Hindi"/>
          <w:color w:val="auto"/>
          <w:kern w:val="3"/>
          <w:sz w:val="18"/>
          <w:szCs w:val="18"/>
          <w:lang w:bidi="hi-IN"/>
        </w:rPr>
        <w:t xml:space="preserve"> </w:t>
      </w:r>
      <w:r w:rsidR="00C85908">
        <w:rPr>
          <w:rFonts w:cs="Lohit Hindi"/>
          <w:color w:val="auto"/>
          <w:kern w:val="3"/>
          <w:sz w:val="18"/>
          <w:szCs w:val="18"/>
          <w:lang w:bidi="hi-IN"/>
        </w:rPr>
        <w:t>Daar bovenop</w:t>
      </w:r>
      <w:r>
        <w:rPr>
          <w:rFonts w:cs="Lohit Hindi"/>
          <w:color w:val="auto"/>
          <w:kern w:val="3"/>
          <w:sz w:val="18"/>
          <w:szCs w:val="18"/>
          <w:lang w:bidi="hi-IN"/>
        </w:rPr>
        <w:t xml:space="preserve"> stelt</w:t>
      </w:r>
      <w:r w:rsidR="00C85908">
        <w:rPr>
          <w:rFonts w:cs="Lohit Hindi"/>
          <w:color w:val="auto"/>
          <w:kern w:val="3"/>
          <w:sz w:val="18"/>
          <w:szCs w:val="18"/>
          <w:lang w:bidi="hi-IN"/>
        </w:rPr>
        <w:t xml:space="preserve"> het kabinet</w:t>
      </w:r>
      <w:r w:rsidR="008546A5">
        <w:rPr>
          <w:rFonts w:cs="Lohit Hindi"/>
          <w:color w:val="auto"/>
          <w:kern w:val="3"/>
          <w:sz w:val="18"/>
          <w:szCs w:val="18"/>
          <w:lang w:bidi="hi-IN"/>
        </w:rPr>
        <w:t>,</w:t>
      </w:r>
      <w:r w:rsidRPr="00F20870" w:rsidR="00F20870">
        <w:t xml:space="preserve"> </w:t>
      </w:r>
      <w:r w:rsidRPr="00F20870" w:rsidR="00F20870">
        <w:rPr>
          <w:rFonts w:cs="Lohit Hindi"/>
          <w:color w:val="auto"/>
          <w:kern w:val="3"/>
          <w:sz w:val="18"/>
          <w:szCs w:val="18"/>
          <w:lang w:bidi="hi-IN"/>
        </w:rPr>
        <w:t>zoals aangekondigd in het coalitieakkoord, jaarlijks circa €3 miljard euro (netto</w:t>
      </w:r>
      <w:r w:rsidR="00F20870">
        <w:rPr>
          <w:rFonts w:cs="Lohit Hindi"/>
          <w:color w:val="auto"/>
          <w:kern w:val="3"/>
          <w:sz w:val="18"/>
          <w:szCs w:val="18"/>
          <w:lang w:bidi="hi-IN"/>
        </w:rPr>
        <w:t>) beschikbaar in de periode 2027</w:t>
      </w:r>
      <w:r w:rsidRPr="00F20870" w:rsidR="00F20870">
        <w:rPr>
          <w:rFonts w:cs="Lohit Hindi"/>
          <w:color w:val="auto"/>
          <w:kern w:val="3"/>
          <w:sz w:val="18"/>
          <w:szCs w:val="18"/>
          <w:lang w:bidi="hi-IN"/>
        </w:rPr>
        <w:t xml:space="preserve"> – 2029</w:t>
      </w:r>
      <w:r w:rsidR="008546A5">
        <w:rPr>
          <w:rFonts w:cs="Lohit Hindi"/>
          <w:color w:val="auto"/>
          <w:kern w:val="3"/>
          <w:sz w:val="18"/>
          <w:szCs w:val="18"/>
          <w:lang w:bidi="hi-IN"/>
        </w:rPr>
        <w:t xml:space="preserve">. </w:t>
      </w:r>
      <w:r>
        <w:rPr>
          <w:rFonts w:cs="Lohit Hindi"/>
          <w:color w:val="auto"/>
          <w:kern w:val="3"/>
          <w:sz w:val="18"/>
          <w:szCs w:val="18"/>
          <w:lang w:bidi="hi-IN"/>
        </w:rPr>
        <w:t xml:space="preserve">Hiervan is €437 miljoen naar voren gehaald en al aan de Defensiebegroting toegevoegd </w:t>
      </w:r>
      <w:r w:rsidR="00514345">
        <w:rPr>
          <w:rFonts w:cs="Lohit Hindi"/>
          <w:color w:val="auto"/>
          <w:kern w:val="3"/>
          <w:sz w:val="18"/>
          <w:szCs w:val="18"/>
          <w:lang w:bidi="hi-IN"/>
        </w:rPr>
        <w:t>met</w:t>
      </w:r>
      <w:r>
        <w:rPr>
          <w:rFonts w:cs="Lohit Hindi"/>
          <w:color w:val="auto"/>
          <w:kern w:val="3"/>
          <w:sz w:val="18"/>
          <w:szCs w:val="18"/>
          <w:lang w:bidi="hi-IN"/>
        </w:rPr>
        <w:t xml:space="preserve"> de 1</w:t>
      </w:r>
      <w:r w:rsidRPr="00B95D37">
        <w:rPr>
          <w:rFonts w:cs="Lohit Hindi"/>
          <w:color w:val="auto"/>
          <w:kern w:val="3"/>
          <w:sz w:val="18"/>
          <w:szCs w:val="18"/>
          <w:vertAlign w:val="superscript"/>
          <w:lang w:bidi="hi-IN"/>
        </w:rPr>
        <w:t>e</w:t>
      </w:r>
      <w:r>
        <w:rPr>
          <w:rFonts w:cs="Lohit Hindi"/>
          <w:color w:val="auto"/>
          <w:kern w:val="3"/>
          <w:sz w:val="18"/>
          <w:szCs w:val="18"/>
          <w:lang w:bidi="hi-IN"/>
        </w:rPr>
        <w:t xml:space="preserve"> suppletoire begroting 2026. </w:t>
      </w:r>
      <w:r w:rsidR="008546A5">
        <w:rPr>
          <w:rFonts w:cs="Lohit Hindi"/>
          <w:color w:val="auto"/>
          <w:kern w:val="3"/>
          <w:sz w:val="18"/>
          <w:szCs w:val="18"/>
          <w:lang w:bidi="hi-IN"/>
        </w:rPr>
        <w:t xml:space="preserve">Uw Kamer is op 21 april jl. in meer detail over </w:t>
      </w:r>
      <w:r>
        <w:rPr>
          <w:rFonts w:cs="Lohit Hindi"/>
          <w:color w:val="auto"/>
          <w:kern w:val="3"/>
          <w:sz w:val="18"/>
          <w:szCs w:val="18"/>
          <w:lang w:bidi="hi-IN"/>
        </w:rPr>
        <w:t>deze kasschuif evenals de bredere</w:t>
      </w:r>
      <w:r w:rsidR="008546A5">
        <w:rPr>
          <w:rFonts w:cs="Lohit Hindi"/>
          <w:color w:val="auto"/>
          <w:kern w:val="3"/>
          <w:sz w:val="18"/>
          <w:szCs w:val="18"/>
          <w:lang w:bidi="hi-IN"/>
        </w:rPr>
        <w:t xml:space="preserve"> financiële stand van zaken t</w:t>
      </w:r>
      <w:r w:rsidR="00834CCF">
        <w:rPr>
          <w:rFonts w:cs="Lohit Hindi"/>
          <w:color w:val="auto"/>
          <w:kern w:val="3"/>
          <w:sz w:val="18"/>
          <w:szCs w:val="18"/>
          <w:lang w:bidi="hi-IN"/>
        </w:rPr>
        <w:t xml:space="preserve">en aan zien van </w:t>
      </w:r>
      <w:r w:rsidR="008546A5">
        <w:rPr>
          <w:rFonts w:cs="Lohit Hindi"/>
          <w:color w:val="auto"/>
          <w:kern w:val="3"/>
          <w:sz w:val="18"/>
          <w:szCs w:val="18"/>
          <w:lang w:bidi="hi-IN"/>
        </w:rPr>
        <w:t>militaire steun geïnformeerd (Kamerstuk 36045, nr. 292).</w:t>
      </w:r>
      <w:r w:rsidRPr="00263C35" w:rsidR="00521203">
        <w:rPr>
          <w:rFonts w:cs="Lohit Hindi"/>
          <w:color w:val="auto"/>
          <w:kern w:val="3"/>
          <w:sz w:val="18"/>
          <w:szCs w:val="18"/>
          <w:lang w:bidi="hi-IN"/>
        </w:rPr>
        <w:t xml:space="preserve"> </w:t>
      </w:r>
      <w:r w:rsidRPr="00263C35" w:rsidR="00A737D4">
        <w:rPr>
          <w:rFonts w:cs="Lohit Hindi"/>
          <w:color w:val="auto"/>
          <w:kern w:val="3"/>
          <w:sz w:val="18"/>
          <w:szCs w:val="18"/>
          <w:lang w:bidi="hi-IN"/>
        </w:rPr>
        <w:t>De vertrouwelijke bijlage</w:t>
      </w:r>
      <w:r w:rsidRPr="00263C35" w:rsidR="00A737D4">
        <w:rPr>
          <w:rFonts w:cs="Lohit Hindi"/>
          <w:color w:val="auto"/>
          <w:kern w:val="3"/>
          <w:sz w:val="18"/>
          <w:szCs w:val="18"/>
          <w:vertAlign w:val="superscript"/>
          <w:lang w:bidi="hi-IN"/>
        </w:rPr>
        <w:footnoteReference w:id="2"/>
      </w:r>
      <w:r w:rsidRPr="00263C35" w:rsidR="00A737D4">
        <w:rPr>
          <w:rFonts w:cs="Lohit Hindi"/>
          <w:color w:val="auto"/>
          <w:kern w:val="3"/>
          <w:sz w:val="18"/>
          <w:szCs w:val="18"/>
          <w:lang w:bidi="hi-IN"/>
        </w:rPr>
        <w:t xml:space="preserve"> bevat een totaaloverzicht van de tot en </w:t>
      </w:r>
      <w:r w:rsidRPr="00320EFB" w:rsidR="00A737D4">
        <w:rPr>
          <w:rFonts w:cs="Lohit Hindi"/>
          <w:color w:val="auto"/>
          <w:kern w:val="3"/>
          <w:sz w:val="18"/>
          <w:szCs w:val="18"/>
          <w:lang w:bidi="hi-IN"/>
        </w:rPr>
        <w:t xml:space="preserve">met </w:t>
      </w:r>
      <w:r w:rsidR="00A737D4">
        <w:rPr>
          <w:rFonts w:cs="Lohit Hindi"/>
          <w:color w:val="auto"/>
          <w:kern w:val="3"/>
          <w:sz w:val="18"/>
          <w:szCs w:val="18"/>
          <w:lang w:bidi="hi-IN"/>
        </w:rPr>
        <w:t>15 juni 2026</w:t>
      </w:r>
      <w:r w:rsidRPr="00275B8D" w:rsidR="00A737D4">
        <w:rPr>
          <w:rFonts w:cs="Lohit Hindi"/>
          <w:color w:val="auto"/>
          <w:kern w:val="3"/>
          <w:sz w:val="18"/>
          <w:szCs w:val="18"/>
          <w:lang w:bidi="hi-IN"/>
        </w:rPr>
        <w:t xml:space="preserve"> </w:t>
      </w:r>
      <w:r w:rsidRPr="00263C35" w:rsidR="00A737D4">
        <w:rPr>
          <w:rFonts w:cs="Lohit Hindi"/>
          <w:color w:val="auto"/>
          <w:kern w:val="3"/>
          <w:sz w:val="18"/>
          <w:szCs w:val="18"/>
          <w:lang w:bidi="hi-IN"/>
        </w:rPr>
        <w:t xml:space="preserve">door Defensie geleverde goederen. </w:t>
      </w:r>
      <w:r w:rsidR="00EA3A92">
        <w:rPr>
          <w:rFonts w:cs="Lohit Hindi"/>
          <w:color w:val="auto"/>
          <w:kern w:val="3"/>
          <w:sz w:val="18"/>
          <w:szCs w:val="18"/>
          <w:lang w:bidi="hi-IN"/>
        </w:rPr>
        <w:t xml:space="preserve">Uw Kamer zal in de Kamerbrief </w:t>
      </w:r>
      <w:r w:rsidR="00C85908">
        <w:rPr>
          <w:rFonts w:cs="Lohit Hindi"/>
          <w:color w:val="auto"/>
          <w:kern w:val="3"/>
          <w:sz w:val="18"/>
          <w:szCs w:val="18"/>
          <w:lang w:bidi="hi-IN"/>
        </w:rPr>
        <w:t>rondom</w:t>
      </w:r>
      <w:r w:rsidR="00EA3A92">
        <w:rPr>
          <w:rFonts w:cs="Lohit Hindi"/>
          <w:color w:val="auto"/>
          <w:kern w:val="3"/>
          <w:sz w:val="18"/>
          <w:szCs w:val="18"/>
          <w:lang w:bidi="hi-IN"/>
        </w:rPr>
        <w:t xml:space="preserve"> de </w:t>
      </w:r>
      <w:r w:rsidR="00EA3A92">
        <w:rPr>
          <w:rFonts w:cs="Lohit Hindi"/>
          <w:i/>
          <w:color w:val="auto"/>
          <w:kern w:val="3"/>
          <w:sz w:val="18"/>
          <w:szCs w:val="18"/>
          <w:lang w:bidi="hi-IN"/>
        </w:rPr>
        <w:t xml:space="preserve">Ukraine Recovery Conference </w:t>
      </w:r>
      <w:r w:rsidR="00EA3A92">
        <w:rPr>
          <w:rFonts w:cs="Lohit Hindi"/>
          <w:color w:val="auto"/>
          <w:kern w:val="3"/>
          <w:sz w:val="18"/>
          <w:szCs w:val="18"/>
          <w:lang w:bidi="hi-IN"/>
        </w:rPr>
        <w:t>een totaaloverzicht ontvangen waarbij het eerder gedeelde militaire overzicht met niet-militaire steun zal worden uitgebreid.</w:t>
      </w:r>
      <w:r w:rsidR="00E8297A">
        <w:rPr>
          <w:rFonts w:cs="Lohit Hindi"/>
          <w:color w:val="auto"/>
          <w:kern w:val="3"/>
          <w:sz w:val="18"/>
          <w:szCs w:val="18"/>
          <w:lang w:bidi="hi-IN"/>
        </w:rPr>
        <w:t xml:space="preserve"> </w:t>
      </w:r>
    </w:p>
    <w:p w:rsidRPr="004E5075" w:rsidR="00095EF0" w:rsidP="00095EF0" w:rsidRDefault="00095EF0" w14:paraId="20FFD1CB" w14:textId="77777777">
      <w:pPr>
        <w:pStyle w:val="Default"/>
        <w:spacing w:line="276" w:lineRule="auto"/>
        <w:rPr>
          <w:sz w:val="18"/>
          <w:szCs w:val="18"/>
        </w:rPr>
      </w:pPr>
    </w:p>
    <w:p w:rsidR="00A13329" w:rsidP="00A13329" w:rsidRDefault="00A13329" w14:paraId="108809F7" w14:textId="26182A25">
      <w:pPr>
        <w:spacing w:after="0" w:line="276" w:lineRule="auto"/>
      </w:pPr>
      <w:r>
        <w:t xml:space="preserve">In het openbare overzicht </w:t>
      </w:r>
      <w:r w:rsidR="007B5DEE">
        <w:t>ver</w:t>
      </w:r>
      <w:r>
        <w:t>meldt het kabinet de leveringen die nieuw zijn ten opzichte van het</w:t>
      </w:r>
      <w:r w:rsidR="00F703BD">
        <w:t xml:space="preserve"> vorige</w:t>
      </w:r>
      <w:r>
        <w:t xml:space="preserve"> </w:t>
      </w:r>
      <w:r w:rsidR="006C2D74">
        <w:t xml:space="preserve">met uw Kamer gedeelde </w:t>
      </w:r>
      <w:r>
        <w:t xml:space="preserve">overzicht </w:t>
      </w:r>
      <w:r w:rsidRPr="001B10FF" w:rsidR="00807154">
        <w:t>(Kamerstuk 22 054, nr. 4</w:t>
      </w:r>
      <w:r w:rsidR="00644FB4">
        <w:t>79</w:t>
      </w:r>
      <w:r w:rsidRPr="001B10FF" w:rsidR="00807154">
        <w:t xml:space="preserve">, </w:t>
      </w:r>
      <w:r w:rsidR="00406715">
        <w:t xml:space="preserve">dd. </w:t>
      </w:r>
      <w:r w:rsidR="00644FB4">
        <w:t>27 februari</w:t>
      </w:r>
      <w:r w:rsidR="00095EF0">
        <w:t xml:space="preserve"> 202</w:t>
      </w:r>
      <w:r w:rsidR="00B30227">
        <w:t>6</w:t>
      </w:r>
      <w:r>
        <w:t xml:space="preserve">). Per levering wordt een afweging gemaakt of openbaarmaking mogelijk is. </w:t>
      </w:r>
      <w:r w:rsidR="0092601F">
        <w:rPr>
          <w:kern w:val="0"/>
        </w:rPr>
        <w:t xml:space="preserve">Voor de levering van militaire </w:t>
      </w:r>
      <w:r w:rsidR="00E169AE">
        <w:rPr>
          <w:kern w:val="0"/>
        </w:rPr>
        <w:t xml:space="preserve">steun </w:t>
      </w:r>
      <w:r w:rsidR="0092601F">
        <w:rPr>
          <w:kern w:val="0"/>
        </w:rPr>
        <w:t xml:space="preserve">door het ministerie van Defensie en de industrie aan Oekraïne blijft de operationele veiligheid leidend </w:t>
      </w:r>
      <w:r>
        <w:t xml:space="preserve">in de afweging om informatie al dan niet openbaar te maken. Ook houdt Defensie rekening met de belangen van betrokken derde partijen, zoals </w:t>
      </w:r>
      <w:r w:rsidR="00406715">
        <w:t xml:space="preserve">internationale </w:t>
      </w:r>
      <w:r>
        <w:t xml:space="preserve">partners en </w:t>
      </w:r>
      <w:r w:rsidR="00406715">
        <w:t>het bedrijfsleven</w:t>
      </w:r>
      <w:r>
        <w:t>.</w:t>
      </w:r>
      <w:r w:rsidRPr="00521203" w:rsidR="00521203">
        <w:t xml:space="preserve"> </w:t>
      </w:r>
      <w:r w:rsidR="006C2D74">
        <w:t>Deze lijst geeft</w:t>
      </w:r>
      <w:r w:rsidR="00521203">
        <w:t xml:space="preserve"> </w:t>
      </w:r>
      <w:r w:rsidR="006C2D74">
        <w:t>daarom niet het volledige beeld van alle leveringen</w:t>
      </w:r>
      <w:r w:rsidR="00521203">
        <w:t>.</w:t>
      </w:r>
    </w:p>
    <w:p w:rsidR="00A13329" w:rsidP="00A13329" w:rsidRDefault="00A13329" w14:paraId="4DF2F337" w14:textId="77777777">
      <w:pPr>
        <w:spacing w:after="0" w:line="276" w:lineRule="auto"/>
      </w:pPr>
    </w:p>
    <w:p w:rsidRPr="00C150CE" w:rsidR="00A13329" w:rsidP="00A13329" w:rsidRDefault="007B5DEE" w14:paraId="2E805FBC" w14:textId="711660D4">
      <w:pPr>
        <w:pStyle w:val="Default"/>
        <w:spacing w:line="276" w:lineRule="auto"/>
      </w:pPr>
      <w:r>
        <w:rPr>
          <w:i/>
          <w:iCs/>
          <w:sz w:val="18"/>
          <w:szCs w:val="18"/>
        </w:rPr>
        <w:t>Financiële stand van zaken levering van militaire goederen</w:t>
      </w:r>
    </w:p>
    <w:p w:rsidR="006644B5" w:rsidP="000C51F7" w:rsidRDefault="00722FFC" w14:paraId="601BDFC9" w14:textId="5E4FAC3B">
      <w:pPr>
        <w:spacing w:after="0" w:line="276" w:lineRule="auto"/>
      </w:pPr>
      <w:r>
        <w:t xml:space="preserve">Het is </w:t>
      </w:r>
      <w:r w:rsidR="00EB4850">
        <w:t xml:space="preserve">van groot belang dat de Oekraïense defensiecapaciteit en slagkracht </w:t>
      </w:r>
      <w:r w:rsidR="009C0C88">
        <w:t xml:space="preserve">verder </w:t>
      </w:r>
      <w:r w:rsidR="00EB4850">
        <w:t>wordt versterkt</w:t>
      </w:r>
      <w:r w:rsidR="007B5DEE">
        <w:t xml:space="preserve">, ook </w:t>
      </w:r>
      <w:r w:rsidR="00EB4850">
        <w:t>voor de lange termijn.</w:t>
      </w:r>
      <w:r w:rsidR="00A9136A">
        <w:t xml:space="preserve"> I</w:t>
      </w:r>
      <w:r w:rsidR="00C239F6">
        <w:t>n</w:t>
      </w:r>
      <w:r w:rsidRPr="00C239F6" w:rsidR="0046293B">
        <w:t xml:space="preserve"> de toekomst zal het</w:t>
      </w:r>
      <w:r w:rsidRPr="00C239F6" w:rsidR="00C150CE">
        <w:t xml:space="preserve"> </w:t>
      </w:r>
      <w:r w:rsidRPr="00C239F6" w:rsidR="0046293B">
        <w:t>voortzetten van steun door internationale partners</w:t>
      </w:r>
      <w:r w:rsidR="007B5DEE">
        <w:t xml:space="preserve"> aan Oekraïne</w:t>
      </w:r>
      <w:r w:rsidR="00C239F6">
        <w:t xml:space="preserve"> </w:t>
      </w:r>
      <w:r w:rsidR="00685349">
        <w:t xml:space="preserve">daarom </w:t>
      </w:r>
      <w:r w:rsidRPr="00C239F6" w:rsidR="0046293B">
        <w:t xml:space="preserve">cruciaal </w:t>
      </w:r>
      <w:r w:rsidR="007B5DEE">
        <w:t>zijn</w:t>
      </w:r>
      <w:r w:rsidRPr="00C239F6" w:rsidR="007B5DEE">
        <w:t xml:space="preserve"> </w:t>
      </w:r>
      <w:r w:rsidRPr="00C239F6" w:rsidR="0046293B">
        <w:t xml:space="preserve">om </w:t>
      </w:r>
      <w:r w:rsidR="007B5DEE">
        <w:t>de</w:t>
      </w:r>
      <w:r w:rsidRPr="00C239F6" w:rsidR="007B5DEE">
        <w:t xml:space="preserve"> </w:t>
      </w:r>
      <w:r w:rsidRPr="00C239F6" w:rsidR="00C150CE">
        <w:t>Russisch</w:t>
      </w:r>
      <w:r w:rsidRPr="00C239F6" w:rsidR="0046293B">
        <w:t>e agressie tegen te gaan</w:t>
      </w:r>
      <w:r w:rsidRPr="00C239F6" w:rsidR="00C150CE">
        <w:t xml:space="preserve"> of af te schrikken</w:t>
      </w:r>
      <w:r w:rsidR="007B5DEE">
        <w:t xml:space="preserve">. </w:t>
      </w:r>
      <w:r w:rsidRPr="00C239F6" w:rsidR="0046293B">
        <w:t xml:space="preserve">Nederland </w:t>
      </w:r>
      <w:r w:rsidR="006C2D74">
        <w:t>heeft deze steun</w:t>
      </w:r>
      <w:r w:rsidRPr="00C239F6" w:rsidR="00FD2AEC">
        <w:t xml:space="preserve"> </w:t>
      </w:r>
      <w:r w:rsidRPr="00C239F6" w:rsidR="0046293B">
        <w:t xml:space="preserve">in </w:t>
      </w:r>
      <w:r w:rsidR="00FD2AEC">
        <w:t xml:space="preserve">een tienjarige </w:t>
      </w:r>
      <w:r w:rsidRPr="00C239F6" w:rsidR="0046293B">
        <w:t>bilaterale veiligheidsovereenkomst</w:t>
      </w:r>
      <w:r w:rsidR="008546A5">
        <w:t xml:space="preserve"> </w:t>
      </w:r>
      <w:r w:rsidR="006C2D74">
        <w:t>vastgelegd</w:t>
      </w:r>
      <w:r w:rsidR="00D464FC">
        <w:t xml:space="preserve"> waarbij een financiële invulling per kabinet bezien wordt</w:t>
      </w:r>
      <w:r w:rsidR="006C2D74">
        <w:t xml:space="preserve">. Dit </w:t>
      </w:r>
      <w:r w:rsidR="008546A5">
        <w:t xml:space="preserve">kabinet </w:t>
      </w:r>
      <w:r w:rsidR="006C2D74">
        <w:t xml:space="preserve">heeft in het Coalitieakkoord vastgelegd dat het </w:t>
      </w:r>
      <w:r w:rsidR="008546A5">
        <w:t xml:space="preserve">Oekraïne onverminderd </w:t>
      </w:r>
      <w:r w:rsidR="006C2D74">
        <w:t xml:space="preserve">zal </w:t>
      </w:r>
      <w:r w:rsidR="008546A5">
        <w:t>blijven steunen</w:t>
      </w:r>
      <w:r w:rsidR="00D464FC">
        <w:t xml:space="preserve"> zoals eerder in deze Kamerbrief toegelicht</w:t>
      </w:r>
      <w:r w:rsidR="005D7FC9">
        <w:t>.</w:t>
      </w:r>
      <w:r w:rsidRPr="00C239F6" w:rsidR="00C150CE">
        <w:rPr>
          <w:rStyle w:val="Voetnootmarkering"/>
        </w:rPr>
        <w:footnoteReference w:id="3"/>
      </w:r>
      <w:r w:rsidR="008546A5">
        <w:t xml:space="preserve"> </w:t>
      </w:r>
      <w:r w:rsidR="006644B5">
        <w:t xml:space="preserve">Zo heeft Nederland op 17 juni jl. een nieuw steunpakket van ongeveer €500 mln. aangekondigd </w:t>
      </w:r>
      <w:r w:rsidR="006644B5">
        <w:lastRenderedPageBreak/>
        <w:t xml:space="preserve">waarmee drones geproduceerd zullen worden in Nederland en waarmee zal worden bijgedragen aan luchtverdediging via het </w:t>
      </w:r>
      <w:r w:rsidR="006644B5">
        <w:rPr>
          <w:i/>
        </w:rPr>
        <w:t xml:space="preserve">Prioritised Ukraine Requirements List </w:t>
      </w:r>
      <w:r w:rsidR="006644B5">
        <w:t xml:space="preserve">(PURL) initiatief. </w:t>
      </w:r>
    </w:p>
    <w:p w:rsidR="006644B5" w:rsidP="000C51F7" w:rsidRDefault="006644B5" w14:paraId="75978815" w14:textId="77777777">
      <w:pPr>
        <w:spacing w:after="0" w:line="276" w:lineRule="auto"/>
      </w:pPr>
    </w:p>
    <w:p w:rsidRPr="00C239F6" w:rsidR="0046293B" w:rsidP="000C51F7" w:rsidRDefault="006C2D74" w14:paraId="10408A0E" w14:textId="078D82B2">
      <w:pPr>
        <w:spacing w:after="0" w:line="276" w:lineRule="auto"/>
      </w:pPr>
      <w:r>
        <w:t>De Nederlandse</w:t>
      </w:r>
      <w:r w:rsidR="008546A5">
        <w:t xml:space="preserve"> inzet draagt </w:t>
      </w:r>
      <w:r w:rsidR="00834CCF">
        <w:t>onder andere</w:t>
      </w:r>
      <w:r w:rsidR="008546A5">
        <w:t xml:space="preserve"> bij aan het versterken van de Oekraïense productiecapaciteit en zorgt ervoor dat er geen ongewenste gaten vallen in de militaire st</w:t>
      </w:r>
      <w:r w:rsidR="00B001A2">
        <w:t>eun</w:t>
      </w:r>
      <w:r>
        <w:t>,</w:t>
      </w:r>
      <w:r w:rsidR="00B001A2">
        <w:t xml:space="preserve"> in lijn met motie Boswijk (m</w:t>
      </w:r>
      <w:r w:rsidR="008546A5">
        <w:t xml:space="preserve">otie 21 501-20, nr. 2286). </w:t>
      </w:r>
      <w:r w:rsidR="00B001A2">
        <w:t xml:space="preserve">Het kabinet steunt </w:t>
      </w:r>
      <w:r w:rsidR="00866385">
        <w:t>bovenstaande</w:t>
      </w:r>
      <w:r w:rsidR="00B001A2">
        <w:t xml:space="preserve"> overwegingen die tevens door Uw Kamer in motie Klaver (motie 36 045, nr. 243)</w:t>
      </w:r>
      <w:r w:rsidR="008546A5">
        <w:t xml:space="preserve"> </w:t>
      </w:r>
      <w:r w:rsidR="00B001A2">
        <w:t xml:space="preserve">zijn meegegeven ten volle. Bij de Voorjaarsnota van 2026 heeft het kabinet afgewogen hoe de voortzetting van militaire en niet-militaire steun in 2026 </w:t>
      </w:r>
      <w:r w:rsidR="00866385">
        <w:t>ka</w:t>
      </w:r>
      <w:r w:rsidR="00B001A2">
        <w:t>n worden gewaarborgd en heeft hierin het verzoek van motie Klaver verwerkt. Het kabinet beziet voortdurend hoe op een zo effectief mogelijke wijze aan de noden van Oekraïne tegemoet kan worden gekomen en tracht hierbij zowel de benodigde flexibiliteit als voorspelbaarheid</w:t>
      </w:r>
      <w:r w:rsidR="00EE51CD">
        <w:t xml:space="preserve"> toe te passen</w:t>
      </w:r>
      <w:r w:rsidR="0008488B">
        <w:t>.</w:t>
      </w:r>
      <w:r w:rsidR="005D7FC9">
        <w:t xml:space="preserve"> </w:t>
      </w:r>
      <w:r w:rsidR="00EA5779">
        <w:t>Het</w:t>
      </w:r>
      <w:r w:rsidR="005D7FC9">
        <w:t xml:space="preserve"> kabinet roept internationaal </w:t>
      </w:r>
      <w:r w:rsidR="00EE51CD">
        <w:t xml:space="preserve">tevens </w:t>
      </w:r>
      <w:r w:rsidR="00EA5779">
        <w:t>onverminderd op</w:t>
      </w:r>
      <w:r w:rsidR="00EB4850">
        <w:t xml:space="preserve"> tot </w:t>
      </w:r>
      <w:r w:rsidRPr="00142F45" w:rsidR="00EA5779">
        <w:rPr>
          <w:i/>
          <w:iCs/>
        </w:rPr>
        <w:t>burden</w:t>
      </w:r>
      <w:r w:rsidR="00832395">
        <w:rPr>
          <w:i/>
          <w:iCs/>
        </w:rPr>
        <w:t>-</w:t>
      </w:r>
      <w:r w:rsidRPr="00142F45" w:rsidR="00EA5779">
        <w:rPr>
          <w:i/>
          <w:iCs/>
        </w:rPr>
        <w:t>sharing</w:t>
      </w:r>
      <w:r w:rsidR="00EA5779">
        <w:t xml:space="preserve">. </w:t>
      </w:r>
    </w:p>
    <w:p w:rsidRPr="00C239F6" w:rsidR="00260C2A" w:rsidP="00A13329" w:rsidRDefault="00260C2A" w14:paraId="00204C44" w14:textId="03C105A6">
      <w:pPr>
        <w:spacing w:after="0" w:line="276" w:lineRule="auto"/>
        <w:rPr>
          <w:highlight w:val="yellow"/>
        </w:rPr>
      </w:pPr>
    </w:p>
    <w:p w:rsidRPr="0061467C" w:rsidR="00A13329" w:rsidP="00A13329" w:rsidRDefault="00A13329" w14:paraId="2EC7905E" w14:textId="1863114E">
      <w:pPr>
        <w:spacing w:after="0" w:line="276" w:lineRule="auto"/>
      </w:pPr>
      <w:r w:rsidRPr="0061467C">
        <w:t xml:space="preserve">De totale waarde van de </w:t>
      </w:r>
      <w:r w:rsidR="00E25A35">
        <w:t>geleverde</w:t>
      </w:r>
      <w:r w:rsidRPr="0061467C">
        <w:t xml:space="preserve"> militaire steun aan Oekraïne bedroeg op </w:t>
      </w:r>
      <w:r w:rsidR="00E8297A">
        <w:t>15</w:t>
      </w:r>
      <w:r w:rsidR="00644FB4">
        <w:t xml:space="preserve"> juni</w:t>
      </w:r>
      <w:r w:rsidR="00095EF0">
        <w:t xml:space="preserve"> 2026</w:t>
      </w:r>
      <w:r w:rsidRPr="0061467C">
        <w:t xml:space="preserve"> </w:t>
      </w:r>
      <w:r w:rsidR="001572B4">
        <w:t xml:space="preserve">ca. </w:t>
      </w:r>
      <w:r w:rsidR="007B5DEE">
        <w:t>€</w:t>
      </w:r>
      <w:r w:rsidR="00EA3A92">
        <w:t>12,4</w:t>
      </w:r>
      <w:r w:rsidR="00320EFB">
        <w:t xml:space="preserve"> mld.</w:t>
      </w:r>
      <w:r w:rsidR="00C85908">
        <w:t xml:space="preserve"> </w:t>
      </w:r>
      <w:r w:rsidRPr="00C339E1" w:rsidR="00C85908">
        <w:rPr>
          <w:kern w:val="0"/>
        </w:rPr>
        <w:t>De overige reeds toegekende middelen voor militaire steun staan ofwel onder contract of bevinden zich in een vergevorderd planningsstadium</w:t>
      </w:r>
      <w:r w:rsidRPr="00C85908" w:rsidR="00C85908">
        <w:rPr>
          <w:kern w:val="0"/>
        </w:rPr>
        <w:t>.</w:t>
      </w:r>
      <w:r w:rsidRPr="0061467C">
        <w:t xml:space="preserve"> Dit is een toename van </w:t>
      </w:r>
      <w:r w:rsidR="00EA3A92">
        <w:t xml:space="preserve">ca. </w:t>
      </w:r>
      <w:r w:rsidR="007B5DEE">
        <w:t>€</w:t>
      </w:r>
      <w:r w:rsidR="00EA3A92">
        <w:t>727</w:t>
      </w:r>
      <w:r w:rsidRPr="004E5075" w:rsidR="00142F45">
        <w:t xml:space="preserve"> </w:t>
      </w:r>
      <w:r w:rsidRPr="004E5075" w:rsidR="00001972">
        <w:t>ml</w:t>
      </w:r>
      <w:r w:rsidR="00EA3A92">
        <w:t>n</w:t>
      </w:r>
      <w:r w:rsidRPr="004E5075" w:rsidR="00001972">
        <w:t>.</w:t>
      </w:r>
      <w:r w:rsidR="00150548">
        <w:t xml:space="preserve"> </w:t>
      </w:r>
      <w:r w:rsidRPr="0061467C" w:rsidR="00001972">
        <w:t xml:space="preserve">ten opzichte van </w:t>
      </w:r>
      <w:r w:rsidRPr="0061467C" w:rsidR="00AE383F">
        <w:t>de vorige leveringenbrief</w:t>
      </w:r>
      <w:r w:rsidRPr="0061467C">
        <w:t>. De Nederlandse steun bestaat uit:</w:t>
      </w:r>
    </w:p>
    <w:p w:rsidRPr="00697BA5" w:rsidR="00A13329" w:rsidP="00A13329" w:rsidRDefault="00A13329" w14:paraId="38FA417D" w14:textId="77777777">
      <w:pPr>
        <w:spacing w:after="0" w:line="276" w:lineRule="auto"/>
      </w:pPr>
    </w:p>
    <w:tbl>
      <w:tblPr>
        <w:tblStyle w:val="Tabelraster"/>
        <w:tblW w:w="0" w:type="auto"/>
        <w:jc w:val="center"/>
        <w:tblBorders>
          <w:left w:val="nil"/>
          <w:right w:val="nil"/>
        </w:tblBorders>
        <w:tblLook w:val="04A0" w:firstRow="1" w:lastRow="0" w:firstColumn="1" w:lastColumn="0" w:noHBand="0" w:noVBand="1"/>
      </w:tblPr>
      <w:tblGrid>
        <w:gridCol w:w="3828"/>
        <w:gridCol w:w="704"/>
        <w:gridCol w:w="1276"/>
        <w:gridCol w:w="850"/>
        <w:gridCol w:w="1241"/>
      </w:tblGrid>
      <w:tr w:rsidRPr="0061467C" w:rsidR="00260C2A" w:rsidTr="004E5075" w14:paraId="0F150A81" w14:textId="77777777">
        <w:trPr>
          <w:jc w:val="center"/>
        </w:trPr>
        <w:tc>
          <w:tcPr>
            <w:tcW w:w="3828" w:type="dxa"/>
            <w:tcBorders>
              <w:top w:val="single" w:color="auto" w:sz="4" w:space="0"/>
              <w:bottom w:val="single" w:color="auto" w:sz="4" w:space="0"/>
              <w:right w:val="nil"/>
            </w:tcBorders>
          </w:tcPr>
          <w:p w:rsidRPr="00FD6172" w:rsidR="00A13329" w:rsidP="00FD6172" w:rsidRDefault="00A13329" w14:paraId="73AF1BFE" w14:textId="77777777">
            <w:pPr>
              <w:spacing w:after="0" w:line="276" w:lineRule="auto"/>
              <w:rPr>
                <w:b/>
              </w:rPr>
            </w:pPr>
            <w:r w:rsidRPr="00260C2A">
              <w:rPr>
                <w:b/>
                <w:bCs/>
              </w:rPr>
              <w:t>Type steun</w:t>
            </w:r>
          </w:p>
        </w:tc>
        <w:tc>
          <w:tcPr>
            <w:tcW w:w="1980" w:type="dxa"/>
            <w:gridSpan w:val="2"/>
            <w:tcBorders>
              <w:top w:val="single" w:color="auto" w:sz="4" w:space="0"/>
              <w:left w:val="nil"/>
              <w:bottom w:val="single" w:color="auto" w:sz="4" w:space="0"/>
              <w:right w:val="nil"/>
            </w:tcBorders>
          </w:tcPr>
          <w:p w:rsidRPr="00FD6172" w:rsidR="00A13329" w:rsidP="00B65491" w:rsidRDefault="00557CDD" w14:paraId="1FD1D955" w14:textId="2405DDD9">
            <w:pPr>
              <w:spacing w:after="0" w:line="276" w:lineRule="auto"/>
              <w:jc w:val="right"/>
              <w:rPr>
                <w:b/>
              </w:rPr>
            </w:pPr>
            <w:r>
              <w:rPr>
                <w:b/>
                <w:bCs/>
              </w:rPr>
              <w:t>02</w:t>
            </w:r>
            <w:r w:rsidR="00644FB4">
              <w:rPr>
                <w:b/>
                <w:bCs/>
              </w:rPr>
              <w:t xml:space="preserve"> feb</w:t>
            </w:r>
            <w:r w:rsidRPr="00260C2A" w:rsidR="00697BA5">
              <w:rPr>
                <w:b/>
                <w:bCs/>
              </w:rPr>
              <w:t xml:space="preserve">. </w:t>
            </w:r>
            <w:r>
              <w:rPr>
                <w:b/>
                <w:bCs/>
              </w:rPr>
              <w:t>2026</w:t>
            </w:r>
          </w:p>
        </w:tc>
        <w:tc>
          <w:tcPr>
            <w:tcW w:w="2091" w:type="dxa"/>
            <w:gridSpan w:val="2"/>
            <w:tcBorders>
              <w:top w:val="single" w:color="auto" w:sz="4" w:space="0"/>
              <w:left w:val="nil"/>
              <w:bottom w:val="single" w:color="auto" w:sz="4" w:space="0"/>
            </w:tcBorders>
          </w:tcPr>
          <w:p w:rsidRPr="0061467C" w:rsidR="00A13329" w:rsidP="00644FB4" w:rsidRDefault="00807154" w14:paraId="508B67AC" w14:textId="7E17D976">
            <w:pPr>
              <w:spacing w:after="0" w:line="276" w:lineRule="auto"/>
              <w:jc w:val="right"/>
              <w:rPr>
                <w:b/>
              </w:rPr>
            </w:pPr>
            <w:r w:rsidRPr="0061467C">
              <w:rPr>
                <w:b/>
                <w:bCs/>
              </w:rPr>
              <w:t xml:space="preserve"> </w:t>
            </w:r>
            <w:r w:rsidR="00EA3A92">
              <w:rPr>
                <w:b/>
                <w:bCs/>
              </w:rPr>
              <w:t>15</w:t>
            </w:r>
            <w:r w:rsidR="00644FB4">
              <w:rPr>
                <w:b/>
                <w:bCs/>
              </w:rPr>
              <w:t xml:space="preserve"> juni</w:t>
            </w:r>
            <w:r w:rsidRPr="0061467C" w:rsidR="00BB310F">
              <w:rPr>
                <w:b/>
                <w:bCs/>
              </w:rPr>
              <w:t>.</w:t>
            </w:r>
            <w:r w:rsidRPr="0061467C" w:rsidR="00A13329">
              <w:rPr>
                <w:b/>
                <w:bCs/>
              </w:rPr>
              <w:t xml:space="preserve"> 202</w:t>
            </w:r>
            <w:r w:rsidR="00C17208">
              <w:rPr>
                <w:b/>
                <w:bCs/>
              </w:rPr>
              <w:t>6</w:t>
            </w:r>
          </w:p>
        </w:tc>
      </w:tr>
      <w:tr w:rsidRPr="0061467C" w:rsidR="00260C2A" w:rsidTr="004E5075" w14:paraId="7A4F51B9" w14:textId="77777777">
        <w:trPr>
          <w:jc w:val="center"/>
        </w:trPr>
        <w:tc>
          <w:tcPr>
            <w:tcW w:w="3828" w:type="dxa"/>
            <w:tcBorders>
              <w:top w:val="single" w:color="auto" w:sz="4" w:space="0"/>
              <w:bottom w:val="nil"/>
              <w:right w:val="nil"/>
            </w:tcBorders>
          </w:tcPr>
          <w:p w:rsidRPr="00260C2A" w:rsidR="00A13329" w:rsidP="00A13329" w:rsidRDefault="00A13329" w14:paraId="3540A23F" w14:textId="3C1083C9">
            <w:pPr>
              <w:spacing w:after="0" w:line="276" w:lineRule="auto"/>
            </w:pPr>
            <w:r w:rsidRPr="00260C2A">
              <w:t>Directe levering (vervangingswaarde)</w:t>
            </w:r>
          </w:p>
        </w:tc>
        <w:tc>
          <w:tcPr>
            <w:tcW w:w="704" w:type="dxa"/>
            <w:tcBorders>
              <w:top w:val="single" w:color="auto" w:sz="4" w:space="0"/>
              <w:left w:val="nil"/>
              <w:bottom w:val="nil"/>
              <w:right w:val="nil"/>
            </w:tcBorders>
          </w:tcPr>
          <w:p w:rsidRPr="00260C2A" w:rsidR="00A13329" w:rsidP="00A13329" w:rsidRDefault="007B5DEE" w14:paraId="0B9D2B3F" w14:textId="528BC812">
            <w:pPr>
              <w:spacing w:after="0" w:line="276" w:lineRule="auto"/>
              <w:jc w:val="right"/>
            </w:pPr>
            <w:r>
              <w:t>€</w:t>
            </w:r>
            <w:r w:rsidR="00832395">
              <w:t xml:space="preserve"> </w:t>
            </w:r>
            <w:r w:rsidRPr="00260C2A" w:rsidR="00A13329">
              <w:t xml:space="preserve"> </w:t>
            </w:r>
          </w:p>
        </w:tc>
        <w:tc>
          <w:tcPr>
            <w:tcW w:w="1276" w:type="dxa"/>
            <w:tcBorders>
              <w:top w:val="single" w:color="auto" w:sz="4" w:space="0"/>
              <w:left w:val="nil"/>
              <w:bottom w:val="nil"/>
              <w:right w:val="nil"/>
            </w:tcBorders>
          </w:tcPr>
          <w:p w:rsidRPr="00260C2A" w:rsidR="00A13329" w:rsidP="00095EF0" w:rsidRDefault="00644FB4" w14:paraId="2790D9FE" w14:textId="7D228D3D">
            <w:pPr>
              <w:spacing w:after="0" w:line="276" w:lineRule="auto"/>
              <w:jc w:val="right"/>
            </w:pPr>
            <w:r>
              <w:t>2,5</w:t>
            </w:r>
            <w:r w:rsidRPr="00260C2A" w:rsidR="00A13329">
              <w:t xml:space="preserve"> mld.</w:t>
            </w:r>
          </w:p>
        </w:tc>
        <w:tc>
          <w:tcPr>
            <w:tcW w:w="850" w:type="dxa"/>
            <w:tcBorders>
              <w:top w:val="single" w:color="auto" w:sz="4" w:space="0"/>
              <w:left w:val="nil"/>
              <w:bottom w:val="nil"/>
              <w:right w:val="nil"/>
            </w:tcBorders>
          </w:tcPr>
          <w:p w:rsidRPr="0061467C" w:rsidR="00A13329" w:rsidP="00A13329" w:rsidRDefault="007B5DEE" w14:paraId="7B07B166" w14:textId="0B4808D1">
            <w:pPr>
              <w:spacing w:after="0" w:line="276" w:lineRule="auto"/>
              <w:jc w:val="right"/>
            </w:pPr>
            <w:r>
              <w:t>€</w:t>
            </w:r>
            <w:r w:rsidR="00832395">
              <w:t xml:space="preserve"> </w:t>
            </w:r>
          </w:p>
        </w:tc>
        <w:tc>
          <w:tcPr>
            <w:tcW w:w="1241" w:type="dxa"/>
            <w:tcBorders>
              <w:top w:val="single" w:color="auto" w:sz="4" w:space="0"/>
              <w:left w:val="nil"/>
              <w:bottom w:val="nil"/>
            </w:tcBorders>
          </w:tcPr>
          <w:p w:rsidRPr="00095EF0" w:rsidR="00A13329" w:rsidP="00E72F80" w:rsidRDefault="00EA3A92" w14:paraId="712D84DF" w14:textId="0714AD2B">
            <w:pPr>
              <w:spacing w:after="0" w:line="276" w:lineRule="auto"/>
              <w:jc w:val="right"/>
              <w:rPr>
                <w:highlight w:val="yellow"/>
              </w:rPr>
            </w:pPr>
            <w:r>
              <w:t>2,5</w:t>
            </w:r>
            <w:r w:rsidRPr="004E5075">
              <w:t xml:space="preserve"> </w:t>
            </w:r>
            <w:r w:rsidRPr="004E5075" w:rsidR="00A13329">
              <w:t>mld.</w:t>
            </w:r>
          </w:p>
        </w:tc>
      </w:tr>
      <w:tr w:rsidRPr="0061467C" w:rsidR="00260C2A" w:rsidTr="004E5075" w14:paraId="2AF30317" w14:textId="77777777">
        <w:trPr>
          <w:jc w:val="center"/>
        </w:trPr>
        <w:tc>
          <w:tcPr>
            <w:tcW w:w="3828" w:type="dxa"/>
            <w:tcBorders>
              <w:top w:val="nil"/>
              <w:bottom w:val="nil"/>
              <w:right w:val="nil"/>
            </w:tcBorders>
          </w:tcPr>
          <w:p w:rsidRPr="00260C2A" w:rsidR="00A13329" w:rsidP="009E767F" w:rsidRDefault="00A13329" w14:paraId="4FFF2A01" w14:textId="772F17D6">
            <w:pPr>
              <w:spacing w:after="0" w:line="276" w:lineRule="auto"/>
            </w:pPr>
            <w:r w:rsidRPr="00260C2A">
              <w:t xml:space="preserve">Commerciële </w:t>
            </w:r>
            <w:r w:rsidRPr="00260C2A" w:rsidR="009E767F">
              <w:t>verwervingen</w:t>
            </w:r>
            <w:r w:rsidR="001744F6">
              <w:rPr>
                <w:rStyle w:val="Voetnootmarkering"/>
              </w:rPr>
              <w:footnoteReference w:id="4"/>
            </w:r>
          </w:p>
        </w:tc>
        <w:tc>
          <w:tcPr>
            <w:tcW w:w="704" w:type="dxa"/>
            <w:tcBorders>
              <w:top w:val="nil"/>
              <w:left w:val="nil"/>
              <w:bottom w:val="nil"/>
              <w:right w:val="nil"/>
            </w:tcBorders>
          </w:tcPr>
          <w:p w:rsidRPr="00260C2A" w:rsidR="00A13329" w:rsidP="00A13329" w:rsidRDefault="007B5DEE" w14:paraId="0AFB55B0" w14:textId="7A10409A">
            <w:pPr>
              <w:spacing w:after="0" w:line="276" w:lineRule="auto"/>
              <w:jc w:val="right"/>
            </w:pPr>
            <w:r>
              <w:t>€</w:t>
            </w:r>
            <w:r w:rsidR="00832395">
              <w:t xml:space="preserve"> </w:t>
            </w:r>
            <w:r w:rsidRPr="00260C2A" w:rsidR="00A13329">
              <w:t xml:space="preserve"> </w:t>
            </w:r>
          </w:p>
        </w:tc>
        <w:tc>
          <w:tcPr>
            <w:tcW w:w="1276" w:type="dxa"/>
            <w:tcBorders>
              <w:top w:val="nil"/>
              <w:left w:val="nil"/>
              <w:bottom w:val="nil"/>
              <w:right w:val="nil"/>
            </w:tcBorders>
          </w:tcPr>
          <w:p w:rsidRPr="00260C2A" w:rsidR="00A13329" w:rsidP="00644FB4" w:rsidRDefault="00644FB4" w14:paraId="6712F4F0" w14:textId="758E0838">
            <w:pPr>
              <w:spacing w:after="0" w:line="276" w:lineRule="auto"/>
              <w:jc w:val="right"/>
            </w:pPr>
            <w:r>
              <w:t>8</w:t>
            </w:r>
            <w:r w:rsidR="00095EF0">
              <w:t>,</w:t>
            </w:r>
            <w:r>
              <w:t>9</w:t>
            </w:r>
            <w:r w:rsidRPr="00260C2A" w:rsidR="00A13329">
              <w:t xml:space="preserve"> mld.</w:t>
            </w:r>
          </w:p>
        </w:tc>
        <w:tc>
          <w:tcPr>
            <w:tcW w:w="850" w:type="dxa"/>
            <w:tcBorders>
              <w:top w:val="nil"/>
              <w:left w:val="nil"/>
              <w:bottom w:val="nil"/>
              <w:right w:val="nil"/>
            </w:tcBorders>
          </w:tcPr>
          <w:p w:rsidRPr="0061467C" w:rsidR="00A13329" w:rsidP="00A13329" w:rsidRDefault="007B5DEE" w14:paraId="5D4B7746" w14:textId="30868822">
            <w:pPr>
              <w:spacing w:after="0" w:line="276" w:lineRule="auto"/>
              <w:jc w:val="right"/>
            </w:pPr>
            <w:r>
              <w:t>€</w:t>
            </w:r>
            <w:r w:rsidR="00832395">
              <w:t xml:space="preserve"> </w:t>
            </w:r>
          </w:p>
        </w:tc>
        <w:tc>
          <w:tcPr>
            <w:tcW w:w="1241" w:type="dxa"/>
            <w:tcBorders>
              <w:top w:val="nil"/>
              <w:left w:val="nil"/>
              <w:bottom w:val="nil"/>
            </w:tcBorders>
          </w:tcPr>
          <w:p w:rsidRPr="00095EF0" w:rsidR="00A13329" w:rsidP="00E72F80" w:rsidRDefault="00EA3A92" w14:paraId="332B9B56" w14:textId="2E161B27">
            <w:pPr>
              <w:spacing w:after="0" w:line="276" w:lineRule="auto"/>
              <w:jc w:val="right"/>
              <w:rPr>
                <w:highlight w:val="yellow"/>
              </w:rPr>
            </w:pPr>
            <w:r>
              <w:t>9,7</w:t>
            </w:r>
            <w:r w:rsidRPr="004E5075">
              <w:t xml:space="preserve"> </w:t>
            </w:r>
            <w:r w:rsidRPr="004E5075" w:rsidR="00807154">
              <w:t>mld</w:t>
            </w:r>
            <w:r w:rsidRPr="004E5075" w:rsidR="00A13329">
              <w:t>.</w:t>
            </w:r>
          </w:p>
        </w:tc>
      </w:tr>
      <w:tr w:rsidRPr="0061467C" w:rsidR="00260C2A" w:rsidTr="004E5075" w14:paraId="1E6A55A8" w14:textId="77777777">
        <w:trPr>
          <w:jc w:val="center"/>
        </w:trPr>
        <w:tc>
          <w:tcPr>
            <w:tcW w:w="3828" w:type="dxa"/>
            <w:tcBorders>
              <w:top w:val="nil"/>
              <w:bottom w:val="single" w:color="auto" w:sz="4" w:space="0"/>
              <w:right w:val="nil"/>
            </w:tcBorders>
          </w:tcPr>
          <w:p w:rsidRPr="00260C2A" w:rsidR="00A13329" w:rsidP="00A13329" w:rsidRDefault="00A13329" w14:paraId="07080140" w14:textId="441528B2">
            <w:pPr>
              <w:spacing w:after="0" w:line="276" w:lineRule="auto"/>
            </w:pPr>
            <w:r w:rsidRPr="00260C2A">
              <w:t>NAVO-</w:t>
            </w:r>
            <w:r w:rsidRPr="00C239F6" w:rsidR="00301E12">
              <w:rPr>
                <w:iCs/>
              </w:rPr>
              <w:t>fonds</w:t>
            </w:r>
          </w:p>
        </w:tc>
        <w:tc>
          <w:tcPr>
            <w:tcW w:w="704" w:type="dxa"/>
            <w:tcBorders>
              <w:top w:val="nil"/>
              <w:left w:val="nil"/>
              <w:bottom w:val="single" w:color="auto" w:sz="4" w:space="0"/>
              <w:right w:val="nil"/>
            </w:tcBorders>
          </w:tcPr>
          <w:p w:rsidRPr="00260C2A" w:rsidR="00A13329" w:rsidP="00A13329" w:rsidRDefault="007B5DEE" w14:paraId="5924AE18" w14:textId="0EC8B584">
            <w:pPr>
              <w:spacing w:after="0" w:line="276" w:lineRule="auto"/>
              <w:jc w:val="right"/>
            </w:pPr>
            <w:r>
              <w:t>€</w:t>
            </w:r>
            <w:r w:rsidR="00832395">
              <w:t xml:space="preserve"> </w:t>
            </w:r>
            <w:r w:rsidRPr="00260C2A" w:rsidR="00A13329">
              <w:t xml:space="preserve"> </w:t>
            </w:r>
          </w:p>
        </w:tc>
        <w:tc>
          <w:tcPr>
            <w:tcW w:w="1276" w:type="dxa"/>
            <w:tcBorders>
              <w:top w:val="nil"/>
              <w:left w:val="nil"/>
              <w:bottom w:val="single" w:color="auto" w:sz="4" w:space="0"/>
              <w:right w:val="nil"/>
            </w:tcBorders>
          </w:tcPr>
          <w:p w:rsidRPr="00260C2A" w:rsidR="00A13329" w:rsidP="00A13329" w:rsidRDefault="00A13329" w14:paraId="6F37B13F" w14:textId="3E9546E4">
            <w:pPr>
              <w:spacing w:after="0" w:line="276" w:lineRule="auto"/>
              <w:jc w:val="right"/>
            </w:pPr>
            <w:r w:rsidRPr="00260C2A">
              <w:t>0</w:t>
            </w:r>
            <w:r w:rsidRPr="00260C2A" w:rsidR="000E2F32">
              <w:t>,1</w:t>
            </w:r>
            <w:r w:rsidR="00095EF0">
              <w:t>8</w:t>
            </w:r>
            <w:r w:rsidRPr="00260C2A">
              <w:t xml:space="preserve"> ml</w:t>
            </w:r>
            <w:r w:rsidRPr="00260C2A" w:rsidR="000E2F32">
              <w:t>d</w:t>
            </w:r>
            <w:r w:rsidRPr="00260C2A">
              <w:t>.</w:t>
            </w:r>
          </w:p>
        </w:tc>
        <w:tc>
          <w:tcPr>
            <w:tcW w:w="850" w:type="dxa"/>
            <w:tcBorders>
              <w:top w:val="nil"/>
              <w:left w:val="nil"/>
              <w:bottom w:val="single" w:color="auto" w:sz="4" w:space="0"/>
              <w:right w:val="nil"/>
            </w:tcBorders>
          </w:tcPr>
          <w:p w:rsidRPr="0061467C" w:rsidR="00A13329" w:rsidP="00A13329" w:rsidRDefault="007B5DEE" w14:paraId="4697B89F" w14:textId="17D74A95">
            <w:pPr>
              <w:spacing w:after="0" w:line="276" w:lineRule="auto"/>
              <w:jc w:val="right"/>
            </w:pPr>
            <w:r>
              <w:t>€</w:t>
            </w:r>
            <w:r w:rsidR="00832395">
              <w:t xml:space="preserve"> </w:t>
            </w:r>
          </w:p>
        </w:tc>
        <w:tc>
          <w:tcPr>
            <w:tcW w:w="1241" w:type="dxa"/>
            <w:tcBorders>
              <w:top w:val="nil"/>
              <w:left w:val="nil"/>
              <w:bottom w:val="single" w:color="auto" w:sz="4" w:space="0"/>
            </w:tcBorders>
          </w:tcPr>
          <w:p w:rsidRPr="00095EF0" w:rsidR="00A13329" w:rsidP="00EA3A92" w:rsidRDefault="00644FB4" w14:paraId="4592739E" w14:textId="211C7339">
            <w:pPr>
              <w:spacing w:after="0" w:line="276" w:lineRule="auto"/>
              <w:jc w:val="right"/>
              <w:rPr>
                <w:highlight w:val="yellow"/>
              </w:rPr>
            </w:pPr>
            <w:r>
              <w:t>0</w:t>
            </w:r>
            <w:r w:rsidR="00EA3A92">
              <w:t>,18</w:t>
            </w:r>
            <w:r w:rsidRPr="004E5075" w:rsidR="00A13329">
              <w:t xml:space="preserve"> ml</w:t>
            </w:r>
            <w:r w:rsidRPr="004E5075" w:rsidR="000E2F32">
              <w:t>d</w:t>
            </w:r>
            <w:r w:rsidRPr="004E5075" w:rsidR="00A13329">
              <w:t>.</w:t>
            </w:r>
          </w:p>
        </w:tc>
      </w:tr>
      <w:tr w:rsidRPr="0061467C" w:rsidR="00260C2A" w:rsidTr="004E5075" w14:paraId="5E7D8B7E" w14:textId="77777777">
        <w:trPr>
          <w:jc w:val="center"/>
        </w:trPr>
        <w:tc>
          <w:tcPr>
            <w:tcW w:w="3828" w:type="dxa"/>
            <w:tcBorders>
              <w:top w:val="single" w:color="auto" w:sz="4" w:space="0"/>
              <w:bottom w:val="single" w:color="auto" w:sz="4" w:space="0"/>
              <w:right w:val="nil"/>
            </w:tcBorders>
          </w:tcPr>
          <w:p w:rsidRPr="00FD6172" w:rsidR="00A13329" w:rsidP="00FD6172" w:rsidRDefault="00A13329" w14:paraId="7064DF07" w14:textId="77777777">
            <w:pPr>
              <w:spacing w:after="0" w:line="276" w:lineRule="auto"/>
              <w:rPr>
                <w:b/>
              </w:rPr>
            </w:pPr>
            <w:r w:rsidRPr="00260C2A">
              <w:rPr>
                <w:b/>
                <w:bCs/>
              </w:rPr>
              <w:t>Totaal</w:t>
            </w:r>
          </w:p>
        </w:tc>
        <w:tc>
          <w:tcPr>
            <w:tcW w:w="704" w:type="dxa"/>
            <w:tcBorders>
              <w:top w:val="single" w:color="auto" w:sz="4" w:space="0"/>
              <w:left w:val="nil"/>
              <w:bottom w:val="single" w:color="auto" w:sz="4" w:space="0"/>
              <w:right w:val="nil"/>
            </w:tcBorders>
          </w:tcPr>
          <w:p w:rsidRPr="00FD6172" w:rsidR="00A13329" w:rsidP="00B65491" w:rsidRDefault="007B5DEE" w14:paraId="68CCF6F1" w14:textId="13D87CAD">
            <w:pPr>
              <w:spacing w:after="0" w:line="276" w:lineRule="auto"/>
              <w:jc w:val="right"/>
              <w:rPr>
                <w:b/>
              </w:rPr>
            </w:pPr>
            <w:r>
              <w:rPr>
                <w:b/>
                <w:bCs/>
              </w:rPr>
              <w:t>€</w:t>
            </w:r>
            <w:r w:rsidR="00832395">
              <w:rPr>
                <w:b/>
                <w:bCs/>
              </w:rPr>
              <w:t xml:space="preserve"> </w:t>
            </w:r>
            <w:r w:rsidRPr="00260C2A" w:rsidR="00A13329">
              <w:rPr>
                <w:b/>
                <w:bCs/>
              </w:rPr>
              <w:t xml:space="preserve"> </w:t>
            </w:r>
          </w:p>
        </w:tc>
        <w:tc>
          <w:tcPr>
            <w:tcW w:w="1276" w:type="dxa"/>
            <w:tcBorders>
              <w:top w:val="single" w:color="auto" w:sz="4" w:space="0"/>
              <w:left w:val="nil"/>
              <w:bottom w:val="single" w:color="auto" w:sz="4" w:space="0"/>
              <w:right w:val="nil"/>
            </w:tcBorders>
          </w:tcPr>
          <w:p w:rsidRPr="00FD6172" w:rsidR="00A13329" w:rsidP="00B65491" w:rsidRDefault="00644FB4" w14:paraId="1A2A6EDE" w14:textId="0E7B1D83">
            <w:pPr>
              <w:spacing w:after="0" w:line="276" w:lineRule="auto"/>
              <w:jc w:val="right"/>
              <w:rPr>
                <w:b/>
              </w:rPr>
            </w:pPr>
            <w:r>
              <w:rPr>
                <w:b/>
                <w:bCs/>
              </w:rPr>
              <w:t>11</w:t>
            </w:r>
            <w:r w:rsidR="00095EF0">
              <w:rPr>
                <w:b/>
                <w:bCs/>
              </w:rPr>
              <w:t>,7</w:t>
            </w:r>
            <w:r w:rsidRPr="00260C2A" w:rsidR="00A13329">
              <w:rPr>
                <w:b/>
                <w:bCs/>
              </w:rPr>
              <w:t xml:space="preserve"> mld.</w:t>
            </w:r>
          </w:p>
        </w:tc>
        <w:tc>
          <w:tcPr>
            <w:tcW w:w="850" w:type="dxa"/>
            <w:tcBorders>
              <w:top w:val="single" w:color="auto" w:sz="4" w:space="0"/>
              <w:left w:val="nil"/>
              <w:bottom w:val="single" w:color="auto" w:sz="4" w:space="0"/>
              <w:right w:val="nil"/>
            </w:tcBorders>
          </w:tcPr>
          <w:p w:rsidRPr="0061467C" w:rsidR="00A13329" w:rsidP="00B65491" w:rsidRDefault="007B5DEE" w14:paraId="68EC0307" w14:textId="31ADFF39">
            <w:pPr>
              <w:spacing w:after="0" w:line="276" w:lineRule="auto"/>
              <w:jc w:val="right"/>
              <w:rPr>
                <w:b/>
              </w:rPr>
            </w:pPr>
            <w:r>
              <w:t>€</w:t>
            </w:r>
            <w:r w:rsidR="00832395">
              <w:t xml:space="preserve"> </w:t>
            </w:r>
          </w:p>
        </w:tc>
        <w:tc>
          <w:tcPr>
            <w:tcW w:w="1241" w:type="dxa"/>
            <w:tcBorders>
              <w:top w:val="single" w:color="auto" w:sz="4" w:space="0"/>
              <w:left w:val="nil"/>
              <w:bottom w:val="single" w:color="auto" w:sz="4" w:space="0"/>
            </w:tcBorders>
          </w:tcPr>
          <w:p w:rsidRPr="00095EF0" w:rsidR="00A13329" w:rsidP="00B65491" w:rsidRDefault="00EA3A92" w14:paraId="413D0F37" w14:textId="6856358F">
            <w:pPr>
              <w:spacing w:after="0" w:line="276" w:lineRule="auto"/>
              <w:jc w:val="right"/>
              <w:rPr>
                <w:b/>
                <w:highlight w:val="yellow"/>
              </w:rPr>
            </w:pPr>
            <w:r>
              <w:rPr>
                <w:b/>
                <w:bCs/>
              </w:rPr>
              <w:t>12,4</w:t>
            </w:r>
            <w:r w:rsidRPr="004E5075">
              <w:rPr>
                <w:b/>
                <w:bCs/>
              </w:rPr>
              <w:t xml:space="preserve"> </w:t>
            </w:r>
            <w:r w:rsidRPr="004E5075" w:rsidR="00A13329">
              <w:rPr>
                <w:b/>
                <w:bCs/>
              </w:rPr>
              <w:t>mld.</w:t>
            </w:r>
          </w:p>
        </w:tc>
      </w:tr>
    </w:tbl>
    <w:p w:rsidRPr="00697BA5" w:rsidR="00A13329" w:rsidP="00A13329" w:rsidRDefault="00A13329" w14:paraId="115D4ACD" w14:textId="77777777">
      <w:pPr>
        <w:spacing w:after="0" w:line="276" w:lineRule="auto"/>
      </w:pPr>
    </w:p>
    <w:p w:rsidRPr="00697BA5" w:rsidR="00A13329" w:rsidP="00C13D93" w:rsidRDefault="00A13329" w14:paraId="430B4EC6" w14:textId="378D2506">
      <w:pPr>
        <w:pStyle w:val="Lijstalinea"/>
        <w:numPr>
          <w:ilvl w:val="0"/>
          <w:numId w:val="19"/>
        </w:numPr>
        <w:suppressAutoHyphens w:val="0"/>
        <w:autoSpaceDN/>
        <w:spacing w:after="0" w:line="276" w:lineRule="auto"/>
        <w:contextualSpacing w:val="0"/>
        <w:textAlignment w:val="auto"/>
      </w:pPr>
      <w:r w:rsidRPr="00F01651">
        <w:rPr>
          <w:i/>
          <w:iCs/>
        </w:rPr>
        <w:t>Directe levering</w:t>
      </w:r>
      <w:r w:rsidRPr="00F01651">
        <w:t xml:space="preserve">: </w:t>
      </w:r>
      <w:r w:rsidR="007B5DEE">
        <w:t xml:space="preserve">De totale vervangingswaarde van de materiële steun bedroeg op </w:t>
      </w:r>
      <w:r w:rsidR="00EA3A92">
        <w:t>15</w:t>
      </w:r>
      <w:r w:rsidR="00644FB4">
        <w:t xml:space="preserve"> juni</w:t>
      </w:r>
      <w:r w:rsidR="007B5DEE">
        <w:t xml:space="preserve"> 2026 in totaal €</w:t>
      </w:r>
      <w:r w:rsidR="00EA3A92">
        <w:t>2,5</w:t>
      </w:r>
      <w:r w:rsidR="007B5DEE">
        <w:t xml:space="preserve"> mld. </w:t>
      </w:r>
      <w:r w:rsidRPr="00F01651">
        <w:t>Defensie zal het geleverde materieel</w:t>
      </w:r>
      <w:r w:rsidR="00AE383F">
        <w:t xml:space="preserve"> uit eigen voorraad</w:t>
      </w:r>
      <w:r w:rsidRPr="00F01651">
        <w:t xml:space="preserve"> waar nodig zo spoedig mogelijk aanvullen of vervangen. </w:t>
      </w:r>
    </w:p>
    <w:p w:rsidR="00BB310F" w:rsidP="00C13D93" w:rsidRDefault="00A13329" w14:paraId="434F0F2B" w14:textId="5ADB9A70">
      <w:pPr>
        <w:pStyle w:val="Lijstalinea"/>
        <w:numPr>
          <w:ilvl w:val="0"/>
          <w:numId w:val="19"/>
        </w:numPr>
        <w:suppressAutoHyphens w:val="0"/>
        <w:autoSpaceDN/>
        <w:spacing w:after="0" w:line="276" w:lineRule="auto"/>
        <w:contextualSpacing w:val="0"/>
        <w:textAlignment w:val="auto"/>
      </w:pPr>
      <w:r w:rsidRPr="00F01651">
        <w:rPr>
          <w:i/>
          <w:iCs/>
        </w:rPr>
        <w:t xml:space="preserve">Commerciële </w:t>
      </w:r>
      <w:r w:rsidR="009E767F">
        <w:rPr>
          <w:i/>
          <w:iCs/>
        </w:rPr>
        <w:t>verwervingen</w:t>
      </w:r>
      <w:r w:rsidRPr="5FD86A0F">
        <w:t xml:space="preserve">: De waarde van de commercieel verworven militaire goederen ten behoeve van Oekraïne bedraagt op dit moment </w:t>
      </w:r>
      <w:r w:rsidR="007B5DEE">
        <w:t>€</w:t>
      </w:r>
      <w:r w:rsidR="00EA3A92">
        <w:t xml:space="preserve">9,7 </w:t>
      </w:r>
      <w:r w:rsidRPr="004E5075" w:rsidR="00142F45">
        <w:t>mld</w:t>
      </w:r>
      <w:r w:rsidR="00150548">
        <w:t>.</w:t>
      </w:r>
      <w:r w:rsidR="00EA5779">
        <w:t xml:space="preserve"> </w:t>
      </w:r>
      <w:r w:rsidR="00122A27">
        <w:t>Hieronder valt d</w:t>
      </w:r>
      <w:r w:rsidR="0061467C">
        <w:t xml:space="preserve">e </w:t>
      </w:r>
      <w:r w:rsidR="00031DCD">
        <w:t>totale</w:t>
      </w:r>
      <w:r w:rsidR="0061467C">
        <w:t xml:space="preserve"> </w:t>
      </w:r>
      <w:r w:rsidR="00E8297A">
        <w:t xml:space="preserve">toegezegde </w:t>
      </w:r>
      <w:r w:rsidR="0061467C">
        <w:t xml:space="preserve">bijdrage van </w:t>
      </w:r>
      <w:r w:rsidR="007B5DEE">
        <w:t>€</w:t>
      </w:r>
      <w:r w:rsidR="00164D32">
        <w:t>1 mld.</w:t>
      </w:r>
      <w:r w:rsidR="007B0C32">
        <w:t xml:space="preserve"> (waarvan €750 </w:t>
      </w:r>
      <w:r w:rsidR="00834CCF">
        <w:t>mln.</w:t>
      </w:r>
      <w:r w:rsidR="007B0C32">
        <w:t xml:space="preserve"> reeds is betaald)</w:t>
      </w:r>
      <w:r w:rsidR="00150548">
        <w:t xml:space="preserve"> </w:t>
      </w:r>
      <w:r w:rsidRPr="00BD5381" w:rsidR="0061467C">
        <w:t>aan</w:t>
      </w:r>
      <w:r w:rsidR="0061467C">
        <w:t xml:space="preserve"> het </w:t>
      </w:r>
      <w:r w:rsidR="00832395">
        <w:t>NAVO-</w:t>
      </w:r>
      <w:r w:rsidR="00832395">
        <w:rPr>
          <w:color w:val="000000" w:themeColor="text1"/>
        </w:rPr>
        <w:t>initiatief</w:t>
      </w:r>
      <w:r w:rsidRPr="00C239F6" w:rsidR="00832395">
        <w:rPr>
          <w:color w:val="000000" w:themeColor="text1"/>
        </w:rPr>
        <w:t xml:space="preserve"> </w:t>
      </w:r>
      <w:r w:rsidRPr="0057523B" w:rsidR="0061467C">
        <w:rPr>
          <w:i/>
          <w:color w:val="000000" w:themeColor="text1"/>
        </w:rPr>
        <w:t>Prioritized Ukraine Requirement List</w:t>
      </w:r>
      <w:r w:rsidR="0061467C">
        <w:rPr>
          <w:color w:val="000000" w:themeColor="text1"/>
        </w:rPr>
        <w:t xml:space="preserve"> (</w:t>
      </w:r>
      <w:r w:rsidRPr="00C239F6" w:rsidR="0061467C">
        <w:rPr>
          <w:color w:val="000000" w:themeColor="text1"/>
        </w:rPr>
        <w:t>PURL</w:t>
      </w:r>
      <w:r w:rsidR="0061467C">
        <w:rPr>
          <w:color w:val="000000" w:themeColor="text1"/>
        </w:rPr>
        <w:t>)</w:t>
      </w:r>
      <w:r w:rsidR="00C324E9">
        <w:rPr>
          <w:color w:val="000000" w:themeColor="text1"/>
        </w:rPr>
        <w:t>, waarmee Nederland snel Amerikaanse wapensystemen heeft verworven</w:t>
      </w:r>
      <w:r w:rsidR="00DE7410">
        <w:rPr>
          <w:color w:val="000000" w:themeColor="text1"/>
        </w:rPr>
        <w:t xml:space="preserve"> voor acute Oekraïense behoeften, bijvoorbeeld ten aanzien van luchtverdediging</w:t>
      </w:r>
      <w:r w:rsidR="00122A27">
        <w:rPr>
          <w:color w:val="000000" w:themeColor="text1"/>
        </w:rPr>
        <w:t xml:space="preserve">. </w:t>
      </w:r>
      <w:r w:rsidR="0061467C">
        <w:rPr>
          <w:color w:val="000000" w:themeColor="text1"/>
        </w:rPr>
        <w:t xml:space="preserve">Andere </w:t>
      </w:r>
      <w:r w:rsidR="0061467C">
        <w:rPr>
          <w:rStyle w:val="Verwijzingopmerking"/>
        </w:rPr>
        <w:t>b</w:t>
      </w:r>
      <w:r w:rsidRPr="5FD86A0F" w:rsidR="00AD2AD1">
        <w:t xml:space="preserve">ijdragen </w:t>
      </w:r>
      <w:r w:rsidR="0061467C">
        <w:t>aan</w:t>
      </w:r>
      <w:r w:rsidRPr="5FD86A0F" w:rsidR="00AD2AD1">
        <w:t xml:space="preserve"> internationale </w:t>
      </w:r>
      <w:r w:rsidRPr="00C239F6" w:rsidR="00AD2AD1">
        <w:rPr>
          <w:color w:val="000000" w:themeColor="text1"/>
        </w:rPr>
        <w:t>samenwerkingsprojecten</w:t>
      </w:r>
      <w:r w:rsidR="0061467C">
        <w:rPr>
          <w:color w:val="000000" w:themeColor="text1"/>
        </w:rPr>
        <w:t xml:space="preserve"> </w:t>
      </w:r>
      <w:r w:rsidRPr="00C239F6" w:rsidR="00AD2AD1">
        <w:rPr>
          <w:color w:val="000000" w:themeColor="text1"/>
        </w:rPr>
        <w:t xml:space="preserve">of specifieke donaties die commercieel worden verworven, </w:t>
      </w:r>
      <w:r w:rsidRPr="00C239F6" w:rsidR="00B14D73">
        <w:rPr>
          <w:color w:val="000000" w:themeColor="text1"/>
        </w:rPr>
        <w:t xml:space="preserve">zoals het </w:t>
      </w:r>
      <w:r w:rsidRPr="00C239F6" w:rsidR="00B14D73">
        <w:rPr>
          <w:i/>
          <w:color w:val="000000" w:themeColor="text1"/>
        </w:rPr>
        <w:t xml:space="preserve">Build </w:t>
      </w:r>
      <w:r w:rsidR="00AE383F">
        <w:rPr>
          <w:i/>
          <w:color w:val="000000" w:themeColor="text1"/>
        </w:rPr>
        <w:t>w</w:t>
      </w:r>
      <w:r w:rsidRPr="00C239F6" w:rsidR="00B14D73">
        <w:rPr>
          <w:i/>
          <w:color w:val="000000" w:themeColor="text1"/>
        </w:rPr>
        <w:t>ith Ukraine</w:t>
      </w:r>
      <w:r w:rsidRPr="00C239F6" w:rsidR="00B14D73">
        <w:rPr>
          <w:color w:val="000000" w:themeColor="text1"/>
        </w:rPr>
        <w:t xml:space="preserve"> co-productie</w:t>
      </w:r>
      <w:r w:rsidR="00EA5779">
        <w:rPr>
          <w:color w:val="000000" w:themeColor="text1"/>
        </w:rPr>
        <w:t>-</w:t>
      </w:r>
      <w:r w:rsidRPr="00C239F6" w:rsidR="00B14D73">
        <w:rPr>
          <w:color w:val="000000" w:themeColor="text1"/>
        </w:rPr>
        <w:t xml:space="preserve">project, </w:t>
      </w:r>
      <w:r w:rsidRPr="00C239F6" w:rsidR="00AD2AD1">
        <w:rPr>
          <w:color w:val="000000" w:themeColor="text1"/>
        </w:rPr>
        <w:t xml:space="preserve">worden na realisatie bij de commerciële leveringen opgeteld. De realisatie betreft in deze gevallen </w:t>
      </w:r>
      <w:r w:rsidRPr="5FD86A0F" w:rsidR="00AD2AD1">
        <w:t xml:space="preserve">de betaling aan het samenwerkingsproject. De levering via </w:t>
      </w:r>
      <w:r w:rsidR="00AD2AD1">
        <w:t>dergelijke</w:t>
      </w:r>
      <w:r w:rsidRPr="5FD86A0F" w:rsidR="00AD2AD1">
        <w:t xml:space="preserve"> project</w:t>
      </w:r>
      <w:r w:rsidR="00AD2AD1">
        <w:t>en</w:t>
      </w:r>
      <w:r w:rsidRPr="5FD86A0F" w:rsidR="00AD2AD1">
        <w:t xml:space="preserve"> aan Oekraïne zal op een later moment plaatsvinde</w:t>
      </w:r>
      <w:r w:rsidR="00AD2AD1">
        <w:t>n</w:t>
      </w:r>
      <w:r w:rsidRPr="5FD86A0F">
        <w:t xml:space="preserve">. </w:t>
      </w:r>
    </w:p>
    <w:p w:rsidRPr="001419C1" w:rsidR="00A13329" w:rsidP="00FD6172" w:rsidRDefault="00A13329" w14:paraId="78644DB1" w14:textId="2BAEFCD4">
      <w:pPr>
        <w:pStyle w:val="Lijstalinea"/>
        <w:numPr>
          <w:ilvl w:val="0"/>
          <w:numId w:val="19"/>
        </w:numPr>
        <w:suppressAutoHyphens w:val="0"/>
        <w:autoSpaceDN/>
        <w:spacing w:after="0" w:line="276" w:lineRule="auto"/>
        <w:contextualSpacing w:val="0"/>
        <w:textAlignment w:val="auto"/>
        <w:rPr>
          <w:i/>
        </w:rPr>
      </w:pPr>
      <w:r w:rsidRPr="00F01651">
        <w:t>NAVO-</w:t>
      </w:r>
      <w:r w:rsidRPr="00C239F6" w:rsidR="00301E12">
        <w:rPr>
          <w:iCs/>
        </w:rPr>
        <w:t>fonds</w:t>
      </w:r>
      <w:r w:rsidRPr="0052465F">
        <w:t xml:space="preserve">: </w:t>
      </w:r>
      <w:r w:rsidRPr="00C239F6">
        <w:t xml:space="preserve">Nederland </w:t>
      </w:r>
      <w:r w:rsidRPr="00C239F6" w:rsidR="0052465F">
        <w:t xml:space="preserve">heeft tot op heden </w:t>
      </w:r>
      <w:r w:rsidR="007B5DEE">
        <w:t>€</w:t>
      </w:r>
      <w:r w:rsidR="00BD5381">
        <w:t>179</w:t>
      </w:r>
      <w:r w:rsidRPr="00C239F6" w:rsidR="0052465F">
        <w:t xml:space="preserve"> </w:t>
      </w:r>
      <w:r w:rsidR="00AE383F">
        <w:t xml:space="preserve">mln. </w:t>
      </w:r>
      <w:r w:rsidRPr="00C239F6">
        <w:t>bij</w:t>
      </w:r>
      <w:r w:rsidRPr="00C239F6" w:rsidR="0052465F">
        <w:t>gedragen</w:t>
      </w:r>
      <w:r w:rsidRPr="00C239F6">
        <w:t xml:space="preserve"> aan het NAVO </w:t>
      </w:r>
      <w:r w:rsidRPr="00C239F6">
        <w:rPr>
          <w:i/>
          <w:iCs/>
        </w:rPr>
        <w:t>Ukraine Comprehensive Assistance Package</w:t>
      </w:r>
      <w:r w:rsidRPr="00C239F6">
        <w:t xml:space="preserve"> (UCAP).</w:t>
      </w:r>
      <w:r w:rsidRPr="00C239F6" w:rsidR="0052465F">
        <w:t xml:space="preserve"> </w:t>
      </w:r>
      <w:r w:rsidRPr="0052465F">
        <w:t xml:space="preserve">Uit het UCAP levert NAVO niet-letale steun, zoals eerder met de Kamer gedeeld (Kamerstuk 22 054, nr. 377 </w:t>
      </w:r>
      <w:r w:rsidR="00F071A0">
        <w:t>dd.</w:t>
      </w:r>
      <w:r w:rsidRPr="0052465F">
        <w:t xml:space="preserve"> 16 december 2022 en Kamerstuk 22 054, nr. 387 </w:t>
      </w:r>
      <w:r w:rsidR="00F071A0">
        <w:t>dd.</w:t>
      </w:r>
      <w:r w:rsidRPr="0052465F">
        <w:t xml:space="preserve"> 13 april </w:t>
      </w:r>
      <w:r w:rsidRPr="0052465F" w:rsidR="00C078B7">
        <w:t>2023</w:t>
      </w:r>
      <w:r w:rsidRPr="0052465F">
        <w:t>).</w:t>
      </w:r>
    </w:p>
    <w:p w:rsidR="000D7470" w:rsidP="00A13329" w:rsidRDefault="000D7470" w14:paraId="6B13E4AA" w14:textId="22F31762">
      <w:pPr>
        <w:pStyle w:val="Default"/>
        <w:spacing w:line="276" w:lineRule="auto"/>
        <w:rPr>
          <w:i/>
          <w:sz w:val="18"/>
          <w:szCs w:val="18"/>
        </w:rPr>
      </w:pPr>
    </w:p>
    <w:p w:rsidRPr="00FD6172" w:rsidR="000C51F7" w:rsidP="00FD6172" w:rsidRDefault="000D7470" w14:paraId="58C4368D" w14:textId="17D162D8">
      <w:pPr>
        <w:pStyle w:val="Default"/>
        <w:spacing w:line="276" w:lineRule="auto"/>
        <w:rPr>
          <w:i/>
          <w:sz w:val="18"/>
          <w:szCs w:val="18"/>
        </w:rPr>
      </w:pPr>
      <w:r w:rsidRPr="00C13D93">
        <w:rPr>
          <w:i/>
          <w:sz w:val="18"/>
          <w:szCs w:val="18"/>
        </w:rPr>
        <w:t>Industrie</w:t>
      </w:r>
    </w:p>
    <w:p w:rsidRPr="004E5075" w:rsidR="004A1032" w:rsidP="004A1032" w:rsidRDefault="00A6135A" w14:paraId="5B6D9352" w14:textId="3E8E6C66">
      <w:pPr>
        <w:spacing w:line="276" w:lineRule="auto"/>
        <w:rPr>
          <w:rFonts w:ascii="Times New Roman" w:hAnsi="Times New Roman"/>
          <w:sz w:val="24"/>
          <w:szCs w:val="24"/>
        </w:rPr>
      </w:pPr>
      <w:r>
        <w:t>Het kabinet werkt hard</w:t>
      </w:r>
      <w:r w:rsidR="004A1032">
        <w:t xml:space="preserve"> aan de opschaling van de Nederlandse en Europese defensie</w:t>
      </w:r>
      <w:r w:rsidR="00685349">
        <w:t>-</w:t>
      </w:r>
      <w:r w:rsidR="004A1032">
        <w:t>industrie</w:t>
      </w:r>
      <w:r w:rsidR="007B5DEE">
        <w:t>ën</w:t>
      </w:r>
      <w:r w:rsidR="004A1032">
        <w:t xml:space="preserve"> om zowel Oekra</w:t>
      </w:r>
      <w:r w:rsidR="00301E22">
        <w:t>ï</w:t>
      </w:r>
      <w:r w:rsidR="004A1032">
        <w:t>ne als onze eigen krijgsmacht tijdig van de juiste capaciteiten te voorzien. De verslechterde veiligheidssituatie en het regeneratievermogen van de Russische strijdkrachten vraagt van Europa om minder afhankelijk te worden van andere</w:t>
      </w:r>
      <w:r w:rsidR="007B5DEE">
        <w:t>n</w:t>
      </w:r>
      <w:r w:rsidR="004A1032">
        <w:t xml:space="preserve">. Dit is belangrijk voor ons </w:t>
      </w:r>
      <w:r w:rsidR="004A1032">
        <w:lastRenderedPageBreak/>
        <w:t xml:space="preserve">voortzettingsvermogen en om de toeleveringsketen weerbaarder maken. Daarom </w:t>
      </w:r>
      <w:r>
        <w:t>wordt in Q3 2026 gestart met het Nationaal Programma Defensie Industrie &amp; Innovatie om de industriële capaciteit en het innovatievermogen verder te versterken. Hiervoor leren we veel van Oekraïne.</w:t>
      </w:r>
      <w:r w:rsidR="004A1032">
        <w:t xml:space="preserve"> </w:t>
      </w:r>
      <w:r>
        <w:t xml:space="preserve">Om met het realiseren van militaire steun aan Oekraïne tevens meerwaarde te creëren voor de Nederlandse economie, </w:t>
      </w:r>
      <w:r w:rsidR="004A1032">
        <w:t xml:space="preserve">verwerft </w:t>
      </w:r>
      <w:r>
        <w:t xml:space="preserve">Defensie </w:t>
      </w:r>
      <w:r w:rsidR="004A1032">
        <w:t xml:space="preserve">waar mogelijk </w:t>
      </w:r>
      <w:r w:rsidR="00866385">
        <w:t xml:space="preserve">en waar dit aansluit bij de behoefte van Oekraïne </w:t>
      </w:r>
      <w:r w:rsidR="004A1032">
        <w:t>bij de innovatieve en hoogtechnologische defensie</w:t>
      </w:r>
      <w:r w:rsidR="00685349">
        <w:t>-</w:t>
      </w:r>
      <w:r w:rsidR="004A1032">
        <w:t xml:space="preserve">industrie in Nederland. </w:t>
      </w:r>
    </w:p>
    <w:p w:rsidR="005D3D6E" w:rsidP="00B95D37" w:rsidRDefault="004A1032" w14:paraId="156D7946" w14:textId="21D1CFF8">
      <w:pPr>
        <w:spacing w:line="276" w:lineRule="auto"/>
      </w:pPr>
      <w:r>
        <w:t>Een cruciaal onderdeel van het opschalen van de industriële capaciteit</w:t>
      </w:r>
      <w:r w:rsidR="005D3D6E">
        <w:t xml:space="preserve"> en het leren van Oekraïense innovaties</w:t>
      </w:r>
      <w:r>
        <w:t xml:space="preserve"> is het versterken van de industriesamenwerking met Oekraïne</w:t>
      </w:r>
      <w:r w:rsidR="00A6135A">
        <w:t xml:space="preserve"> door de samenwerking tussen Nederlandse en Oekraïense bedrijven te faciliteren. </w:t>
      </w:r>
      <w:r>
        <w:t xml:space="preserve">Zo worden er regelmatig handelsmissies georganiseerd en </w:t>
      </w:r>
      <w:r w:rsidR="005D3D6E">
        <w:t>neemt Nederland actief deel aan</w:t>
      </w:r>
      <w:r>
        <w:t xml:space="preserve"> het initiatief </w:t>
      </w:r>
      <w:r>
        <w:rPr>
          <w:i/>
          <w:iCs/>
        </w:rPr>
        <w:t>Build With Ukraine.</w:t>
      </w:r>
      <w:r>
        <w:t xml:space="preserve"> Deze samenwerking maakt coproductie van Oekraïens materieel in Nederland mogelijk.</w:t>
      </w:r>
      <w:r w:rsidR="005D3D6E">
        <w:t xml:space="preserve"> </w:t>
      </w:r>
      <w:r w:rsidRPr="005D3D6E" w:rsidR="005D3D6E">
        <w:t>Dit creëert een win</w:t>
      </w:r>
      <w:r w:rsidR="00CF471D">
        <w:t>- win situatie</w:t>
      </w:r>
      <w:r w:rsidRPr="005D3D6E" w:rsidR="005D3D6E">
        <w:t>: de productiecapaciteit van bewezen effectieve systemen voor Oekraïne wordt vergroot, de Nederlandse industrie wordt opgeschaald en we krijgen toegang tot innovaties van het slagveld.</w:t>
      </w:r>
      <w:r w:rsidR="005D3D6E">
        <w:t xml:space="preserve"> </w:t>
      </w:r>
      <w:r w:rsidRPr="005D3D6E" w:rsidR="005D3D6E">
        <w:t xml:space="preserve">Op 16 april jl. is een belangrijke volgende stap gezet </w:t>
      </w:r>
      <w:r w:rsidR="00EE4957">
        <w:t>waarbij de Nederlandse en Oekraïne industrie</w:t>
      </w:r>
      <w:r w:rsidRPr="005D3D6E" w:rsidR="005D3D6E">
        <w:t xml:space="preserve"> licentieovereenkomst getekend </w:t>
      </w:r>
      <w:r w:rsidR="00EE4957">
        <w:t xml:space="preserve"> heeft </w:t>
      </w:r>
      <w:r w:rsidRPr="005D3D6E" w:rsidR="005D3D6E">
        <w:t>voor de product</w:t>
      </w:r>
      <w:r w:rsidR="005D3D6E">
        <w:t>ie van twee typen drones</w:t>
      </w:r>
      <w:r w:rsidRPr="005D3D6E" w:rsidR="005D3D6E">
        <w:t>. Dit is het eerste coproductieproject tussen Nederland en Oekraïne. We zoeken actief naar volgende projecten waarin de kracht van de Oekraïense en Nederlandse defensie-industrie elkaar kunnen versterken.</w:t>
      </w:r>
    </w:p>
    <w:p w:rsidR="005D3D6E" w:rsidP="00B95D37" w:rsidRDefault="008560F9" w14:paraId="6FB14690" w14:textId="6B3E63BF">
      <w:pPr>
        <w:spacing w:line="276" w:lineRule="auto"/>
      </w:pPr>
      <w:r>
        <w:t xml:space="preserve">Tijdens het bezoek van de Oekraïense minister van Defensie Fedorov op 17 juni jl. hebben wij een </w:t>
      </w:r>
      <w:r w:rsidRPr="008560F9">
        <w:rPr>
          <w:i/>
        </w:rPr>
        <w:t xml:space="preserve">Letter of Intent </w:t>
      </w:r>
      <w:r>
        <w:t xml:space="preserve">ondertekend om de samenwerking op het gebied van innovatie te bestendigen en te bespoedigen. </w:t>
      </w:r>
    </w:p>
    <w:p w:rsidRPr="001419C1" w:rsidR="000D7470" w:rsidP="00FD6172" w:rsidRDefault="000D7470" w14:paraId="4828B479" w14:textId="02C5F8AD">
      <w:pPr>
        <w:spacing w:after="0" w:line="276" w:lineRule="auto"/>
        <w:ind w:left="708" w:hanging="708"/>
        <w:rPr>
          <w:i/>
        </w:rPr>
      </w:pPr>
      <w:r w:rsidRPr="00F01651">
        <w:rPr>
          <w:i/>
          <w:iCs/>
        </w:rPr>
        <w:t>Training</w:t>
      </w:r>
      <w:r w:rsidR="00292C69">
        <w:rPr>
          <w:i/>
          <w:iCs/>
        </w:rPr>
        <w:t xml:space="preserve"> </w:t>
      </w:r>
    </w:p>
    <w:p w:rsidR="009E70D1" w:rsidP="00373A1D" w:rsidRDefault="00734BAE" w14:paraId="20DEA919" w14:textId="2FE28B77">
      <w:pPr>
        <w:spacing w:line="276" w:lineRule="auto"/>
        <w:rPr>
          <w:color w:val="000000" w:themeColor="text1"/>
        </w:rPr>
      </w:pPr>
      <w:r w:rsidRPr="00C239F6">
        <w:rPr>
          <w:color w:val="000000" w:themeColor="text1"/>
        </w:rPr>
        <w:t>De aanhoudende oorlog maakt dat het opleiden van Oekraïense militairen</w:t>
      </w:r>
      <w:r w:rsidR="00E169AE">
        <w:rPr>
          <w:color w:val="000000" w:themeColor="text1"/>
        </w:rPr>
        <w:t xml:space="preserve"> ter versterking van de Oekraïense krijgsmacht zodat zij zich blijvend kunnen verdedigen</w:t>
      </w:r>
      <w:r w:rsidRPr="00C239F6">
        <w:rPr>
          <w:color w:val="000000" w:themeColor="text1"/>
        </w:rPr>
        <w:t xml:space="preserve"> een absolute noodzaak is. Opleidingen stellen Oekraïense militairen in staat de door Nederland en andere partners en bondgenoten geleverde goederen en systemen goed te gebruiken en vergroten de overlevingskansen van de militairen.</w:t>
      </w:r>
      <w:r w:rsidRPr="00C239F6" w:rsidR="6EAE4C3D">
        <w:rPr>
          <w:color w:val="000000" w:themeColor="text1"/>
        </w:rPr>
        <w:t xml:space="preserve"> </w:t>
      </w:r>
      <w:r w:rsidR="00186BE0">
        <w:rPr>
          <w:color w:val="000000" w:themeColor="text1"/>
        </w:rPr>
        <w:t xml:space="preserve">Nederland blijft doorlopend bezien op welke wijze het beste invulling gegeven kan worden aan de trainingsbehoefte vanuit de Oekraïense krijgsmacht. </w:t>
      </w:r>
      <w:r w:rsidR="00395CDE">
        <w:rPr>
          <w:color w:val="000000" w:themeColor="text1"/>
        </w:rPr>
        <w:t xml:space="preserve"> </w:t>
      </w:r>
    </w:p>
    <w:p w:rsidR="00B54060" w:rsidP="00EB0CE8" w:rsidRDefault="00734BAE" w14:paraId="41DC2047" w14:textId="04F3018D">
      <w:pPr>
        <w:spacing w:line="276" w:lineRule="auto"/>
        <w:rPr>
          <w:color w:val="000000" w:themeColor="text1"/>
        </w:rPr>
      </w:pPr>
      <w:r>
        <w:t xml:space="preserve">Sinds 2022 levert Nederland een bijdrage aan operatie Interflex, een trainings- en opleidingsprogramma in het Verenigd Koninkrijk (VK) gericht op het snel en grootschalig trainen van Oekraïense militairen op het gebied van militaire basisvaardigheden en leiderschapstraining. Tot nu toe zijn via operatie Interflex </w:t>
      </w:r>
      <w:r w:rsidR="007B5DEE">
        <w:t>ca. 6</w:t>
      </w:r>
      <w:r w:rsidR="00E8297A">
        <w:t>3</w:t>
      </w:r>
      <w:r w:rsidR="007B5DEE">
        <w:t>.000</w:t>
      </w:r>
      <w:r>
        <w:t xml:space="preserve"> Oekraïense militairen getraind. </w:t>
      </w:r>
      <w:r w:rsidR="00B54060">
        <w:t xml:space="preserve">Daarnaast </w:t>
      </w:r>
      <w:r w:rsidR="00B54060">
        <w:rPr>
          <w:color w:val="000000" w:themeColor="text1"/>
        </w:rPr>
        <w:t xml:space="preserve">heeft </w:t>
      </w:r>
      <w:r w:rsidRPr="00373A1D" w:rsidR="00B54060">
        <w:rPr>
          <w:color w:val="000000" w:themeColor="text1"/>
        </w:rPr>
        <w:t xml:space="preserve">Nederland </w:t>
      </w:r>
      <w:r w:rsidR="00B54060">
        <w:rPr>
          <w:color w:val="000000" w:themeColor="text1"/>
        </w:rPr>
        <w:t xml:space="preserve">gedurende 2025 </w:t>
      </w:r>
      <w:r w:rsidRPr="00373A1D" w:rsidR="00B54060">
        <w:rPr>
          <w:color w:val="000000" w:themeColor="text1"/>
        </w:rPr>
        <w:t xml:space="preserve">ook </w:t>
      </w:r>
      <w:r w:rsidR="00B54060">
        <w:rPr>
          <w:color w:val="000000" w:themeColor="text1"/>
        </w:rPr>
        <w:t>bijgedragen aan het opleiden van ca</w:t>
      </w:r>
      <w:r w:rsidR="00726410">
        <w:rPr>
          <w:color w:val="000000" w:themeColor="text1"/>
        </w:rPr>
        <w:t>.</w:t>
      </w:r>
      <w:r w:rsidR="00B54060">
        <w:rPr>
          <w:color w:val="000000" w:themeColor="text1"/>
        </w:rPr>
        <w:t xml:space="preserve"> 900 mariniers in Roemenië.</w:t>
      </w:r>
      <w:r w:rsidR="00E169AE">
        <w:rPr>
          <w:color w:val="000000" w:themeColor="text1"/>
        </w:rPr>
        <w:t xml:space="preserve"> Om tot een optimale invulling van de Nederlandse inzet ter versterking van de Oekraïense krijgsmacht te komen heeft het kabinet in goed overleg met het VK besloten de eerdere bijdrage aan Interflex vanaf juni 2026 in te zetten bij de </w:t>
      </w:r>
      <w:r w:rsidR="00E169AE">
        <w:rPr>
          <w:i/>
          <w:color w:val="000000" w:themeColor="text1"/>
        </w:rPr>
        <w:t xml:space="preserve">EU Military Assistance Mission for Ukraine </w:t>
      </w:r>
      <w:r w:rsidR="00E169AE">
        <w:rPr>
          <w:color w:val="000000" w:themeColor="text1"/>
        </w:rPr>
        <w:t>(EUMAM)</w:t>
      </w:r>
      <w:r w:rsidR="00E169AE">
        <w:rPr>
          <w:i/>
          <w:color w:val="000000" w:themeColor="text1"/>
        </w:rPr>
        <w:t xml:space="preserve"> </w:t>
      </w:r>
      <w:r w:rsidR="00E169AE">
        <w:rPr>
          <w:color w:val="000000" w:themeColor="text1"/>
        </w:rPr>
        <w:t>in Duitsland.</w:t>
      </w:r>
    </w:p>
    <w:p w:rsidRPr="00C239F6" w:rsidR="59AAC5A5" w:rsidP="00EB0CE8" w:rsidRDefault="00E8297A" w14:paraId="6FEFB0F6" w14:textId="3EA64CFC">
      <w:pPr>
        <w:spacing w:line="276" w:lineRule="auto"/>
        <w:rPr>
          <w:color w:val="000000" w:themeColor="text1"/>
        </w:rPr>
      </w:pPr>
      <w:r>
        <w:rPr>
          <w:color w:val="000000" w:themeColor="text1"/>
        </w:rPr>
        <w:t xml:space="preserve">Sinds de lancering in 2022 van de EU-trainingsmissie voor Oekraïne EUMAM draagt Nederland bij met stafofficieren en trainers, zowel aan grootschalige als aan specialistische trainingen. Intussen zijn in totaal meer dan 86.000 Oekraïense militairen getraind via EUMAM. </w:t>
      </w:r>
      <w:r w:rsidRPr="00373A1D" w:rsidR="00B54060">
        <w:rPr>
          <w:color w:val="000000" w:themeColor="text1"/>
        </w:rPr>
        <w:t xml:space="preserve">Nederland zet in Duitsland bij het </w:t>
      </w:r>
      <w:r w:rsidRPr="00373A1D" w:rsidR="00B54060">
        <w:rPr>
          <w:i/>
          <w:color w:val="000000" w:themeColor="text1"/>
        </w:rPr>
        <w:t>Specialized Training Command</w:t>
      </w:r>
      <w:r w:rsidRPr="00373A1D" w:rsidR="00B54060">
        <w:rPr>
          <w:color w:val="000000" w:themeColor="text1"/>
        </w:rPr>
        <w:t xml:space="preserve"> (ST-C</w:t>
      </w:r>
      <w:r w:rsidR="00B54060">
        <w:rPr>
          <w:color w:val="000000" w:themeColor="text1"/>
        </w:rPr>
        <w:t xml:space="preserve">) </w:t>
      </w:r>
      <w:r>
        <w:rPr>
          <w:color w:val="000000" w:themeColor="text1"/>
        </w:rPr>
        <w:t>van EUMAM</w:t>
      </w:r>
      <w:r w:rsidR="00C85908">
        <w:rPr>
          <w:color w:val="000000" w:themeColor="text1"/>
        </w:rPr>
        <w:t>-</w:t>
      </w:r>
      <w:r w:rsidR="007B5DEE">
        <w:rPr>
          <w:color w:val="000000" w:themeColor="text1"/>
        </w:rPr>
        <w:t>personeel</w:t>
      </w:r>
      <w:r w:rsidRPr="00373A1D" w:rsidR="007B5DEE">
        <w:rPr>
          <w:color w:val="000000" w:themeColor="text1"/>
        </w:rPr>
        <w:t xml:space="preserve"> </w:t>
      </w:r>
      <w:r w:rsidRPr="00373A1D" w:rsidR="00B54060">
        <w:rPr>
          <w:color w:val="000000" w:themeColor="text1"/>
        </w:rPr>
        <w:t>in voor verschillende trainingen</w:t>
      </w:r>
      <w:r w:rsidR="00B54060">
        <w:rPr>
          <w:color w:val="000000" w:themeColor="text1"/>
        </w:rPr>
        <w:t>,</w:t>
      </w:r>
      <w:r w:rsidRPr="00373A1D" w:rsidR="00B54060">
        <w:rPr>
          <w:color w:val="000000" w:themeColor="text1"/>
        </w:rPr>
        <w:t xml:space="preserve"> </w:t>
      </w:r>
      <w:r w:rsidR="00B54060">
        <w:rPr>
          <w:color w:val="000000" w:themeColor="text1"/>
        </w:rPr>
        <w:t xml:space="preserve">zoals </w:t>
      </w:r>
      <w:r w:rsidRPr="00373A1D" w:rsidR="00B54060">
        <w:rPr>
          <w:color w:val="000000" w:themeColor="text1"/>
        </w:rPr>
        <w:t>Leopard 1</w:t>
      </w:r>
      <w:r w:rsidR="00B54060">
        <w:rPr>
          <w:color w:val="000000" w:themeColor="text1"/>
        </w:rPr>
        <w:t xml:space="preserve"> tankcrewtraining en</w:t>
      </w:r>
      <w:r w:rsidRPr="00373A1D" w:rsidR="00B54060">
        <w:rPr>
          <w:color w:val="000000" w:themeColor="text1"/>
        </w:rPr>
        <w:t xml:space="preserve"> </w:t>
      </w:r>
      <w:r w:rsidRPr="00373A1D" w:rsidR="00E14FAF">
        <w:rPr>
          <w:color w:val="000000" w:themeColor="text1"/>
        </w:rPr>
        <w:t>training</w:t>
      </w:r>
      <w:r w:rsidR="00E14FAF">
        <w:rPr>
          <w:color w:val="000000" w:themeColor="text1"/>
        </w:rPr>
        <w:t xml:space="preserve"> voor </w:t>
      </w:r>
      <w:r w:rsidR="00B54060">
        <w:rPr>
          <w:color w:val="000000" w:themeColor="text1"/>
        </w:rPr>
        <w:t>artilleriegeschut</w:t>
      </w:r>
      <w:r w:rsidR="00E14FAF">
        <w:rPr>
          <w:color w:val="000000" w:themeColor="text1"/>
        </w:rPr>
        <w:t>-</w:t>
      </w:r>
      <w:r w:rsidRPr="00373A1D" w:rsidR="00B54060">
        <w:rPr>
          <w:color w:val="000000" w:themeColor="text1"/>
        </w:rPr>
        <w:t>operator</w:t>
      </w:r>
      <w:r w:rsidR="00E14FAF">
        <w:rPr>
          <w:color w:val="000000" w:themeColor="text1"/>
        </w:rPr>
        <w:t>s</w:t>
      </w:r>
      <w:r w:rsidRPr="00E14FAF" w:rsidR="00E14FAF">
        <w:rPr>
          <w:color w:val="000000" w:themeColor="text1"/>
        </w:rPr>
        <w:t xml:space="preserve"> </w:t>
      </w:r>
      <w:r w:rsidR="00E14FAF">
        <w:rPr>
          <w:color w:val="000000" w:themeColor="text1"/>
        </w:rPr>
        <w:t>van Pantserhouwitsers</w:t>
      </w:r>
      <w:r w:rsidRPr="00373A1D" w:rsidR="00B54060">
        <w:rPr>
          <w:color w:val="000000" w:themeColor="text1"/>
        </w:rPr>
        <w:t xml:space="preserve">. </w:t>
      </w:r>
    </w:p>
    <w:p w:rsidRPr="002C67C0" w:rsidR="00A13329" w:rsidP="00C13D93" w:rsidRDefault="00A13329" w14:paraId="5E74B88A" w14:textId="4E87583C">
      <w:pPr>
        <w:spacing w:after="0" w:line="276" w:lineRule="auto"/>
      </w:pPr>
      <w:r w:rsidRPr="00EA2D2E">
        <w:rPr>
          <w:i/>
        </w:rPr>
        <w:t>Toetsing</w:t>
      </w:r>
    </w:p>
    <w:p w:rsidRPr="000C51F7" w:rsidR="00C017D6" w:rsidRDefault="00A13329" w14:paraId="2920EF2B" w14:textId="44C22B4B">
      <w:pPr>
        <w:spacing w:after="0" w:line="276" w:lineRule="auto"/>
      </w:pPr>
      <w:r w:rsidRPr="000C51F7">
        <w:t>Voor leveringen</w:t>
      </w:r>
      <w:r w:rsidR="00866385">
        <w:t xml:space="preserve"> aan Oekraïne</w:t>
      </w:r>
      <w:r w:rsidRPr="000C51F7">
        <w:t xml:space="preserve"> is, waar nodig, een zorgvuldige, maar gezien de uitzonderlijke omstandigheden versnelde, toetsing aan de EU</w:t>
      </w:r>
      <w:r w:rsidRPr="000C51F7" w:rsidR="00017810">
        <w:t>-</w:t>
      </w:r>
      <w:r w:rsidRPr="000C51F7">
        <w:t>wapenexportcriteria verricht door de minister van Buitenlandse Zaken</w:t>
      </w:r>
      <w:r w:rsidRPr="000C51F7" w:rsidR="009272A6">
        <w:t>,</w:t>
      </w:r>
      <w:r w:rsidRPr="000C51F7">
        <w:t xml:space="preserve"> waarna door de </w:t>
      </w:r>
      <w:r w:rsidR="00EE51CD">
        <w:t xml:space="preserve">minister </w:t>
      </w:r>
      <w:r w:rsidRPr="000C51F7">
        <w:t>v</w:t>
      </w:r>
      <w:r w:rsidR="00EE51CD">
        <w:t>an</w:t>
      </w:r>
      <w:r w:rsidRPr="000C51F7">
        <w:t xml:space="preserve"> Buitenlandse Handel</w:t>
      </w:r>
      <w:r w:rsidR="00434ACD">
        <w:t xml:space="preserve"> en </w:t>
      </w:r>
      <w:r w:rsidR="00434ACD">
        <w:lastRenderedPageBreak/>
        <w:t>Ontwikkelingssamenwerking</w:t>
      </w:r>
      <w:r w:rsidRPr="000C51F7">
        <w:t xml:space="preserve"> een exportvergunning is afgegeven.</w:t>
      </w:r>
      <w:r w:rsidRPr="000C51F7">
        <w:rPr>
          <w:rStyle w:val="Voetnootmarkering"/>
        </w:rPr>
        <w:footnoteReference w:id="5"/>
      </w:r>
      <w:r w:rsidRPr="000C51F7">
        <w:t xml:space="preserve"> Ook bij eventuele nieuwe leveringen zal deze zorgvuldige en versnelde toetsing </w:t>
      </w:r>
      <w:r w:rsidRPr="000C51F7" w:rsidR="009272A6">
        <w:t xml:space="preserve">waar nodig </w:t>
      </w:r>
      <w:r w:rsidRPr="000C51F7">
        <w:t>plaatsvinden.</w:t>
      </w:r>
      <w:r w:rsidR="00E8297A">
        <w:rPr>
          <w:rStyle w:val="Voetnootmarkering"/>
        </w:rPr>
        <w:footnoteReference w:id="6"/>
      </w:r>
      <w:r w:rsidRPr="000C51F7" w:rsidR="00EB2C68">
        <w:t xml:space="preserve"> </w:t>
      </w:r>
    </w:p>
    <w:p w:rsidR="00446893" w:rsidP="00A13329" w:rsidRDefault="00446893" w14:paraId="53048041" w14:textId="77777777">
      <w:pPr>
        <w:spacing w:after="0" w:line="276" w:lineRule="auto"/>
        <w:rPr>
          <w:i/>
          <w:iCs/>
        </w:rPr>
      </w:pPr>
    </w:p>
    <w:p w:rsidRPr="00446893" w:rsidR="00A13329" w:rsidP="00A13329" w:rsidRDefault="00A13329" w14:paraId="3CF9AAED" w14:textId="38092CB2">
      <w:pPr>
        <w:spacing w:after="0" w:line="276" w:lineRule="auto"/>
        <w:rPr>
          <w:i/>
          <w:iCs/>
        </w:rPr>
      </w:pPr>
      <w:r w:rsidRPr="00F01651">
        <w:rPr>
          <w:i/>
          <w:iCs/>
        </w:rPr>
        <w:t>Effecten krijgsmacht</w:t>
      </w:r>
    </w:p>
    <w:p w:rsidR="00A13329" w:rsidP="00A13329" w:rsidRDefault="00A13329" w14:paraId="511F1273" w14:textId="57A5B2A7">
      <w:pPr>
        <w:spacing w:after="0" w:line="276" w:lineRule="auto"/>
      </w:pPr>
      <w:r>
        <w:t>De effecten van de geleverde steun op de gereedheid van de Nederlandse strijdkrachten</w:t>
      </w:r>
      <w:r w:rsidR="00C26292">
        <w:t xml:space="preserve"> en </w:t>
      </w:r>
      <w:r w:rsidR="00ED2408">
        <w:t xml:space="preserve">op </w:t>
      </w:r>
      <w:r w:rsidR="00C26292">
        <w:t>het behalen van de NAVO-capaciteitsdoelen</w:t>
      </w:r>
      <w:r>
        <w:t xml:space="preserve"> worden, gezien</w:t>
      </w:r>
      <w:r w:rsidR="00C26292">
        <w:t xml:space="preserve"> het Nederlands belang van een veilig Europa </w:t>
      </w:r>
      <w:r>
        <w:t>door Defensie als</w:t>
      </w:r>
      <w:r w:rsidR="00D85003">
        <w:t xml:space="preserve"> significant, maar</w:t>
      </w:r>
      <w:r>
        <w:t xml:space="preserve"> acceptabel beoordeeld. Defensie neemt maatregelen om deze gevolgen zoveel mogelijk te mitigeren. Zo zijn er maatregelen om de aankoop van vervangend materieel te versnellen en wordt project- en inkoopcapaciteit versterkt.</w:t>
      </w:r>
      <w:r w:rsidR="007B5DEE">
        <w:t xml:space="preserve"> Ook weegt Defensie continu de belangen van enerzijds de steunvoorziening aan Oekraïne en anderzijds het belang van het opleiden en training van het eigen personeel. </w:t>
      </w:r>
      <w:r>
        <w:t xml:space="preserve">Het kabinet </w:t>
      </w:r>
      <w:r w:rsidR="00C26292">
        <w:t xml:space="preserve">zal </w:t>
      </w:r>
      <w:r w:rsidR="00EB4850">
        <w:t xml:space="preserve">ook </w:t>
      </w:r>
      <w:r>
        <w:t>bij toekomstige verzoeken aandacht</w:t>
      </w:r>
      <w:r w:rsidR="00C26292">
        <w:t xml:space="preserve"> houden</w:t>
      </w:r>
      <w:r>
        <w:t xml:space="preserve"> voor de effecten op de gereedheid</w:t>
      </w:r>
      <w:r w:rsidR="00DE7410">
        <w:t>,</w:t>
      </w:r>
      <w:r w:rsidR="00854E9B">
        <w:t xml:space="preserve"> gezien de </w:t>
      </w:r>
      <w:r w:rsidR="00821A27">
        <w:t>veranderende veiligheidssituatie</w:t>
      </w:r>
      <w:r w:rsidR="005A3F68">
        <w:t xml:space="preserve"> waarin de Nederlandse k</w:t>
      </w:r>
      <w:r w:rsidR="00854E9B">
        <w:t>rijgsmacht haar operationele gereedheid moet verhogen</w:t>
      </w:r>
      <w:r>
        <w:t>.</w:t>
      </w:r>
    </w:p>
    <w:p w:rsidR="00A13329" w:rsidP="00A13329" w:rsidRDefault="00A13329" w14:paraId="3013A324" w14:textId="77777777">
      <w:pPr>
        <w:spacing w:after="0" w:line="276" w:lineRule="auto"/>
      </w:pPr>
    </w:p>
    <w:p w:rsidRPr="00A43A6D" w:rsidR="00A13329" w:rsidP="00B65491" w:rsidRDefault="00A13329" w14:paraId="7C665BFD" w14:textId="1DEDFAAF">
      <w:pPr>
        <w:spacing w:after="0" w:line="276" w:lineRule="auto"/>
        <w:rPr>
          <w:i/>
        </w:rPr>
      </w:pPr>
      <w:r w:rsidRPr="00F01651">
        <w:rPr>
          <w:i/>
          <w:iCs/>
        </w:rPr>
        <w:t>Europese Vredesfaciliteit</w:t>
      </w:r>
      <w:r w:rsidR="00DE0F2A">
        <w:rPr>
          <w:i/>
          <w:iCs/>
        </w:rPr>
        <w:t xml:space="preserve"> </w:t>
      </w:r>
    </w:p>
    <w:p w:rsidR="00EA5779" w:rsidP="00926BBA" w:rsidRDefault="00685349" w14:paraId="7DCEF6E6" w14:textId="404D7306">
      <w:pPr>
        <w:spacing w:after="0" w:line="276" w:lineRule="auto"/>
        <w:rPr>
          <w:color w:val="000000" w:themeColor="text1"/>
        </w:rPr>
      </w:pPr>
      <w:r>
        <w:rPr>
          <w:color w:val="000000" w:themeColor="text1"/>
        </w:rPr>
        <w:t>U</w:t>
      </w:r>
      <w:r w:rsidRPr="00C239F6" w:rsidR="00A13329">
        <w:rPr>
          <w:color w:val="000000" w:themeColor="text1"/>
        </w:rPr>
        <w:t>it de Europese Vredesfaciliteit (</w:t>
      </w:r>
      <w:r w:rsidRPr="00C239F6" w:rsidR="00A13329">
        <w:rPr>
          <w:i/>
          <w:iCs/>
          <w:color w:val="000000" w:themeColor="text1"/>
        </w:rPr>
        <w:t xml:space="preserve">European Peace Facility </w:t>
      </w:r>
      <w:r w:rsidRPr="00C239F6" w:rsidR="00A13329">
        <w:rPr>
          <w:color w:val="000000" w:themeColor="text1"/>
        </w:rPr>
        <w:t xml:space="preserve">– EPF) is reeds </w:t>
      </w:r>
      <w:r w:rsidRPr="00C239F6" w:rsidR="002C2B1C">
        <w:rPr>
          <w:color w:val="000000" w:themeColor="text1"/>
        </w:rPr>
        <w:t xml:space="preserve">ongeveer </w:t>
      </w:r>
      <w:r w:rsidR="007B5DEE">
        <w:rPr>
          <w:color w:val="000000" w:themeColor="text1"/>
        </w:rPr>
        <w:t>€</w:t>
      </w:r>
      <w:r w:rsidRPr="00C239F6" w:rsidR="002C2B1C">
        <w:rPr>
          <w:color w:val="000000" w:themeColor="text1"/>
        </w:rPr>
        <w:t>6</w:t>
      </w:r>
      <w:r w:rsidRPr="00C239F6" w:rsidR="00A13329">
        <w:rPr>
          <w:color w:val="000000" w:themeColor="text1"/>
        </w:rPr>
        <w:t xml:space="preserve"> miljard gecommitteerd aan steun voor Oekraïne</w:t>
      </w:r>
      <w:r w:rsidRPr="00C239F6" w:rsidR="00926BBA">
        <w:rPr>
          <w:color w:val="000000" w:themeColor="text1"/>
        </w:rPr>
        <w:t xml:space="preserve">. </w:t>
      </w:r>
      <w:r w:rsidRPr="00C239F6" w:rsidR="00511EFA">
        <w:rPr>
          <w:color w:val="000000" w:themeColor="text1"/>
        </w:rPr>
        <w:t>Dit gebeurt onder andere via leveringen van militair materieel van EU-lidstaten uit eigen voorraad, aanschaf bij de industrie en de financiering van de gemeenschappelijke kosten van</w:t>
      </w:r>
      <w:r w:rsidR="00EE26D5">
        <w:rPr>
          <w:color w:val="000000" w:themeColor="text1"/>
        </w:rPr>
        <w:t xml:space="preserve"> </w:t>
      </w:r>
      <w:r w:rsidRPr="001F3E12" w:rsidR="00A737D4">
        <w:rPr>
          <w:i/>
          <w:color w:val="000000" w:themeColor="text1"/>
        </w:rPr>
        <w:t>EU Military Assistance Mission</w:t>
      </w:r>
      <w:r w:rsidR="00A737D4">
        <w:rPr>
          <w:color w:val="000000" w:themeColor="text1"/>
        </w:rPr>
        <w:t xml:space="preserve"> </w:t>
      </w:r>
      <w:r w:rsidRPr="00C239F6" w:rsidR="00511EFA">
        <w:rPr>
          <w:color w:val="000000" w:themeColor="text1"/>
        </w:rPr>
        <w:t xml:space="preserve">EUMAM. </w:t>
      </w:r>
      <w:r w:rsidRPr="00C239F6" w:rsidR="00607BB2">
        <w:rPr>
          <w:color w:val="000000" w:themeColor="text1"/>
        </w:rPr>
        <w:t>Daarnaast wordt een deel van de rente</w:t>
      </w:r>
      <w:r w:rsidRPr="00C239F6" w:rsidR="00E40BB6">
        <w:rPr>
          <w:color w:val="000000" w:themeColor="text1"/>
        </w:rPr>
        <w:t>-inkomsten over de geïmmobiliseerde Russische centrale banktegoeden (</w:t>
      </w:r>
      <w:r w:rsidRPr="00C239F6" w:rsidR="00E40BB6">
        <w:rPr>
          <w:i/>
          <w:color w:val="000000" w:themeColor="text1"/>
        </w:rPr>
        <w:t>windfall profits</w:t>
      </w:r>
      <w:r w:rsidRPr="00C239F6" w:rsidR="00E40BB6">
        <w:rPr>
          <w:color w:val="000000" w:themeColor="text1"/>
        </w:rPr>
        <w:t xml:space="preserve">) via de EPF uitgegeven aan militaire steun aan </w:t>
      </w:r>
      <w:r w:rsidRPr="00C239F6" w:rsidR="005F4309">
        <w:rPr>
          <w:color w:val="000000" w:themeColor="text1"/>
        </w:rPr>
        <w:t>Oekraïne</w:t>
      </w:r>
      <w:r w:rsidRPr="00C239F6" w:rsidR="00607BB2">
        <w:rPr>
          <w:color w:val="000000" w:themeColor="text1"/>
        </w:rPr>
        <w:t>.</w:t>
      </w:r>
      <w:r w:rsidRPr="00C239F6" w:rsidR="00E40BB6">
        <w:rPr>
          <w:color w:val="000000" w:themeColor="text1"/>
        </w:rPr>
        <w:t xml:space="preserve"> Het gaat tot op heden om </w:t>
      </w:r>
      <w:r w:rsidR="003A088E">
        <w:rPr>
          <w:color w:val="000000" w:themeColor="text1"/>
        </w:rPr>
        <w:t>vier</w:t>
      </w:r>
      <w:r w:rsidRPr="00C239F6" w:rsidR="00E40BB6">
        <w:rPr>
          <w:color w:val="000000" w:themeColor="text1"/>
        </w:rPr>
        <w:t xml:space="preserve"> tranches</w:t>
      </w:r>
      <w:r w:rsidR="003A088E">
        <w:rPr>
          <w:rStyle w:val="Verwijzingopmerking"/>
          <w:rFonts w:cs="Mangal"/>
        </w:rPr>
        <w:t>.</w:t>
      </w:r>
      <w:r w:rsidR="00AF2480">
        <w:rPr>
          <w:rStyle w:val="Verwijzingopmerking"/>
          <w:rFonts w:cs="Mangal"/>
        </w:rPr>
        <w:t xml:space="preserve"> </w:t>
      </w:r>
      <w:r w:rsidR="00AF2480">
        <w:rPr>
          <w:color w:val="000000" w:themeColor="text1"/>
        </w:rPr>
        <w:t>Nederland is binnen de tweede tranche als uitvoerder (</w:t>
      </w:r>
      <w:r w:rsidRPr="0061467C" w:rsidR="00AF2480">
        <w:rPr>
          <w:i/>
          <w:color w:val="000000" w:themeColor="text1"/>
        </w:rPr>
        <w:t>implementing actor</w:t>
      </w:r>
      <w:r w:rsidR="00AF2480">
        <w:rPr>
          <w:color w:val="000000" w:themeColor="text1"/>
        </w:rPr>
        <w:t xml:space="preserve">) verantwoordelijk voor het verwerven van </w:t>
      </w:r>
      <w:r w:rsidR="007B5DEE">
        <w:rPr>
          <w:color w:val="000000" w:themeColor="text1"/>
        </w:rPr>
        <w:t>€</w:t>
      </w:r>
      <w:r w:rsidR="00AF2480">
        <w:rPr>
          <w:color w:val="000000" w:themeColor="text1"/>
        </w:rPr>
        <w:t xml:space="preserve">100 </w:t>
      </w:r>
      <w:bookmarkStart w:name="_GoBack" w:id="0"/>
      <w:bookmarkEnd w:id="0"/>
      <w:r w:rsidR="00150548">
        <w:rPr>
          <w:color w:val="000000" w:themeColor="text1"/>
        </w:rPr>
        <w:t xml:space="preserve">mln. </w:t>
      </w:r>
      <w:r w:rsidR="00AF2480">
        <w:rPr>
          <w:color w:val="000000" w:themeColor="text1"/>
        </w:rPr>
        <w:t>aan drones bij de Oekraïense defensie</w:t>
      </w:r>
      <w:r w:rsidR="00C85908">
        <w:rPr>
          <w:color w:val="000000" w:themeColor="text1"/>
        </w:rPr>
        <w:t>-</w:t>
      </w:r>
      <w:r w:rsidR="00AF2480">
        <w:rPr>
          <w:color w:val="000000" w:themeColor="text1"/>
        </w:rPr>
        <w:t>industrie.</w:t>
      </w:r>
    </w:p>
    <w:p w:rsidRPr="00C239F6" w:rsidR="00DC5290" w:rsidP="00926BBA" w:rsidRDefault="00AF2480" w14:paraId="2F900A60" w14:textId="23473528">
      <w:pPr>
        <w:spacing w:after="0" w:line="276" w:lineRule="auto"/>
        <w:rPr>
          <w:color w:val="000000" w:themeColor="text1"/>
        </w:rPr>
      </w:pPr>
      <w:r>
        <w:rPr>
          <w:color w:val="000000" w:themeColor="text1"/>
        </w:rPr>
        <w:t xml:space="preserve"> </w:t>
      </w:r>
    </w:p>
    <w:p w:rsidRPr="00446893" w:rsidR="003E3C8C" w:rsidP="00DC5290" w:rsidRDefault="0038481A" w14:paraId="584F9334" w14:textId="6C820146">
      <w:pPr>
        <w:spacing w:line="276" w:lineRule="auto"/>
        <w:rPr>
          <w:rFonts w:ascii="Calibri" w:hAnsi="Calibri"/>
          <w:color w:val="000000" w:themeColor="text1"/>
          <w:sz w:val="22"/>
          <w:szCs w:val="22"/>
        </w:rPr>
      </w:pPr>
      <w:r w:rsidRPr="00C239F6">
        <w:rPr>
          <w:color w:val="000000" w:themeColor="text1"/>
        </w:rPr>
        <w:t xml:space="preserve">Nederland krijgt voor de geleverde steun tot </w:t>
      </w:r>
      <w:r w:rsidRPr="00C239F6" w:rsidR="00E40BB6">
        <w:rPr>
          <w:color w:val="000000" w:themeColor="text1"/>
        </w:rPr>
        <w:t xml:space="preserve">begin </w:t>
      </w:r>
      <w:r w:rsidRPr="00C239F6">
        <w:rPr>
          <w:color w:val="000000" w:themeColor="text1"/>
        </w:rPr>
        <w:t>2023 en voor bijdragen aan de EPF</w:t>
      </w:r>
      <w:r w:rsidR="00EA5779">
        <w:rPr>
          <w:color w:val="000000" w:themeColor="text1"/>
        </w:rPr>
        <w:t>-</w:t>
      </w:r>
      <w:r w:rsidRPr="00C239F6">
        <w:rPr>
          <w:color w:val="000000" w:themeColor="text1"/>
        </w:rPr>
        <w:t>munitie</w:t>
      </w:r>
      <w:r w:rsidR="00EA5779">
        <w:rPr>
          <w:color w:val="000000" w:themeColor="text1"/>
        </w:rPr>
        <w:t>-</w:t>
      </w:r>
      <w:r w:rsidRPr="00C239F6">
        <w:rPr>
          <w:color w:val="000000" w:themeColor="text1"/>
        </w:rPr>
        <w:t xml:space="preserve">initiatieven </w:t>
      </w:r>
      <w:r w:rsidR="003853B1">
        <w:rPr>
          <w:color w:val="000000" w:themeColor="text1"/>
        </w:rPr>
        <w:t>ca.</w:t>
      </w:r>
      <w:r w:rsidRPr="00C239F6">
        <w:rPr>
          <w:color w:val="000000" w:themeColor="text1"/>
        </w:rPr>
        <w:t xml:space="preserve"> </w:t>
      </w:r>
      <w:r w:rsidR="007B5DEE">
        <w:rPr>
          <w:color w:val="000000" w:themeColor="text1"/>
        </w:rPr>
        <w:t>€</w:t>
      </w:r>
      <w:r w:rsidRPr="00C239F6" w:rsidR="007B5DEE">
        <w:rPr>
          <w:color w:val="000000" w:themeColor="text1"/>
        </w:rPr>
        <w:t>4</w:t>
      </w:r>
      <w:r w:rsidR="007B5DEE">
        <w:rPr>
          <w:color w:val="000000" w:themeColor="text1"/>
        </w:rPr>
        <w:t>33</w:t>
      </w:r>
      <w:r w:rsidRPr="00C239F6" w:rsidR="007B5DEE">
        <w:rPr>
          <w:color w:val="000000" w:themeColor="text1"/>
        </w:rPr>
        <w:t xml:space="preserve"> </w:t>
      </w:r>
      <w:r w:rsidR="003F22F8">
        <w:rPr>
          <w:color w:val="000000" w:themeColor="text1"/>
        </w:rPr>
        <w:t>mln.</w:t>
      </w:r>
      <w:r w:rsidR="00150548">
        <w:rPr>
          <w:color w:val="000000" w:themeColor="text1"/>
        </w:rPr>
        <w:t xml:space="preserve"> </w:t>
      </w:r>
      <w:r w:rsidRPr="00C239F6">
        <w:rPr>
          <w:color w:val="000000" w:themeColor="text1"/>
        </w:rPr>
        <w:t xml:space="preserve">gecompenseerd. Hiervan is </w:t>
      </w:r>
      <w:r w:rsidR="007B5DEE">
        <w:rPr>
          <w:color w:val="000000" w:themeColor="text1"/>
        </w:rPr>
        <w:t>€</w:t>
      </w:r>
      <w:r w:rsidRPr="00C239F6">
        <w:rPr>
          <w:color w:val="000000" w:themeColor="text1"/>
        </w:rPr>
        <w:t xml:space="preserve">52,8 </w:t>
      </w:r>
      <w:r w:rsidR="003F22F8">
        <w:rPr>
          <w:color w:val="000000" w:themeColor="text1"/>
        </w:rPr>
        <w:t>mln.</w:t>
      </w:r>
      <w:r w:rsidR="00150548">
        <w:rPr>
          <w:color w:val="000000" w:themeColor="text1"/>
        </w:rPr>
        <w:t xml:space="preserve"> </w:t>
      </w:r>
      <w:r w:rsidRPr="00C239F6">
        <w:rPr>
          <w:color w:val="000000" w:themeColor="text1"/>
        </w:rPr>
        <w:t>in 2024 uitbetaald</w:t>
      </w:r>
      <w:r w:rsidR="00DC251C">
        <w:rPr>
          <w:color w:val="000000" w:themeColor="text1"/>
        </w:rPr>
        <w:t xml:space="preserve"> en </w:t>
      </w:r>
      <w:r w:rsidR="007B5DEE">
        <w:rPr>
          <w:color w:val="000000" w:themeColor="text1"/>
        </w:rPr>
        <w:t>€79,7</w:t>
      </w:r>
      <w:r w:rsidR="003853B1">
        <w:rPr>
          <w:color w:val="000000" w:themeColor="text1"/>
        </w:rPr>
        <w:t xml:space="preserve"> </w:t>
      </w:r>
      <w:r w:rsidR="00DC251C">
        <w:rPr>
          <w:color w:val="000000" w:themeColor="text1"/>
        </w:rPr>
        <w:t>mln. in 2025. H</w:t>
      </w:r>
      <w:r w:rsidRPr="00C239F6">
        <w:rPr>
          <w:color w:val="000000" w:themeColor="text1"/>
        </w:rPr>
        <w:t xml:space="preserve">et </w:t>
      </w:r>
      <w:r w:rsidRPr="00C239F6" w:rsidR="009E767F">
        <w:rPr>
          <w:color w:val="000000" w:themeColor="text1"/>
        </w:rPr>
        <w:t xml:space="preserve">is de verwachting dat het </w:t>
      </w:r>
      <w:r w:rsidRPr="00C239F6" w:rsidR="009272A6">
        <w:rPr>
          <w:color w:val="000000" w:themeColor="text1"/>
        </w:rPr>
        <w:t xml:space="preserve">resterende </w:t>
      </w:r>
      <w:r w:rsidRPr="00C239F6">
        <w:rPr>
          <w:color w:val="000000" w:themeColor="text1"/>
        </w:rPr>
        <w:t>bedrag</w:t>
      </w:r>
      <w:r w:rsidR="00DC251C">
        <w:rPr>
          <w:color w:val="000000" w:themeColor="text1"/>
        </w:rPr>
        <w:t xml:space="preserve"> in</w:t>
      </w:r>
      <w:r w:rsidR="003853B1">
        <w:rPr>
          <w:color w:val="000000" w:themeColor="text1"/>
        </w:rPr>
        <w:t xml:space="preserve"> 2026 en</w:t>
      </w:r>
      <w:r w:rsidRPr="00C239F6">
        <w:rPr>
          <w:color w:val="000000" w:themeColor="text1"/>
        </w:rPr>
        <w:t xml:space="preserve"> 2027</w:t>
      </w:r>
      <w:r w:rsidRPr="00C239F6" w:rsidR="009E767F">
        <w:rPr>
          <w:color w:val="000000" w:themeColor="text1"/>
        </w:rPr>
        <w:t xml:space="preserve"> volgt</w:t>
      </w:r>
      <w:r w:rsidRPr="00C239F6">
        <w:rPr>
          <w:color w:val="000000" w:themeColor="text1"/>
        </w:rPr>
        <w:t xml:space="preserve">. </w:t>
      </w:r>
      <w:r w:rsidR="003A088E">
        <w:rPr>
          <w:color w:val="000000" w:themeColor="text1"/>
        </w:rPr>
        <w:t>Op dit moment vindt er in Brussel besluitvorming plaats</w:t>
      </w:r>
      <w:r w:rsidRPr="00C239F6">
        <w:rPr>
          <w:color w:val="000000" w:themeColor="text1"/>
        </w:rPr>
        <w:t xml:space="preserve"> over vergoedingen voor leveringen vanaf Q2 2023 </w:t>
      </w:r>
      <w:r w:rsidR="003A088E">
        <w:rPr>
          <w:color w:val="000000" w:themeColor="text1"/>
        </w:rPr>
        <w:t>en</w:t>
      </w:r>
      <w:r w:rsidRPr="00C239F6">
        <w:rPr>
          <w:color w:val="000000" w:themeColor="text1"/>
        </w:rPr>
        <w:t xml:space="preserve"> het aannemen van volgende </w:t>
      </w:r>
      <w:r w:rsidRPr="00C239F6" w:rsidR="0092436A">
        <w:rPr>
          <w:color w:val="000000" w:themeColor="text1"/>
        </w:rPr>
        <w:t>steun</w:t>
      </w:r>
      <w:r w:rsidRPr="00C239F6">
        <w:rPr>
          <w:color w:val="000000" w:themeColor="text1"/>
        </w:rPr>
        <w:t>tranches</w:t>
      </w:r>
      <w:r w:rsidR="003A088E">
        <w:rPr>
          <w:color w:val="000000" w:themeColor="text1"/>
        </w:rPr>
        <w:t xml:space="preserve">, nu de </w:t>
      </w:r>
      <w:r w:rsidRPr="00C239F6">
        <w:rPr>
          <w:color w:val="000000" w:themeColor="text1"/>
        </w:rPr>
        <w:t xml:space="preserve">Hongaarse blokkade </w:t>
      </w:r>
      <w:r w:rsidR="003A088E">
        <w:rPr>
          <w:color w:val="000000" w:themeColor="text1"/>
        </w:rPr>
        <w:t>hierop begin juni is opgeheven.</w:t>
      </w:r>
      <w:r w:rsidRPr="00C239F6">
        <w:rPr>
          <w:color w:val="000000" w:themeColor="text1"/>
        </w:rPr>
        <w:t xml:space="preserve"> In totaal heeft Nederland tot </w:t>
      </w:r>
      <w:r w:rsidR="003A088E">
        <w:rPr>
          <w:color w:val="000000" w:themeColor="text1"/>
        </w:rPr>
        <w:t>op heden</w:t>
      </w:r>
      <w:r w:rsidRPr="00C239F6">
        <w:rPr>
          <w:color w:val="000000" w:themeColor="text1"/>
        </w:rPr>
        <w:t xml:space="preserve"> </w:t>
      </w:r>
      <w:r w:rsidRPr="00C239F6" w:rsidR="003767BC">
        <w:rPr>
          <w:color w:val="000000" w:themeColor="text1"/>
        </w:rPr>
        <w:t xml:space="preserve">ruim </w:t>
      </w:r>
      <w:r w:rsidR="007B5DEE">
        <w:rPr>
          <w:color w:val="000000" w:themeColor="text1"/>
        </w:rPr>
        <w:t>€</w:t>
      </w:r>
      <w:r w:rsidR="00B51124">
        <w:rPr>
          <w:color w:val="000000" w:themeColor="text1"/>
        </w:rPr>
        <w:t>5</w:t>
      </w:r>
      <w:r w:rsidRPr="00C239F6" w:rsidR="003767BC">
        <w:rPr>
          <w:color w:val="000000" w:themeColor="text1"/>
        </w:rPr>
        <w:t>,</w:t>
      </w:r>
      <w:r w:rsidR="00B51124">
        <w:rPr>
          <w:color w:val="000000" w:themeColor="text1"/>
        </w:rPr>
        <w:t>5</w:t>
      </w:r>
      <w:r w:rsidRPr="00C239F6">
        <w:rPr>
          <w:color w:val="000000" w:themeColor="text1"/>
        </w:rPr>
        <w:t xml:space="preserve"> </w:t>
      </w:r>
      <w:r w:rsidR="003F22F8">
        <w:rPr>
          <w:color w:val="000000" w:themeColor="text1"/>
        </w:rPr>
        <w:t>mld.</w:t>
      </w:r>
      <w:r w:rsidR="00150548">
        <w:rPr>
          <w:color w:val="000000" w:themeColor="text1"/>
        </w:rPr>
        <w:t xml:space="preserve"> </w:t>
      </w:r>
      <w:r w:rsidRPr="00C239F6">
        <w:rPr>
          <w:color w:val="000000" w:themeColor="text1"/>
        </w:rPr>
        <w:t>gedeclareerd. Uw Kamer wordt via de reguliere leveringenbrieven op de hoogte gehouden van declaraties en compensatie via de EPF.</w:t>
      </w:r>
    </w:p>
    <w:p w:rsidR="00A13329" w:rsidP="00DC5290" w:rsidRDefault="00A13329" w14:paraId="74C91A18" w14:textId="4B01E7A5">
      <w:pPr>
        <w:spacing w:line="276" w:lineRule="auto"/>
      </w:pPr>
      <w:r>
        <w:t>Hoogachtend,</w:t>
      </w:r>
    </w:p>
    <w:p w:rsidRPr="00DC5290" w:rsidR="007B30DD" w:rsidP="00DC5290" w:rsidRDefault="007B30DD" w14:paraId="23209543" w14:textId="77777777">
      <w:pPr>
        <w:spacing w:line="276" w:lineRule="auto"/>
        <w:rPr>
          <w:rFonts w:ascii="Calibri" w:hAnsi="Calibri"/>
          <w:color w:val="000000" w:themeColor="text1"/>
          <w:sz w:val="22"/>
          <w:szCs w:val="22"/>
        </w:rPr>
      </w:pPr>
    </w:p>
    <w:p w:rsidR="00E86B87" w:rsidP="00A13329" w:rsidRDefault="00A13329" w14:paraId="2CE34C78" w14:textId="221F103E">
      <w:pPr>
        <w:spacing w:after="0" w:line="276" w:lineRule="auto"/>
      </w:pPr>
      <w:r w:rsidRPr="00F01651">
        <w:rPr>
          <w:i/>
          <w:iCs/>
        </w:rPr>
        <w:t>DE MINISTER VAN DEFENSIE</w:t>
      </w:r>
    </w:p>
    <w:p w:rsidR="00446893" w:rsidP="00A13329" w:rsidRDefault="00446893" w14:paraId="7B332B4E" w14:textId="4A9315B1">
      <w:pPr>
        <w:spacing w:after="0" w:line="276" w:lineRule="auto"/>
      </w:pPr>
    </w:p>
    <w:p w:rsidR="00095EF0" w:rsidP="00A13329" w:rsidRDefault="00095EF0" w14:paraId="07B3F947" w14:textId="74A28692">
      <w:pPr>
        <w:spacing w:after="0" w:line="276" w:lineRule="auto"/>
      </w:pPr>
    </w:p>
    <w:p w:rsidR="00095EF0" w:rsidP="00A13329" w:rsidRDefault="00095EF0" w14:paraId="1A117984" w14:textId="77777777">
      <w:pPr>
        <w:spacing w:after="0" w:line="276" w:lineRule="auto"/>
      </w:pPr>
    </w:p>
    <w:p w:rsidRPr="00390232" w:rsidR="00A42B10" w:rsidP="00A13329" w:rsidRDefault="00390232" w14:paraId="08BEAA2F" w14:textId="6871C76F">
      <w:pPr>
        <w:spacing w:after="0" w:line="276" w:lineRule="auto"/>
      </w:pPr>
      <w:r w:rsidRPr="00390232">
        <w:t>Dilan Yeşilgöz-Zegerius</w:t>
      </w:r>
    </w:p>
    <w:sectPr w:rsidRPr="00390232" w:rsidR="00A42B10" w:rsidSect="0047269E">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DE2CA3" w16cex:dateUtc="2026-02-05T14:43:00Z"/>
  <w16cex:commentExtensible w16cex:durableId="7B785B25" w16cex:dateUtc="2026-02-09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80F287" w16cid:durableId="2ADE2CA3"/>
  <w16cid:commentId w16cid:paraId="2E4AF30E" w16cid:durableId="7B785B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CEB3E" w14:textId="77777777" w:rsidR="006B2103" w:rsidRDefault="006B2103" w:rsidP="001E0A0C">
      <w:r>
        <w:separator/>
      </w:r>
    </w:p>
  </w:endnote>
  <w:endnote w:type="continuationSeparator" w:id="0">
    <w:p w14:paraId="6C1DA716" w14:textId="77777777" w:rsidR="006B2103" w:rsidRDefault="006B2103" w:rsidP="001E0A0C">
      <w:r>
        <w:continuationSeparator/>
      </w:r>
    </w:p>
  </w:endnote>
  <w:endnote w:type="continuationNotice" w:id="1">
    <w:p w14:paraId="39FD845E" w14:textId="77777777" w:rsidR="006B2103" w:rsidRDefault="006B2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F90AA" w14:textId="77777777" w:rsidR="000225DE" w:rsidRDefault="000225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31E24" w14:textId="77777777" w:rsidR="00F20870" w:rsidRDefault="00F20870"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74382620" wp14:editId="291B98E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0870" w14:paraId="46A9787E" w14:textId="77777777">
                            <w:trPr>
                              <w:trHeight w:val="1274"/>
                            </w:trPr>
                            <w:tc>
                              <w:tcPr>
                                <w:tcW w:w="1968" w:type="dxa"/>
                                <w:tcMar>
                                  <w:left w:w="0" w:type="dxa"/>
                                  <w:right w:w="0" w:type="dxa"/>
                                </w:tcMar>
                                <w:vAlign w:val="bottom"/>
                              </w:tcPr>
                              <w:p w14:paraId="3655A2BB" w14:textId="77777777" w:rsidR="00F20870" w:rsidRDefault="00F20870">
                                <w:pPr>
                                  <w:pStyle w:val="Rubricering-Huisstijl"/>
                                </w:pPr>
                              </w:p>
                              <w:p w14:paraId="0E50A3D2" w14:textId="77777777" w:rsidR="00F20870" w:rsidRDefault="00F20870">
                                <w:pPr>
                                  <w:pStyle w:val="Rubricering-Huisstijl"/>
                                </w:pPr>
                              </w:p>
                            </w:tc>
                          </w:tr>
                        </w:tbl>
                        <w:p w14:paraId="6E80655E" w14:textId="77777777" w:rsidR="00F20870" w:rsidRDefault="00F20870">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382620"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0870" w14:paraId="46A9787E" w14:textId="77777777">
                      <w:trPr>
                        <w:trHeight w:val="1274"/>
                      </w:trPr>
                      <w:tc>
                        <w:tcPr>
                          <w:tcW w:w="1968" w:type="dxa"/>
                          <w:tcMar>
                            <w:left w:w="0" w:type="dxa"/>
                            <w:right w:w="0" w:type="dxa"/>
                          </w:tcMar>
                          <w:vAlign w:val="bottom"/>
                        </w:tcPr>
                        <w:p w14:paraId="3655A2BB" w14:textId="77777777" w:rsidR="00F20870" w:rsidRDefault="00F20870">
                          <w:pPr>
                            <w:pStyle w:val="Rubricering-Huisstijl"/>
                          </w:pPr>
                        </w:p>
                        <w:p w14:paraId="0E50A3D2" w14:textId="77777777" w:rsidR="00F20870" w:rsidRDefault="00F20870">
                          <w:pPr>
                            <w:pStyle w:val="Rubricering-Huisstijl"/>
                          </w:pPr>
                        </w:p>
                      </w:tc>
                    </w:tr>
                  </w:tbl>
                  <w:p w14:paraId="6E80655E" w14:textId="77777777" w:rsidR="00F20870" w:rsidRDefault="00F20870">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A06CF" w14:textId="77777777" w:rsidR="000225DE" w:rsidRDefault="000225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771F9" w14:textId="77777777" w:rsidR="006B2103" w:rsidRDefault="006B2103" w:rsidP="001E0A0C">
      <w:r>
        <w:separator/>
      </w:r>
    </w:p>
  </w:footnote>
  <w:footnote w:type="continuationSeparator" w:id="0">
    <w:p w14:paraId="29B095CA" w14:textId="77777777" w:rsidR="006B2103" w:rsidRDefault="006B2103" w:rsidP="001E0A0C">
      <w:r>
        <w:continuationSeparator/>
      </w:r>
    </w:p>
  </w:footnote>
  <w:footnote w:type="continuationNotice" w:id="1">
    <w:p w14:paraId="200ED549" w14:textId="77777777" w:rsidR="006B2103" w:rsidRDefault="006B2103">
      <w:pPr>
        <w:spacing w:after="0" w:line="240" w:lineRule="auto"/>
      </w:pPr>
    </w:p>
  </w:footnote>
  <w:footnote w:id="2">
    <w:p w14:paraId="144A52A3" w14:textId="77777777" w:rsidR="00A737D4" w:rsidRPr="001C3AF4" w:rsidRDefault="00A737D4" w:rsidP="00A737D4">
      <w:pPr>
        <w:pStyle w:val="Voetnoottekst"/>
        <w:rPr>
          <w:rFonts w:ascii="Verdana" w:eastAsia="DejaVu Sans" w:hAnsi="Verdana" w:cs="Lohit Hindi"/>
          <w:color w:val="000000"/>
          <w:sz w:val="16"/>
          <w:szCs w:val="16"/>
        </w:rPr>
      </w:pPr>
      <w:r w:rsidRPr="001C3AF4">
        <w:rPr>
          <w:rStyle w:val="Voetnootmarkering"/>
          <w:rFonts w:eastAsia="DejaVu Sans" w:cs="Lohit Hindi"/>
        </w:rPr>
        <w:footnoteRef/>
      </w:r>
      <w:r w:rsidRPr="001C3AF4">
        <w:rPr>
          <w:rFonts w:ascii="Verdana" w:eastAsia="DejaVu Sans" w:hAnsi="Verdana" w:cs="Lohit Hindi"/>
          <w:color w:val="000000"/>
          <w:sz w:val="16"/>
          <w:szCs w:val="16"/>
        </w:rPr>
        <w:t xml:space="preserve"> Ter vertrouwelijke inzage gelegd, alleen voor de leden, bij het Centraal Informatiepunt Tweede Kamer.</w:t>
      </w:r>
    </w:p>
  </w:footnote>
  <w:footnote w:id="3">
    <w:p w14:paraId="0D8AF923" w14:textId="17EDA53C" w:rsidR="00F20870" w:rsidRPr="00CF5DF0" w:rsidRDefault="00F20870">
      <w:pPr>
        <w:pStyle w:val="Voetnoottekst"/>
        <w:rPr>
          <w:rFonts w:ascii="Verdana" w:hAnsi="Verdana"/>
        </w:rPr>
      </w:pPr>
      <w:r w:rsidRPr="00CF5DF0">
        <w:rPr>
          <w:rStyle w:val="Voetnootmarkering"/>
          <w:rFonts w:ascii="Verdana" w:hAnsi="Verdana"/>
          <w:sz w:val="16"/>
        </w:rPr>
        <w:footnoteRef/>
      </w:r>
      <w:r w:rsidRPr="00CF5DF0">
        <w:rPr>
          <w:rFonts w:ascii="Verdana" w:hAnsi="Verdana"/>
          <w:sz w:val="16"/>
        </w:rPr>
        <w:t xml:space="preserve"> Overeenkomst inzake Veiligheidssamenwerking tussen Nederland en Oekraïne, 1 maart 2024.</w:t>
      </w:r>
    </w:p>
  </w:footnote>
  <w:footnote w:id="4">
    <w:p w14:paraId="64B267FF" w14:textId="492CDF94" w:rsidR="00F20870" w:rsidRPr="001744F6" w:rsidRDefault="00F20870">
      <w:pPr>
        <w:pStyle w:val="Voetnoottekst"/>
      </w:pPr>
      <w:r>
        <w:rPr>
          <w:rStyle w:val="Voetnootmarkering"/>
        </w:rPr>
        <w:footnoteRef/>
      </w:r>
      <w:r>
        <w:t xml:space="preserve"> </w:t>
      </w:r>
      <w:r w:rsidRPr="001140E7">
        <w:rPr>
          <w:rFonts w:ascii="Verdana" w:hAnsi="Verdana"/>
          <w:sz w:val="16"/>
        </w:rPr>
        <w:t xml:space="preserve">Bestaat uit </w:t>
      </w:r>
      <w:r w:rsidRPr="001744F6">
        <w:rPr>
          <w:rFonts w:ascii="Verdana" w:hAnsi="Verdana"/>
          <w:sz w:val="16"/>
        </w:rPr>
        <w:t>financiële</w:t>
      </w:r>
      <w:r w:rsidRPr="001140E7">
        <w:rPr>
          <w:rFonts w:ascii="Verdana" w:hAnsi="Verdana"/>
          <w:sz w:val="16"/>
        </w:rPr>
        <w:t xml:space="preserve"> realisatie waaronder voorschotten die een levering kennen in de nabije toekomst</w:t>
      </w:r>
      <w:r>
        <w:rPr>
          <w:rFonts w:ascii="Verdana" w:hAnsi="Verdana"/>
          <w:sz w:val="16"/>
        </w:rPr>
        <w:t>.</w:t>
      </w:r>
    </w:p>
  </w:footnote>
  <w:footnote w:id="5">
    <w:p w14:paraId="3B7E862D" w14:textId="1A0E3435" w:rsidR="00F20870" w:rsidRPr="001F3E12" w:rsidRDefault="00F20870" w:rsidP="00A13329">
      <w:pPr>
        <w:pStyle w:val="Voetnoottekst"/>
        <w:spacing w:before="0" w:after="0"/>
        <w:rPr>
          <w:rFonts w:ascii="Verdana" w:hAnsi="Verdana"/>
          <w:sz w:val="16"/>
          <w:szCs w:val="16"/>
        </w:rPr>
      </w:pPr>
      <w:r w:rsidRPr="001F3E12">
        <w:rPr>
          <w:rStyle w:val="Voetnootmarkering"/>
          <w:rFonts w:ascii="Verdana" w:hAnsi="Verdana"/>
          <w:sz w:val="16"/>
          <w:szCs w:val="16"/>
        </w:rPr>
        <w:footnoteRef/>
      </w:r>
      <w:r w:rsidRPr="001F3E12">
        <w:rPr>
          <w:rFonts w:ascii="Verdana" w:hAnsi="Verdana"/>
          <w:sz w:val="16"/>
          <w:szCs w:val="16"/>
        </w:rPr>
        <w:t xml:space="preserve"> De toetsing van specifieke transacties aan de EU wapenexportcriteria kan op verzoek in beginsel vertrouwelijk worden ingezien.</w:t>
      </w:r>
    </w:p>
  </w:footnote>
  <w:footnote w:id="6">
    <w:p w14:paraId="512252DE" w14:textId="61D3C6CC" w:rsidR="00F20870" w:rsidRDefault="00F20870">
      <w:pPr>
        <w:pStyle w:val="Voetnoottekst"/>
      </w:pPr>
      <w:r w:rsidRPr="001F3E12">
        <w:rPr>
          <w:rStyle w:val="Voetnootmarkering"/>
          <w:rFonts w:ascii="Verdana" w:hAnsi="Verdana"/>
          <w:sz w:val="16"/>
          <w:szCs w:val="16"/>
        </w:rPr>
        <w:footnoteRef/>
      </w:r>
      <w:r w:rsidRPr="001F3E12">
        <w:rPr>
          <w:rFonts w:ascii="Verdana" w:hAnsi="Verdana"/>
          <w:sz w:val="16"/>
          <w:szCs w:val="16"/>
        </w:rPr>
        <w:t xml:space="preserve"> Zie voor meer informatie over de toetsing aan de Europese wapenexportcriteria EUGS/2008/944/GBVB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6EDF3" w14:textId="77777777" w:rsidR="000225DE" w:rsidRDefault="000225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E27C" w14:textId="77777777" w:rsidR="00F20870" w:rsidRDefault="00F20870"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659160C4" wp14:editId="153A2F60">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6CBCF6C6" w14:textId="48D2016A" w:rsidR="00F20870" w:rsidRDefault="00F20870">
                          <w:pPr>
                            <w:pStyle w:val="Paginanummer-Huisstijl"/>
                          </w:pPr>
                          <w:r>
                            <w:t xml:space="preserve">Pagina </w:t>
                          </w:r>
                          <w:r>
                            <w:fldChar w:fldCharType="begin"/>
                          </w:r>
                          <w:r>
                            <w:instrText xml:space="preserve"> PAGE    \* MERGEFORMAT </w:instrText>
                          </w:r>
                          <w:r>
                            <w:fldChar w:fldCharType="separate"/>
                          </w:r>
                          <w:r w:rsidR="00E86939">
                            <w:rPr>
                              <w:noProof/>
                            </w:rPr>
                            <w:t>2</w:t>
                          </w:r>
                          <w:r>
                            <w:fldChar w:fldCharType="end"/>
                          </w:r>
                          <w:r>
                            <w:t xml:space="preserve"> van </w:t>
                          </w:r>
                          <w:r w:rsidR="00E86939">
                            <w:fldChar w:fldCharType="begin"/>
                          </w:r>
                          <w:r w:rsidR="00E86939">
                            <w:instrText xml:space="preserve"> SECTIONPAGES  \* Arabic  \* MERGEFORMAT </w:instrText>
                          </w:r>
                          <w:r w:rsidR="00E86939">
                            <w:fldChar w:fldCharType="separate"/>
                          </w:r>
                          <w:r w:rsidR="00E86939">
                            <w:rPr>
                              <w:noProof/>
                            </w:rPr>
                            <w:t>4</w:t>
                          </w:r>
                          <w:r w:rsidR="00E86939">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9160C4"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6CBCF6C6" w14:textId="48D2016A" w:rsidR="00F20870" w:rsidRDefault="00F20870">
                    <w:pPr>
                      <w:pStyle w:val="Paginanummer-Huisstijl"/>
                    </w:pPr>
                    <w:r>
                      <w:t xml:space="preserve">Pagina </w:t>
                    </w:r>
                    <w:r>
                      <w:fldChar w:fldCharType="begin"/>
                    </w:r>
                    <w:r>
                      <w:instrText xml:space="preserve"> PAGE    \* MERGEFORMAT </w:instrText>
                    </w:r>
                    <w:r>
                      <w:fldChar w:fldCharType="separate"/>
                    </w:r>
                    <w:r w:rsidR="00E86939">
                      <w:rPr>
                        <w:noProof/>
                      </w:rPr>
                      <w:t>2</w:t>
                    </w:r>
                    <w:r>
                      <w:fldChar w:fldCharType="end"/>
                    </w:r>
                    <w:r>
                      <w:t xml:space="preserve"> van </w:t>
                    </w:r>
                    <w:r w:rsidR="00E86939">
                      <w:fldChar w:fldCharType="begin"/>
                    </w:r>
                    <w:r w:rsidR="00E86939">
                      <w:instrText xml:space="preserve"> SECTIONPAGES  \* Arabic  \* MERGEFORMAT </w:instrText>
                    </w:r>
                    <w:r w:rsidR="00E86939">
                      <w:fldChar w:fldCharType="separate"/>
                    </w:r>
                    <w:r w:rsidR="00E86939">
                      <w:rPr>
                        <w:noProof/>
                      </w:rPr>
                      <w:t>4</w:t>
                    </w:r>
                    <w:r w:rsidR="00E86939">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85C36" w14:textId="02D750CC" w:rsidR="00F20870" w:rsidRDefault="00F20870" w:rsidP="00C13D9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047269E">
      <w:fldChar w:fldCharType="begin"/>
    </w:r>
    <w:r>
      <w:instrText xml:space="preserve"> PAGE    \* MERGEFORMAT </w:instrText>
    </w:r>
    <w:r w:rsidRPr="0047269E">
      <w:fldChar w:fldCharType="separate"/>
    </w:r>
    <w:r w:rsidR="00E86939">
      <w:rPr>
        <w:noProof/>
      </w:rPr>
      <w:t>1</w:t>
    </w:r>
    <w:r w:rsidRPr="0047269E">
      <w:fldChar w:fldCharType="end"/>
    </w:r>
    <w:r>
      <w:t xml:space="preserve"> van </w:t>
    </w:r>
    <w:r w:rsidR="00E86939">
      <w:fldChar w:fldCharType="begin"/>
    </w:r>
    <w:r w:rsidR="00E86939">
      <w:instrText xml:space="preserve"> NUMPAGES  \* Arabic  \* MERGEFORMAT </w:instrText>
    </w:r>
    <w:r w:rsidR="00E86939">
      <w:fldChar w:fldCharType="separate"/>
    </w:r>
    <w:r w:rsidR="00E86939">
      <w:rPr>
        <w:noProof/>
      </w:rPr>
      <w:t>4</w:t>
    </w:r>
    <w:r w:rsidR="00E86939">
      <w:rPr>
        <w:noProof/>
      </w:rPr>
      <w:fldChar w:fldCharType="end"/>
    </w:r>
  </w:p>
  <w:p w14:paraId="494658BC" w14:textId="77777777" w:rsidR="00F20870" w:rsidRDefault="00F20870" w:rsidP="001E0A0C">
    <w:pPr>
      <w:pStyle w:val="Koptekst"/>
      <w:spacing w:after="0" w:line="240" w:lineRule="auto"/>
    </w:pPr>
  </w:p>
  <w:p w14:paraId="2AC70B53" w14:textId="77777777" w:rsidR="00F20870" w:rsidRDefault="00F20870" w:rsidP="001E0A0C">
    <w:pPr>
      <w:pStyle w:val="Koptekst"/>
      <w:spacing w:after="0" w:line="240" w:lineRule="auto"/>
    </w:pPr>
  </w:p>
  <w:p w14:paraId="310A3FA0" w14:textId="77777777" w:rsidR="00F20870" w:rsidRDefault="00F20870" w:rsidP="001E0A0C">
    <w:pPr>
      <w:pStyle w:val="Koptekst"/>
      <w:spacing w:after="0" w:line="240" w:lineRule="auto"/>
    </w:pPr>
  </w:p>
  <w:p w14:paraId="7137BA1C" w14:textId="77777777" w:rsidR="00F20870" w:rsidRDefault="00F20870" w:rsidP="001E0A0C">
    <w:pPr>
      <w:pStyle w:val="Koptekst"/>
      <w:spacing w:after="0" w:line="240" w:lineRule="auto"/>
    </w:pPr>
  </w:p>
  <w:p w14:paraId="01EBADFA" w14:textId="77777777" w:rsidR="00F20870" w:rsidRDefault="00F20870" w:rsidP="001E0A0C">
    <w:pPr>
      <w:pStyle w:val="Koptekst"/>
      <w:spacing w:after="0" w:line="240" w:lineRule="auto"/>
    </w:pPr>
  </w:p>
  <w:p w14:paraId="497DEF37" w14:textId="77777777" w:rsidR="00F20870" w:rsidRDefault="00F20870" w:rsidP="001E0A0C">
    <w:pPr>
      <w:pStyle w:val="Koptekst"/>
      <w:spacing w:after="0" w:line="240" w:lineRule="auto"/>
    </w:pPr>
  </w:p>
  <w:p w14:paraId="7F4EEEF0" w14:textId="77777777" w:rsidR="00F20870" w:rsidRDefault="00F20870" w:rsidP="001E0A0C">
    <w:pPr>
      <w:pStyle w:val="Koptekst"/>
      <w:spacing w:after="0" w:line="240" w:lineRule="auto"/>
    </w:pPr>
  </w:p>
  <w:p w14:paraId="12317BDB" w14:textId="77777777" w:rsidR="00F20870" w:rsidRDefault="00F20870" w:rsidP="001E0A0C">
    <w:pPr>
      <w:pStyle w:val="Koptekst"/>
      <w:spacing w:after="0" w:line="240" w:lineRule="auto"/>
    </w:pPr>
  </w:p>
  <w:p w14:paraId="0F692E0B" w14:textId="77777777" w:rsidR="00F20870" w:rsidRDefault="00F20870" w:rsidP="001E0A0C">
    <w:pPr>
      <w:pStyle w:val="Koptekst"/>
      <w:spacing w:after="0" w:line="240" w:lineRule="auto"/>
    </w:pPr>
  </w:p>
  <w:p w14:paraId="51181949" w14:textId="77777777" w:rsidR="00F20870" w:rsidRDefault="00F20870" w:rsidP="001E0A0C">
    <w:pPr>
      <w:pStyle w:val="Koptekst"/>
      <w:spacing w:after="0" w:line="240" w:lineRule="auto"/>
    </w:pPr>
  </w:p>
  <w:p w14:paraId="248EF5B0" w14:textId="77777777" w:rsidR="00F20870" w:rsidRDefault="00F20870" w:rsidP="001E0A0C">
    <w:pPr>
      <w:pStyle w:val="Koptekst"/>
      <w:spacing w:after="0" w:line="240" w:lineRule="auto"/>
    </w:pPr>
  </w:p>
  <w:p w14:paraId="1B74378F" w14:textId="77777777" w:rsidR="00F20870" w:rsidRDefault="00F20870"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22C6AD51" wp14:editId="3AF3C183">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34538433" wp14:editId="0303688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20870" w14:paraId="040A8938" w14:textId="77777777">
                            <w:trPr>
                              <w:trHeight w:hRule="exact" w:val="1049"/>
                            </w:trPr>
                            <w:tc>
                              <w:tcPr>
                                <w:tcW w:w="1983" w:type="dxa"/>
                                <w:tcMar>
                                  <w:left w:w="0" w:type="dxa"/>
                                  <w:right w:w="0" w:type="dxa"/>
                                </w:tcMar>
                                <w:vAlign w:val="bottom"/>
                              </w:tcPr>
                              <w:p w14:paraId="60A4244E" w14:textId="77777777" w:rsidR="00F20870" w:rsidRDefault="00F20870">
                                <w:pPr>
                                  <w:pStyle w:val="Rubricering-Huisstijl"/>
                                </w:pPr>
                              </w:p>
                              <w:p w14:paraId="1411A599" w14:textId="77777777" w:rsidR="00F20870" w:rsidRDefault="00F20870">
                                <w:pPr>
                                  <w:pStyle w:val="Rubricering-Huisstijl"/>
                                </w:pPr>
                              </w:p>
                            </w:tc>
                          </w:tr>
                        </w:tbl>
                        <w:p w14:paraId="233EEA62" w14:textId="77777777" w:rsidR="00F20870" w:rsidRDefault="00F20870"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538433"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20870" w14:paraId="040A8938" w14:textId="77777777">
                      <w:trPr>
                        <w:trHeight w:hRule="exact" w:val="1049"/>
                      </w:trPr>
                      <w:tc>
                        <w:tcPr>
                          <w:tcW w:w="1983" w:type="dxa"/>
                          <w:tcMar>
                            <w:left w:w="0" w:type="dxa"/>
                            <w:right w:w="0" w:type="dxa"/>
                          </w:tcMar>
                          <w:vAlign w:val="bottom"/>
                        </w:tcPr>
                        <w:p w14:paraId="60A4244E" w14:textId="77777777" w:rsidR="00F20870" w:rsidRDefault="00F20870">
                          <w:pPr>
                            <w:pStyle w:val="Rubricering-Huisstijl"/>
                          </w:pPr>
                        </w:p>
                        <w:p w14:paraId="1411A599" w14:textId="77777777" w:rsidR="00F20870" w:rsidRDefault="00F20870">
                          <w:pPr>
                            <w:pStyle w:val="Rubricering-Huisstijl"/>
                          </w:pPr>
                        </w:p>
                      </w:tc>
                    </w:tr>
                  </w:tbl>
                  <w:p w14:paraId="233EEA62" w14:textId="77777777" w:rsidR="00F20870" w:rsidRDefault="00F20870"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4CEC2C3" wp14:editId="7B128F0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0870" w14:paraId="147759EF" w14:textId="77777777">
                            <w:trPr>
                              <w:trHeight w:val="1274"/>
                            </w:trPr>
                            <w:tc>
                              <w:tcPr>
                                <w:tcW w:w="1968" w:type="dxa"/>
                                <w:tcMar>
                                  <w:left w:w="0" w:type="dxa"/>
                                  <w:right w:w="0" w:type="dxa"/>
                                </w:tcMar>
                                <w:vAlign w:val="bottom"/>
                              </w:tcPr>
                              <w:p w14:paraId="3DADD5F8" w14:textId="77777777" w:rsidR="00F20870" w:rsidRDefault="00F20870">
                                <w:pPr>
                                  <w:pStyle w:val="Rubricering-Huisstijl"/>
                                </w:pPr>
                              </w:p>
                              <w:p w14:paraId="50F65067" w14:textId="77777777" w:rsidR="00F20870" w:rsidRDefault="00F20870">
                                <w:pPr>
                                  <w:pStyle w:val="Rubricering-Huisstijl"/>
                                </w:pPr>
                              </w:p>
                            </w:tc>
                          </w:tr>
                        </w:tbl>
                        <w:p w14:paraId="41C1E97C" w14:textId="77777777" w:rsidR="00F20870" w:rsidRDefault="00F20870"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4CEC2C3"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0870" w14:paraId="147759EF" w14:textId="77777777">
                      <w:trPr>
                        <w:trHeight w:val="1274"/>
                      </w:trPr>
                      <w:tc>
                        <w:tcPr>
                          <w:tcW w:w="1968" w:type="dxa"/>
                          <w:tcMar>
                            <w:left w:w="0" w:type="dxa"/>
                            <w:right w:w="0" w:type="dxa"/>
                          </w:tcMar>
                          <w:vAlign w:val="bottom"/>
                        </w:tcPr>
                        <w:p w14:paraId="3DADD5F8" w14:textId="77777777" w:rsidR="00F20870" w:rsidRDefault="00F20870">
                          <w:pPr>
                            <w:pStyle w:val="Rubricering-Huisstijl"/>
                          </w:pPr>
                        </w:p>
                        <w:p w14:paraId="50F65067" w14:textId="77777777" w:rsidR="00F20870" w:rsidRDefault="00F20870">
                          <w:pPr>
                            <w:pStyle w:val="Rubricering-Huisstijl"/>
                          </w:pPr>
                        </w:p>
                      </w:tc>
                    </w:tr>
                  </w:tbl>
                  <w:p w14:paraId="41C1E97C" w14:textId="77777777" w:rsidR="00F20870" w:rsidRDefault="00F20870"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1204F3E1" wp14:editId="630CC266">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2F000001"/>
    <w:multiLevelType w:val="hybridMultilevel"/>
    <w:tmpl w:val="4F5BD66C"/>
    <w:lvl w:ilvl="0" w:tplc="9BF45456">
      <w:start w:val="1"/>
      <w:numFmt w:val="bullet"/>
      <w:lvlText w:val="·"/>
      <w:lvlJc w:val="left"/>
      <w:pPr>
        <w:ind w:left="360" w:hanging="360"/>
      </w:pPr>
      <w:rPr>
        <w:rFonts w:ascii="Symbol" w:eastAsia="Symbol" w:hAnsi="Symbol" w:cs="Symbol" w:hint="default"/>
        <w:shd w:val="clear" w:color="auto" w:fill="auto"/>
      </w:rPr>
    </w:lvl>
    <w:lvl w:ilvl="1" w:tplc="EA545188">
      <w:start w:val="1"/>
      <w:numFmt w:val="bullet"/>
      <w:lvlText w:val="o"/>
      <w:lvlJc w:val="left"/>
      <w:pPr>
        <w:ind w:left="1080" w:hanging="360"/>
      </w:pPr>
      <w:rPr>
        <w:rFonts w:ascii="Courier New" w:eastAsia="Courier New" w:hAnsi="Courier New" w:cs="Courier New" w:hint="default"/>
        <w:shd w:val="clear" w:color="auto" w:fill="auto"/>
      </w:rPr>
    </w:lvl>
    <w:lvl w:ilvl="2" w:tplc="4490C4E2">
      <w:start w:val="1"/>
      <w:numFmt w:val="bullet"/>
      <w:lvlText w:val="§"/>
      <w:lvlJc w:val="left"/>
      <w:pPr>
        <w:ind w:left="1800" w:hanging="360"/>
      </w:pPr>
      <w:rPr>
        <w:rFonts w:ascii="Wingdings" w:eastAsia="Wingdings" w:hAnsi="Wingdings" w:cs="Wingdings" w:hint="default"/>
        <w:shd w:val="clear" w:color="auto" w:fill="auto"/>
      </w:rPr>
    </w:lvl>
    <w:lvl w:ilvl="3" w:tplc="AF26D684">
      <w:start w:val="1"/>
      <w:numFmt w:val="bullet"/>
      <w:lvlText w:val="·"/>
      <w:lvlJc w:val="left"/>
      <w:pPr>
        <w:ind w:left="2520" w:hanging="360"/>
      </w:pPr>
      <w:rPr>
        <w:rFonts w:ascii="Symbol" w:eastAsia="Symbol" w:hAnsi="Symbol" w:cs="Symbol" w:hint="default"/>
        <w:shd w:val="clear" w:color="auto" w:fill="auto"/>
      </w:rPr>
    </w:lvl>
    <w:lvl w:ilvl="4" w:tplc="37B22586">
      <w:start w:val="1"/>
      <w:numFmt w:val="bullet"/>
      <w:lvlText w:val="o"/>
      <w:lvlJc w:val="left"/>
      <w:pPr>
        <w:ind w:left="3240" w:hanging="360"/>
      </w:pPr>
      <w:rPr>
        <w:rFonts w:ascii="Courier New" w:eastAsia="Courier New" w:hAnsi="Courier New" w:cs="Courier New" w:hint="default"/>
        <w:shd w:val="clear" w:color="auto" w:fill="auto"/>
      </w:rPr>
    </w:lvl>
    <w:lvl w:ilvl="5" w:tplc="ED6A7CBC">
      <w:start w:val="1"/>
      <w:numFmt w:val="bullet"/>
      <w:lvlText w:val="§"/>
      <w:lvlJc w:val="left"/>
      <w:pPr>
        <w:ind w:left="3960" w:hanging="360"/>
      </w:pPr>
      <w:rPr>
        <w:rFonts w:ascii="Wingdings" w:eastAsia="Wingdings" w:hAnsi="Wingdings" w:cs="Wingdings" w:hint="default"/>
        <w:shd w:val="clear" w:color="auto" w:fill="auto"/>
      </w:rPr>
    </w:lvl>
    <w:lvl w:ilvl="6" w:tplc="BEEAA3DC">
      <w:start w:val="1"/>
      <w:numFmt w:val="bullet"/>
      <w:lvlText w:val="·"/>
      <w:lvlJc w:val="left"/>
      <w:pPr>
        <w:ind w:left="4680" w:hanging="360"/>
      </w:pPr>
      <w:rPr>
        <w:rFonts w:ascii="Symbol" w:eastAsia="Symbol" w:hAnsi="Symbol" w:cs="Symbol" w:hint="default"/>
        <w:shd w:val="clear" w:color="auto" w:fill="auto"/>
      </w:rPr>
    </w:lvl>
    <w:lvl w:ilvl="7" w:tplc="DC3441C0">
      <w:start w:val="1"/>
      <w:numFmt w:val="bullet"/>
      <w:lvlText w:val="o"/>
      <w:lvlJc w:val="left"/>
      <w:pPr>
        <w:ind w:left="5400" w:hanging="360"/>
      </w:pPr>
      <w:rPr>
        <w:rFonts w:ascii="Courier New" w:eastAsia="Courier New" w:hAnsi="Courier New" w:cs="Courier New" w:hint="default"/>
        <w:shd w:val="clear" w:color="auto" w:fill="auto"/>
      </w:rPr>
    </w:lvl>
    <w:lvl w:ilvl="8" w:tplc="B75A78DC">
      <w:start w:val="1"/>
      <w:numFmt w:val="bullet"/>
      <w:lvlText w:val="§"/>
      <w:lvlJc w:val="left"/>
      <w:pPr>
        <w:ind w:left="6120" w:hanging="360"/>
      </w:pPr>
      <w:rPr>
        <w:rFonts w:ascii="Wingdings" w:eastAsia="Wingdings" w:hAnsi="Wingdings" w:cs="Wingdings" w:hint="default"/>
        <w:shd w:val="clear" w:color="auto" w:fill="auto"/>
      </w:rPr>
    </w:lvl>
  </w:abstractNum>
  <w:abstractNum w:abstractNumId="11" w15:restartNumberingAfterBreak="0">
    <w:nsid w:val="2F000002"/>
    <w:multiLevelType w:val="hybridMultilevel"/>
    <w:tmpl w:val="3C5A8615"/>
    <w:lvl w:ilvl="0" w:tplc="FBF6C670">
      <w:start w:val="1"/>
      <w:numFmt w:val="bullet"/>
      <w:lvlText w:val="·"/>
      <w:lvlJc w:val="left"/>
      <w:pPr>
        <w:ind w:left="360" w:hanging="360"/>
      </w:pPr>
      <w:rPr>
        <w:rFonts w:ascii="Symbol" w:eastAsia="Symbol" w:hAnsi="Symbol" w:cs="Symbol" w:hint="default"/>
        <w:sz w:val="20"/>
        <w:szCs w:val="20"/>
        <w:shd w:val="clear" w:color="auto" w:fill="auto"/>
      </w:rPr>
    </w:lvl>
    <w:lvl w:ilvl="1" w:tplc="38A2198C">
      <w:start w:val="1"/>
      <w:numFmt w:val="bullet"/>
      <w:lvlText w:val="o"/>
      <w:lvlJc w:val="left"/>
      <w:pPr>
        <w:ind w:left="1440" w:hanging="360"/>
      </w:pPr>
      <w:rPr>
        <w:rFonts w:ascii="Courier New" w:eastAsia="Courier New" w:hAnsi="Courier New" w:cs="Courier New" w:hint="default"/>
        <w:shd w:val="clear" w:color="auto" w:fill="auto"/>
      </w:rPr>
    </w:lvl>
    <w:lvl w:ilvl="2" w:tplc="4E30FBF8">
      <w:start w:val="1"/>
      <w:numFmt w:val="bullet"/>
      <w:lvlText w:val="§"/>
      <w:lvlJc w:val="left"/>
      <w:pPr>
        <w:ind w:left="2160" w:hanging="360"/>
      </w:pPr>
      <w:rPr>
        <w:rFonts w:ascii="Wingdings" w:eastAsia="Wingdings" w:hAnsi="Wingdings" w:cs="Wingdings" w:hint="default"/>
        <w:shd w:val="clear" w:color="auto" w:fill="auto"/>
      </w:rPr>
    </w:lvl>
    <w:lvl w:ilvl="3" w:tplc="01244496">
      <w:start w:val="1"/>
      <w:numFmt w:val="bullet"/>
      <w:lvlText w:val="·"/>
      <w:lvlJc w:val="left"/>
      <w:pPr>
        <w:ind w:left="2880" w:hanging="360"/>
      </w:pPr>
      <w:rPr>
        <w:rFonts w:ascii="Symbol" w:eastAsia="Symbol" w:hAnsi="Symbol" w:cs="Symbol" w:hint="default"/>
        <w:shd w:val="clear" w:color="auto" w:fill="auto"/>
      </w:rPr>
    </w:lvl>
    <w:lvl w:ilvl="4" w:tplc="9E548574">
      <w:start w:val="1"/>
      <w:numFmt w:val="bullet"/>
      <w:lvlText w:val="o"/>
      <w:lvlJc w:val="left"/>
      <w:pPr>
        <w:ind w:left="3600" w:hanging="360"/>
      </w:pPr>
      <w:rPr>
        <w:rFonts w:ascii="Courier New" w:eastAsia="Courier New" w:hAnsi="Courier New" w:cs="Courier New" w:hint="default"/>
        <w:shd w:val="clear" w:color="auto" w:fill="auto"/>
      </w:rPr>
    </w:lvl>
    <w:lvl w:ilvl="5" w:tplc="4E0A3FE0">
      <w:start w:val="1"/>
      <w:numFmt w:val="bullet"/>
      <w:lvlText w:val="§"/>
      <w:lvlJc w:val="left"/>
      <w:pPr>
        <w:ind w:left="4320" w:hanging="360"/>
      </w:pPr>
      <w:rPr>
        <w:rFonts w:ascii="Wingdings" w:eastAsia="Wingdings" w:hAnsi="Wingdings" w:cs="Wingdings" w:hint="default"/>
        <w:shd w:val="clear" w:color="auto" w:fill="auto"/>
      </w:rPr>
    </w:lvl>
    <w:lvl w:ilvl="6" w:tplc="D29E9A36">
      <w:start w:val="1"/>
      <w:numFmt w:val="bullet"/>
      <w:lvlText w:val="·"/>
      <w:lvlJc w:val="left"/>
      <w:pPr>
        <w:ind w:left="5040" w:hanging="360"/>
      </w:pPr>
      <w:rPr>
        <w:rFonts w:ascii="Symbol" w:eastAsia="Symbol" w:hAnsi="Symbol" w:cs="Symbol" w:hint="default"/>
        <w:shd w:val="clear" w:color="auto" w:fill="auto"/>
      </w:rPr>
    </w:lvl>
    <w:lvl w:ilvl="7" w:tplc="6FEC37AA">
      <w:start w:val="1"/>
      <w:numFmt w:val="bullet"/>
      <w:lvlText w:val="o"/>
      <w:lvlJc w:val="left"/>
      <w:pPr>
        <w:ind w:left="5760" w:hanging="360"/>
      </w:pPr>
      <w:rPr>
        <w:rFonts w:ascii="Courier New" w:eastAsia="Courier New" w:hAnsi="Courier New" w:cs="Courier New" w:hint="default"/>
        <w:shd w:val="clear" w:color="auto" w:fill="auto"/>
      </w:rPr>
    </w:lvl>
    <w:lvl w:ilvl="8" w:tplc="E6922194">
      <w:start w:val="1"/>
      <w:numFmt w:val="bullet"/>
      <w:lvlText w:val="§"/>
      <w:lvlJc w:val="left"/>
      <w:pPr>
        <w:ind w:left="6480" w:hanging="360"/>
      </w:pPr>
      <w:rPr>
        <w:rFonts w:ascii="Wingdings" w:eastAsia="Wingdings" w:hAnsi="Wingdings" w:cs="Wingdings" w:hint="default"/>
        <w:shd w:val="clear" w:color="auto" w:fill="auto"/>
      </w:rPr>
    </w:lvl>
  </w:abstractNum>
  <w:abstractNum w:abstractNumId="12" w15:restartNumberingAfterBreak="0">
    <w:nsid w:val="2F000003"/>
    <w:multiLevelType w:val="hybridMultilevel"/>
    <w:tmpl w:val="4118DBC1"/>
    <w:lvl w:ilvl="0" w:tplc="126046E0">
      <w:start w:val="1"/>
      <w:numFmt w:val="bullet"/>
      <w:lvlText w:val="·"/>
      <w:lvlJc w:val="left"/>
      <w:pPr>
        <w:ind w:left="360" w:hanging="360"/>
      </w:pPr>
      <w:rPr>
        <w:rFonts w:ascii="Symbol" w:eastAsia="Symbol" w:hAnsi="Symbol" w:cs="Symbol" w:hint="default"/>
        <w:shd w:val="clear" w:color="auto" w:fill="auto"/>
      </w:rPr>
    </w:lvl>
    <w:lvl w:ilvl="1" w:tplc="5836930A">
      <w:start w:val="1"/>
      <w:numFmt w:val="bullet"/>
      <w:lvlText w:val="o"/>
      <w:lvlJc w:val="left"/>
      <w:pPr>
        <w:ind w:left="1080" w:hanging="360"/>
      </w:pPr>
      <w:rPr>
        <w:rFonts w:ascii="Courier New" w:eastAsia="Courier New" w:hAnsi="Courier New" w:cs="Courier New" w:hint="default"/>
        <w:shd w:val="clear" w:color="auto" w:fill="auto"/>
      </w:rPr>
    </w:lvl>
    <w:lvl w:ilvl="2" w:tplc="842AC0F4">
      <w:start w:val="1"/>
      <w:numFmt w:val="bullet"/>
      <w:lvlText w:val="§"/>
      <w:lvlJc w:val="left"/>
      <w:pPr>
        <w:ind w:left="1800" w:hanging="360"/>
      </w:pPr>
      <w:rPr>
        <w:rFonts w:ascii="Wingdings" w:eastAsia="Wingdings" w:hAnsi="Wingdings" w:cs="Wingdings" w:hint="default"/>
        <w:shd w:val="clear" w:color="auto" w:fill="auto"/>
      </w:rPr>
    </w:lvl>
    <w:lvl w:ilvl="3" w:tplc="F6C43F08">
      <w:start w:val="1"/>
      <w:numFmt w:val="bullet"/>
      <w:lvlText w:val="·"/>
      <w:lvlJc w:val="left"/>
      <w:pPr>
        <w:ind w:left="2520" w:hanging="360"/>
      </w:pPr>
      <w:rPr>
        <w:rFonts w:ascii="Symbol" w:eastAsia="Symbol" w:hAnsi="Symbol" w:cs="Symbol" w:hint="default"/>
        <w:shd w:val="clear" w:color="auto" w:fill="auto"/>
      </w:rPr>
    </w:lvl>
    <w:lvl w:ilvl="4" w:tplc="7AFEDA36">
      <w:start w:val="1"/>
      <w:numFmt w:val="bullet"/>
      <w:lvlText w:val="o"/>
      <w:lvlJc w:val="left"/>
      <w:pPr>
        <w:ind w:left="3240" w:hanging="360"/>
      </w:pPr>
      <w:rPr>
        <w:rFonts w:ascii="Courier New" w:eastAsia="Courier New" w:hAnsi="Courier New" w:cs="Courier New" w:hint="default"/>
        <w:shd w:val="clear" w:color="auto" w:fill="auto"/>
      </w:rPr>
    </w:lvl>
    <w:lvl w:ilvl="5" w:tplc="F27AC3FE">
      <w:start w:val="1"/>
      <w:numFmt w:val="bullet"/>
      <w:lvlText w:val="§"/>
      <w:lvlJc w:val="left"/>
      <w:pPr>
        <w:ind w:left="3960" w:hanging="360"/>
      </w:pPr>
      <w:rPr>
        <w:rFonts w:ascii="Wingdings" w:eastAsia="Wingdings" w:hAnsi="Wingdings" w:cs="Wingdings" w:hint="default"/>
        <w:shd w:val="clear" w:color="auto" w:fill="auto"/>
      </w:rPr>
    </w:lvl>
    <w:lvl w:ilvl="6" w:tplc="9C90CBA0">
      <w:start w:val="1"/>
      <w:numFmt w:val="bullet"/>
      <w:lvlText w:val="·"/>
      <w:lvlJc w:val="left"/>
      <w:pPr>
        <w:ind w:left="4680" w:hanging="360"/>
      </w:pPr>
      <w:rPr>
        <w:rFonts w:ascii="Symbol" w:eastAsia="Symbol" w:hAnsi="Symbol" w:cs="Symbol" w:hint="default"/>
        <w:shd w:val="clear" w:color="auto" w:fill="auto"/>
      </w:rPr>
    </w:lvl>
    <w:lvl w:ilvl="7" w:tplc="74E03C0E">
      <w:start w:val="1"/>
      <w:numFmt w:val="bullet"/>
      <w:lvlText w:val="o"/>
      <w:lvlJc w:val="left"/>
      <w:pPr>
        <w:ind w:left="5400" w:hanging="360"/>
      </w:pPr>
      <w:rPr>
        <w:rFonts w:ascii="Courier New" w:eastAsia="Courier New" w:hAnsi="Courier New" w:cs="Courier New" w:hint="default"/>
        <w:shd w:val="clear" w:color="auto" w:fill="auto"/>
      </w:rPr>
    </w:lvl>
    <w:lvl w:ilvl="8" w:tplc="771C0380">
      <w:start w:val="1"/>
      <w:numFmt w:val="bullet"/>
      <w:lvlText w:val="§"/>
      <w:lvlJc w:val="left"/>
      <w:pPr>
        <w:ind w:left="6120" w:hanging="360"/>
      </w:pPr>
      <w:rPr>
        <w:rFonts w:ascii="Wingdings" w:eastAsia="Wingdings" w:hAnsi="Wingdings" w:cs="Wingdings" w:hint="default"/>
        <w:shd w:val="clear" w:color="auto" w:fill="auto"/>
      </w:r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062037"/>
    <w:multiLevelType w:val="hybridMultilevel"/>
    <w:tmpl w:val="0F2A39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7C954A0"/>
    <w:multiLevelType w:val="hybridMultilevel"/>
    <w:tmpl w:val="6AAA9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F82D08"/>
    <w:multiLevelType w:val="hybridMultilevel"/>
    <w:tmpl w:val="6A1664DA"/>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2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C76091"/>
    <w:multiLevelType w:val="hybridMultilevel"/>
    <w:tmpl w:val="C2420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22"/>
  </w:num>
  <w:num w:numId="8">
    <w:abstractNumId w:val="7"/>
  </w:num>
  <w:num w:numId="9">
    <w:abstractNumId w:val="18"/>
  </w:num>
  <w:num w:numId="10">
    <w:abstractNumId w:val="14"/>
  </w:num>
  <w:num w:numId="11">
    <w:abstractNumId w:val="1"/>
  </w:num>
  <w:num w:numId="12">
    <w:abstractNumId w:val="17"/>
  </w:num>
  <w:num w:numId="13">
    <w:abstractNumId w:val="5"/>
  </w:num>
  <w:num w:numId="14">
    <w:abstractNumId w:val="24"/>
  </w:num>
  <w:num w:numId="15">
    <w:abstractNumId w:val="21"/>
  </w:num>
  <w:num w:numId="16">
    <w:abstractNumId w:val="8"/>
  </w:num>
  <w:num w:numId="17">
    <w:abstractNumId w:val="13"/>
  </w:num>
  <w:num w:numId="18">
    <w:abstractNumId w:val="15"/>
  </w:num>
  <w:num w:numId="19">
    <w:abstractNumId w:val="11"/>
  </w:num>
  <w:num w:numId="20">
    <w:abstractNumId w:val="12"/>
  </w:num>
  <w:num w:numId="21">
    <w:abstractNumId w:val="10"/>
  </w:num>
  <w:num w:numId="22">
    <w:abstractNumId w:val="20"/>
  </w:num>
  <w:num w:numId="23">
    <w:abstractNumId w:val="23"/>
  </w:num>
  <w:num w:numId="24">
    <w:abstractNumId w:val="19"/>
  </w:num>
  <w:num w:numId="2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83"/>
    <w:rsid w:val="00001972"/>
    <w:rsid w:val="0000462D"/>
    <w:rsid w:val="00007ABC"/>
    <w:rsid w:val="00013432"/>
    <w:rsid w:val="00013859"/>
    <w:rsid w:val="000139A0"/>
    <w:rsid w:val="00014923"/>
    <w:rsid w:val="00017810"/>
    <w:rsid w:val="0002054E"/>
    <w:rsid w:val="000225DE"/>
    <w:rsid w:val="000247E4"/>
    <w:rsid w:val="00030F4B"/>
    <w:rsid w:val="00031DCD"/>
    <w:rsid w:val="00034587"/>
    <w:rsid w:val="00037E99"/>
    <w:rsid w:val="00040AD5"/>
    <w:rsid w:val="000469BE"/>
    <w:rsid w:val="000503BE"/>
    <w:rsid w:val="000537BF"/>
    <w:rsid w:val="00057DFD"/>
    <w:rsid w:val="000605A5"/>
    <w:rsid w:val="000609D1"/>
    <w:rsid w:val="000701EF"/>
    <w:rsid w:val="00070F18"/>
    <w:rsid w:val="000718DF"/>
    <w:rsid w:val="00074B1B"/>
    <w:rsid w:val="00076014"/>
    <w:rsid w:val="00077254"/>
    <w:rsid w:val="00077864"/>
    <w:rsid w:val="00082065"/>
    <w:rsid w:val="0008488B"/>
    <w:rsid w:val="00087E01"/>
    <w:rsid w:val="00090FCA"/>
    <w:rsid w:val="00095EF0"/>
    <w:rsid w:val="00096025"/>
    <w:rsid w:val="000A459E"/>
    <w:rsid w:val="000B3DC6"/>
    <w:rsid w:val="000C51F7"/>
    <w:rsid w:val="000C5B9A"/>
    <w:rsid w:val="000D0975"/>
    <w:rsid w:val="000D16AC"/>
    <w:rsid w:val="000D19DB"/>
    <w:rsid w:val="000D2633"/>
    <w:rsid w:val="000D2B7C"/>
    <w:rsid w:val="000D7470"/>
    <w:rsid w:val="000D79F8"/>
    <w:rsid w:val="000E25B3"/>
    <w:rsid w:val="000E2F32"/>
    <w:rsid w:val="000E39D1"/>
    <w:rsid w:val="000E5BD5"/>
    <w:rsid w:val="000E7EC7"/>
    <w:rsid w:val="000F211D"/>
    <w:rsid w:val="000F34C8"/>
    <w:rsid w:val="000F4AD1"/>
    <w:rsid w:val="000F4D8C"/>
    <w:rsid w:val="000F6EB6"/>
    <w:rsid w:val="00102BC7"/>
    <w:rsid w:val="0010727F"/>
    <w:rsid w:val="00113A09"/>
    <w:rsid w:val="00113B51"/>
    <w:rsid w:val="001140E7"/>
    <w:rsid w:val="0011412B"/>
    <w:rsid w:val="00114173"/>
    <w:rsid w:val="0012208E"/>
    <w:rsid w:val="00122A27"/>
    <w:rsid w:val="0012473F"/>
    <w:rsid w:val="001261CA"/>
    <w:rsid w:val="00126A63"/>
    <w:rsid w:val="00137657"/>
    <w:rsid w:val="00137E46"/>
    <w:rsid w:val="001419C1"/>
    <w:rsid w:val="00142F45"/>
    <w:rsid w:val="00145577"/>
    <w:rsid w:val="00147198"/>
    <w:rsid w:val="00150548"/>
    <w:rsid w:val="0015142D"/>
    <w:rsid w:val="0015319A"/>
    <w:rsid w:val="001572B4"/>
    <w:rsid w:val="00157F3F"/>
    <w:rsid w:val="00164D32"/>
    <w:rsid w:val="0016688D"/>
    <w:rsid w:val="00166B51"/>
    <w:rsid w:val="0016793F"/>
    <w:rsid w:val="00173BA8"/>
    <w:rsid w:val="001744F6"/>
    <w:rsid w:val="00180764"/>
    <w:rsid w:val="0018498B"/>
    <w:rsid w:val="001863E9"/>
    <w:rsid w:val="00186BE0"/>
    <w:rsid w:val="001874DF"/>
    <w:rsid w:val="00194892"/>
    <w:rsid w:val="00197AA3"/>
    <w:rsid w:val="001A2B27"/>
    <w:rsid w:val="001A38C2"/>
    <w:rsid w:val="001A4B9E"/>
    <w:rsid w:val="001A5484"/>
    <w:rsid w:val="001A6F80"/>
    <w:rsid w:val="001B10FF"/>
    <w:rsid w:val="001B1330"/>
    <w:rsid w:val="001B1B69"/>
    <w:rsid w:val="001B1B99"/>
    <w:rsid w:val="001B3349"/>
    <w:rsid w:val="001B38CA"/>
    <w:rsid w:val="001C3AF4"/>
    <w:rsid w:val="001C42AA"/>
    <w:rsid w:val="001C44AE"/>
    <w:rsid w:val="001C6C6B"/>
    <w:rsid w:val="001D0B3E"/>
    <w:rsid w:val="001D20F6"/>
    <w:rsid w:val="001D34D1"/>
    <w:rsid w:val="001D35F1"/>
    <w:rsid w:val="001D3B3B"/>
    <w:rsid w:val="001D4D6F"/>
    <w:rsid w:val="001E0A0C"/>
    <w:rsid w:val="001E200E"/>
    <w:rsid w:val="001E2263"/>
    <w:rsid w:val="001E23C4"/>
    <w:rsid w:val="001E45EE"/>
    <w:rsid w:val="001F2B92"/>
    <w:rsid w:val="001F3E12"/>
    <w:rsid w:val="001F5313"/>
    <w:rsid w:val="001F70A2"/>
    <w:rsid w:val="00204CC9"/>
    <w:rsid w:val="00210349"/>
    <w:rsid w:val="002161F3"/>
    <w:rsid w:val="00216600"/>
    <w:rsid w:val="00216CA8"/>
    <w:rsid w:val="00222085"/>
    <w:rsid w:val="002238A6"/>
    <w:rsid w:val="002315C9"/>
    <w:rsid w:val="002341CC"/>
    <w:rsid w:val="00234F08"/>
    <w:rsid w:val="00241EB6"/>
    <w:rsid w:val="0024266E"/>
    <w:rsid w:val="002442B6"/>
    <w:rsid w:val="002505E8"/>
    <w:rsid w:val="00255208"/>
    <w:rsid w:val="00255CE1"/>
    <w:rsid w:val="00260C2A"/>
    <w:rsid w:val="002635AF"/>
    <w:rsid w:val="00263C35"/>
    <w:rsid w:val="0026430D"/>
    <w:rsid w:val="00264F8A"/>
    <w:rsid w:val="002656D1"/>
    <w:rsid w:val="00265D42"/>
    <w:rsid w:val="00271D6D"/>
    <w:rsid w:val="00273ACE"/>
    <w:rsid w:val="00273FA3"/>
    <w:rsid w:val="002745FE"/>
    <w:rsid w:val="00275B8D"/>
    <w:rsid w:val="002773DF"/>
    <w:rsid w:val="00283B56"/>
    <w:rsid w:val="00284072"/>
    <w:rsid w:val="00291F1F"/>
    <w:rsid w:val="002921F7"/>
    <w:rsid w:val="00292C69"/>
    <w:rsid w:val="002951DE"/>
    <w:rsid w:val="002970D1"/>
    <w:rsid w:val="002A499A"/>
    <w:rsid w:val="002B2BE9"/>
    <w:rsid w:val="002B48F6"/>
    <w:rsid w:val="002C06C7"/>
    <w:rsid w:val="002C0D21"/>
    <w:rsid w:val="002C1FD5"/>
    <w:rsid w:val="002C2B1C"/>
    <w:rsid w:val="002C67C0"/>
    <w:rsid w:val="002D2E33"/>
    <w:rsid w:val="002E2649"/>
    <w:rsid w:val="002E37E8"/>
    <w:rsid w:val="002E428D"/>
    <w:rsid w:val="002F3579"/>
    <w:rsid w:val="00301E12"/>
    <w:rsid w:val="00301E22"/>
    <w:rsid w:val="00303018"/>
    <w:rsid w:val="00304E2E"/>
    <w:rsid w:val="003067E4"/>
    <w:rsid w:val="0031619B"/>
    <w:rsid w:val="00316E6F"/>
    <w:rsid w:val="003177F0"/>
    <w:rsid w:val="00320EFB"/>
    <w:rsid w:val="0032370A"/>
    <w:rsid w:val="00324064"/>
    <w:rsid w:val="0034201D"/>
    <w:rsid w:val="003433DF"/>
    <w:rsid w:val="00343458"/>
    <w:rsid w:val="00343486"/>
    <w:rsid w:val="003507F5"/>
    <w:rsid w:val="0036027B"/>
    <w:rsid w:val="00365673"/>
    <w:rsid w:val="003727F7"/>
    <w:rsid w:val="00372F73"/>
    <w:rsid w:val="0037301F"/>
    <w:rsid w:val="00373A1D"/>
    <w:rsid w:val="00375465"/>
    <w:rsid w:val="003767BC"/>
    <w:rsid w:val="00380885"/>
    <w:rsid w:val="0038481A"/>
    <w:rsid w:val="003853B1"/>
    <w:rsid w:val="00385E03"/>
    <w:rsid w:val="00390232"/>
    <w:rsid w:val="00391180"/>
    <w:rsid w:val="003918AF"/>
    <w:rsid w:val="003937BF"/>
    <w:rsid w:val="00395129"/>
    <w:rsid w:val="00395828"/>
    <w:rsid w:val="00395CDE"/>
    <w:rsid w:val="003A088E"/>
    <w:rsid w:val="003A293C"/>
    <w:rsid w:val="003A2D33"/>
    <w:rsid w:val="003A5399"/>
    <w:rsid w:val="003B063A"/>
    <w:rsid w:val="003C08D2"/>
    <w:rsid w:val="003C3279"/>
    <w:rsid w:val="003C4AA2"/>
    <w:rsid w:val="003C4F07"/>
    <w:rsid w:val="003C54BE"/>
    <w:rsid w:val="003D44B8"/>
    <w:rsid w:val="003D6BE4"/>
    <w:rsid w:val="003D7FAA"/>
    <w:rsid w:val="003E2999"/>
    <w:rsid w:val="003E3C8C"/>
    <w:rsid w:val="003F0897"/>
    <w:rsid w:val="003F22F8"/>
    <w:rsid w:val="003F2336"/>
    <w:rsid w:val="003F46A3"/>
    <w:rsid w:val="003F4F40"/>
    <w:rsid w:val="003F72C3"/>
    <w:rsid w:val="003F7896"/>
    <w:rsid w:val="00401BAD"/>
    <w:rsid w:val="00405768"/>
    <w:rsid w:val="0040612F"/>
    <w:rsid w:val="00406715"/>
    <w:rsid w:val="00407689"/>
    <w:rsid w:val="00411ECA"/>
    <w:rsid w:val="00414914"/>
    <w:rsid w:val="00421CB2"/>
    <w:rsid w:val="00423DED"/>
    <w:rsid w:val="0042405C"/>
    <w:rsid w:val="0042438A"/>
    <w:rsid w:val="00424CCD"/>
    <w:rsid w:val="004301F4"/>
    <w:rsid w:val="00430A68"/>
    <w:rsid w:val="00432742"/>
    <w:rsid w:val="00434ACD"/>
    <w:rsid w:val="00435A62"/>
    <w:rsid w:val="004419BC"/>
    <w:rsid w:val="00442FD7"/>
    <w:rsid w:val="0044361E"/>
    <w:rsid w:val="0044385C"/>
    <w:rsid w:val="004448DC"/>
    <w:rsid w:val="00446893"/>
    <w:rsid w:val="004472CC"/>
    <w:rsid w:val="00447563"/>
    <w:rsid w:val="00460D4E"/>
    <w:rsid w:val="0046293B"/>
    <w:rsid w:val="00464E55"/>
    <w:rsid w:val="00465CC6"/>
    <w:rsid w:val="00466B7D"/>
    <w:rsid w:val="004721BB"/>
    <w:rsid w:val="0047269E"/>
    <w:rsid w:val="00473A7A"/>
    <w:rsid w:val="004775F8"/>
    <w:rsid w:val="00480B4F"/>
    <w:rsid w:val="00481616"/>
    <w:rsid w:val="00484242"/>
    <w:rsid w:val="00486D9F"/>
    <w:rsid w:val="004901B8"/>
    <w:rsid w:val="00493617"/>
    <w:rsid w:val="004942D2"/>
    <w:rsid w:val="004A1032"/>
    <w:rsid w:val="004A1CC2"/>
    <w:rsid w:val="004A4726"/>
    <w:rsid w:val="004A67DA"/>
    <w:rsid w:val="004B0B32"/>
    <w:rsid w:val="004B0E47"/>
    <w:rsid w:val="004B480A"/>
    <w:rsid w:val="004C06E9"/>
    <w:rsid w:val="004D2449"/>
    <w:rsid w:val="004D27F7"/>
    <w:rsid w:val="004D5253"/>
    <w:rsid w:val="004E2B06"/>
    <w:rsid w:val="004E34B0"/>
    <w:rsid w:val="004E4F8D"/>
    <w:rsid w:val="004E5075"/>
    <w:rsid w:val="004E53CB"/>
    <w:rsid w:val="00506202"/>
    <w:rsid w:val="0050690D"/>
    <w:rsid w:val="00511EFA"/>
    <w:rsid w:val="00513D53"/>
    <w:rsid w:val="00514345"/>
    <w:rsid w:val="00516ADF"/>
    <w:rsid w:val="00521203"/>
    <w:rsid w:val="005231D8"/>
    <w:rsid w:val="0052465F"/>
    <w:rsid w:val="0052640B"/>
    <w:rsid w:val="005334B2"/>
    <w:rsid w:val="005348AC"/>
    <w:rsid w:val="00534BC3"/>
    <w:rsid w:val="00546FA5"/>
    <w:rsid w:val="00554568"/>
    <w:rsid w:val="005555C1"/>
    <w:rsid w:val="005560F7"/>
    <w:rsid w:val="00557CDD"/>
    <w:rsid w:val="00561762"/>
    <w:rsid w:val="00566704"/>
    <w:rsid w:val="0057523B"/>
    <w:rsid w:val="0057691C"/>
    <w:rsid w:val="00583189"/>
    <w:rsid w:val="00587114"/>
    <w:rsid w:val="00596027"/>
    <w:rsid w:val="00596A52"/>
    <w:rsid w:val="005A2A6C"/>
    <w:rsid w:val="005A3F68"/>
    <w:rsid w:val="005A423F"/>
    <w:rsid w:val="005A50BA"/>
    <w:rsid w:val="005B3F95"/>
    <w:rsid w:val="005C1E2D"/>
    <w:rsid w:val="005C4B86"/>
    <w:rsid w:val="005C7E07"/>
    <w:rsid w:val="005D0BED"/>
    <w:rsid w:val="005D1E20"/>
    <w:rsid w:val="005D2AE9"/>
    <w:rsid w:val="005D33EB"/>
    <w:rsid w:val="005D3D6E"/>
    <w:rsid w:val="005D5F99"/>
    <w:rsid w:val="005D7487"/>
    <w:rsid w:val="005D7FC9"/>
    <w:rsid w:val="005E13EB"/>
    <w:rsid w:val="005E2D46"/>
    <w:rsid w:val="005E49E5"/>
    <w:rsid w:val="005E51A9"/>
    <w:rsid w:val="005E7487"/>
    <w:rsid w:val="005F4309"/>
    <w:rsid w:val="005F7097"/>
    <w:rsid w:val="006003A0"/>
    <w:rsid w:val="0060422E"/>
    <w:rsid w:val="00607BB2"/>
    <w:rsid w:val="0061467C"/>
    <w:rsid w:val="006162FE"/>
    <w:rsid w:val="00622952"/>
    <w:rsid w:val="00623655"/>
    <w:rsid w:val="006241DB"/>
    <w:rsid w:val="006257EB"/>
    <w:rsid w:val="00626F8C"/>
    <w:rsid w:val="00627E1A"/>
    <w:rsid w:val="00631C3F"/>
    <w:rsid w:val="00632A1D"/>
    <w:rsid w:val="00637325"/>
    <w:rsid w:val="00640CB1"/>
    <w:rsid w:val="006416F0"/>
    <w:rsid w:val="00641EED"/>
    <w:rsid w:val="00642C52"/>
    <w:rsid w:val="006441DF"/>
    <w:rsid w:val="00644FB4"/>
    <w:rsid w:val="00646C84"/>
    <w:rsid w:val="0065060E"/>
    <w:rsid w:val="00652223"/>
    <w:rsid w:val="00655408"/>
    <w:rsid w:val="006644B5"/>
    <w:rsid w:val="00664EB3"/>
    <w:rsid w:val="006663AF"/>
    <w:rsid w:val="00673D84"/>
    <w:rsid w:val="0067433B"/>
    <w:rsid w:val="0067456F"/>
    <w:rsid w:val="00675E64"/>
    <w:rsid w:val="00685349"/>
    <w:rsid w:val="00697BA5"/>
    <w:rsid w:val="006A03E6"/>
    <w:rsid w:val="006A0D68"/>
    <w:rsid w:val="006A42E0"/>
    <w:rsid w:val="006B2103"/>
    <w:rsid w:val="006B2A52"/>
    <w:rsid w:val="006B51CD"/>
    <w:rsid w:val="006B6AE7"/>
    <w:rsid w:val="006C2D74"/>
    <w:rsid w:val="006C5E67"/>
    <w:rsid w:val="006D0865"/>
    <w:rsid w:val="006D0E2E"/>
    <w:rsid w:val="006D4DE7"/>
    <w:rsid w:val="006D6B61"/>
    <w:rsid w:val="006E10BB"/>
    <w:rsid w:val="006E50E4"/>
    <w:rsid w:val="006F3A58"/>
    <w:rsid w:val="006F4D09"/>
    <w:rsid w:val="006F52C4"/>
    <w:rsid w:val="006F590B"/>
    <w:rsid w:val="007008BD"/>
    <w:rsid w:val="00701C27"/>
    <w:rsid w:val="00701FEB"/>
    <w:rsid w:val="00703582"/>
    <w:rsid w:val="0070547E"/>
    <w:rsid w:val="0071103C"/>
    <w:rsid w:val="0071152F"/>
    <w:rsid w:val="00713370"/>
    <w:rsid w:val="00715023"/>
    <w:rsid w:val="007152D6"/>
    <w:rsid w:val="00717ACF"/>
    <w:rsid w:val="00722FFC"/>
    <w:rsid w:val="007239C0"/>
    <w:rsid w:val="0072417E"/>
    <w:rsid w:val="00724FA5"/>
    <w:rsid w:val="00726410"/>
    <w:rsid w:val="00730786"/>
    <w:rsid w:val="00733B84"/>
    <w:rsid w:val="007342CD"/>
    <w:rsid w:val="00734BAE"/>
    <w:rsid w:val="00736FAC"/>
    <w:rsid w:val="00743FC8"/>
    <w:rsid w:val="007459FB"/>
    <w:rsid w:val="00746F19"/>
    <w:rsid w:val="00747697"/>
    <w:rsid w:val="00752707"/>
    <w:rsid w:val="007549D9"/>
    <w:rsid w:val="00754C2E"/>
    <w:rsid w:val="00755207"/>
    <w:rsid w:val="007558A8"/>
    <w:rsid w:val="00757CE6"/>
    <w:rsid w:val="00762160"/>
    <w:rsid w:val="00765C53"/>
    <w:rsid w:val="00767792"/>
    <w:rsid w:val="00767D4F"/>
    <w:rsid w:val="007701A8"/>
    <w:rsid w:val="00773D17"/>
    <w:rsid w:val="007851AC"/>
    <w:rsid w:val="00791C0F"/>
    <w:rsid w:val="007A0E26"/>
    <w:rsid w:val="007A2822"/>
    <w:rsid w:val="007A7018"/>
    <w:rsid w:val="007B0B76"/>
    <w:rsid w:val="007B0C32"/>
    <w:rsid w:val="007B30DD"/>
    <w:rsid w:val="007B340F"/>
    <w:rsid w:val="007B4D24"/>
    <w:rsid w:val="007B4F26"/>
    <w:rsid w:val="007B5DEE"/>
    <w:rsid w:val="007C6A73"/>
    <w:rsid w:val="007C6C97"/>
    <w:rsid w:val="007D0228"/>
    <w:rsid w:val="007D0E58"/>
    <w:rsid w:val="007D4B04"/>
    <w:rsid w:val="007D75C6"/>
    <w:rsid w:val="007F6847"/>
    <w:rsid w:val="00801481"/>
    <w:rsid w:val="00803B7B"/>
    <w:rsid w:val="00804927"/>
    <w:rsid w:val="00807154"/>
    <w:rsid w:val="00816463"/>
    <w:rsid w:val="008172E6"/>
    <w:rsid w:val="00821A27"/>
    <w:rsid w:val="0082308F"/>
    <w:rsid w:val="00826657"/>
    <w:rsid w:val="00832395"/>
    <w:rsid w:val="00834709"/>
    <w:rsid w:val="00834CCF"/>
    <w:rsid w:val="008365DB"/>
    <w:rsid w:val="00837C7F"/>
    <w:rsid w:val="00845BB3"/>
    <w:rsid w:val="0085119B"/>
    <w:rsid w:val="00853BD1"/>
    <w:rsid w:val="008546A5"/>
    <w:rsid w:val="00854E9B"/>
    <w:rsid w:val="008560F9"/>
    <w:rsid w:val="008655E7"/>
    <w:rsid w:val="00866385"/>
    <w:rsid w:val="00866A83"/>
    <w:rsid w:val="00874163"/>
    <w:rsid w:val="00877182"/>
    <w:rsid w:val="008807FA"/>
    <w:rsid w:val="00881E10"/>
    <w:rsid w:val="0088300D"/>
    <w:rsid w:val="00884538"/>
    <w:rsid w:val="00885B51"/>
    <w:rsid w:val="0088641D"/>
    <w:rsid w:val="00886CF8"/>
    <w:rsid w:val="00887812"/>
    <w:rsid w:val="008916E2"/>
    <w:rsid w:val="00894053"/>
    <w:rsid w:val="00894290"/>
    <w:rsid w:val="00895CC9"/>
    <w:rsid w:val="008967D1"/>
    <w:rsid w:val="008A263E"/>
    <w:rsid w:val="008A5130"/>
    <w:rsid w:val="008A6A94"/>
    <w:rsid w:val="008A7AF5"/>
    <w:rsid w:val="008B14AC"/>
    <w:rsid w:val="008B6BE1"/>
    <w:rsid w:val="008B7D6F"/>
    <w:rsid w:val="008B7E29"/>
    <w:rsid w:val="008C1103"/>
    <w:rsid w:val="008C1A4C"/>
    <w:rsid w:val="008C2A38"/>
    <w:rsid w:val="008C7504"/>
    <w:rsid w:val="008D0DB9"/>
    <w:rsid w:val="008D2C06"/>
    <w:rsid w:val="008D681B"/>
    <w:rsid w:val="008E1769"/>
    <w:rsid w:val="008E2670"/>
    <w:rsid w:val="008F1831"/>
    <w:rsid w:val="008F5563"/>
    <w:rsid w:val="008F6633"/>
    <w:rsid w:val="008F6A3B"/>
    <w:rsid w:val="00900EAB"/>
    <w:rsid w:val="00903BB2"/>
    <w:rsid w:val="00907E0E"/>
    <w:rsid w:val="00910062"/>
    <w:rsid w:val="0091244D"/>
    <w:rsid w:val="0092106C"/>
    <w:rsid w:val="0092436A"/>
    <w:rsid w:val="0092601F"/>
    <w:rsid w:val="00926BBA"/>
    <w:rsid w:val="009272A6"/>
    <w:rsid w:val="009316A6"/>
    <w:rsid w:val="0093242C"/>
    <w:rsid w:val="009459A1"/>
    <w:rsid w:val="0096271B"/>
    <w:rsid w:val="00964168"/>
    <w:rsid w:val="00965521"/>
    <w:rsid w:val="00971A71"/>
    <w:rsid w:val="0097490D"/>
    <w:rsid w:val="00981162"/>
    <w:rsid w:val="0098189A"/>
    <w:rsid w:val="00981F6C"/>
    <w:rsid w:val="0098313C"/>
    <w:rsid w:val="0099070B"/>
    <w:rsid w:val="009911EA"/>
    <w:rsid w:val="00991944"/>
    <w:rsid w:val="00992639"/>
    <w:rsid w:val="00992EE5"/>
    <w:rsid w:val="00993746"/>
    <w:rsid w:val="009A0B66"/>
    <w:rsid w:val="009A11D1"/>
    <w:rsid w:val="009B1443"/>
    <w:rsid w:val="009B1724"/>
    <w:rsid w:val="009B2E39"/>
    <w:rsid w:val="009C0C88"/>
    <w:rsid w:val="009C283A"/>
    <w:rsid w:val="009C3C2B"/>
    <w:rsid w:val="009C5173"/>
    <w:rsid w:val="009C6316"/>
    <w:rsid w:val="009D15E6"/>
    <w:rsid w:val="009D4D9A"/>
    <w:rsid w:val="009D5EB4"/>
    <w:rsid w:val="009E032B"/>
    <w:rsid w:val="009E1207"/>
    <w:rsid w:val="009E2921"/>
    <w:rsid w:val="009E70D1"/>
    <w:rsid w:val="009E767F"/>
    <w:rsid w:val="009F0039"/>
    <w:rsid w:val="009F01F6"/>
    <w:rsid w:val="009F0BFE"/>
    <w:rsid w:val="009F741F"/>
    <w:rsid w:val="00A01699"/>
    <w:rsid w:val="00A07586"/>
    <w:rsid w:val="00A112AD"/>
    <w:rsid w:val="00A13329"/>
    <w:rsid w:val="00A17844"/>
    <w:rsid w:val="00A1784D"/>
    <w:rsid w:val="00A20678"/>
    <w:rsid w:val="00A20A4D"/>
    <w:rsid w:val="00A212C8"/>
    <w:rsid w:val="00A23560"/>
    <w:rsid w:val="00A235EB"/>
    <w:rsid w:val="00A25A2B"/>
    <w:rsid w:val="00A35CEB"/>
    <w:rsid w:val="00A37490"/>
    <w:rsid w:val="00A37DBC"/>
    <w:rsid w:val="00A42B10"/>
    <w:rsid w:val="00A43A6D"/>
    <w:rsid w:val="00A4515C"/>
    <w:rsid w:val="00A459D0"/>
    <w:rsid w:val="00A473A2"/>
    <w:rsid w:val="00A510EA"/>
    <w:rsid w:val="00A53023"/>
    <w:rsid w:val="00A54BF5"/>
    <w:rsid w:val="00A57B42"/>
    <w:rsid w:val="00A6135A"/>
    <w:rsid w:val="00A70CA4"/>
    <w:rsid w:val="00A73535"/>
    <w:rsid w:val="00A737D4"/>
    <w:rsid w:val="00A74EB5"/>
    <w:rsid w:val="00A75997"/>
    <w:rsid w:val="00A85074"/>
    <w:rsid w:val="00A87D4A"/>
    <w:rsid w:val="00A9136A"/>
    <w:rsid w:val="00A93006"/>
    <w:rsid w:val="00A931E4"/>
    <w:rsid w:val="00A96099"/>
    <w:rsid w:val="00A97981"/>
    <w:rsid w:val="00AA5907"/>
    <w:rsid w:val="00AA62CF"/>
    <w:rsid w:val="00AB6B7D"/>
    <w:rsid w:val="00AB7285"/>
    <w:rsid w:val="00AB7964"/>
    <w:rsid w:val="00AC0AD7"/>
    <w:rsid w:val="00AC1967"/>
    <w:rsid w:val="00AC67B6"/>
    <w:rsid w:val="00AD28BD"/>
    <w:rsid w:val="00AD2AD1"/>
    <w:rsid w:val="00AD4968"/>
    <w:rsid w:val="00AD60FD"/>
    <w:rsid w:val="00AD621D"/>
    <w:rsid w:val="00AD6827"/>
    <w:rsid w:val="00AD7830"/>
    <w:rsid w:val="00AE0249"/>
    <w:rsid w:val="00AE0C75"/>
    <w:rsid w:val="00AE383F"/>
    <w:rsid w:val="00AE4C45"/>
    <w:rsid w:val="00AE4F70"/>
    <w:rsid w:val="00AE5BFC"/>
    <w:rsid w:val="00AF2480"/>
    <w:rsid w:val="00B001A2"/>
    <w:rsid w:val="00B043D8"/>
    <w:rsid w:val="00B07654"/>
    <w:rsid w:val="00B07EF5"/>
    <w:rsid w:val="00B12E4C"/>
    <w:rsid w:val="00B1421F"/>
    <w:rsid w:val="00B142BB"/>
    <w:rsid w:val="00B14D73"/>
    <w:rsid w:val="00B16A11"/>
    <w:rsid w:val="00B22E01"/>
    <w:rsid w:val="00B249F5"/>
    <w:rsid w:val="00B30227"/>
    <w:rsid w:val="00B312DC"/>
    <w:rsid w:val="00B34BEF"/>
    <w:rsid w:val="00B459A1"/>
    <w:rsid w:val="00B46CF4"/>
    <w:rsid w:val="00B47722"/>
    <w:rsid w:val="00B51124"/>
    <w:rsid w:val="00B525F5"/>
    <w:rsid w:val="00B53494"/>
    <w:rsid w:val="00B54060"/>
    <w:rsid w:val="00B61F48"/>
    <w:rsid w:val="00B64B9F"/>
    <w:rsid w:val="00B65491"/>
    <w:rsid w:val="00B669CF"/>
    <w:rsid w:val="00B709DD"/>
    <w:rsid w:val="00B8153E"/>
    <w:rsid w:val="00B821DA"/>
    <w:rsid w:val="00B908C5"/>
    <w:rsid w:val="00B91A7C"/>
    <w:rsid w:val="00B934C7"/>
    <w:rsid w:val="00B95D37"/>
    <w:rsid w:val="00BA01BC"/>
    <w:rsid w:val="00BA32AF"/>
    <w:rsid w:val="00BA4448"/>
    <w:rsid w:val="00BB0FCC"/>
    <w:rsid w:val="00BB310F"/>
    <w:rsid w:val="00BB5A2E"/>
    <w:rsid w:val="00BB618D"/>
    <w:rsid w:val="00BB69DA"/>
    <w:rsid w:val="00BC1A6B"/>
    <w:rsid w:val="00BD14DE"/>
    <w:rsid w:val="00BD45B5"/>
    <w:rsid w:val="00BD5381"/>
    <w:rsid w:val="00BD6A25"/>
    <w:rsid w:val="00BE1E55"/>
    <w:rsid w:val="00BE2D79"/>
    <w:rsid w:val="00BE50A7"/>
    <w:rsid w:val="00BE708A"/>
    <w:rsid w:val="00BF0003"/>
    <w:rsid w:val="00BF05BB"/>
    <w:rsid w:val="00BF0A0A"/>
    <w:rsid w:val="00BF178F"/>
    <w:rsid w:val="00BF2927"/>
    <w:rsid w:val="00C007E2"/>
    <w:rsid w:val="00C017D6"/>
    <w:rsid w:val="00C05768"/>
    <w:rsid w:val="00C06615"/>
    <w:rsid w:val="00C06F8F"/>
    <w:rsid w:val="00C078B7"/>
    <w:rsid w:val="00C13D93"/>
    <w:rsid w:val="00C150CE"/>
    <w:rsid w:val="00C1571E"/>
    <w:rsid w:val="00C17208"/>
    <w:rsid w:val="00C21744"/>
    <w:rsid w:val="00C239F6"/>
    <w:rsid w:val="00C23CC7"/>
    <w:rsid w:val="00C23EE7"/>
    <w:rsid w:val="00C26292"/>
    <w:rsid w:val="00C30CC3"/>
    <w:rsid w:val="00C31827"/>
    <w:rsid w:val="00C324E9"/>
    <w:rsid w:val="00C339E1"/>
    <w:rsid w:val="00C35897"/>
    <w:rsid w:val="00C3606D"/>
    <w:rsid w:val="00C36A6F"/>
    <w:rsid w:val="00C370CC"/>
    <w:rsid w:val="00C37B84"/>
    <w:rsid w:val="00C41F0C"/>
    <w:rsid w:val="00C42927"/>
    <w:rsid w:val="00C45473"/>
    <w:rsid w:val="00C45C39"/>
    <w:rsid w:val="00C45F17"/>
    <w:rsid w:val="00C50396"/>
    <w:rsid w:val="00C539C2"/>
    <w:rsid w:val="00C55B33"/>
    <w:rsid w:val="00C564B5"/>
    <w:rsid w:val="00C63D09"/>
    <w:rsid w:val="00C70906"/>
    <w:rsid w:val="00C77306"/>
    <w:rsid w:val="00C80832"/>
    <w:rsid w:val="00C85908"/>
    <w:rsid w:val="00C87479"/>
    <w:rsid w:val="00C87673"/>
    <w:rsid w:val="00C90347"/>
    <w:rsid w:val="00C93038"/>
    <w:rsid w:val="00C95805"/>
    <w:rsid w:val="00C9663D"/>
    <w:rsid w:val="00C97E6E"/>
    <w:rsid w:val="00CA349A"/>
    <w:rsid w:val="00CB401D"/>
    <w:rsid w:val="00CB7EF3"/>
    <w:rsid w:val="00CC2848"/>
    <w:rsid w:val="00CC4D1D"/>
    <w:rsid w:val="00CC6BF3"/>
    <w:rsid w:val="00CD3031"/>
    <w:rsid w:val="00CD5FC5"/>
    <w:rsid w:val="00CD6C56"/>
    <w:rsid w:val="00CE74E1"/>
    <w:rsid w:val="00CF19BC"/>
    <w:rsid w:val="00CF3370"/>
    <w:rsid w:val="00CF471D"/>
    <w:rsid w:val="00CF5DF0"/>
    <w:rsid w:val="00CF63B8"/>
    <w:rsid w:val="00CF75FB"/>
    <w:rsid w:val="00D000E0"/>
    <w:rsid w:val="00D05061"/>
    <w:rsid w:val="00D05798"/>
    <w:rsid w:val="00D05C33"/>
    <w:rsid w:val="00D1163F"/>
    <w:rsid w:val="00D13659"/>
    <w:rsid w:val="00D15D11"/>
    <w:rsid w:val="00D15FD6"/>
    <w:rsid w:val="00D21110"/>
    <w:rsid w:val="00D21AAA"/>
    <w:rsid w:val="00D23528"/>
    <w:rsid w:val="00D24A5B"/>
    <w:rsid w:val="00D24F30"/>
    <w:rsid w:val="00D25E8F"/>
    <w:rsid w:val="00D260B2"/>
    <w:rsid w:val="00D260CE"/>
    <w:rsid w:val="00D32089"/>
    <w:rsid w:val="00D33128"/>
    <w:rsid w:val="00D33EA8"/>
    <w:rsid w:val="00D36E0B"/>
    <w:rsid w:val="00D42E0D"/>
    <w:rsid w:val="00D43433"/>
    <w:rsid w:val="00D464FC"/>
    <w:rsid w:val="00D55B5B"/>
    <w:rsid w:val="00D560E9"/>
    <w:rsid w:val="00D63112"/>
    <w:rsid w:val="00D65E95"/>
    <w:rsid w:val="00D67965"/>
    <w:rsid w:val="00D72764"/>
    <w:rsid w:val="00D75FE2"/>
    <w:rsid w:val="00D81D45"/>
    <w:rsid w:val="00D8409E"/>
    <w:rsid w:val="00D844A9"/>
    <w:rsid w:val="00D84DC0"/>
    <w:rsid w:val="00D85003"/>
    <w:rsid w:val="00D86FCD"/>
    <w:rsid w:val="00D927FE"/>
    <w:rsid w:val="00D943DE"/>
    <w:rsid w:val="00DA0CD3"/>
    <w:rsid w:val="00DA11A1"/>
    <w:rsid w:val="00DA47C4"/>
    <w:rsid w:val="00DA72E4"/>
    <w:rsid w:val="00DB5AD2"/>
    <w:rsid w:val="00DC251C"/>
    <w:rsid w:val="00DC2AB1"/>
    <w:rsid w:val="00DC3C51"/>
    <w:rsid w:val="00DC5290"/>
    <w:rsid w:val="00DC6541"/>
    <w:rsid w:val="00DC76EB"/>
    <w:rsid w:val="00DD78C0"/>
    <w:rsid w:val="00DE0D2F"/>
    <w:rsid w:val="00DE0F2A"/>
    <w:rsid w:val="00DE1530"/>
    <w:rsid w:val="00DE2465"/>
    <w:rsid w:val="00DE29FE"/>
    <w:rsid w:val="00DE2E58"/>
    <w:rsid w:val="00DE51FF"/>
    <w:rsid w:val="00DE57C8"/>
    <w:rsid w:val="00DE7410"/>
    <w:rsid w:val="00DE7CBD"/>
    <w:rsid w:val="00DF09E3"/>
    <w:rsid w:val="00DF7C21"/>
    <w:rsid w:val="00E04071"/>
    <w:rsid w:val="00E04D61"/>
    <w:rsid w:val="00E14FAF"/>
    <w:rsid w:val="00E1550D"/>
    <w:rsid w:val="00E169AE"/>
    <w:rsid w:val="00E178B6"/>
    <w:rsid w:val="00E21B23"/>
    <w:rsid w:val="00E2235A"/>
    <w:rsid w:val="00E24E54"/>
    <w:rsid w:val="00E25A35"/>
    <w:rsid w:val="00E26D15"/>
    <w:rsid w:val="00E279A7"/>
    <w:rsid w:val="00E36D52"/>
    <w:rsid w:val="00E40BB6"/>
    <w:rsid w:val="00E416A7"/>
    <w:rsid w:val="00E41B75"/>
    <w:rsid w:val="00E41E85"/>
    <w:rsid w:val="00E42927"/>
    <w:rsid w:val="00E42D7B"/>
    <w:rsid w:val="00E44549"/>
    <w:rsid w:val="00E4715F"/>
    <w:rsid w:val="00E54970"/>
    <w:rsid w:val="00E5581E"/>
    <w:rsid w:val="00E5734B"/>
    <w:rsid w:val="00E57D29"/>
    <w:rsid w:val="00E61511"/>
    <w:rsid w:val="00E62A55"/>
    <w:rsid w:val="00E62B19"/>
    <w:rsid w:val="00E654B6"/>
    <w:rsid w:val="00E72065"/>
    <w:rsid w:val="00E72F80"/>
    <w:rsid w:val="00E759DA"/>
    <w:rsid w:val="00E75D3B"/>
    <w:rsid w:val="00E75EAD"/>
    <w:rsid w:val="00E75FD6"/>
    <w:rsid w:val="00E771D0"/>
    <w:rsid w:val="00E8200A"/>
    <w:rsid w:val="00E8297A"/>
    <w:rsid w:val="00E846E3"/>
    <w:rsid w:val="00E86939"/>
    <w:rsid w:val="00E86B87"/>
    <w:rsid w:val="00E91346"/>
    <w:rsid w:val="00E94871"/>
    <w:rsid w:val="00E978E0"/>
    <w:rsid w:val="00EA2D2E"/>
    <w:rsid w:val="00EA3A92"/>
    <w:rsid w:val="00EA4A5F"/>
    <w:rsid w:val="00EA5779"/>
    <w:rsid w:val="00EA63DF"/>
    <w:rsid w:val="00EB0CE8"/>
    <w:rsid w:val="00EB249B"/>
    <w:rsid w:val="00EB2C68"/>
    <w:rsid w:val="00EB2E29"/>
    <w:rsid w:val="00EB3E8C"/>
    <w:rsid w:val="00EB4850"/>
    <w:rsid w:val="00EB4E09"/>
    <w:rsid w:val="00EB5889"/>
    <w:rsid w:val="00EB6CBE"/>
    <w:rsid w:val="00EC04D2"/>
    <w:rsid w:val="00EC2706"/>
    <w:rsid w:val="00ED0604"/>
    <w:rsid w:val="00ED2408"/>
    <w:rsid w:val="00ED3EAC"/>
    <w:rsid w:val="00EE26D5"/>
    <w:rsid w:val="00EE2969"/>
    <w:rsid w:val="00EE4957"/>
    <w:rsid w:val="00EE51CD"/>
    <w:rsid w:val="00EE51E4"/>
    <w:rsid w:val="00EE629D"/>
    <w:rsid w:val="00EE7661"/>
    <w:rsid w:val="00EF2BDB"/>
    <w:rsid w:val="00EF5CF1"/>
    <w:rsid w:val="00F01183"/>
    <w:rsid w:val="00F01651"/>
    <w:rsid w:val="00F023CF"/>
    <w:rsid w:val="00F05305"/>
    <w:rsid w:val="00F071A0"/>
    <w:rsid w:val="00F1099D"/>
    <w:rsid w:val="00F10C1A"/>
    <w:rsid w:val="00F11072"/>
    <w:rsid w:val="00F14EE4"/>
    <w:rsid w:val="00F1793F"/>
    <w:rsid w:val="00F17B92"/>
    <w:rsid w:val="00F20870"/>
    <w:rsid w:val="00F20918"/>
    <w:rsid w:val="00F235B9"/>
    <w:rsid w:val="00F275F7"/>
    <w:rsid w:val="00F3235A"/>
    <w:rsid w:val="00F327B3"/>
    <w:rsid w:val="00F35502"/>
    <w:rsid w:val="00F42C37"/>
    <w:rsid w:val="00F510BD"/>
    <w:rsid w:val="00F51C14"/>
    <w:rsid w:val="00F525EE"/>
    <w:rsid w:val="00F52D52"/>
    <w:rsid w:val="00F535DD"/>
    <w:rsid w:val="00F550C5"/>
    <w:rsid w:val="00F56C1D"/>
    <w:rsid w:val="00F579EA"/>
    <w:rsid w:val="00F6079D"/>
    <w:rsid w:val="00F62306"/>
    <w:rsid w:val="00F66295"/>
    <w:rsid w:val="00F703BD"/>
    <w:rsid w:val="00F72F27"/>
    <w:rsid w:val="00F80EEB"/>
    <w:rsid w:val="00F84AF1"/>
    <w:rsid w:val="00F901FE"/>
    <w:rsid w:val="00F94281"/>
    <w:rsid w:val="00F9799C"/>
    <w:rsid w:val="00FA00CA"/>
    <w:rsid w:val="00FA0B2F"/>
    <w:rsid w:val="00FA169C"/>
    <w:rsid w:val="00FA3F6A"/>
    <w:rsid w:val="00FA40C7"/>
    <w:rsid w:val="00FA6118"/>
    <w:rsid w:val="00FA7018"/>
    <w:rsid w:val="00FA7A64"/>
    <w:rsid w:val="00FB0A25"/>
    <w:rsid w:val="00FB1934"/>
    <w:rsid w:val="00FC1966"/>
    <w:rsid w:val="00FC2075"/>
    <w:rsid w:val="00FC5340"/>
    <w:rsid w:val="00FC575D"/>
    <w:rsid w:val="00FD12F2"/>
    <w:rsid w:val="00FD2AEC"/>
    <w:rsid w:val="00FD3A00"/>
    <w:rsid w:val="00FD471C"/>
    <w:rsid w:val="00FD6172"/>
    <w:rsid w:val="00FD724C"/>
    <w:rsid w:val="00FD7E0C"/>
    <w:rsid w:val="00FE2989"/>
    <w:rsid w:val="00FE4A2A"/>
    <w:rsid w:val="00FE5B7E"/>
    <w:rsid w:val="02F87FF9"/>
    <w:rsid w:val="06A02786"/>
    <w:rsid w:val="093870B3"/>
    <w:rsid w:val="0BA2C13A"/>
    <w:rsid w:val="0CD2213D"/>
    <w:rsid w:val="112466E9"/>
    <w:rsid w:val="11DAE20F"/>
    <w:rsid w:val="12397B32"/>
    <w:rsid w:val="12B2BB19"/>
    <w:rsid w:val="1369363F"/>
    <w:rsid w:val="13FF3E8D"/>
    <w:rsid w:val="1579A0F2"/>
    <w:rsid w:val="1ED12BB3"/>
    <w:rsid w:val="1FA700EC"/>
    <w:rsid w:val="20FD1110"/>
    <w:rsid w:val="23E61288"/>
    <w:rsid w:val="24816E0E"/>
    <w:rsid w:val="25EA5738"/>
    <w:rsid w:val="289CEC1F"/>
    <w:rsid w:val="29F9F842"/>
    <w:rsid w:val="2B60DD9B"/>
    <w:rsid w:val="2DFC8C5A"/>
    <w:rsid w:val="2EE6535E"/>
    <w:rsid w:val="2F483BE8"/>
    <w:rsid w:val="3020E8D8"/>
    <w:rsid w:val="3537BD53"/>
    <w:rsid w:val="37ADEAE1"/>
    <w:rsid w:val="3AF2D5FE"/>
    <w:rsid w:val="3E7B5649"/>
    <w:rsid w:val="409ABA99"/>
    <w:rsid w:val="479CD3A0"/>
    <w:rsid w:val="49D2605D"/>
    <w:rsid w:val="4B8505D3"/>
    <w:rsid w:val="4D8E42B1"/>
    <w:rsid w:val="4DBAA8BB"/>
    <w:rsid w:val="4F48FCEB"/>
    <w:rsid w:val="4FC1E1C8"/>
    <w:rsid w:val="4FCE19D9"/>
    <w:rsid w:val="511FABA6"/>
    <w:rsid w:val="53312F1E"/>
    <w:rsid w:val="560B4907"/>
    <w:rsid w:val="586A1F38"/>
    <w:rsid w:val="58E35F1F"/>
    <w:rsid w:val="59008290"/>
    <w:rsid w:val="59746F3F"/>
    <w:rsid w:val="59AAC5A5"/>
    <w:rsid w:val="5A4128FD"/>
    <w:rsid w:val="5D8F2F95"/>
    <w:rsid w:val="5F348018"/>
    <w:rsid w:val="5FD86A0F"/>
    <w:rsid w:val="63679E82"/>
    <w:rsid w:val="6501CFB9"/>
    <w:rsid w:val="6AEC58F6"/>
    <w:rsid w:val="6C31F791"/>
    <w:rsid w:val="6EAE4C3D"/>
    <w:rsid w:val="712F9917"/>
    <w:rsid w:val="7238BA2E"/>
    <w:rsid w:val="72EF4B7F"/>
    <w:rsid w:val="7399E99E"/>
    <w:rsid w:val="7674C142"/>
    <w:rsid w:val="774E06A5"/>
    <w:rsid w:val="783F92F6"/>
    <w:rsid w:val="7C749F06"/>
    <w:rsid w:val="7E49601B"/>
    <w:rsid w:val="7E547F6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B40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9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rsid w:val="00866A83"/>
    <w:pPr>
      <w:suppressAutoHyphens w:val="0"/>
      <w:autoSpaceDN/>
      <w:spacing w:before="60" w:after="60" w:line="240" w:lineRule="auto"/>
      <w:textAlignment w:val="auto"/>
    </w:pPr>
    <w:rPr>
      <w:rFonts w:ascii="Times New Roman" w:eastAsia="Times New Roman" w:hAnsi="Times New Roman" w:cs="Times New Roman"/>
      <w:kern w:val="0"/>
      <w:sz w:val="20"/>
      <w:szCs w:val="20"/>
      <w:lang w:eastAsia="nl-NL" w:bidi="ar-SA"/>
    </w:rPr>
  </w:style>
  <w:style w:type="character" w:customStyle="1" w:styleId="VoetnoottekstChar">
    <w:name w:val="Voetnoottekst Char"/>
    <w:basedOn w:val="Standaardalinea-lettertype"/>
    <w:link w:val="Voetnoottekst"/>
    <w:uiPriority w:val="99"/>
    <w:rsid w:val="00866A83"/>
    <w:rPr>
      <w:rFonts w:eastAsia="Times New Roman" w:cs="Times New Roman"/>
      <w:kern w:val="0"/>
      <w:sz w:val="20"/>
      <w:szCs w:val="20"/>
      <w:lang w:eastAsia="nl-NL" w:bidi="ar-SA"/>
    </w:rPr>
  </w:style>
  <w:style w:type="character" w:styleId="Voetnootmarkering">
    <w:name w:val="footnote reference"/>
    <w:basedOn w:val="Standaardalinea-lettertype"/>
    <w:uiPriority w:val="99"/>
    <w:rsid w:val="00866A83"/>
    <w:rPr>
      <w:rFonts w:cs="Times New Roman"/>
      <w:shd w:val="clear" w:color="auto" w:fill="auto"/>
      <w:vertAlign w:val="superscript"/>
    </w:rPr>
  </w:style>
  <w:style w:type="character" w:customStyle="1" w:styleId="LijstalineaChar">
    <w:name w:val="Lijstalinea Char"/>
    <w:basedOn w:val="Standaardalinea-lettertype"/>
    <w:link w:val="Lijstalinea"/>
    <w:uiPriority w:val="34"/>
    <w:qFormat/>
    <w:rsid w:val="00866A83"/>
    <w:rPr>
      <w:rFonts w:ascii="Verdana" w:hAnsi="Verdana" w:cs="Mangal"/>
      <w:sz w:val="18"/>
      <w:szCs w:val="16"/>
    </w:rPr>
  </w:style>
  <w:style w:type="character" w:styleId="Verwijzingopmerking">
    <w:name w:val="annotation reference"/>
    <w:basedOn w:val="Standaardalinea-lettertype"/>
    <w:uiPriority w:val="99"/>
    <w:semiHidden/>
    <w:unhideWhenUsed/>
    <w:rsid w:val="00EB3E8C"/>
    <w:rPr>
      <w:sz w:val="16"/>
      <w:szCs w:val="16"/>
    </w:rPr>
  </w:style>
  <w:style w:type="paragraph" w:styleId="Tekstopmerking">
    <w:name w:val="annotation text"/>
    <w:basedOn w:val="Standaard"/>
    <w:link w:val="TekstopmerkingChar"/>
    <w:uiPriority w:val="99"/>
    <w:unhideWhenUsed/>
    <w:rsid w:val="00EB3E8C"/>
    <w:pPr>
      <w:spacing w:line="240" w:lineRule="auto"/>
    </w:pPr>
    <w:rPr>
      <w:rFonts w:cs="Mangal"/>
      <w:sz w:val="20"/>
    </w:rPr>
  </w:style>
  <w:style w:type="character" w:customStyle="1" w:styleId="TekstopmerkingChar">
    <w:name w:val="Tekst opmerking Char"/>
    <w:basedOn w:val="Standaardalinea-lettertype"/>
    <w:link w:val="Tekstopmerking"/>
    <w:uiPriority w:val="99"/>
    <w:rsid w:val="00EB3E8C"/>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EB3E8C"/>
    <w:rPr>
      <w:b/>
      <w:bCs/>
    </w:rPr>
  </w:style>
  <w:style w:type="character" w:customStyle="1" w:styleId="OnderwerpvanopmerkingChar">
    <w:name w:val="Onderwerp van opmerking Char"/>
    <w:basedOn w:val="TekstopmerkingChar"/>
    <w:link w:val="Onderwerpvanopmerking"/>
    <w:uiPriority w:val="99"/>
    <w:semiHidden/>
    <w:rsid w:val="00EB3E8C"/>
    <w:rPr>
      <w:rFonts w:ascii="Verdana" w:hAnsi="Verdana" w:cs="Mangal"/>
      <w:b/>
      <w:bCs/>
      <w:sz w:val="20"/>
      <w:szCs w:val="18"/>
    </w:rPr>
  </w:style>
  <w:style w:type="paragraph" w:styleId="Revisie">
    <w:name w:val="Revision"/>
    <w:hidden/>
    <w:uiPriority w:val="99"/>
    <w:semiHidden/>
    <w:rsid w:val="003E3C8C"/>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371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85446796">
      <w:bodyDiv w:val="1"/>
      <w:marLeft w:val="0"/>
      <w:marRight w:val="0"/>
      <w:marTop w:val="0"/>
      <w:marBottom w:val="0"/>
      <w:divBdr>
        <w:top w:val="none" w:sz="0" w:space="0" w:color="auto"/>
        <w:left w:val="none" w:sz="0" w:space="0" w:color="auto"/>
        <w:bottom w:val="none" w:sz="0" w:space="0" w:color="auto"/>
        <w:right w:val="none" w:sz="0" w:space="0" w:color="auto"/>
      </w:divBdr>
    </w:div>
    <w:div w:id="1009454984">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17767914">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microsoft.com/office/2016/09/relationships/commentsIds" Target="commentsIds.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microsoft.com/office/2018/08/relationships/commentsExtensible" Target="commentsExtensible.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E68DABBED84F31BAB8ED822AF20A57"/>
        <w:category>
          <w:name w:val="Algemeen"/>
          <w:gallery w:val="placeholder"/>
        </w:category>
        <w:types>
          <w:type w:val="bbPlcHdr"/>
        </w:types>
        <w:behaviors>
          <w:behavior w:val="content"/>
        </w:behaviors>
        <w:guid w:val="{9232F889-382A-4640-945D-E308704444E2}"/>
      </w:docPartPr>
      <w:docPartBody>
        <w:p w:rsidR="00DF3E87" w:rsidRDefault="00DF3E87">
          <w:pPr>
            <w:pStyle w:val="57E68DABBED84F31BAB8ED822AF20A57"/>
          </w:pPr>
          <w:r w:rsidRPr="00C51487">
            <w:rPr>
              <w:rStyle w:val="Tekstvantijdelijkeaanduiding"/>
            </w:rPr>
            <w:t>Klik of tik om tekst in te voeren.</w:t>
          </w:r>
        </w:p>
      </w:docPartBody>
    </w:docPart>
    <w:docPart>
      <w:docPartPr>
        <w:name w:val="5DA9B968501E4C70BD1AF4262F6FB983"/>
        <w:category>
          <w:name w:val="General"/>
          <w:gallery w:val="placeholder"/>
        </w:category>
        <w:types>
          <w:type w:val="bbPlcHdr"/>
        </w:types>
        <w:behaviors>
          <w:behavior w:val="content"/>
        </w:behaviors>
        <w:guid w:val="{194F3271-29E4-4D01-A93A-8719E2E8AB3C}"/>
      </w:docPartPr>
      <w:docPartBody>
        <w:p w:rsidR="00507021" w:rsidRDefault="00DF3E87">
          <w:pPr>
            <w:pStyle w:val="5DA9B968501E4C70BD1AF4262F6FB983"/>
          </w:pPr>
          <w:r w:rsidRPr="0059366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87"/>
    <w:rsid w:val="000838FA"/>
    <w:rsid w:val="000D01D1"/>
    <w:rsid w:val="000D56CB"/>
    <w:rsid w:val="0011412B"/>
    <w:rsid w:val="001D2888"/>
    <w:rsid w:val="002356D1"/>
    <w:rsid w:val="00271D6D"/>
    <w:rsid w:val="002E279D"/>
    <w:rsid w:val="0033485F"/>
    <w:rsid w:val="00507021"/>
    <w:rsid w:val="0051240D"/>
    <w:rsid w:val="00516AE9"/>
    <w:rsid w:val="005760E7"/>
    <w:rsid w:val="00576683"/>
    <w:rsid w:val="00591F85"/>
    <w:rsid w:val="005C3F31"/>
    <w:rsid w:val="005E0DC8"/>
    <w:rsid w:val="00671938"/>
    <w:rsid w:val="00673D84"/>
    <w:rsid w:val="0067456F"/>
    <w:rsid w:val="0069297A"/>
    <w:rsid w:val="006D1852"/>
    <w:rsid w:val="006E0521"/>
    <w:rsid w:val="006E2C0A"/>
    <w:rsid w:val="00716743"/>
    <w:rsid w:val="00716C9C"/>
    <w:rsid w:val="00717ACF"/>
    <w:rsid w:val="00721351"/>
    <w:rsid w:val="0074489E"/>
    <w:rsid w:val="0076784E"/>
    <w:rsid w:val="00773A4E"/>
    <w:rsid w:val="007A7AEC"/>
    <w:rsid w:val="00812AB0"/>
    <w:rsid w:val="008130A3"/>
    <w:rsid w:val="00814EEF"/>
    <w:rsid w:val="00834B2F"/>
    <w:rsid w:val="0086534A"/>
    <w:rsid w:val="00877182"/>
    <w:rsid w:val="00897BC4"/>
    <w:rsid w:val="008C31BB"/>
    <w:rsid w:val="008C6794"/>
    <w:rsid w:val="00927BDE"/>
    <w:rsid w:val="00936C1C"/>
    <w:rsid w:val="0095607F"/>
    <w:rsid w:val="009B1443"/>
    <w:rsid w:val="009B3B42"/>
    <w:rsid w:val="00A53023"/>
    <w:rsid w:val="00AA0B3E"/>
    <w:rsid w:val="00B16A11"/>
    <w:rsid w:val="00BD6C4F"/>
    <w:rsid w:val="00BF4EC6"/>
    <w:rsid w:val="00C02FAD"/>
    <w:rsid w:val="00C0409C"/>
    <w:rsid w:val="00C15496"/>
    <w:rsid w:val="00C35C56"/>
    <w:rsid w:val="00D05042"/>
    <w:rsid w:val="00D23C09"/>
    <w:rsid w:val="00D53A36"/>
    <w:rsid w:val="00DC33DF"/>
    <w:rsid w:val="00DC6541"/>
    <w:rsid w:val="00DD7A3A"/>
    <w:rsid w:val="00DE3E83"/>
    <w:rsid w:val="00DF2FA8"/>
    <w:rsid w:val="00DF3E87"/>
    <w:rsid w:val="00E67835"/>
    <w:rsid w:val="00F05776"/>
    <w:rsid w:val="00F568CC"/>
    <w:rsid w:val="00FA67E5"/>
    <w:rsid w:val="00FA7A64"/>
    <w:rsid w:val="00FB0A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57E68DABBED84F31BAB8ED822AF20A57">
    <w:name w:val="57E68DABBED84F31BAB8ED822AF20A57"/>
  </w:style>
  <w:style w:type="paragraph" w:customStyle="1" w:styleId="5DA9B968501E4C70BD1AF4262F6FB983">
    <w:name w:val="5DA9B968501E4C70BD1AF4262F6FB9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2020</ap:Words>
  <ap:Characters>11116</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2026-07-02T11:34:00.0000000Z</dcterms:created>
  <dcterms:modified xsi:type="dcterms:W3CDTF">2026-07-02T11:35:00.0000000Z</dcterms:modified>
  <dc:description>------------------------</dc:description>
  <version/>
  <category/>
</coreProperties>
</file>