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DB4" w:rsidRDefault="569065DF" w14:paraId="5296AAF4" w14:textId="77777777">
      <w:r>
        <w:t>Geachte voorzitter,</w:t>
      </w:r>
    </w:p>
    <w:p w:rsidR="001A170B" w:rsidRDefault="001A170B" w14:paraId="617D1F65" w14:textId="77777777"/>
    <w:p w:rsidR="00341D7F" w:rsidRDefault="569065DF" w14:paraId="5B27C9C5" w14:textId="766B312F">
      <w:r>
        <w:t xml:space="preserve">Hierbij bied ik u, mede namens de minister van Buitenlandse Zaken, het verslag aan van de jaarlijkse Ukraine Recovery Conference (URC) van 25 en 26 juni jl. </w:t>
      </w:r>
      <w:r w:rsidR="00EA5323">
        <w:t xml:space="preserve">in </w:t>
      </w:r>
      <w:proofErr w:type="spellStart"/>
      <w:r w:rsidR="00EA5323">
        <w:t>Gdańsk</w:t>
      </w:r>
      <w:proofErr w:type="spellEnd"/>
      <w:r w:rsidR="00EA5323">
        <w:t>, Polen. Ook</w:t>
      </w:r>
      <w:r>
        <w:t xml:space="preserve"> is in deze brief een overzicht opgenomen van de Nederlandse steun aan Oekraïne</w:t>
      </w:r>
      <w:r w:rsidR="00EA5323">
        <w:t>,</w:t>
      </w:r>
      <w:r>
        <w:t xml:space="preserve"> zoals door uw Kamer is verzocht tijdens het Commi</w:t>
      </w:r>
      <w:r w:rsidR="00EA5323">
        <w:t>s</w:t>
      </w:r>
      <w:r>
        <w:t>siedebat Oekraïne op 3 juni jl.</w:t>
      </w:r>
    </w:p>
    <w:p w:rsidR="007B3EA1" w:rsidRDefault="007B3EA1" w14:paraId="4178E6C6" w14:textId="77777777"/>
    <w:p w:rsidRPr="0075359A" w:rsidR="003276D1" w:rsidP="569065DF" w:rsidRDefault="009C6E87" w14:paraId="1B42E63F" w14:textId="5E61926B">
      <w:pPr>
        <w:rPr>
          <w:b/>
          <w:bCs/>
        </w:rPr>
      </w:pPr>
      <w:r>
        <w:t>Al ruim vier jaar voert Rusland een agressie</w:t>
      </w:r>
      <w:r w:rsidRPr="00663BDA" w:rsidR="00663BDA">
        <w:t xml:space="preserve">oorlog </w:t>
      </w:r>
      <w:r>
        <w:t xml:space="preserve">tegen Oekraïne, waarbij </w:t>
      </w:r>
      <w:r w:rsidRPr="00663BDA" w:rsidR="00663BDA">
        <w:t xml:space="preserve">Russische aanvallen op </w:t>
      </w:r>
      <w:r>
        <w:t>onder meer woongebouwen,</w:t>
      </w:r>
      <w:r w:rsidRPr="00663BDA" w:rsidR="00663BDA">
        <w:t xml:space="preserve"> energie-infrastructuur, watervoorziening</w:t>
      </w:r>
      <w:r>
        <w:t>en</w:t>
      </w:r>
      <w:r w:rsidR="003276D1">
        <w:t xml:space="preserve"> en</w:t>
      </w:r>
      <w:r>
        <w:t xml:space="preserve"> scholen aanhouden</w:t>
      </w:r>
      <w:r w:rsidRPr="00663BDA" w:rsidR="00663BDA">
        <w:t>.</w:t>
      </w:r>
      <w:r>
        <w:t xml:space="preserve"> Niet alleen de economie wordt door Rusland op de proef gesteld</w:t>
      </w:r>
      <w:r w:rsidR="00BF15FE">
        <w:t>,</w:t>
      </w:r>
      <w:r>
        <w:t xml:space="preserve"> maar ook de moraal van de Oekraïners. M</w:t>
      </w:r>
      <w:r w:rsidRPr="00663BDA" w:rsidR="00663BDA">
        <w:t xml:space="preserve">ilitaire steun </w:t>
      </w:r>
      <w:r>
        <w:t xml:space="preserve">stelt </w:t>
      </w:r>
      <w:r w:rsidRPr="00663BDA" w:rsidR="00663BDA">
        <w:t xml:space="preserve">Oekraïne </w:t>
      </w:r>
      <w:r w:rsidRPr="00AD19D8" w:rsidR="00AD19D8">
        <w:t xml:space="preserve">in staat </w:t>
      </w:r>
      <w:r w:rsidRPr="00663BDA" w:rsidR="00663BDA">
        <w:t xml:space="preserve">zich aan de frontlinie </w:t>
      </w:r>
      <w:r w:rsidRPr="00AD19D8" w:rsidR="00AD19D8">
        <w:t>te verdedigen</w:t>
      </w:r>
      <w:r w:rsidRPr="00663BDA" w:rsidR="00663BDA">
        <w:t>,</w:t>
      </w:r>
      <w:r>
        <w:t xml:space="preserve"> de</w:t>
      </w:r>
      <w:r w:rsidRPr="00663BDA" w:rsidR="00663BDA">
        <w:t xml:space="preserve"> niet</w:t>
      </w:r>
      <w:r w:rsidRPr="00AD19D8" w:rsidR="00AD19D8">
        <w:noBreakHyphen/>
      </w:r>
      <w:r w:rsidRPr="00663BDA" w:rsidR="00663BDA">
        <w:t xml:space="preserve">militaire steun </w:t>
      </w:r>
      <w:r>
        <w:t xml:space="preserve">houdt het front achter het front in stand. Dit is </w:t>
      </w:r>
      <w:r w:rsidRPr="00AD19D8" w:rsidR="00AD19D8">
        <w:t>cruciaal om</w:t>
      </w:r>
      <w:r>
        <w:t xml:space="preserve"> Oekraïne</w:t>
      </w:r>
      <w:r w:rsidRPr="00663BDA" w:rsidR="00663BDA">
        <w:t xml:space="preserve"> economisch en maatschappelijk </w:t>
      </w:r>
      <w:r>
        <w:t>overeind te houden</w:t>
      </w:r>
      <w:r w:rsidRPr="00663BDA" w:rsidR="00663BDA">
        <w:t xml:space="preserve">. </w:t>
      </w:r>
    </w:p>
    <w:p w:rsidR="003276D1" w:rsidRDefault="003276D1" w14:paraId="44D43349" w14:textId="1DCA9890"/>
    <w:p w:rsidRPr="003276D1" w:rsidR="00EB502C" w:rsidRDefault="569065DF" w14:paraId="2EEF12A3" w14:textId="188BB252">
      <w:r>
        <w:t xml:space="preserve">Door de voortdurende oorlog nemen de kosten van wederopbouw en herstel verder toe: in de </w:t>
      </w:r>
      <w:r w:rsidR="00BF15FE">
        <w:t>vijfde</w:t>
      </w:r>
      <w:r>
        <w:t xml:space="preserve"> </w:t>
      </w:r>
      <w:r w:rsidRPr="569065DF">
        <w:rPr>
          <w:i/>
          <w:iCs/>
        </w:rPr>
        <w:t xml:space="preserve">Rapid </w:t>
      </w:r>
      <w:proofErr w:type="spellStart"/>
      <w:r w:rsidRPr="569065DF">
        <w:rPr>
          <w:i/>
          <w:iCs/>
        </w:rPr>
        <w:t>Damage</w:t>
      </w:r>
      <w:proofErr w:type="spellEnd"/>
      <w:r w:rsidRPr="569065DF">
        <w:rPr>
          <w:i/>
          <w:iCs/>
        </w:rPr>
        <w:t xml:space="preserve"> </w:t>
      </w:r>
      <w:proofErr w:type="spellStart"/>
      <w:r w:rsidRPr="569065DF">
        <w:rPr>
          <w:i/>
          <w:iCs/>
        </w:rPr>
        <w:t>and</w:t>
      </w:r>
      <w:proofErr w:type="spellEnd"/>
      <w:r w:rsidRPr="569065DF">
        <w:rPr>
          <w:i/>
          <w:iCs/>
        </w:rPr>
        <w:t xml:space="preserve"> </w:t>
      </w:r>
      <w:proofErr w:type="spellStart"/>
      <w:r w:rsidRPr="569065DF">
        <w:rPr>
          <w:i/>
          <w:iCs/>
        </w:rPr>
        <w:t>Needs</w:t>
      </w:r>
      <w:proofErr w:type="spellEnd"/>
      <w:r w:rsidRPr="569065DF">
        <w:rPr>
          <w:i/>
          <w:iCs/>
        </w:rPr>
        <w:t xml:space="preserve"> Assessment</w:t>
      </w:r>
      <w:r>
        <w:t xml:space="preserve"> (RDNA 5) van de Wereldbank, VN en de Europese Commissie worden de totale wederopbouwkosten voor de komende tien jaar ingeschat op USD 588 miljard. Daarnaast hebben de Oekraïense burgers zich dit jaar door een zeer zware winter moeten slaan, waarin Rusland de energie-infrastructuur veelvuldig bombardeerde en men soms tot in wel temperaturen van -32 graden Celsius zonder verwarming zat. Dit jaar zijn de energienoden enorm gestegen door de Russische verwoestingen van de energie-infrastructuur, alleen al voor dit jaar is EUR 5 miljard nodig. </w:t>
      </w:r>
    </w:p>
    <w:p w:rsidR="00B1547D" w:rsidP="00B1547D" w:rsidRDefault="00B1547D" w14:paraId="1CF9A854" w14:textId="77777777">
      <w:pPr>
        <w:rPr>
          <w:b/>
          <w:bCs/>
        </w:rPr>
      </w:pPr>
    </w:p>
    <w:p w:rsidRPr="00B1547D" w:rsidR="00427CBD" w:rsidP="569065DF" w:rsidRDefault="00BF15FE" w14:paraId="2ED2D49B" w14:textId="13BA9837">
      <w:pPr>
        <w:rPr>
          <w:b/>
          <w:bCs/>
        </w:rPr>
      </w:pPr>
      <w:r>
        <w:rPr>
          <w:b/>
          <w:bCs/>
        </w:rPr>
        <w:t xml:space="preserve">Deelname aan de </w:t>
      </w:r>
      <w:r w:rsidRPr="569065DF" w:rsidR="569065DF">
        <w:rPr>
          <w:b/>
          <w:bCs/>
        </w:rPr>
        <w:t>Ukraine Recovery Conference</w:t>
      </w:r>
    </w:p>
    <w:p w:rsidR="00D56CBE" w:rsidP="00577F54" w:rsidRDefault="00D56CBE" w14:paraId="6C72EE9F" w14:textId="1911DAF6">
      <w:r>
        <w:t xml:space="preserve">In het licht van bovenstaande en de inzet van het kabinet voor </w:t>
      </w:r>
      <w:r w:rsidRPr="007B3EA1">
        <w:t>onverminderd</w:t>
      </w:r>
      <w:r>
        <w:t xml:space="preserve">e steun aan Oekraïne, heb ik deelgenomen aan de URC in </w:t>
      </w:r>
      <w:proofErr w:type="spellStart"/>
      <w:r w:rsidRPr="00341D7F">
        <w:t>Gdańsk</w:t>
      </w:r>
      <w:proofErr w:type="spellEnd"/>
      <w:r w:rsidRPr="00341D7F">
        <w:t>.</w:t>
      </w:r>
      <w:r>
        <w:t xml:space="preserve"> </w:t>
      </w:r>
      <w:r w:rsidRPr="001A170B">
        <w:t xml:space="preserve">De URC heeft </w:t>
      </w:r>
      <w:r>
        <w:t>als</w:t>
      </w:r>
      <w:r w:rsidRPr="25F56975">
        <w:t xml:space="preserve"> </w:t>
      </w:r>
      <w:r w:rsidRPr="001A170B">
        <w:t xml:space="preserve">doel </w:t>
      </w:r>
      <w:r>
        <w:t xml:space="preserve">om </w:t>
      </w:r>
      <w:r w:rsidRPr="001A170B">
        <w:t>internationale steun voor herstel en wederopbouw van Oekraïne te mobiliseren.</w:t>
      </w:r>
      <w:r>
        <w:t xml:space="preserve"> </w:t>
      </w:r>
      <w:r w:rsidRPr="003276D1">
        <w:t>Deze URC is het vervolg op voorgaande conferenties in Lugano (2022), Londen (2023)</w:t>
      </w:r>
      <w:r>
        <w:t xml:space="preserve">, </w:t>
      </w:r>
      <w:r w:rsidRPr="003276D1">
        <w:t>Berlijn (2024)</w:t>
      </w:r>
      <w:r>
        <w:t xml:space="preserve"> en Rome (2025)</w:t>
      </w:r>
      <w:r w:rsidRPr="003276D1">
        <w:t>.</w:t>
      </w:r>
    </w:p>
    <w:p w:rsidR="00FE4C92" w:rsidP="00577F54" w:rsidRDefault="00FE4C92" w14:paraId="5EF1372F" w14:textId="77777777"/>
    <w:p w:rsidR="00577F54" w:rsidP="00577F54" w:rsidRDefault="569065DF" w14:paraId="1C51417F" w14:textId="32C5E1C4">
      <w:r>
        <w:t xml:space="preserve">De conferentie in Gdansk werd geopend door de premier van Polen Donald </w:t>
      </w:r>
      <w:proofErr w:type="spellStart"/>
      <w:r>
        <w:t>Tusk</w:t>
      </w:r>
      <w:proofErr w:type="spellEnd"/>
      <w:r>
        <w:t xml:space="preserve">, de premier van Oekraïne </w:t>
      </w:r>
      <w:proofErr w:type="spellStart"/>
      <w:r>
        <w:t>Yuliia</w:t>
      </w:r>
      <w:proofErr w:type="spellEnd"/>
      <w:r>
        <w:t xml:space="preserve"> </w:t>
      </w:r>
      <w:proofErr w:type="spellStart"/>
      <w:r>
        <w:t>Svyrydenko</w:t>
      </w:r>
      <w:proofErr w:type="spellEnd"/>
      <w:r>
        <w:t xml:space="preserve">, en de voorzitter van de Europese </w:t>
      </w:r>
      <w:r>
        <w:lastRenderedPageBreak/>
        <w:t xml:space="preserve">Commissie Ursula </w:t>
      </w:r>
      <w:proofErr w:type="spellStart"/>
      <w:r>
        <w:t>von</w:t>
      </w:r>
      <w:proofErr w:type="spellEnd"/>
      <w:r>
        <w:t xml:space="preserve"> der Leyen, waarin zij de noodzaak en urgentie benadrukten voor niet-militaire steun aan Oekraïne. Diverse staatshoofden, regeringsleiders en ministers uit partnerlanden spraken hun blijvende steun uit voor Oekraïne evenals internationale financiële instellingen, het bedrijfsleven, het maatschappelijk middenveld en andere belanghebbenden. </w:t>
      </w:r>
    </w:p>
    <w:p w:rsidR="00577F54" w:rsidP="00577F54" w:rsidRDefault="00577F54" w14:paraId="653319D0" w14:textId="77777777"/>
    <w:p w:rsidR="00987EC3" w:rsidP="00987EC3" w:rsidRDefault="569065DF" w14:paraId="09CAB718" w14:textId="06A75D36">
      <w:r>
        <w:t>Het belang van veiligheid en weerbaarheid in de herstel- en wederopbouwagenda van Oekraïne stond deze conferentie centraal</w:t>
      </w:r>
      <w:r w:rsidR="00FE4C92">
        <w:t>. D</w:t>
      </w:r>
      <w:r>
        <w:t xml:space="preserve">e nadruk lag op het vergroten van de rol van het bedrijfsleven, het stimuleren van private investeringen en het versterken van het energiesysteem. Daarnaast zijn ook het </w:t>
      </w:r>
      <w:r w:rsidR="00FE4C92">
        <w:t>versterken</w:t>
      </w:r>
      <w:r>
        <w:t xml:space="preserve"> van de (lokale) overheid, </w:t>
      </w:r>
      <w:r w:rsidR="00FE4C92">
        <w:t xml:space="preserve">ondersteunen van </w:t>
      </w:r>
      <w:r>
        <w:t>hervormingen, EU-toetreding, corruptiebestrijding, uitdagingen op de arbeidsmarkt en sociale vraagstukken zoals re-integratie van veteranen, ontheemden en (vrijwillige) terugkeer van Oekraïners aan bod gekomen.</w:t>
      </w:r>
    </w:p>
    <w:p w:rsidR="00577F54" w:rsidP="00987EC3" w:rsidRDefault="00577F54" w14:paraId="4335F818" w14:textId="77777777"/>
    <w:p w:rsidR="001B452F" w:rsidP="001B452F" w:rsidRDefault="569065DF" w14:paraId="5A9DF232" w14:textId="7AE9F028">
      <w:r>
        <w:t>Tijdens de conferentie heb ik de onverminderde Nederlandse steun aan Oekraïne herbevestigd. Zonder financiële en economische steun kan Oekraïne de strijd niet volhouden. Het is cruciaal dat de economie en maatschappij overeind blijven om het moraal op peil te houden. Rusland zet de kou en winter in als wapen</w:t>
      </w:r>
      <w:r w:rsidR="00FE4C92">
        <w:t>.</w:t>
      </w:r>
      <w:r>
        <w:t xml:space="preserve"> </w:t>
      </w:r>
      <w:r w:rsidR="00FE4C92">
        <w:t>H</w:t>
      </w:r>
      <w:r>
        <w:t xml:space="preserve">erstel van de energie infrastructuur is daarom een essentieel onderdeel van de Oekraïense weerbaarheid en veiligheid. Naast steun is het van belang de druk op Rusland te blijven vergroten om </w:t>
      </w:r>
      <w:r w:rsidR="00FE4C92">
        <w:t>Rusland naar de onderhandelingstafel te bewegen</w:t>
      </w:r>
      <w:r>
        <w:t xml:space="preserve">. </w:t>
      </w:r>
    </w:p>
    <w:p w:rsidR="00C23974" w:rsidRDefault="00C23974" w14:paraId="592B993F" w14:textId="77777777"/>
    <w:p w:rsidR="00A253CD" w:rsidP="00A253CD" w:rsidRDefault="00A253CD" w14:paraId="1C32C6A7" w14:textId="22EB769F">
      <w:r w:rsidRPr="00C23974">
        <w:t xml:space="preserve">Het belang van de wederopbouwagenda, alsook de voortzetting van internationale steun vanuit alle partners, kwam ook aan bod in </w:t>
      </w:r>
      <w:r w:rsidR="00FE4C92">
        <w:t>mijn</w:t>
      </w:r>
      <w:r w:rsidRPr="00C23974">
        <w:t xml:space="preserve"> gesprekken met</w:t>
      </w:r>
      <w:r>
        <w:t xml:space="preserve"> Oekraïense </w:t>
      </w:r>
      <w:r w:rsidR="00FE4C92">
        <w:t>kabinetsleden</w:t>
      </w:r>
      <w:r>
        <w:t xml:space="preserve"> eerste vicepremier </w:t>
      </w:r>
      <w:proofErr w:type="spellStart"/>
      <w:r>
        <w:t>Denys</w:t>
      </w:r>
      <w:proofErr w:type="spellEnd"/>
      <w:r>
        <w:t xml:space="preserve"> </w:t>
      </w:r>
      <w:proofErr w:type="spellStart"/>
      <w:r>
        <w:t>Shmyhal</w:t>
      </w:r>
      <w:proofErr w:type="spellEnd"/>
      <w:r>
        <w:t xml:space="preserve">, minister van Economie </w:t>
      </w:r>
      <w:proofErr w:type="spellStart"/>
      <w:r>
        <w:t>Oleksii</w:t>
      </w:r>
      <w:proofErr w:type="spellEnd"/>
      <w:r>
        <w:t xml:space="preserve"> </w:t>
      </w:r>
      <w:proofErr w:type="spellStart"/>
      <w:r>
        <w:t>Sobolev</w:t>
      </w:r>
      <w:proofErr w:type="spellEnd"/>
      <w:r w:rsidR="00FE4C92">
        <w:t xml:space="preserve">, vicepremier voor Wederopbouw, </w:t>
      </w:r>
      <w:proofErr w:type="spellStart"/>
      <w:r w:rsidR="00FE4C92">
        <w:t>Oleksii</w:t>
      </w:r>
      <w:proofErr w:type="spellEnd"/>
      <w:r w:rsidR="00FE4C92">
        <w:t xml:space="preserve"> </w:t>
      </w:r>
      <w:proofErr w:type="spellStart"/>
      <w:r w:rsidR="00FE4C92">
        <w:t>Kuleba</w:t>
      </w:r>
      <w:proofErr w:type="spellEnd"/>
      <w:r>
        <w:t xml:space="preserve"> en </w:t>
      </w:r>
      <w:r w:rsidR="00FE4C92">
        <w:t>vicepremier voor</w:t>
      </w:r>
      <w:r>
        <w:t xml:space="preserve"> Europese integratie en Handel</w:t>
      </w:r>
      <w:r w:rsidR="00FE4C92">
        <w:t>,</w:t>
      </w:r>
      <w:r>
        <w:t xml:space="preserve"> </w:t>
      </w:r>
      <w:proofErr w:type="spellStart"/>
      <w:r>
        <w:t>Taras</w:t>
      </w:r>
      <w:proofErr w:type="spellEnd"/>
      <w:r>
        <w:t xml:space="preserve"> </w:t>
      </w:r>
      <w:proofErr w:type="spellStart"/>
      <w:r>
        <w:t>Kachka</w:t>
      </w:r>
      <w:proofErr w:type="spellEnd"/>
      <w:r w:rsidR="00FE4C92">
        <w:t>,</w:t>
      </w:r>
      <w:r>
        <w:t xml:space="preserve"> evenals met de President van de Wereldbank </w:t>
      </w:r>
      <w:proofErr w:type="spellStart"/>
      <w:r>
        <w:t>Ajay</w:t>
      </w:r>
      <w:proofErr w:type="spellEnd"/>
      <w:r>
        <w:t xml:space="preserve"> Banga en de President van de Europese Bank voor Wederopbouw en Ontwikkeling (EBRD) </w:t>
      </w:r>
      <w:proofErr w:type="spellStart"/>
      <w:r>
        <w:t>Odile</w:t>
      </w:r>
      <w:proofErr w:type="spellEnd"/>
      <w:r>
        <w:t xml:space="preserve"> </w:t>
      </w:r>
      <w:proofErr w:type="spellStart"/>
      <w:r>
        <w:t>Renaud</w:t>
      </w:r>
      <w:proofErr w:type="spellEnd"/>
      <w:r>
        <w:t xml:space="preserve">-Basso. </w:t>
      </w:r>
    </w:p>
    <w:p w:rsidR="00A253CD" w:rsidP="00A253CD" w:rsidRDefault="00A253CD" w14:paraId="62FBA658" w14:textId="77777777"/>
    <w:p w:rsidRPr="000E2D46" w:rsidR="000E2D46" w:rsidP="00803E6F" w:rsidRDefault="000E2D46" w14:paraId="35110154" w14:textId="557C7EBF">
      <w:pPr>
        <w:rPr>
          <w:i/>
          <w:iCs/>
        </w:rPr>
      </w:pPr>
      <w:r w:rsidRPr="000E2D46">
        <w:rPr>
          <w:i/>
          <w:iCs/>
        </w:rPr>
        <w:t>Energiesteun</w:t>
      </w:r>
    </w:p>
    <w:p w:rsidR="00C23974" w:rsidP="00803E6F" w:rsidRDefault="009A29E4" w14:paraId="6CCF4C3F" w14:textId="2ACDC0E9">
      <w:r>
        <w:t xml:space="preserve">De voorbereiding op de komende winter was een centraal thema tijdens de URC en </w:t>
      </w:r>
      <w:r w:rsidR="00A253CD">
        <w:t xml:space="preserve">ik </w:t>
      </w:r>
      <w:r>
        <w:t xml:space="preserve">heb samen met de Oekraïense vicepremier en minister van Energie </w:t>
      </w:r>
      <w:proofErr w:type="spellStart"/>
      <w:r>
        <w:t>Denys</w:t>
      </w:r>
      <w:proofErr w:type="spellEnd"/>
      <w:r>
        <w:t xml:space="preserve"> </w:t>
      </w:r>
      <w:proofErr w:type="spellStart"/>
      <w:r>
        <w:t>S</w:t>
      </w:r>
      <w:r w:rsidR="000E2D46">
        <w:t>h</w:t>
      </w:r>
      <w:r>
        <w:t>myhal</w:t>
      </w:r>
      <w:proofErr w:type="spellEnd"/>
      <w:r>
        <w:t xml:space="preserve"> de </w:t>
      </w:r>
      <w:r w:rsidRPr="569065DF">
        <w:rPr>
          <w:i/>
          <w:iCs/>
        </w:rPr>
        <w:t>Energy Road Map</w:t>
      </w:r>
      <w:r w:rsidRPr="00BA7E2D">
        <w:t xml:space="preserve"> ondertekend</w:t>
      </w:r>
      <w:r>
        <w:t xml:space="preserve">. Dit is een bilaterale samenwerking met </w:t>
      </w:r>
      <w:r w:rsidR="00BA7E2D">
        <w:t xml:space="preserve">Oekraïne </w:t>
      </w:r>
      <w:r w:rsidRPr="00BA7E2D" w:rsidR="00BA7E2D">
        <w:t>om de N</w:t>
      </w:r>
      <w:r w:rsidR="00BA7E2D">
        <w:t xml:space="preserve">ederlandse </w:t>
      </w:r>
      <w:r w:rsidRPr="00BA7E2D" w:rsidR="00BA7E2D">
        <w:t>energiesteun effectief en doelgericht uit te voeren</w:t>
      </w:r>
      <w:r w:rsidR="00BA7E2D">
        <w:t xml:space="preserve"> en </w:t>
      </w:r>
      <w:r w:rsidR="00803E6F">
        <w:t xml:space="preserve">het energienetwerk </w:t>
      </w:r>
      <w:r>
        <w:t>weerbaard</w:t>
      </w:r>
      <w:r w:rsidR="008F1286">
        <w:t>er</w:t>
      </w:r>
      <w:r>
        <w:t xml:space="preserve"> te maken voor komende winter.</w:t>
      </w:r>
      <w:r w:rsidR="00BA7E2D">
        <w:t xml:space="preserve"> </w:t>
      </w:r>
      <w:r w:rsidR="00803E6F">
        <w:t xml:space="preserve">Dit is van essentieel belang voor de continuïteit van de Oekraïense energievoorziening. Hiermee wordt ook uitvoering gegeven aan </w:t>
      </w:r>
      <w:r w:rsidR="00BA7E2D">
        <w:t>de motie</w:t>
      </w:r>
      <w:r w:rsidR="00803E6F">
        <w:t xml:space="preserve"> </w:t>
      </w:r>
      <w:r w:rsidR="00A93911">
        <w:t xml:space="preserve">van de leden </w:t>
      </w:r>
      <w:r w:rsidR="00803E6F">
        <w:t xml:space="preserve">Verkuijlen en </w:t>
      </w:r>
      <w:r w:rsidR="00BA7E2D">
        <w:t>Bamenga</w:t>
      </w:r>
      <w:r w:rsidR="00803E6F">
        <w:t>.</w:t>
      </w:r>
      <w:r w:rsidR="00803E6F">
        <w:rPr>
          <w:rStyle w:val="FootnoteReference"/>
        </w:rPr>
        <w:footnoteReference w:id="1"/>
      </w:r>
      <w:r w:rsidR="00803E6F">
        <w:t xml:space="preserve"> </w:t>
      </w:r>
      <w:r w:rsidR="000E2D46">
        <w:t>Voorafgaand aan</w:t>
      </w:r>
      <w:r>
        <w:t xml:space="preserve"> de URC vond ook een G7+ Energie Ministeriele plaats waar</w:t>
      </w:r>
      <w:r w:rsidR="000E2D46">
        <w:t>aan ik deelnam</w:t>
      </w:r>
      <w:r>
        <w:t xml:space="preserve">. Tijdens deze bijeenkomst heeft </w:t>
      </w:r>
      <w:r w:rsidR="00BA7E2D">
        <w:t>Oekraïne</w:t>
      </w:r>
      <w:r>
        <w:t xml:space="preserve"> de urgente energienoden gepresenteerd </w:t>
      </w:r>
      <w:r w:rsidR="00BA7E2D">
        <w:t>en partnerlanden hun blijvende energiesteun benadrukt.</w:t>
      </w:r>
    </w:p>
    <w:p w:rsidR="00584427" w:rsidRDefault="00584427" w14:paraId="6F812A52" w14:textId="77777777"/>
    <w:p w:rsidR="008A6A09" w:rsidP="008A6A09" w:rsidRDefault="569065DF" w14:paraId="078DC8A9" w14:textId="43D89A61">
      <w:bookmarkStart w:name="_Hlk232432218" w:id="0"/>
      <w:r w:rsidRPr="569065DF">
        <w:rPr>
          <w:i/>
          <w:iCs/>
        </w:rPr>
        <w:t xml:space="preserve">Samenwerking op het gebied van </w:t>
      </w:r>
      <w:r w:rsidR="00284FBD">
        <w:rPr>
          <w:i/>
          <w:iCs/>
        </w:rPr>
        <w:t>menselijk kapitaa</w:t>
      </w:r>
      <w:r w:rsidRPr="569065DF">
        <w:rPr>
          <w:i/>
          <w:iCs/>
        </w:rPr>
        <w:t>l</w:t>
      </w:r>
      <w:r>
        <w:t xml:space="preserve"> </w:t>
      </w:r>
    </w:p>
    <w:p w:rsidR="008A6A09" w:rsidP="008A6A09" w:rsidRDefault="569065DF" w14:paraId="6557BA42" w14:textId="77777777">
      <w:r>
        <w:t>Met de ondertekening van een intentieverklaring hebben Nederland en Oekraïne afgesproken de samenwerking op het gebied van human capital (menskracht) te intensiveren. Deze samenwerking draait om de ‘</w:t>
      </w:r>
      <w:proofErr w:type="spellStart"/>
      <w:r>
        <w:t>dual</w:t>
      </w:r>
      <w:proofErr w:type="spellEnd"/>
      <w:r>
        <w:t xml:space="preserve"> </w:t>
      </w:r>
      <w:proofErr w:type="spellStart"/>
      <w:r>
        <w:t>intent</w:t>
      </w:r>
      <w:proofErr w:type="spellEnd"/>
      <w:r>
        <w:t xml:space="preserve"> approach’: Oekraïense ontheemden kunnen deelnemen aan de Nederlandse arbeidsmarkt en tegelijk hun </w:t>
      </w:r>
      <w:r>
        <w:lastRenderedPageBreak/>
        <w:t>kennis en vaardigheden voor de wederopbouw van Oekraïne versterken. De focus ligt op (tekort)sectoren die belangrijk zijn voor zowel de arbeidsmarkt in Nederland als voor sectoren en beroepen die relevant zijn voor de wederopbouw van Oekraïne.</w:t>
      </w:r>
    </w:p>
    <w:p w:rsidRPr="00015FC3" w:rsidR="008A6A09" w:rsidP="008A6A09" w:rsidRDefault="008A6A09" w14:paraId="71915F06" w14:textId="77777777">
      <w:pPr>
        <w:rPr>
          <w:i/>
        </w:rPr>
      </w:pPr>
    </w:p>
    <w:p w:rsidR="008A6A09" w:rsidP="569065DF" w:rsidRDefault="569065DF" w14:paraId="70F75C58" w14:textId="77777777">
      <w:pPr>
        <w:rPr>
          <w:lang w:val="en-US"/>
        </w:rPr>
      </w:pPr>
      <w:proofErr w:type="spellStart"/>
      <w:r w:rsidRPr="569065DF">
        <w:rPr>
          <w:i/>
          <w:iCs/>
          <w:lang w:val="en-US"/>
        </w:rPr>
        <w:t>Nederlandse</w:t>
      </w:r>
      <w:proofErr w:type="spellEnd"/>
      <w:r w:rsidRPr="569065DF">
        <w:rPr>
          <w:i/>
          <w:iCs/>
          <w:lang w:val="en-US"/>
        </w:rPr>
        <w:t xml:space="preserve"> </w:t>
      </w:r>
      <w:proofErr w:type="spellStart"/>
      <w:r w:rsidRPr="569065DF">
        <w:rPr>
          <w:i/>
          <w:iCs/>
          <w:lang w:val="en-US"/>
        </w:rPr>
        <w:t>bijdrage</w:t>
      </w:r>
      <w:proofErr w:type="spellEnd"/>
      <w:r w:rsidRPr="569065DF">
        <w:rPr>
          <w:i/>
          <w:iCs/>
          <w:lang w:val="en-US"/>
        </w:rPr>
        <w:t xml:space="preserve"> </w:t>
      </w:r>
      <w:proofErr w:type="spellStart"/>
      <w:r w:rsidRPr="569065DF">
        <w:rPr>
          <w:i/>
          <w:iCs/>
          <w:lang w:val="en-US"/>
        </w:rPr>
        <w:t>aan</w:t>
      </w:r>
      <w:proofErr w:type="spellEnd"/>
      <w:r w:rsidRPr="569065DF">
        <w:rPr>
          <w:i/>
          <w:iCs/>
          <w:lang w:val="en-US"/>
        </w:rPr>
        <w:t xml:space="preserve"> Ukraine Relief, Recovery, Reconstruction and Reform Trust Fund</w:t>
      </w:r>
      <w:r w:rsidRPr="569065DF">
        <w:rPr>
          <w:lang w:val="en-US"/>
        </w:rPr>
        <w:t xml:space="preserve"> (</w:t>
      </w:r>
      <w:proofErr w:type="spellStart"/>
      <w:r w:rsidRPr="569065DF">
        <w:rPr>
          <w:lang w:val="en-US"/>
        </w:rPr>
        <w:t>hierna</w:t>
      </w:r>
      <w:proofErr w:type="spellEnd"/>
      <w:r w:rsidRPr="569065DF">
        <w:rPr>
          <w:lang w:val="en-US"/>
        </w:rPr>
        <w:t xml:space="preserve">: URTF). </w:t>
      </w:r>
    </w:p>
    <w:p w:rsidR="008A6A09" w:rsidP="008A6A09" w:rsidRDefault="008A6A09" w14:paraId="47288BCA" w14:textId="2989E974">
      <w:r w:rsidRPr="00E36210">
        <w:t>Samen m</w:t>
      </w:r>
      <w:r>
        <w:t xml:space="preserve">et de Managing Director Operations van de Wereldbank, Anna </w:t>
      </w:r>
      <w:proofErr w:type="spellStart"/>
      <w:r>
        <w:t>Bjerde</w:t>
      </w:r>
      <w:proofErr w:type="spellEnd"/>
      <w:r>
        <w:t>, heb ik een Memorandum of Understanding getekend over de invulling van de eerder gedane Nederlandse bijdrage van EUR 55 miljoen</w:t>
      </w:r>
      <w:r w:rsidR="000E2D46">
        <w:t xml:space="preserve"> voor 2026</w:t>
      </w:r>
      <w:r>
        <w:t>. Ik heb de Wereldbank bedankt voor haar voortdurende inzet, zowel op het gebied van de wederopbouw</w:t>
      </w:r>
      <w:r w:rsidR="00EA5323">
        <w:t>-</w:t>
      </w:r>
      <w:r>
        <w:t>inspanningen, als voor de schade- en wederopbouwanalyses en hervormingen in Oekraïne.</w:t>
      </w:r>
      <w:r>
        <w:rPr>
          <w:rStyle w:val="FootnoteReference"/>
        </w:rPr>
        <w:footnoteReference w:id="2"/>
      </w:r>
      <w:r w:rsidRPr="25F56975">
        <w:t xml:space="preserve"> </w:t>
      </w:r>
      <w:r w:rsidR="569065DF">
        <w:t xml:space="preserve">Het URTF is een door de Wereldbank beheerd </w:t>
      </w:r>
      <w:proofErr w:type="spellStart"/>
      <w:r w:rsidR="569065DF">
        <w:t>multi</w:t>
      </w:r>
      <w:proofErr w:type="spellEnd"/>
      <w:r w:rsidR="569065DF">
        <w:t xml:space="preserve">-donorfonds, dat een integrale bijdrage levert aan de wederopbouw- en hervormingsagenda van Oekraïne. Het URTF richt zich in het bijzonder op herstel van infrastructuur, het elektriciteitsnetwerk, huisvesting, gezondheidszorg, landbouw en onderwijs. Nederland heeft tot op heden </w:t>
      </w:r>
      <w:r w:rsidR="000E2D46">
        <w:t xml:space="preserve">in totaal </w:t>
      </w:r>
      <w:r w:rsidR="569065DF">
        <w:t xml:space="preserve">EUR </w:t>
      </w:r>
      <w:r w:rsidR="008F7222">
        <w:t xml:space="preserve">318 </w:t>
      </w:r>
      <w:r w:rsidR="569065DF">
        <w:t xml:space="preserve">miljoen bijgedragen aan het URTF. </w:t>
      </w:r>
    </w:p>
    <w:p w:rsidR="000E2D46" w:rsidP="008A6A09" w:rsidRDefault="000E2D46" w14:paraId="6AAFAF39" w14:textId="77777777"/>
    <w:p w:rsidRPr="000E2D46" w:rsidR="000E2D46" w:rsidP="000E2D46" w:rsidRDefault="000E2D46" w14:paraId="1DE9FC70" w14:textId="77777777">
      <w:pPr>
        <w:rPr>
          <w:i/>
          <w:iCs/>
        </w:rPr>
      </w:pPr>
      <w:r w:rsidRPr="000E2D46">
        <w:rPr>
          <w:i/>
          <w:iCs/>
        </w:rPr>
        <w:t xml:space="preserve">Ministeriele bijeenkomst Ukraine Donor Platform </w:t>
      </w:r>
    </w:p>
    <w:p w:rsidR="000E2D46" w:rsidP="000E2D46" w:rsidRDefault="000E2D46" w14:paraId="34862802" w14:textId="77777777">
      <w:r>
        <w:t xml:space="preserve">Daarnaast </w:t>
      </w:r>
      <w:r w:rsidRPr="00C23974">
        <w:t xml:space="preserve">nam ik deel aan het jaarlijkse ministeriële overleg van het Ukraine Donor Platform (UDP), het </w:t>
      </w:r>
      <w:r>
        <w:t xml:space="preserve">G7+ </w:t>
      </w:r>
      <w:r w:rsidRPr="00C23974">
        <w:t>coördinatieplatform voor de Oekraïense financiële en herstel</w:t>
      </w:r>
      <w:r>
        <w:t>-</w:t>
      </w:r>
      <w:r w:rsidRPr="25F56975">
        <w:t xml:space="preserve"> </w:t>
      </w:r>
      <w:r w:rsidRPr="00C23974">
        <w:t>en</w:t>
      </w:r>
      <w:r w:rsidRPr="25F56975">
        <w:t xml:space="preserve"> </w:t>
      </w:r>
      <w:r w:rsidRPr="00C23974">
        <w:t xml:space="preserve">wederopbouwnoden. </w:t>
      </w:r>
      <w:r>
        <w:t>Voorafgaand aan deze ministeriele bijeenkomst vond</w:t>
      </w:r>
      <w:r w:rsidRPr="00C23974">
        <w:t xml:space="preserve"> een </w:t>
      </w:r>
      <w:r w:rsidRPr="25F56975">
        <w:rPr>
          <w:i/>
          <w:iCs/>
        </w:rPr>
        <w:t>Steering Committee</w:t>
      </w:r>
      <w:r w:rsidRPr="00C23974">
        <w:t xml:space="preserve"> </w:t>
      </w:r>
      <w:r>
        <w:t xml:space="preserve">plaats </w:t>
      </w:r>
      <w:r w:rsidRPr="00C23974">
        <w:t>van het UDP</w:t>
      </w:r>
      <w:r w:rsidRPr="25F56975">
        <w:t>,</w:t>
      </w:r>
      <w:r w:rsidRPr="00C23974">
        <w:t xml:space="preserve"> waar onder meer </w:t>
      </w:r>
      <w:r>
        <w:t xml:space="preserve">is </w:t>
      </w:r>
      <w:r w:rsidRPr="00C23974">
        <w:t xml:space="preserve">gesproken over de Oekraïense financiële situatie, hervormingen, het mobiliseren van de private sector en de </w:t>
      </w:r>
      <w:r>
        <w:t xml:space="preserve">wederopbouw- en </w:t>
      </w:r>
      <w:r w:rsidRPr="00C23974">
        <w:t>energienoden</w:t>
      </w:r>
      <w:r w:rsidRPr="25F56975">
        <w:t>.</w:t>
      </w:r>
    </w:p>
    <w:p w:rsidR="000E2D46" w:rsidP="000E2D46" w:rsidRDefault="000E2D46" w14:paraId="19B9ADF8" w14:textId="77777777"/>
    <w:p w:rsidRPr="000E2D46" w:rsidR="000E2D46" w:rsidP="000E2D46" w:rsidRDefault="000E2D46" w14:paraId="0353C363" w14:textId="77777777">
      <w:pPr>
        <w:rPr>
          <w:i/>
          <w:iCs/>
        </w:rPr>
      </w:pPr>
      <w:r w:rsidRPr="000E2D46">
        <w:rPr>
          <w:i/>
          <w:iCs/>
        </w:rPr>
        <w:t>Bijeenkomst ministers van Financiën</w:t>
      </w:r>
    </w:p>
    <w:p w:rsidR="000E2D46" w:rsidP="000E2D46" w:rsidRDefault="000E2D46" w14:paraId="3F7B5A99" w14:textId="77777777">
      <w:r>
        <w:t xml:space="preserve">Dit jaar vond er </w:t>
      </w:r>
      <w:r>
        <w:rPr>
          <w:i/>
          <w:iCs/>
        </w:rPr>
        <w:t xml:space="preserve">en marge </w:t>
      </w:r>
      <w:r>
        <w:t xml:space="preserve">van de URC op uitnodiging van de Poolse minister van Financiën </w:t>
      </w:r>
      <w:proofErr w:type="spellStart"/>
      <w:r>
        <w:t>Domanski</w:t>
      </w:r>
      <w:proofErr w:type="spellEnd"/>
      <w:r>
        <w:t xml:space="preserve"> voor het eerst een bijeenkomst van ministers van Financiën plaats. Nederland was hierbij op </w:t>
      </w:r>
      <w:proofErr w:type="spellStart"/>
      <w:r>
        <w:t>hoogambtelijk</w:t>
      </w:r>
      <w:proofErr w:type="spellEnd"/>
      <w:r>
        <w:t xml:space="preserve"> niveau vertegenwoordigd. Ook hier is gesproken over het belang van hervormingen, het betrekken van de private sector en de financieringsnoden in 2027. Een aantal landen riep op tot het verder verkennen van de inzet van de geïmmobiliseerde Russische </w:t>
      </w:r>
      <w:proofErr w:type="spellStart"/>
      <w:r>
        <w:t>centralebanktegoeden</w:t>
      </w:r>
      <w:proofErr w:type="spellEnd"/>
      <w:r>
        <w:t xml:space="preserve">. </w:t>
      </w:r>
      <w:r w:rsidRPr="25F56975">
        <w:t xml:space="preserve">  </w:t>
      </w:r>
    </w:p>
    <w:p w:rsidRPr="00FC1E5E" w:rsidR="000E2D46" w:rsidP="008A6A09" w:rsidRDefault="000E2D46" w14:paraId="2D93E5F7" w14:textId="77777777"/>
    <w:p w:rsidR="00AB33E0" w:rsidRDefault="569065DF" w14:paraId="4C400085" w14:textId="477FC046">
      <w:r w:rsidRPr="569065DF">
        <w:rPr>
          <w:b/>
          <w:bCs/>
        </w:rPr>
        <w:t xml:space="preserve">Deelname </w:t>
      </w:r>
      <w:r w:rsidR="000E2D46">
        <w:rPr>
          <w:b/>
          <w:bCs/>
        </w:rPr>
        <w:t xml:space="preserve">Nederlands </w:t>
      </w:r>
      <w:r w:rsidRPr="569065DF">
        <w:rPr>
          <w:b/>
          <w:bCs/>
        </w:rPr>
        <w:t>bedrijfsleven</w:t>
      </w:r>
      <w:bookmarkEnd w:id="0"/>
    </w:p>
    <w:p w:rsidR="006768C0" w:rsidRDefault="569065DF" w14:paraId="60298E1B" w14:textId="2A2D55C3">
      <w:r>
        <w:t>Onder leiding van de Speciaal Gezant voor Oekraïne nam een delegatie van 15 Nederlandse bedrijven uit onder meer de gezondheidszorg, energie-, bouw- en defensiesector deel aan de conferentie.</w:t>
      </w:r>
      <w:r w:rsidR="00CA2066">
        <w:t xml:space="preserve"> Ik heb met deze bedrijven gesproken over kansen en uitdagingen over zakendoen in Oekraïne.</w:t>
      </w:r>
      <w:r>
        <w:t xml:space="preserve"> Een aantal bedrijven nam deel aan verschillende panels over wederopbouw en de bedrijven kwamen tijdens een matchmaking-evenement in contact met Oekraïense en Poolse bedrijven</w:t>
      </w:r>
      <w:r w:rsidR="00CA2066">
        <w:t xml:space="preserve"> en</w:t>
      </w:r>
      <w:r>
        <w:t xml:space="preserve"> overheid en internationale financiële instellingen. </w:t>
      </w:r>
    </w:p>
    <w:p w:rsidR="00BC2006" w:rsidP="00BC2006" w:rsidRDefault="00BC2006" w14:paraId="70606737" w14:textId="77777777"/>
    <w:p w:rsidR="00BC2006" w:rsidRDefault="569065DF" w14:paraId="4D977F83" w14:textId="28758933">
      <w:r>
        <w:t xml:space="preserve">Ook werden verschillende overeenkomsten door het bedrijfsleven ondertekend. Zo tekenden de NAM (Nederlandse Aardolie Maatschappij) en het Oekraïense bedrijf </w:t>
      </w:r>
      <w:proofErr w:type="spellStart"/>
      <w:r>
        <w:t>Naftogaz</w:t>
      </w:r>
      <w:proofErr w:type="spellEnd"/>
      <w:r>
        <w:t xml:space="preserve"> een </w:t>
      </w:r>
      <w:r w:rsidR="000E2D46">
        <w:t xml:space="preserve">intentieverklaring, </w:t>
      </w:r>
      <w:r>
        <w:t xml:space="preserve">waarin zij aangeven hun samenwerking te willen versterken. De NAM ontmantelt de komende jaren tal van olie- en gas installaties (o.a. het Groningengasveld) waarvan een deel kan worden hergebruikt in Oekraïne. Onder het in-kind energiesteunprogramma is reeds een eerste levering </w:t>
      </w:r>
      <w:r>
        <w:lastRenderedPageBreak/>
        <w:t>aan kritische onderdelen van de NAM naar Oekraïne getransporteerd. De komende jaren ziet de NAM mogelijkheden om dit soort leveringen op te schalen. De</w:t>
      </w:r>
      <w:r w:rsidR="000E2D46">
        <w:t xml:space="preserve"> intentieverklaring</w:t>
      </w:r>
      <w:r>
        <w:t xml:space="preserve"> die de NAM en </w:t>
      </w:r>
      <w:proofErr w:type="spellStart"/>
      <w:r>
        <w:t>Naftogaz</w:t>
      </w:r>
      <w:proofErr w:type="spellEnd"/>
      <w:r>
        <w:t xml:space="preserve"> tijdens de URC tekenden is een belangrijke stap die het commitment van beide partijen bevestigt.</w:t>
      </w:r>
    </w:p>
    <w:p w:rsidR="00BC2006" w:rsidRDefault="00BC2006" w14:paraId="707473ED" w14:textId="77777777"/>
    <w:p w:rsidR="00AB33E0" w:rsidP="25F56975" w:rsidRDefault="569065DF" w14:paraId="70420B57" w14:textId="1DBDD892">
      <w:r>
        <w:t xml:space="preserve">Tijdens de conferentie tekende het Nederlandse bedrijf VDL een </w:t>
      </w:r>
      <w:r w:rsidR="000E2D46">
        <w:t>intentieverklaring</w:t>
      </w:r>
      <w:r>
        <w:t xml:space="preserve"> met het Oekraïense </w:t>
      </w:r>
      <w:r w:rsidRPr="569065DF">
        <w:rPr>
          <w:i/>
          <w:iCs/>
        </w:rPr>
        <w:t xml:space="preserve">International </w:t>
      </w:r>
      <w:proofErr w:type="spellStart"/>
      <w:r w:rsidRPr="569065DF">
        <w:rPr>
          <w:i/>
          <w:iCs/>
        </w:rPr>
        <w:t>Institute</w:t>
      </w:r>
      <w:proofErr w:type="spellEnd"/>
      <w:r w:rsidRPr="569065DF">
        <w:rPr>
          <w:i/>
          <w:iCs/>
        </w:rPr>
        <w:t xml:space="preserve"> of </w:t>
      </w:r>
      <w:proofErr w:type="spellStart"/>
      <w:r w:rsidRPr="569065DF">
        <w:rPr>
          <w:i/>
          <w:iCs/>
        </w:rPr>
        <w:t>Traumatherapy</w:t>
      </w:r>
      <w:proofErr w:type="spellEnd"/>
      <w:r w:rsidRPr="569065DF">
        <w:rPr>
          <w:i/>
          <w:iCs/>
        </w:rPr>
        <w:t xml:space="preserve"> </w:t>
      </w:r>
      <w:r>
        <w:t xml:space="preserve">en de Oekraïense </w:t>
      </w:r>
      <w:proofErr w:type="spellStart"/>
      <w:r w:rsidRPr="569065DF">
        <w:rPr>
          <w:i/>
          <w:iCs/>
        </w:rPr>
        <w:t>Charitable</w:t>
      </w:r>
      <w:proofErr w:type="spellEnd"/>
      <w:r w:rsidRPr="569065DF">
        <w:rPr>
          <w:i/>
          <w:iCs/>
        </w:rPr>
        <w:t xml:space="preserve"> Foundation "Hope </w:t>
      </w:r>
      <w:proofErr w:type="spellStart"/>
      <w:r w:rsidRPr="569065DF">
        <w:rPr>
          <w:i/>
          <w:iCs/>
        </w:rPr>
        <w:t>and</w:t>
      </w:r>
      <w:proofErr w:type="spellEnd"/>
      <w:r w:rsidRPr="569065DF">
        <w:rPr>
          <w:i/>
          <w:iCs/>
        </w:rPr>
        <w:t xml:space="preserve"> </w:t>
      </w:r>
      <w:proofErr w:type="spellStart"/>
      <w:r w:rsidRPr="569065DF">
        <w:rPr>
          <w:i/>
          <w:iCs/>
        </w:rPr>
        <w:t>Humanity</w:t>
      </w:r>
      <w:proofErr w:type="spellEnd"/>
      <w:r w:rsidRPr="569065DF">
        <w:rPr>
          <w:i/>
          <w:iCs/>
        </w:rPr>
        <w:t>"</w:t>
      </w:r>
      <w:r>
        <w:t xml:space="preserve"> over modulaire bouw van ziekenhuizen. Philips tekende met de </w:t>
      </w:r>
      <w:proofErr w:type="spellStart"/>
      <w:r>
        <w:t>Kyiv</w:t>
      </w:r>
      <w:proofErr w:type="spellEnd"/>
      <w:r>
        <w:t xml:space="preserve"> </w:t>
      </w:r>
      <w:proofErr w:type="spellStart"/>
      <w:r>
        <w:t>Regional</w:t>
      </w:r>
      <w:proofErr w:type="spellEnd"/>
      <w:r>
        <w:t xml:space="preserve"> State Administration een overeenkomst, en Invest International tekende met het Oekraïense </w:t>
      </w:r>
      <w:proofErr w:type="spellStart"/>
      <w:r>
        <w:t>Ministry</w:t>
      </w:r>
      <w:proofErr w:type="spellEnd"/>
      <w:r>
        <w:t xml:space="preserve"> of Health en de </w:t>
      </w:r>
      <w:proofErr w:type="spellStart"/>
      <w:r>
        <w:t>Kyiv</w:t>
      </w:r>
      <w:proofErr w:type="spellEnd"/>
      <w:r>
        <w:t xml:space="preserve"> </w:t>
      </w:r>
      <w:proofErr w:type="spellStart"/>
      <w:r>
        <w:t>Regional</w:t>
      </w:r>
      <w:proofErr w:type="spellEnd"/>
      <w:r>
        <w:t xml:space="preserve"> State Administration </w:t>
      </w:r>
      <w:r w:rsidR="004040A6">
        <w:t xml:space="preserve">eveneens </w:t>
      </w:r>
      <w:r>
        <w:t xml:space="preserve">een overeenkomst. Beide overeenkomsten gaan over de </w:t>
      </w:r>
      <w:proofErr w:type="spellStart"/>
      <w:r>
        <w:t>Kyiv</w:t>
      </w:r>
      <w:proofErr w:type="spellEnd"/>
      <w:r>
        <w:t xml:space="preserve"> </w:t>
      </w:r>
      <w:proofErr w:type="spellStart"/>
      <w:r>
        <w:t>Regional</w:t>
      </w:r>
      <w:proofErr w:type="spellEnd"/>
      <w:r>
        <w:t xml:space="preserve"> </w:t>
      </w:r>
      <w:proofErr w:type="spellStart"/>
      <w:r>
        <w:t>Rehabilitation</w:t>
      </w:r>
      <w:proofErr w:type="spellEnd"/>
      <w:r>
        <w:t xml:space="preserve"> </w:t>
      </w:r>
      <w:proofErr w:type="spellStart"/>
      <w:r>
        <w:t>Clinic</w:t>
      </w:r>
      <w:proofErr w:type="spellEnd"/>
      <w:r>
        <w:t xml:space="preserve">. Dit betreft de ontwikkeling van een nieuw orthopedisch en traumacentrum en protheselaboratorium in </w:t>
      </w:r>
      <w:proofErr w:type="spellStart"/>
      <w:r>
        <w:t>Kyiv</w:t>
      </w:r>
      <w:proofErr w:type="spellEnd"/>
      <w:r>
        <w:t xml:space="preserve">, als uitbreiding van het bestaande regionale revalidatiecentrum. </w:t>
      </w:r>
      <w:proofErr w:type="spellStart"/>
      <w:r>
        <w:t>QuinteQ</w:t>
      </w:r>
      <w:proofErr w:type="spellEnd"/>
      <w:r>
        <w:t xml:space="preserve"> Energy ondertekende een contract voor de levering van een </w:t>
      </w:r>
      <w:proofErr w:type="spellStart"/>
      <w:r w:rsidRPr="00CA2066">
        <w:rPr>
          <w:i/>
          <w:iCs/>
        </w:rPr>
        <w:t>microgrid</w:t>
      </w:r>
      <w:proofErr w:type="spellEnd"/>
      <w:r>
        <w:t xml:space="preserve"> in de haven van Odessa, in samenwerking met de Hamburger </w:t>
      </w:r>
      <w:proofErr w:type="spellStart"/>
      <w:r>
        <w:t>Hafen</w:t>
      </w:r>
      <w:proofErr w:type="spellEnd"/>
      <w:r>
        <w:t xml:space="preserve"> </w:t>
      </w:r>
      <w:proofErr w:type="spellStart"/>
      <w:r>
        <w:t>und</w:t>
      </w:r>
      <w:proofErr w:type="spellEnd"/>
      <w:r>
        <w:t xml:space="preserve"> </w:t>
      </w:r>
      <w:proofErr w:type="spellStart"/>
      <w:r>
        <w:t>Logistik</w:t>
      </w:r>
      <w:proofErr w:type="spellEnd"/>
      <w:r>
        <w:t xml:space="preserve"> AG. Deze </w:t>
      </w:r>
      <w:proofErr w:type="spellStart"/>
      <w:r w:rsidRPr="00CA2066">
        <w:rPr>
          <w:i/>
          <w:iCs/>
        </w:rPr>
        <w:t>microgrid</w:t>
      </w:r>
      <w:proofErr w:type="spellEnd"/>
      <w:r>
        <w:t xml:space="preserve"> zorgt ervoor dat er onafhankelijk van het elektriciteitsnet energie opgewekt kan worden. </w:t>
      </w:r>
    </w:p>
    <w:p w:rsidR="569065DF" w:rsidP="569065DF" w:rsidRDefault="569065DF" w14:paraId="64AC0A5A" w14:textId="39E92DCD"/>
    <w:p w:rsidR="00EB6730" w:rsidRDefault="00EB6730" w14:paraId="66FFEE8B" w14:textId="021FDDE6">
      <w:r>
        <w:t xml:space="preserve">Met betrekking tot de motie van het lid </w:t>
      </w:r>
      <w:proofErr w:type="spellStart"/>
      <w:r>
        <w:t>Boswijk</w:t>
      </w:r>
      <w:proofErr w:type="spellEnd"/>
      <w:r>
        <w:t xml:space="preserve"> c.s. over een verkenning naar een strategisch partnerschap tussen de havens van Rotterdam en Odessa</w:t>
      </w:r>
      <w:r w:rsidR="00E42D4D">
        <w:rPr>
          <w:rStyle w:val="FootnoteReference"/>
        </w:rPr>
        <w:footnoteReference w:id="3"/>
      </w:r>
      <w:r>
        <w:t xml:space="preserve">, kan ik uw Kamer informeren dat inmiddels gesprekken hebben plaatsgevonden tussen de havenautoriteiten van Rotterdam en Odessa. Deze gesprekken hebben geresulteerd in een </w:t>
      </w:r>
      <w:r w:rsidRPr="569065DF">
        <w:rPr>
          <w:i/>
          <w:iCs/>
        </w:rPr>
        <w:t>Memorandum of Understanding</w:t>
      </w:r>
      <w:r>
        <w:t xml:space="preserve"> gericht op samenwerking op het gebied van havenontwikkeling, logistiek en kennisuitwisseling.</w:t>
      </w:r>
    </w:p>
    <w:p w:rsidR="00EB6730" w:rsidRDefault="00EB6730" w14:paraId="13A7B8B9" w14:textId="77777777"/>
    <w:p w:rsidR="00C23974" w:rsidRDefault="569065DF" w14:paraId="67A780A5" w14:textId="6D0E22A3">
      <w:r>
        <w:t xml:space="preserve">Graag informeer ik u daarnaast over de niet-militaire steun die Nederland in </w:t>
      </w:r>
      <w:proofErr w:type="spellStart"/>
      <w:r>
        <w:t>Gdańsk</w:t>
      </w:r>
      <w:proofErr w:type="spellEnd"/>
      <w:r>
        <w:t xml:space="preserve"> heeft aangekondigd onder voorbehoud van parlementaire goedkeuring van de Nota van wijziging op de eerste suppletoire begroting BHO 2026</w:t>
      </w:r>
      <w:r w:rsidR="00CA2066">
        <w:t>.</w:t>
      </w:r>
    </w:p>
    <w:p w:rsidR="000D740F" w:rsidRDefault="000D740F" w14:paraId="104118BE" w14:textId="77777777"/>
    <w:p w:rsidR="0095263E" w:rsidP="569065DF" w:rsidRDefault="004040A6" w14:paraId="0F378D06" w14:textId="7751700A">
      <w:pPr>
        <w:spacing w:line="240" w:lineRule="auto"/>
        <w:rPr>
          <w:b/>
          <w:bCs/>
        </w:rPr>
      </w:pPr>
      <w:bookmarkStart w:name="_Hlk233278420" w:id="1"/>
      <w:r>
        <w:rPr>
          <w:b/>
          <w:bCs/>
        </w:rPr>
        <w:t>V</w:t>
      </w:r>
      <w:r w:rsidRPr="569065DF" w:rsidR="569065DF">
        <w:rPr>
          <w:b/>
          <w:bCs/>
        </w:rPr>
        <w:t>ersnelde steun</w:t>
      </w:r>
      <w:r>
        <w:rPr>
          <w:b/>
          <w:bCs/>
        </w:rPr>
        <w:t xml:space="preserve"> aan </w:t>
      </w:r>
      <w:proofErr w:type="spellStart"/>
      <w:r>
        <w:rPr>
          <w:b/>
          <w:bCs/>
        </w:rPr>
        <w:t>Oekraine</w:t>
      </w:r>
      <w:proofErr w:type="spellEnd"/>
      <w:r>
        <w:rPr>
          <w:b/>
          <w:bCs/>
        </w:rPr>
        <w:t xml:space="preserve"> in 2026</w:t>
      </w:r>
    </w:p>
    <w:bookmarkEnd w:id="1"/>
    <w:p w:rsidR="0095263E" w:rsidRDefault="569065DF" w14:paraId="0C95F079" w14:textId="61685393">
      <w:r>
        <w:t xml:space="preserve">Met Nota’s van Wijziging op de begrotingen van BZ en BHOS, wordt er niet-militaire steun ten hoogte van EUR 178 miljoen versneld beschikbaar gesteld in 2026 uit de gereserveerde middelen voor niet-militaire steun aan Oekraïne in 2028 en 2029. Het kabinet is voornemens om deze ODA-steun van EUR 178 miljoen voor 2026 als volgt in te zetten:   </w:t>
      </w:r>
    </w:p>
    <w:p w:rsidR="007F5BFF" w:rsidP="007F5BFF" w:rsidRDefault="569065DF" w14:paraId="4923EA4B" w14:textId="66061753">
      <w:pPr>
        <w:pStyle w:val="ListParagraph"/>
        <w:numPr>
          <w:ilvl w:val="0"/>
          <w:numId w:val="7"/>
        </w:numPr>
      </w:pPr>
      <w:bookmarkStart w:name="_Hlk232772553" w:id="2"/>
      <w:r>
        <w:t>EUR 40 miljoen steun via de Europese Bank voor Wederopbouw en Ontwikkeling (EBRD), waaronder energie;</w:t>
      </w:r>
    </w:p>
    <w:bookmarkEnd w:id="2"/>
    <w:p w:rsidR="007F5BFF" w:rsidP="007F5BFF" w:rsidRDefault="569065DF" w14:paraId="1B07650E" w14:textId="77777777">
      <w:pPr>
        <w:pStyle w:val="ListParagraph"/>
        <w:numPr>
          <w:ilvl w:val="0"/>
          <w:numId w:val="7"/>
        </w:numPr>
      </w:pPr>
      <w:r>
        <w:t xml:space="preserve">EUR 20 miljoen energiesteun via het </w:t>
      </w:r>
      <w:r w:rsidRPr="569065DF">
        <w:rPr>
          <w:i/>
          <w:iCs/>
        </w:rPr>
        <w:t>Ukraine Energy Support Fund</w:t>
      </w:r>
      <w:r>
        <w:t xml:space="preserve"> (UESF);</w:t>
      </w:r>
    </w:p>
    <w:p w:rsidR="007F5BFF" w:rsidP="007F5BFF" w:rsidRDefault="007F5BFF" w14:paraId="7093160F" w14:textId="0AA7A8CA">
      <w:pPr>
        <w:pStyle w:val="ListParagraph"/>
        <w:numPr>
          <w:ilvl w:val="0"/>
          <w:numId w:val="7"/>
        </w:numPr>
      </w:pPr>
      <w:r>
        <w:t>EUR 45 miljoen wederopbouw-steun aan de Wereldbank</w:t>
      </w:r>
      <w:r w:rsidRPr="25F56975" w:rsidR="00603033">
        <w:t>,</w:t>
      </w:r>
      <w:r>
        <w:t xml:space="preserve"> te kanaliseren via </w:t>
      </w:r>
      <w:r w:rsidRPr="007F5BFF">
        <w:t>SPUR</w:t>
      </w:r>
      <w:r>
        <w:t xml:space="preserve"> 2.0, een </w:t>
      </w:r>
      <w:r w:rsidR="00603033">
        <w:t xml:space="preserve">speciale </w:t>
      </w:r>
      <w:r>
        <w:t>crisisfaciliteit voor Oekraïne;</w:t>
      </w:r>
      <w:r w:rsidR="00603033">
        <w:rPr>
          <w:rStyle w:val="FootnoteReference"/>
        </w:rPr>
        <w:footnoteReference w:id="4"/>
      </w:r>
    </w:p>
    <w:p w:rsidR="00603033" w:rsidP="007F5BFF" w:rsidRDefault="569065DF" w14:paraId="7FA2F44C" w14:textId="01AADE29">
      <w:pPr>
        <w:pStyle w:val="ListParagraph"/>
        <w:numPr>
          <w:ilvl w:val="0"/>
          <w:numId w:val="7"/>
        </w:numPr>
      </w:pPr>
      <w:r>
        <w:t xml:space="preserve">EUR 10 miljoen via de Internationale Financiële Instellingen, waarmee zal worden ingezet  op de private sector; </w:t>
      </w:r>
    </w:p>
    <w:p w:rsidR="00603033" w:rsidP="25F56975" w:rsidRDefault="007F5BFF" w14:paraId="76900F78" w14:textId="021099C4">
      <w:pPr>
        <w:pStyle w:val="ListParagraph"/>
        <w:numPr>
          <w:ilvl w:val="0"/>
          <w:numId w:val="7"/>
        </w:numPr>
      </w:pPr>
      <w:r w:rsidRPr="00D7149A">
        <w:t xml:space="preserve">EUR 15 miljoen </w:t>
      </w:r>
      <w:r w:rsidRPr="00D7149A" w:rsidR="00603033">
        <w:t xml:space="preserve">aan de </w:t>
      </w:r>
      <w:r>
        <w:t>E</w:t>
      </w:r>
      <w:r w:rsidR="00603033">
        <w:t xml:space="preserve">uropese Investeringsbank (EIB), te kanaliseren via het </w:t>
      </w:r>
      <w:r>
        <w:tab/>
      </w:r>
      <w:r w:rsidRPr="569065DF" w:rsidR="00603033">
        <w:rPr>
          <w:i/>
          <w:iCs/>
        </w:rPr>
        <w:t>EU for Ukraine Fund</w:t>
      </w:r>
      <w:r w:rsidRPr="25F56975" w:rsidR="00603033">
        <w:t xml:space="preserve"> </w:t>
      </w:r>
      <w:r w:rsidR="00603033">
        <w:t xml:space="preserve">(EU4U) </w:t>
      </w:r>
      <w:r w:rsidR="00726AD6">
        <w:t>dat de wederopbouw van Oekraïne ondersteunt. Het financiert infrastructuurprojecten en helpt Oekraïense bedrijven toegang te krijgen tot kapitaal om de economie draaiende te houden</w:t>
      </w:r>
      <w:r w:rsidRPr="25F56975" w:rsidR="00603033">
        <w:t>;</w:t>
      </w:r>
    </w:p>
    <w:p w:rsidR="00603033" w:rsidP="007F5BFF" w:rsidRDefault="569065DF" w14:paraId="7FA5A0B4" w14:textId="160DBE5D">
      <w:pPr>
        <w:pStyle w:val="ListParagraph"/>
        <w:numPr>
          <w:ilvl w:val="0"/>
          <w:numId w:val="7"/>
        </w:numPr>
      </w:pPr>
      <w:r>
        <w:lastRenderedPageBreak/>
        <w:t xml:space="preserve">EUR 15 miljoen voor humanitaire hulp, te kanaliseren via VN en het ICRC (EUR 10 miljoen) en via het Nederlands maatschappelijk middenveld (EUR 5 miljoen). Veel van deze steun wordt al verstrekt in samenwerking met Oekraïens maatschappelijk middenveld; </w:t>
      </w:r>
    </w:p>
    <w:p w:rsidR="00603033" w:rsidP="007F5BFF" w:rsidRDefault="569065DF" w14:paraId="04B31D0C" w14:textId="4E196337">
      <w:pPr>
        <w:pStyle w:val="ListParagraph"/>
        <w:numPr>
          <w:ilvl w:val="0"/>
          <w:numId w:val="7"/>
        </w:numPr>
      </w:pPr>
      <w:bookmarkStart w:name="_Hlk232512984" w:id="3"/>
      <w:r>
        <w:t>EUR 10 miljoen voor het adresseren van urgente gezondheidsnoden, onder andere te kanaliseren via de Wereldgezondheidsorganisatie (WHO);</w:t>
      </w:r>
    </w:p>
    <w:bookmarkEnd w:id="3"/>
    <w:p w:rsidR="00603033" w:rsidP="25F56975" w:rsidRDefault="569065DF" w14:paraId="00C90045" w14:textId="36492740">
      <w:pPr>
        <w:pStyle w:val="ListParagraph"/>
        <w:numPr>
          <w:ilvl w:val="0"/>
          <w:numId w:val="7"/>
        </w:numPr>
      </w:pPr>
      <w:r>
        <w:t>EUR 5 miljoen voor verdere versterking van het Oekraïense stelsel van toegankelijke kwalitatieve geestelijke zorg (</w:t>
      </w:r>
      <w:proofErr w:type="spellStart"/>
      <w:r w:rsidRPr="569065DF">
        <w:rPr>
          <w:i/>
          <w:iCs/>
        </w:rPr>
        <w:t>Mental</w:t>
      </w:r>
      <w:proofErr w:type="spellEnd"/>
      <w:r w:rsidRPr="569065DF">
        <w:rPr>
          <w:i/>
          <w:iCs/>
        </w:rPr>
        <w:t xml:space="preserve"> Health </w:t>
      </w:r>
      <w:proofErr w:type="spellStart"/>
      <w:r w:rsidRPr="569065DF">
        <w:rPr>
          <w:i/>
          <w:iCs/>
        </w:rPr>
        <w:t>and</w:t>
      </w:r>
      <w:proofErr w:type="spellEnd"/>
      <w:r w:rsidRPr="569065DF">
        <w:rPr>
          <w:i/>
          <w:iCs/>
        </w:rPr>
        <w:t xml:space="preserve"> </w:t>
      </w:r>
      <w:proofErr w:type="spellStart"/>
      <w:r w:rsidRPr="569065DF">
        <w:rPr>
          <w:i/>
          <w:iCs/>
        </w:rPr>
        <w:t>Psychosocial</w:t>
      </w:r>
      <w:proofErr w:type="spellEnd"/>
      <w:r w:rsidRPr="569065DF">
        <w:rPr>
          <w:i/>
          <w:iCs/>
        </w:rPr>
        <w:t xml:space="preserve"> Support,</w:t>
      </w:r>
      <w:r>
        <w:t xml:space="preserve"> MHPSS); en tenslotte</w:t>
      </w:r>
    </w:p>
    <w:p w:rsidR="00603033" w:rsidP="00603033" w:rsidRDefault="569065DF" w14:paraId="63066E90" w14:textId="7BC8F8A2">
      <w:pPr>
        <w:pStyle w:val="ListParagraph"/>
        <w:numPr>
          <w:ilvl w:val="0"/>
          <w:numId w:val="7"/>
        </w:numPr>
      </w:pPr>
      <w:r>
        <w:t>EUR 18 miljoen reserve, later dit jaar te verdelen om te kunnen inspringen op urgente noden.</w:t>
      </w:r>
    </w:p>
    <w:p w:rsidR="00EA5EB8" w:rsidRDefault="00EA5EB8" w14:paraId="6370E4AC" w14:textId="0033E310">
      <w:pPr>
        <w:rPr>
          <w:b/>
          <w:bCs/>
        </w:rPr>
      </w:pPr>
    </w:p>
    <w:p w:rsidRPr="00833462" w:rsidR="00833462" w:rsidP="00833462" w:rsidRDefault="00D53501" w14:paraId="72767454" w14:textId="0A441C0F">
      <w:bookmarkStart w:name="_Hlk233205869" w:id="4"/>
      <w:r w:rsidRPr="00DC2BAD">
        <w:t xml:space="preserve">De </w:t>
      </w:r>
      <w:r>
        <w:t xml:space="preserve">algehele </w:t>
      </w:r>
      <w:r w:rsidR="00E64767">
        <w:t xml:space="preserve">en </w:t>
      </w:r>
      <w:proofErr w:type="spellStart"/>
      <w:r w:rsidR="00E64767">
        <w:t>ongeoormerkte</w:t>
      </w:r>
      <w:proofErr w:type="spellEnd"/>
      <w:r w:rsidR="00E64767">
        <w:t xml:space="preserve"> </w:t>
      </w:r>
      <w:r w:rsidRPr="00B508F3">
        <w:t>Nederlandse humanitaire steun</w:t>
      </w:r>
      <w:r w:rsidR="00E64767">
        <w:rPr>
          <w:rStyle w:val="FootnoteReference"/>
        </w:rPr>
        <w:footnoteReference w:id="5"/>
      </w:r>
      <w:r>
        <w:t xml:space="preserve"> – die </w:t>
      </w:r>
      <w:r w:rsidR="00E64767">
        <w:t xml:space="preserve">ook </w:t>
      </w:r>
      <w:r>
        <w:t>in Oekraïne k</w:t>
      </w:r>
      <w:r w:rsidR="00E64767">
        <w:t>a</w:t>
      </w:r>
      <w:r>
        <w:t>n</w:t>
      </w:r>
      <w:r w:rsidR="00E64767">
        <w:t xml:space="preserve"> word</w:t>
      </w:r>
      <w:r>
        <w:t>en in</w:t>
      </w:r>
      <w:r w:rsidR="00E64767">
        <w:t>ge</w:t>
      </w:r>
      <w:r>
        <w:t>zet – en de hierboven genoemde extra humanitaire steun</w:t>
      </w:r>
      <w:r w:rsidR="00E64767">
        <w:t>, is zo ingericht dat deze de noden van de hardst getroffen en meest kwetsbare mensen helpt verminderen.</w:t>
      </w:r>
      <w:r w:rsidR="00FF5054">
        <w:t xml:space="preserve"> </w:t>
      </w:r>
      <w:r w:rsidR="00C739CC">
        <w:t xml:space="preserve">Nederland verwacht van haar humanitaire partners </w:t>
      </w:r>
      <w:r w:rsidR="00833462">
        <w:t xml:space="preserve">ook </w:t>
      </w:r>
      <w:r w:rsidR="00C739CC">
        <w:t xml:space="preserve">dat zij in hun aanpak altijd hulp voor de zwaarst getroffen mensen </w:t>
      </w:r>
      <w:r w:rsidR="00A516F7">
        <w:t>en de hoogste noden</w:t>
      </w:r>
      <w:r w:rsidR="00C739CC">
        <w:t xml:space="preserve"> </w:t>
      </w:r>
      <w:r w:rsidR="00A516F7">
        <w:t>prioriteren</w:t>
      </w:r>
      <w:r w:rsidR="00C739CC">
        <w:t xml:space="preserve">. </w:t>
      </w:r>
      <w:r w:rsidR="00833462">
        <w:t xml:space="preserve">Deze werkwijze betekent </w:t>
      </w:r>
      <w:r w:rsidRPr="00833462" w:rsidR="00833462">
        <w:t>dat</w:t>
      </w:r>
      <w:r w:rsidR="00833462">
        <w:t xml:space="preserve"> Nederland haar</w:t>
      </w:r>
      <w:r w:rsidRPr="00833462" w:rsidR="00833462">
        <w:t xml:space="preserve"> humanitaire partners</w:t>
      </w:r>
      <w:r w:rsidR="000347FA">
        <w:t xml:space="preserve">, </w:t>
      </w:r>
      <w:r w:rsidR="006D325D">
        <w:t>in lijn met</w:t>
      </w:r>
      <w:r w:rsidR="000347FA">
        <w:t xml:space="preserve"> </w:t>
      </w:r>
      <w:r w:rsidR="006F3B28">
        <w:t>de</w:t>
      </w:r>
      <w:r w:rsidR="000347FA">
        <w:t xml:space="preserve"> Kamermotie</w:t>
      </w:r>
      <w:r w:rsidR="006F3B28">
        <w:t xml:space="preserve"> van de leden </w:t>
      </w:r>
      <w:proofErr w:type="spellStart"/>
      <w:r w:rsidR="006F3B28">
        <w:t>Struijs</w:t>
      </w:r>
      <w:proofErr w:type="spellEnd"/>
      <w:r w:rsidR="006F3B28">
        <w:t xml:space="preserve"> en Van der Werf </w:t>
      </w:r>
      <w:r w:rsidR="000347FA">
        <w:rPr>
          <w:rStyle w:val="FootnoteReference"/>
        </w:rPr>
        <w:footnoteReference w:id="6"/>
      </w:r>
      <w:r w:rsidR="000347FA">
        <w:t>,</w:t>
      </w:r>
      <w:r w:rsidRPr="00833462" w:rsidR="00833462">
        <w:t xml:space="preserve"> stimuleer</w:t>
      </w:r>
      <w:r w:rsidR="00833462">
        <w:t>t</w:t>
      </w:r>
      <w:r w:rsidRPr="00833462" w:rsidR="00833462">
        <w:t xml:space="preserve"> en </w:t>
      </w:r>
      <w:r w:rsidR="006D325D">
        <w:t>ondersteunt</w:t>
      </w:r>
      <w:r w:rsidRPr="00833462" w:rsidR="00833462">
        <w:t xml:space="preserve"> om in Oekraïne ook specifiek steun te bieden aan extra kwetsbare ouderen en gezinnen nabij de frontlinies. </w:t>
      </w:r>
      <w:r w:rsidR="00A516F7">
        <w:t xml:space="preserve">Bovendien betekent dit dat als uitval van energievoorziening levensbedreigend wordt, met name in de winter, ook humanitaire organisaties inzetten op noodenergievoorziening, in lijn met </w:t>
      </w:r>
      <w:r w:rsidR="006F3B28">
        <w:t>de</w:t>
      </w:r>
      <w:r w:rsidR="00A516F7">
        <w:t xml:space="preserve"> Kamermotie</w:t>
      </w:r>
      <w:r w:rsidR="006F3B28">
        <w:t xml:space="preserve"> van Verkuijlen en Bamenga</w:t>
      </w:r>
      <w:r w:rsidR="00A516F7">
        <w:rPr>
          <w:rStyle w:val="FootnoteReference"/>
        </w:rPr>
        <w:footnoteReference w:id="7"/>
      </w:r>
      <w:r w:rsidR="00A516F7">
        <w:t xml:space="preserve">.    </w:t>
      </w:r>
    </w:p>
    <w:p w:rsidRPr="00EA5EB8" w:rsidR="00D53501" w:rsidRDefault="00D53501" w14:paraId="2B7F4244" w14:textId="77777777">
      <w:pPr>
        <w:rPr>
          <w:b/>
          <w:bCs/>
        </w:rPr>
      </w:pPr>
    </w:p>
    <w:bookmarkEnd w:id="4"/>
    <w:p w:rsidRPr="002D6468" w:rsidR="00EA5EB8" w:rsidP="569065DF" w:rsidRDefault="569065DF" w14:paraId="4F1D39CF" w14:textId="1DABDE53">
      <w:pPr>
        <w:rPr>
          <w:b/>
          <w:bCs/>
        </w:rPr>
      </w:pPr>
      <w:r w:rsidRPr="569065DF">
        <w:rPr>
          <w:b/>
          <w:bCs/>
        </w:rPr>
        <w:t>Inzet EBRD</w:t>
      </w:r>
      <w:r w:rsidRPr="569065DF">
        <w:rPr>
          <w:b/>
          <w:bCs/>
          <w:i/>
          <w:iCs/>
        </w:rPr>
        <w:t xml:space="preserve"> </w:t>
      </w:r>
      <w:proofErr w:type="spellStart"/>
      <w:r w:rsidRPr="569065DF">
        <w:rPr>
          <w:b/>
          <w:bCs/>
          <w:i/>
          <w:iCs/>
        </w:rPr>
        <w:t>reflows</w:t>
      </w:r>
      <w:proofErr w:type="spellEnd"/>
      <w:r w:rsidRPr="569065DF">
        <w:rPr>
          <w:b/>
          <w:bCs/>
          <w:i/>
          <w:iCs/>
        </w:rPr>
        <w:t xml:space="preserve"> </w:t>
      </w:r>
      <w:r w:rsidRPr="569065DF">
        <w:rPr>
          <w:b/>
          <w:bCs/>
        </w:rPr>
        <w:t>in</w:t>
      </w:r>
      <w:r w:rsidRPr="569065DF">
        <w:rPr>
          <w:b/>
          <w:bCs/>
          <w:i/>
          <w:iCs/>
        </w:rPr>
        <w:t xml:space="preserve"> </w:t>
      </w:r>
      <w:r w:rsidRPr="569065DF">
        <w:rPr>
          <w:b/>
          <w:bCs/>
        </w:rPr>
        <w:t xml:space="preserve">Oekraïne </w:t>
      </w:r>
    </w:p>
    <w:p w:rsidR="00A253CD" w:rsidP="00A253CD" w:rsidRDefault="00A253CD" w14:paraId="46356C21" w14:textId="1C0318C6">
      <w:r w:rsidRPr="00EE1E14">
        <w:t xml:space="preserve">In de Kamerbrief </w:t>
      </w:r>
      <w:r>
        <w:t>‘</w:t>
      </w:r>
      <w:r w:rsidRPr="00034B27">
        <w:t>Nederlandse inzet tijdens de Ukraine Recovery Conference in Rome</w:t>
      </w:r>
      <w:r>
        <w:t>’</w:t>
      </w:r>
      <w:r w:rsidRPr="00034B27">
        <w:rPr>
          <w:rStyle w:val="FootnoteReference"/>
        </w:rPr>
        <w:footnoteReference w:id="8"/>
      </w:r>
      <w:r w:rsidR="004040A6">
        <w:t xml:space="preserve"> van vorig jaar</w:t>
      </w:r>
      <w:r w:rsidRPr="00034B27">
        <w:t xml:space="preserve"> </w:t>
      </w:r>
      <w:r w:rsidRPr="00EE1E14">
        <w:t xml:space="preserve">is </w:t>
      </w:r>
      <w:r w:rsidR="004040A6">
        <w:t>uw Kamer medegedeeld</w:t>
      </w:r>
      <w:r w:rsidRPr="00EE1E14">
        <w:t xml:space="preserve"> dat er </w:t>
      </w:r>
      <w:r w:rsidRPr="00EE1E14" w:rsidR="004040A6">
        <w:t xml:space="preserve">via de EBRD </w:t>
      </w:r>
      <w:r w:rsidRPr="00EE1E14">
        <w:t>EUR 21</w:t>
      </w:r>
      <w:r w:rsidRPr="25F56975">
        <w:t>,</w:t>
      </w:r>
      <w:r w:rsidRPr="00EE1E14">
        <w:t xml:space="preserve">4 miljoen beschikbaar is gekomen om opnieuw in te zetten voor Oekraïne. EUR 8 miljoen afkomstig uit deze </w:t>
      </w:r>
      <w:proofErr w:type="spellStart"/>
      <w:r w:rsidRPr="25F56975">
        <w:rPr>
          <w:i/>
          <w:iCs/>
        </w:rPr>
        <w:t>reflow</w:t>
      </w:r>
      <w:proofErr w:type="spellEnd"/>
      <w:r w:rsidRPr="00EE1E14">
        <w:t xml:space="preserve"> zou worden ingezet als bijdrage aan de EBRD </w:t>
      </w:r>
      <w:r w:rsidRPr="25F56975">
        <w:rPr>
          <w:i/>
          <w:iCs/>
        </w:rPr>
        <w:t>Ukraine First</w:t>
      </w:r>
      <w:r w:rsidRPr="00EE1E14">
        <w:t xml:space="preserve"> Faciliteit</w:t>
      </w:r>
      <w:r>
        <w:t>.</w:t>
      </w:r>
      <w:r w:rsidRPr="25F56975">
        <w:t xml:space="preserve"> </w:t>
      </w:r>
      <w:r>
        <w:t>Aangezien</w:t>
      </w:r>
      <w:r w:rsidRPr="00EE1E14">
        <w:t xml:space="preserve"> het CRSF</w:t>
      </w:r>
      <w:r>
        <w:rPr>
          <w:rStyle w:val="FootnoteReference"/>
        </w:rPr>
        <w:footnoteReference w:id="9"/>
      </w:r>
      <w:r w:rsidRPr="00EE1E14">
        <w:t xml:space="preserve"> en </w:t>
      </w:r>
      <w:r w:rsidRPr="25F56975">
        <w:rPr>
          <w:i/>
          <w:iCs/>
        </w:rPr>
        <w:t xml:space="preserve">Ukraine First </w:t>
      </w:r>
      <w:r>
        <w:t>twee</w:t>
      </w:r>
      <w:r w:rsidRPr="00EE1E14">
        <w:t xml:space="preserve"> afzonderlijke fondsen </w:t>
      </w:r>
      <w:r>
        <w:t>zijn,</w:t>
      </w:r>
      <w:r w:rsidRPr="00EE1E14">
        <w:t xml:space="preserve"> wordt met deze constructie het risico op onnavolgbaarheid in de financiële administratie te groot geacht. Daarom is </w:t>
      </w:r>
      <w:r>
        <w:t>ervoor</w:t>
      </w:r>
      <w:r w:rsidRPr="25F56975">
        <w:t xml:space="preserve"> </w:t>
      </w:r>
      <w:r w:rsidRPr="00EE1E14">
        <w:t xml:space="preserve">gekozen om EUR 8 miljoen bij te dragen aan </w:t>
      </w:r>
      <w:r w:rsidRPr="25F56975">
        <w:rPr>
          <w:i/>
          <w:iCs/>
        </w:rPr>
        <w:t xml:space="preserve">Ukraine First </w:t>
      </w:r>
      <w:r w:rsidRPr="00EE1E14">
        <w:t>afkomstig uit de middelen ten behoeve van de niet-militaire steun aan Oekraïne in 2026</w:t>
      </w:r>
      <w:r w:rsidRPr="25F56975">
        <w:t>.</w:t>
      </w:r>
      <w:r>
        <w:rPr>
          <w:rStyle w:val="FootnoteReference"/>
        </w:rPr>
        <w:footnoteReference w:id="10"/>
      </w:r>
      <w:r w:rsidRPr="00EE1E14">
        <w:t xml:space="preserve"> De eerder aangekondigde bijdrage</w:t>
      </w:r>
      <w:r>
        <w:t>n</w:t>
      </w:r>
      <w:r w:rsidRPr="00EE1E14">
        <w:t xml:space="preserve"> van</w:t>
      </w:r>
      <w:r>
        <w:t xml:space="preserve"> gezamenlijk</w:t>
      </w:r>
      <w:r w:rsidRPr="00EE1E14">
        <w:t xml:space="preserve"> EUR 23 miljoen</w:t>
      </w:r>
      <w:r>
        <w:rPr>
          <w:rStyle w:val="FootnoteReference"/>
        </w:rPr>
        <w:footnoteReference w:id="11"/>
      </w:r>
      <w:r w:rsidRPr="25F56975">
        <w:t xml:space="preserve"> </w:t>
      </w:r>
      <w:r w:rsidRPr="00EE1E14">
        <w:t xml:space="preserve">via het CRSF van de EBRD ten behoeve van het Oekraïense staatsgasbedrijf </w:t>
      </w:r>
      <w:proofErr w:type="spellStart"/>
      <w:r w:rsidRPr="00EE1E14">
        <w:t>Naftogaz</w:t>
      </w:r>
      <w:proofErr w:type="spellEnd"/>
      <w:r w:rsidRPr="00EE1E14">
        <w:t xml:space="preserve"> zal voor EUR 15 miljoen afkomstig zijn uit de middelen voor 2026 en voor EUR 8 miljoen afkomstig zijn uit bovengenoemde </w:t>
      </w:r>
      <w:proofErr w:type="spellStart"/>
      <w:r w:rsidRPr="00DA0006">
        <w:rPr>
          <w:i/>
          <w:iCs/>
        </w:rPr>
        <w:t>reflow</w:t>
      </w:r>
      <w:proofErr w:type="spellEnd"/>
      <w:r w:rsidRPr="00EE1E14">
        <w:t xml:space="preserve">. </w:t>
      </w:r>
      <w:r>
        <w:t xml:space="preserve">De resterende EUR 13,4 miljoen wordt binnen het </w:t>
      </w:r>
      <w:r w:rsidRPr="003013FD">
        <w:rPr>
          <w:i/>
          <w:iCs/>
        </w:rPr>
        <w:t xml:space="preserve">Crisis Response Special Fund </w:t>
      </w:r>
      <w:r>
        <w:t>(CRSF) nogmaals besteed aan Oekraïne, waarmee d</w:t>
      </w:r>
      <w:r w:rsidRPr="00EE1E14">
        <w:t>e</w:t>
      </w:r>
      <w:r>
        <w:t xml:space="preserve"> inzet en</w:t>
      </w:r>
      <w:r w:rsidRPr="00EE1E14">
        <w:t xml:space="preserve"> hoogte van de bijdragen </w:t>
      </w:r>
      <w:r>
        <w:t xml:space="preserve">aan het CRSF </w:t>
      </w:r>
      <w:r w:rsidRPr="00EE1E14">
        <w:t>ongewijzigd</w:t>
      </w:r>
      <w:r>
        <w:t xml:space="preserve"> blijft.</w:t>
      </w:r>
    </w:p>
    <w:p w:rsidRPr="00DC2BAD" w:rsidR="004040A6" w:rsidP="00A253CD" w:rsidRDefault="004040A6" w14:paraId="742AF228" w14:textId="77777777"/>
    <w:p w:rsidR="00300DB4" w:rsidRDefault="00300DB4" w14:paraId="5296AAF7" w14:textId="77777777"/>
    <w:p w:rsidRPr="008C10C5" w:rsidR="008C10C5" w:rsidP="569065DF" w:rsidRDefault="569065DF" w14:paraId="081A70B4" w14:textId="6123583A">
      <w:pPr>
        <w:rPr>
          <w:b/>
          <w:bCs/>
        </w:rPr>
      </w:pPr>
      <w:r w:rsidRPr="569065DF">
        <w:rPr>
          <w:b/>
          <w:bCs/>
        </w:rPr>
        <w:lastRenderedPageBreak/>
        <w:t xml:space="preserve">Overzicht steun aan Oekraïne </w:t>
      </w:r>
    </w:p>
    <w:p w:rsidR="00322B76" w:rsidP="00BE2DA3" w:rsidRDefault="00BE2DA3" w14:paraId="1FB821D9" w14:textId="153471EE">
      <w:r>
        <w:t>Tijdens</w:t>
      </w:r>
      <w:r w:rsidRPr="00B722CE">
        <w:t xml:space="preserve"> het </w:t>
      </w:r>
      <w:r w:rsidR="004040A6">
        <w:t xml:space="preserve">Commissiedebat over </w:t>
      </w:r>
      <w:r w:rsidRPr="00B722CE">
        <w:t>Oekraïne</w:t>
      </w:r>
      <w:r w:rsidR="004040A6">
        <w:t xml:space="preserve"> met de minister van Buitenlandse Zaken</w:t>
      </w:r>
      <w:r w:rsidRPr="00B722CE">
        <w:t xml:space="preserve"> op 3 juni jl. </w:t>
      </w:r>
      <w:r>
        <w:t>heeft</w:t>
      </w:r>
      <w:r w:rsidRPr="00B722CE">
        <w:t xml:space="preserve"> uw Kamer </w:t>
      </w:r>
      <w:r>
        <w:t>verzocht</w:t>
      </w:r>
      <w:r w:rsidRPr="00B722CE">
        <w:t xml:space="preserve"> om een overzicht van de Nederlandse steun aan Oekraïne. </w:t>
      </w:r>
      <w:bookmarkStart w:name="_Hlk232587564" w:id="5"/>
      <w:r w:rsidRPr="00B722CE">
        <w:t>In onderstaande tabel staat de gerealiseerde en</w:t>
      </w:r>
      <w:r>
        <w:t xml:space="preserve"> </w:t>
      </w:r>
      <w:r w:rsidR="00C12314">
        <w:t>geraamde</w:t>
      </w:r>
      <w:r w:rsidRPr="00B722CE">
        <w:t xml:space="preserve"> Nederlandse militaire en niet-militaire Oekraïne-steun</w:t>
      </w:r>
      <w:r w:rsidR="00C74B44">
        <w:t xml:space="preserve"> op basis van stand Voorjaarsnota (netto uitgaven</w:t>
      </w:r>
      <w:r w:rsidR="00C74B44">
        <w:rPr>
          <w:rStyle w:val="FootnoteReference"/>
        </w:rPr>
        <w:footnoteReference w:id="12"/>
      </w:r>
      <w:r w:rsidR="00C74B44">
        <w:t>).</w:t>
      </w:r>
      <w:r w:rsidRPr="00B722CE">
        <w:t xml:space="preserve"> </w:t>
      </w:r>
      <w:r w:rsidRPr="005F3EF4">
        <w:t xml:space="preserve">Met Nota’s van </w:t>
      </w:r>
      <w:r>
        <w:t>W</w:t>
      </w:r>
      <w:r w:rsidRPr="005F3EF4">
        <w:t xml:space="preserve">ijziging op de begrotingen </w:t>
      </w:r>
      <w:r w:rsidR="00C74B44">
        <w:t xml:space="preserve">2026 </w:t>
      </w:r>
      <w:r w:rsidRPr="005F3EF4">
        <w:t>van B</w:t>
      </w:r>
      <w:r>
        <w:t>Z e</w:t>
      </w:r>
      <w:r w:rsidRPr="005F3EF4">
        <w:t xml:space="preserve">n </w:t>
      </w:r>
      <w:r>
        <w:t xml:space="preserve">BHO </w:t>
      </w:r>
      <w:r w:rsidRPr="005F3EF4">
        <w:t xml:space="preserve">is </w:t>
      </w:r>
      <w:r>
        <w:t xml:space="preserve">er </w:t>
      </w:r>
      <w:r w:rsidRPr="005F3EF4">
        <w:t xml:space="preserve">niet-militaire steun versneld beschikbaar gesteld </w:t>
      </w:r>
      <w:r w:rsidRPr="005F3EF4" w:rsidR="008134E8">
        <w:t xml:space="preserve">in 2026 </w:t>
      </w:r>
      <w:r w:rsidRPr="005F3EF4">
        <w:t>uit gereserveerde middelen voor niet-militaire steun aan Oekraïne in 2028 en 2029</w:t>
      </w:r>
      <w:r w:rsidR="000F5E51">
        <w:t>.</w:t>
      </w:r>
      <w:r>
        <w:rPr>
          <w:rStyle w:val="FootnoteReference"/>
        </w:rPr>
        <w:footnoteReference w:id="13"/>
      </w:r>
      <w:r>
        <w:t xml:space="preserve"> De </w:t>
      </w:r>
      <w:r w:rsidR="00C74B44">
        <w:t xml:space="preserve">Nota’s van Wijziging </w:t>
      </w:r>
      <w:r>
        <w:t>zijn opgenomen in</w:t>
      </w:r>
      <w:r w:rsidR="00C74B44">
        <w:t xml:space="preserve"> de standen in</w:t>
      </w:r>
      <w:r>
        <w:t xml:space="preserve"> onderstaande tabel. De militaire uitgaven zijn ongewijzigd ten opzichte van het overzicht dat de</w:t>
      </w:r>
      <w:r w:rsidRPr="00D10F28">
        <w:t xml:space="preserve"> minister van Defensie op 3 juni jl. </w:t>
      </w:r>
      <w:r>
        <w:t>deelde met uw Kamer.</w:t>
      </w:r>
      <w:r>
        <w:rPr>
          <w:rStyle w:val="FootnoteReference"/>
        </w:rPr>
        <w:footnoteReference w:id="14"/>
      </w:r>
      <w:r>
        <w:t xml:space="preserve"> </w:t>
      </w:r>
      <w:r w:rsidRPr="00643719" w:rsidR="00643719">
        <w:t>In de Miljoenennota 2027 zal u</w:t>
      </w:r>
      <w:r w:rsidR="00643719">
        <w:t>w Kamer</w:t>
      </w:r>
      <w:r w:rsidRPr="00643719" w:rsidR="00643719">
        <w:t xml:space="preserve"> opnieuw worden geïnformeerd over de totaal geraamde steun aan Oekraïne, zoals ook de afgelopen jaren het geval was.</w:t>
      </w:r>
      <w:bookmarkEnd w:id="5"/>
    </w:p>
    <w:p w:rsidR="00BE2DA3" w:rsidRDefault="00BE2DA3" w14:paraId="381EF86E" w14:textId="77777777"/>
    <w:p w:rsidRPr="00577E37" w:rsidR="00BE2DA3" w:rsidP="569065DF" w:rsidRDefault="569065DF" w14:paraId="52D5FA2A" w14:textId="07231808">
      <w:pPr>
        <w:rPr>
          <w:i/>
          <w:iCs/>
          <w:sz w:val="16"/>
          <w:szCs w:val="16"/>
        </w:rPr>
      </w:pPr>
      <w:r w:rsidRPr="569065DF">
        <w:rPr>
          <w:i/>
          <w:iCs/>
          <w:sz w:val="16"/>
          <w:szCs w:val="16"/>
        </w:rPr>
        <w:t>Overzicht gerealiseerde en geraamde Nederlandse steun aan Oekraïne (in miljoenen euro’s)</w:t>
      </w:r>
    </w:p>
    <w:tbl>
      <w:tblPr>
        <w:tblW w:w="9469" w:type="dxa"/>
        <w:tblCellMar>
          <w:left w:w="70" w:type="dxa"/>
          <w:right w:w="70" w:type="dxa"/>
        </w:tblCellMar>
        <w:tblLook w:val="04A0" w:firstRow="1" w:lastRow="0" w:firstColumn="1" w:lastColumn="0" w:noHBand="0" w:noVBand="1"/>
      </w:tblPr>
      <w:tblGrid>
        <w:gridCol w:w="1531"/>
        <w:gridCol w:w="1984"/>
        <w:gridCol w:w="510"/>
        <w:gridCol w:w="510"/>
        <w:gridCol w:w="510"/>
        <w:gridCol w:w="510"/>
        <w:gridCol w:w="510"/>
        <w:gridCol w:w="510"/>
        <w:gridCol w:w="510"/>
        <w:gridCol w:w="510"/>
        <w:gridCol w:w="510"/>
        <w:gridCol w:w="510"/>
        <w:gridCol w:w="854"/>
      </w:tblGrid>
      <w:tr w:rsidRPr="006A0871" w:rsidR="00577E37" w:rsidTr="569065DF" w14:paraId="5D461DA4"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75EB0422" w14:textId="77777777">
            <w:pPr>
              <w:spacing w:line="240" w:lineRule="auto"/>
              <w:rPr>
                <w:rFonts w:ascii="Calibri" w:hAnsi="Calibri" w:eastAsia="Times New Roman" w:cs="Calibri"/>
                <w:b/>
                <w:bCs/>
                <w:sz w:val="14"/>
                <w:szCs w:val="14"/>
              </w:rPr>
            </w:pPr>
            <w:r w:rsidRPr="569065DF">
              <w:rPr>
                <w:rFonts w:ascii="Calibri" w:hAnsi="Calibri" w:eastAsia="Times New Roman" w:cs="Calibri"/>
                <w:b/>
                <w:bCs/>
                <w:sz w:val="14"/>
                <w:szCs w:val="14"/>
              </w:rPr>
              <w:t>Categorie</w:t>
            </w:r>
          </w:p>
        </w:tc>
        <w:tc>
          <w:tcPr>
            <w:tcW w:w="1984"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540A7540" w14:textId="77777777">
            <w:pPr>
              <w:spacing w:line="240" w:lineRule="auto"/>
              <w:rPr>
                <w:rFonts w:ascii="Calibri" w:hAnsi="Calibri" w:eastAsia="Times New Roman" w:cs="Calibri"/>
                <w:b/>
                <w:bCs/>
                <w:sz w:val="14"/>
                <w:szCs w:val="14"/>
              </w:rPr>
            </w:pPr>
            <w:r w:rsidRPr="569065DF">
              <w:rPr>
                <w:rFonts w:ascii="Calibri" w:hAnsi="Calibri" w:eastAsia="Times New Roman" w:cs="Calibri"/>
                <w:b/>
                <w:bCs/>
                <w:sz w:val="14"/>
                <w:szCs w:val="14"/>
              </w:rPr>
              <w:t>Begroting</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3040FD7B"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2022</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48491A5F"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2023</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37857B50"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2024</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16D88CDF"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2025</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0CA11491"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2026</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1A9EB214"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2027</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552273F8"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2028</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25C7CE9B"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2029</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7D4DDE28"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2030</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2F509A2C"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2031</w:t>
            </w:r>
          </w:p>
        </w:tc>
        <w:tc>
          <w:tcPr>
            <w:tcW w:w="854"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hideMark/>
          </w:tcPr>
          <w:p w:rsidRPr="00577E37" w:rsidR="00BE2DA3" w:rsidP="569065DF" w:rsidRDefault="569065DF" w14:paraId="4237445B" w14:textId="77777777">
            <w:pPr>
              <w:spacing w:line="240" w:lineRule="auto"/>
              <w:jc w:val="right"/>
              <w:rPr>
                <w:rFonts w:ascii="Calibri" w:hAnsi="Calibri" w:eastAsia="Times New Roman" w:cs="Calibri"/>
                <w:b/>
                <w:bCs/>
                <w:sz w:val="14"/>
                <w:szCs w:val="14"/>
              </w:rPr>
            </w:pPr>
            <w:r w:rsidRPr="569065DF">
              <w:rPr>
                <w:rFonts w:ascii="Calibri" w:hAnsi="Calibri" w:eastAsia="Times New Roman" w:cs="Calibri"/>
                <w:b/>
                <w:bCs/>
                <w:sz w:val="14"/>
                <w:szCs w:val="14"/>
              </w:rPr>
              <w:t xml:space="preserve">Cumulatief </w:t>
            </w:r>
          </w:p>
        </w:tc>
      </w:tr>
      <w:tr w:rsidRPr="006A0871" w:rsidR="00BE2DA3" w:rsidTr="569065DF" w14:paraId="6998B6AC"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65EBFA76" w14:textId="77777777">
            <w:pPr>
              <w:spacing w:line="240" w:lineRule="auto"/>
              <w:rPr>
                <w:rFonts w:ascii="Calibri" w:hAnsi="Calibri" w:eastAsia="Times New Roman" w:cs="Calibri"/>
                <w:b/>
                <w:bCs/>
                <w:sz w:val="14"/>
                <w:szCs w:val="14"/>
              </w:rPr>
            </w:pPr>
            <w:r w:rsidRPr="569065DF">
              <w:rPr>
                <w:rFonts w:ascii="Calibri" w:hAnsi="Calibri" w:eastAsia="Times New Roman" w:cs="Calibri"/>
                <w:b/>
                <w:bCs/>
                <w:sz w:val="14"/>
                <w:szCs w:val="14"/>
              </w:rPr>
              <w:t>Militaire steun</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28F47190" w14:textId="77777777">
            <w:pPr>
              <w:spacing w:line="240" w:lineRule="auto"/>
              <w:rPr>
                <w:rFonts w:ascii="Calibri" w:hAnsi="Calibri" w:eastAsia="Times New Roman" w:cs="Calibri"/>
                <w:b/>
                <w:bCs/>
                <w:sz w:val="14"/>
                <w:szCs w:val="14"/>
              </w:rPr>
            </w:pPr>
            <w:r w:rsidRPr="569065DF">
              <w:rPr>
                <w:rFonts w:ascii="Calibri" w:hAnsi="Calibri" w:eastAsia="Times New Roman" w:cs="Calibri"/>
                <w:b/>
                <w:bCs/>
                <w:sz w:val="14"/>
                <w:szCs w:val="14"/>
              </w:rPr>
              <w:t>Totaal</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44B55BFB" w14:textId="212F849B">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171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7C968EA3" w14:textId="6E4209FF">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965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36EAF6FB" w14:textId="1C7E2491">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2.482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6F11C715" w14:textId="714A0406">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5.528</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180F70E9" w14:textId="10D95052">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2.980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236B4CEC" w14:textId="04BECBFD">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3.000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6672CF00" w14:textId="0BA9C5EF">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3.000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5D7C27F6" w14:textId="26C2970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2.563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7F15F6F5" w14:textId="3FFFE4BD">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40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08B0191B" w14:textId="5EEBE860">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66BFDD46" w14:textId="49BDE369">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20.749</w:t>
            </w:r>
          </w:p>
        </w:tc>
      </w:tr>
      <w:tr w:rsidRPr="006A0871" w:rsidR="00BE2DA3" w:rsidTr="569065DF" w14:paraId="0EA466EA"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22A4C212" w14:textId="77777777">
            <w:pPr>
              <w:spacing w:line="240" w:lineRule="auto"/>
              <w:rPr>
                <w:rFonts w:ascii="Calibri" w:hAnsi="Calibri" w:eastAsia="Times New Roman" w:cs="Calibri"/>
                <w:b/>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5B6015C" w14:textId="77777777">
            <w:pPr>
              <w:spacing w:line="240" w:lineRule="auto"/>
              <w:rPr>
                <w:rFonts w:ascii="Calibri" w:hAnsi="Calibri" w:eastAsia="Times New Roman" w:cs="Calibri"/>
                <w:sz w:val="14"/>
                <w:szCs w:val="14"/>
              </w:rPr>
            </w:pPr>
            <w:r w:rsidRPr="569065DF">
              <w:rPr>
                <w:rFonts w:ascii="Calibri" w:hAnsi="Calibri" w:eastAsia="Times New Roman" w:cs="Calibri"/>
                <w:sz w:val="14"/>
                <w:szCs w:val="14"/>
              </w:rPr>
              <w:t>Buitenlandse Zaken</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25EF193" w14:textId="24E5824B">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1F66755D" w14:textId="689F01C1">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8B125E9" w14:textId="78808AA6">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F082D2A" w14:textId="0E6FD84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75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7B99612" w14:textId="254426BB">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5BF2D72" w14:textId="75BBE176">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23F4076" w14:textId="07E0FF8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F98C4BC" w14:textId="525CB30F">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2C04047" w14:textId="55C0A27A">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46ED7C9" w14:textId="7DEE6692">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B58F464" w14:textId="21787A44">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100</w:t>
            </w:r>
          </w:p>
        </w:tc>
      </w:tr>
      <w:tr w:rsidRPr="006A0871" w:rsidR="00BE2DA3" w:rsidTr="569065DF" w14:paraId="3E21737B"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540CD687" w14:textId="77777777">
            <w:pPr>
              <w:spacing w:line="240" w:lineRule="auto"/>
              <w:rPr>
                <w:rFonts w:ascii="Calibri" w:hAnsi="Calibri" w:eastAsia="Times New Roman" w:cs="Calibri"/>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B8EE9BD" w14:textId="77777777">
            <w:pPr>
              <w:spacing w:line="240" w:lineRule="auto"/>
              <w:rPr>
                <w:rFonts w:ascii="Calibri" w:hAnsi="Calibri" w:eastAsia="Times New Roman" w:cs="Calibri"/>
                <w:sz w:val="14"/>
                <w:szCs w:val="14"/>
              </w:rPr>
            </w:pPr>
            <w:r w:rsidRPr="569065DF">
              <w:rPr>
                <w:rFonts w:ascii="Calibri" w:hAnsi="Calibri" w:eastAsia="Times New Roman" w:cs="Calibri"/>
                <w:sz w:val="14"/>
                <w:szCs w:val="14"/>
              </w:rPr>
              <w:t>Defensie (incl. DMF)</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4A9B255" w14:textId="1CBD3CA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171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D2B22F8" w14:textId="13BA41E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965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AE977DB" w14:textId="74718A4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2.482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9A7FED2" w14:textId="1556D2FC">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5.453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CE7BEA4" w14:textId="0519142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2.955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11897931" w14:textId="09E2F40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965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1FAF795" w14:textId="4DBB2EE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597</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3F90477" w14:textId="7E16C271">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145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32D344E" w14:textId="6E5B38E2">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40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83C5D8A" w14:textId="328668A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20</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EDD62BA" w14:textId="7E4DFF6F">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13.793</w:t>
            </w:r>
          </w:p>
        </w:tc>
      </w:tr>
      <w:tr w:rsidRPr="006A0871" w:rsidR="00BE2DA3" w:rsidTr="569065DF" w14:paraId="0B334522"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2457FD8B" w14:textId="77777777">
            <w:pPr>
              <w:spacing w:line="240" w:lineRule="auto"/>
              <w:rPr>
                <w:rFonts w:ascii="Calibri" w:hAnsi="Calibri" w:eastAsia="Times New Roman" w:cs="Calibri"/>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EA67863" w14:textId="77777777">
            <w:pPr>
              <w:spacing w:line="240" w:lineRule="auto"/>
              <w:rPr>
                <w:rFonts w:ascii="Calibri" w:hAnsi="Calibri" w:eastAsia="Times New Roman" w:cs="Calibri"/>
                <w:sz w:val="14"/>
                <w:szCs w:val="14"/>
              </w:rPr>
            </w:pPr>
            <w:r w:rsidRPr="569065DF">
              <w:rPr>
                <w:rFonts w:ascii="Calibri" w:hAnsi="Calibri" w:eastAsia="Times New Roman" w:cs="Calibri"/>
                <w:sz w:val="14"/>
                <w:szCs w:val="14"/>
              </w:rPr>
              <w:t>Aanvullende Post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3656554" w14:textId="5EA7643C">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3ED088D" w14:textId="36FFC72F">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476DFC8A" w14:textId="6067F38D">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17E0283" w14:textId="434B9C5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A334743" w14:textId="4B52C940">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C41AFDA" w14:textId="7FD5485C">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2.035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F042838" w14:textId="7BC6281C">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2.403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D87C702" w14:textId="50A45E08">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2.418</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1CEA6953" w14:textId="526590B6">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7D76792" w14:textId="0CB1818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4DAD44BF" w14:textId="45EE1C58">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6.856</w:t>
            </w:r>
          </w:p>
        </w:tc>
      </w:tr>
      <w:tr w:rsidRPr="006A0871" w:rsidR="00BE2DA3" w:rsidTr="569065DF" w14:paraId="413D3BA6"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48EFD27D" w14:textId="77777777">
            <w:pPr>
              <w:spacing w:line="240" w:lineRule="auto"/>
              <w:rPr>
                <w:rFonts w:ascii="Calibri" w:hAnsi="Calibri" w:eastAsia="Times New Roman" w:cs="Calibri"/>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336AD489" w14:textId="77777777">
            <w:pPr>
              <w:spacing w:line="240" w:lineRule="auto"/>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24685E6B" w14:textId="77777777">
            <w:pPr>
              <w:spacing w:line="240" w:lineRule="auto"/>
              <w:jc w:val="center"/>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52FAEFC2" w14:textId="77777777">
            <w:pPr>
              <w:spacing w:line="240" w:lineRule="auto"/>
              <w:jc w:val="center"/>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7FCCCADA" w14:textId="77777777">
            <w:pPr>
              <w:spacing w:line="240" w:lineRule="auto"/>
              <w:jc w:val="center"/>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6E8F042E" w14:textId="77777777">
            <w:pPr>
              <w:spacing w:line="240" w:lineRule="auto"/>
              <w:jc w:val="center"/>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7FA043A1" w14:textId="77777777">
            <w:pPr>
              <w:spacing w:line="240" w:lineRule="auto"/>
              <w:jc w:val="center"/>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424F7F7C" w14:textId="77777777">
            <w:pPr>
              <w:spacing w:line="240" w:lineRule="auto"/>
              <w:jc w:val="center"/>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7EDA8598" w14:textId="77777777">
            <w:pPr>
              <w:spacing w:line="240" w:lineRule="auto"/>
              <w:jc w:val="center"/>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20441859" w14:textId="77777777">
            <w:pPr>
              <w:spacing w:line="240" w:lineRule="auto"/>
              <w:jc w:val="center"/>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6F66D92F" w14:textId="77777777">
            <w:pPr>
              <w:spacing w:line="240" w:lineRule="auto"/>
              <w:jc w:val="center"/>
              <w:rPr>
                <w:rFonts w:ascii="Times New Roman" w:hAnsi="Times New Roman" w:eastAsia="Times New Roman" w:cs="Times New Roman"/>
                <w:sz w:val="14"/>
                <w:szCs w:val="14"/>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57A6CB85" w14:textId="77777777">
            <w:pPr>
              <w:spacing w:line="240" w:lineRule="auto"/>
              <w:jc w:val="center"/>
              <w:rPr>
                <w:rFonts w:ascii="Times New Roman" w:hAnsi="Times New Roman" w:eastAsia="Times New Roman" w:cs="Times New Roman"/>
                <w:sz w:val="14"/>
                <w:szCs w:val="14"/>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D343EC" w:rsidRDefault="00BE2DA3" w14:paraId="34DA9970" w14:textId="77777777">
            <w:pPr>
              <w:spacing w:line="240" w:lineRule="auto"/>
              <w:jc w:val="center"/>
              <w:rPr>
                <w:rFonts w:ascii="Times New Roman" w:hAnsi="Times New Roman" w:eastAsia="Times New Roman" w:cs="Times New Roman"/>
                <w:sz w:val="14"/>
                <w:szCs w:val="14"/>
              </w:rPr>
            </w:pPr>
          </w:p>
        </w:tc>
      </w:tr>
      <w:tr w:rsidRPr="006A0871" w:rsidR="00BE2DA3" w:rsidTr="569065DF" w14:paraId="76CE82E5"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6526209A" w14:textId="77777777">
            <w:pPr>
              <w:spacing w:line="240" w:lineRule="auto"/>
              <w:rPr>
                <w:rFonts w:ascii="Calibri" w:hAnsi="Calibri" w:eastAsia="Times New Roman" w:cs="Calibri"/>
                <w:b/>
                <w:bCs/>
                <w:sz w:val="14"/>
                <w:szCs w:val="14"/>
              </w:rPr>
            </w:pPr>
            <w:r w:rsidRPr="569065DF">
              <w:rPr>
                <w:rFonts w:ascii="Calibri" w:hAnsi="Calibri" w:eastAsia="Times New Roman" w:cs="Calibri"/>
                <w:b/>
                <w:bCs/>
                <w:sz w:val="14"/>
                <w:szCs w:val="14"/>
              </w:rPr>
              <w:t>Niet-militaire steun</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02BD90DC" w14:textId="77777777">
            <w:pPr>
              <w:spacing w:line="240" w:lineRule="auto"/>
              <w:rPr>
                <w:rFonts w:ascii="Calibri" w:hAnsi="Calibri" w:eastAsia="Times New Roman" w:cs="Calibri"/>
                <w:b/>
                <w:bCs/>
                <w:sz w:val="14"/>
                <w:szCs w:val="14"/>
              </w:rPr>
            </w:pPr>
            <w:r w:rsidRPr="569065DF">
              <w:rPr>
                <w:rFonts w:ascii="Calibri" w:hAnsi="Calibri" w:eastAsia="Times New Roman" w:cs="Calibri"/>
                <w:b/>
                <w:bCs/>
                <w:sz w:val="14"/>
                <w:szCs w:val="14"/>
              </w:rPr>
              <w:t>Totaal</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3D6B0464" w14:textId="681B51EC">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457</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4D943A36" w14:textId="7B5569F8">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546</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4A89F7D8" w14:textId="26C38F28">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807</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29F5E539" w14:textId="3AA99525">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547</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596787AF" w14:textId="19F69DCE">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1.109</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73CD2574" w14:textId="09203DDE">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960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2022CE06" w14:textId="34DE507F">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403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724691D2" w14:textId="77C43B28">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401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185516BC" w14:textId="312AEE0C">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-32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1355DE13" w14:textId="7805DE43">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-71</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BE2DA3" w:rsidP="569065DF" w:rsidRDefault="569065DF" w14:paraId="60354615" w14:textId="16C722AB">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5.127</w:t>
            </w:r>
          </w:p>
        </w:tc>
      </w:tr>
      <w:tr w:rsidRPr="006A0871" w:rsidR="00BE2DA3" w:rsidTr="569065DF" w14:paraId="3576E83A"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6B808147" w14:textId="77777777">
            <w:pPr>
              <w:spacing w:line="240" w:lineRule="auto"/>
              <w:rPr>
                <w:rFonts w:ascii="Calibri" w:hAnsi="Calibri" w:eastAsia="Times New Roman" w:cs="Calibri"/>
                <w:b/>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BEC64D3" w14:textId="77777777">
            <w:pPr>
              <w:spacing w:line="240" w:lineRule="auto"/>
              <w:rPr>
                <w:rFonts w:ascii="Calibri" w:hAnsi="Calibri" w:eastAsia="Times New Roman" w:cs="Calibri"/>
                <w:sz w:val="14"/>
                <w:szCs w:val="14"/>
              </w:rPr>
            </w:pPr>
            <w:r w:rsidRPr="569065DF">
              <w:rPr>
                <w:rFonts w:ascii="Calibri" w:hAnsi="Calibri" w:eastAsia="Times New Roman" w:cs="Calibri"/>
                <w:sz w:val="14"/>
                <w:szCs w:val="14"/>
              </w:rPr>
              <w:t>Buitenlandse Zaken (incl. BHO)</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6E4B902" w14:textId="0B85CD86">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257</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F9A7112" w14:textId="1E768626">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396</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2F09662" w14:textId="14E65E9F">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641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2C5F516" w14:textId="012694C9">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512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F580B67" w14:textId="2300DC78">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1.053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FBA7A62" w14:textId="462AE8F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674</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FF5FE35" w14:textId="6B29F2D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68</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B2613C9" w14:textId="5641B28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61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ED212BB" w14:textId="10287D9C">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28</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C2594EE" w14:textId="28055A51">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28</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8CF5830" w14:textId="2B67B78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3.718</w:t>
            </w:r>
          </w:p>
        </w:tc>
      </w:tr>
      <w:tr w:rsidRPr="006A0871" w:rsidR="00BE2DA3" w:rsidTr="569065DF" w14:paraId="60D3640C"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2DB7DB27" w14:textId="77777777">
            <w:pPr>
              <w:spacing w:line="240" w:lineRule="auto"/>
              <w:rPr>
                <w:rFonts w:ascii="Calibri" w:hAnsi="Calibri" w:eastAsia="Times New Roman" w:cs="Calibri"/>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15F3818" w14:textId="77777777">
            <w:pPr>
              <w:spacing w:line="240" w:lineRule="auto"/>
              <w:rPr>
                <w:rFonts w:ascii="Calibri" w:hAnsi="Calibri" w:eastAsia="Times New Roman" w:cs="Calibri"/>
                <w:sz w:val="14"/>
                <w:szCs w:val="14"/>
              </w:rPr>
            </w:pPr>
            <w:r w:rsidRPr="569065DF">
              <w:rPr>
                <w:rFonts w:ascii="Calibri" w:hAnsi="Calibri" w:eastAsia="Times New Roman" w:cs="Calibri"/>
                <w:sz w:val="14"/>
                <w:szCs w:val="14"/>
              </w:rPr>
              <w:t>Financiën</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CF7AACA" w14:textId="7F7AD22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200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45FD876" w14:textId="167DC824">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137</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BFFD3F9" w14:textId="5F5B25FD">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134</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073DEA2" w14:textId="49567C7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34</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830CB57" w14:textId="6942C1BA">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42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2F57DF4" w14:textId="7360B380">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42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EEDE012" w14:textId="438F59D9">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6B9D1A0" w14:textId="7B4B1C8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1ABE514" w14:textId="6FF8DFE0">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-73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4A801724" w14:textId="6A0001B8">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-112</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F04A8FB" w14:textId="74CC9706">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406</w:t>
            </w:r>
          </w:p>
        </w:tc>
      </w:tr>
      <w:tr w:rsidRPr="006A0871" w:rsidR="00BE2DA3" w:rsidTr="569065DF" w14:paraId="44C6EDA8"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28B20969" w14:textId="77777777">
            <w:pPr>
              <w:spacing w:line="240" w:lineRule="auto"/>
              <w:rPr>
                <w:rFonts w:ascii="Calibri" w:hAnsi="Calibri" w:eastAsia="Times New Roman" w:cs="Calibri"/>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11FCDF2" w14:textId="77777777">
            <w:pPr>
              <w:spacing w:line="240" w:lineRule="auto"/>
              <w:rPr>
                <w:rFonts w:ascii="Calibri" w:hAnsi="Calibri" w:eastAsia="Times New Roman" w:cs="Calibri"/>
                <w:sz w:val="14"/>
                <w:szCs w:val="14"/>
              </w:rPr>
            </w:pPr>
            <w:r w:rsidRPr="569065DF">
              <w:rPr>
                <w:rFonts w:ascii="Calibri" w:hAnsi="Calibri" w:eastAsia="Times New Roman" w:cs="Calibri"/>
                <w:sz w:val="14"/>
                <w:szCs w:val="14"/>
              </w:rPr>
              <w:t>Justitie en Veiligheid</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4C2C9DB9" w14:textId="68A5FB8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6AB8FC1" w14:textId="054026C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EB6DF3D" w14:textId="1D1471C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89F183B" w14:textId="7A8877D4">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A714694" w14:textId="5AAEB782">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14</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6AD8FFA" w14:textId="005DD82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B795F89" w14:textId="164477F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A52CBF4" w14:textId="214BBE4A">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56750E5" w14:textId="50AC3ABA">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7972154" w14:textId="4755593B">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13</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BE67FF0" w14:textId="17B6E8E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82</w:t>
            </w:r>
          </w:p>
        </w:tc>
      </w:tr>
      <w:tr w:rsidRPr="006A0871" w:rsidR="00BE2DA3" w:rsidTr="569065DF" w14:paraId="557B5AD7"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1E982D36" w14:textId="77777777">
            <w:pPr>
              <w:spacing w:line="240" w:lineRule="auto"/>
              <w:rPr>
                <w:rFonts w:ascii="Calibri" w:hAnsi="Calibri" w:eastAsia="Times New Roman" w:cs="Calibri"/>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4F0B28AA" w14:textId="77777777">
            <w:pPr>
              <w:spacing w:line="240" w:lineRule="auto"/>
              <w:rPr>
                <w:rFonts w:ascii="Calibri" w:hAnsi="Calibri" w:eastAsia="Times New Roman" w:cs="Calibri"/>
                <w:sz w:val="14"/>
                <w:szCs w:val="14"/>
              </w:rPr>
            </w:pPr>
            <w:r w:rsidRPr="569065DF">
              <w:rPr>
                <w:rFonts w:ascii="Calibri" w:hAnsi="Calibri" w:eastAsia="Times New Roman" w:cs="Calibri"/>
                <w:sz w:val="14"/>
                <w:szCs w:val="14"/>
              </w:rPr>
              <w:t>Aanvullende Post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A23D680" w14:textId="6AC7EA99">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4BE8D70C" w14:textId="4D2AF14A">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3E8ECC97" w14:textId="1A05150C">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74B7F8C" w14:textId="6F87666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668C44B" w14:textId="3474DB44">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C3F786B" w14:textId="3909540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231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19FB6E6D" w14:textId="7F5725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321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DC7FEFF" w14:textId="77AB8B0C">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326</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C8E6DB4" w14:textId="726181C0">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F136FE6" w14:textId="32650AA2">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7B8BEC6" w14:textId="186305C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878</w:t>
            </w:r>
          </w:p>
        </w:tc>
      </w:tr>
      <w:tr w:rsidRPr="006A0871" w:rsidR="00BE2DA3" w:rsidTr="569065DF" w14:paraId="5B8A3366"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00947F66" w:rsidRDefault="00BE2DA3" w14:paraId="7858CAAF" w14:textId="77777777">
            <w:pPr>
              <w:spacing w:line="240" w:lineRule="auto"/>
              <w:rPr>
                <w:rFonts w:ascii="Calibri" w:hAnsi="Calibri" w:eastAsia="Times New Roman" w:cs="Calibri"/>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164A0F3" w14:textId="77777777">
            <w:pPr>
              <w:spacing w:line="240" w:lineRule="auto"/>
              <w:rPr>
                <w:rFonts w:ascii="Calibri" w:hAnsi="Calibri" w:eastAsia="Times New Roman" w:cs="Calibri"/>
                <w:sz w:val="14"/>
                <w:szCs w:val="14"/>
              </w:rPr>
            </w:pPr>
            <w:r w:rsidRPr="569065DF">
              <w:rPr>
                <w:rFonts w:ascii="Calibri" w:hAnsi="Calibri" w:eastAsia="Times New Roman" w:cs="Calibri"/>
                <w:sz w:val="14"/>
                <w:szCs w:val="14"/>
              </w:rPr>
              <w:t>Overig (EZ, KGG, IenW, OCW)</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C7F4A0B" w14:textId="303B6209">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A485195" w14:textId="5CEB322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136E67FB" w14:textId="4A324B90">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30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0D97D5C6" w14:textId="68E19890">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14F0D700" w14:textId="6734734C">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674D075" w14:textId="1A5FFDD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7A6E1C90" w14:textId="6FE0EF85">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D4AB2E0" w14:textId="12D5D8EE">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65BD313C" w14:textId="7A655B93">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2616C05C" w14:textId="7AF8FD81">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BE2DA3" w:rsidP="569065DF" w:rsidRDefault="569065DF" w14:paraId="51DE6309" w14:textId="66E77628">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43</w:t>
            </w:r>
          </w:p>
        </w:tc>
      </w:tr>
    </w:tbl>
    <w:p w:rsidR="00BE2DA3" w:rsidRDefault="00BE2DA3" w14:paraId="5506329F" w14:textId="77777777"/>
    <w:p w:rsidR="00577E37" w:rsidRDefault="00577E37" w14:paraId="317B1530" w14:textId="5224447D">
      <w:r>
        <w:t>Naast bovenstaande steun aan Oekraïne</w:t>
      </w:r>
      <w:r w:rsidRPr="00577E37">
        <w:t xml:space="preserve"> </w:t>
      </w:r>
      <w:r>
        <w:t xml:space="preserve">zijn er </w:t>
      </w:r>
      <w:r w:rsidR="00EB0785">
        <w:t xml:space="preserve">in EU-kader </w:t>
      </w:r>
      <w:r w:rsidRPr="005F3EF4">
        <w:t>garanties en leningen</w:t>
      </w:r>
      <w:r>
        <w:t xml:space="preserve"> verstrekt via de begroting van het </w:t>
      </w:r>
      <w:r w:rsidR="00EB0785">
        <w:t>m</w:t>
      </w:r>
      <w:r>
        <w:t>inisterie van Financiën.</w:t>
      </w:r>
      <w:r>
        <w:rPr>
          <w:rStyle w:val="FootnoteReference"/>
        </w:rPr>
        <w:footnoteReference w:id="15"/>
      </w:r>
    </w:p>
    <w:p w:rsidR="00577E37" w:rsidRDefault="00577E37" w14:paraId="663A4C23" w14:textId="77777777"/>
    <w:tbl>
      <w:tblPr>
        <w:tblW w:w="9469" w:type="dxa"/>
        <w:tblCellMar>
          <w:left w:w="70" w:type="dxa"/>
          <w:right w:w="70" w:type="dxa"/>
        </w:tblCellMar>
        <w:tblLook w:val="04A0" w:firstRow="1" w:lastRow="0" w:firstColumn="1" w:lastColumn="0" w:noHBand="0" w:noVBand="1"/>
      </w:tblPr>
      <w:tblGrid>
        <w:gridCol w:w="1531"/>
        <w:gridCol w:w="1984"/>
        <w:gridCol w:w="510"/>
        <w:gridCol w:w="510"/>
        <w:gridCol w:w="510"/>
        <w:gridCol w:w="510"/>
        <w:gridCol w:w="510"/>
        <w:gridCol w:w="510"/>
        <w:gridCol w:w="510"/>
        <w:gridCol w:w="510"/>
        <w:gridCol w:w="510"/>
        <w:gridCol w:w="510"/>
        <w:gridCol w:w="854"/>
      </w:tblGrid>
      <w:tr w:rsidRPr="00577E37" w:rsidR="00577E37" w:rsidTr="569065DF" w14:paraId="2223857A"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A0006" w:rsidR="00577E37" w:rsidP="569065DF" w:rsidRDefault="569065DF" w14:paraId="59D7D37E" w14:textId="5BB6A343">
            <w:pPr>
              <w:spacing w:line="240" w:lineRule="auto"/>
              <w:rPr>
                <w:rFonts w:ascii="Calibri" w:hAnsi="Calibri" w:eastAsia="Times New Roman" w:cs="Calibri"/>
                <w:b/>
                <w:bCs/>
                <w:sz w:val="14"/>
                <w:szCs w:val="14"/>
              </w:rPr>
            </w:pPr>
            <w:r w:rsidRPr="569065DF">
              <w:rPr>
                <w:rFonts w:ascii="Calibri" w:hAnsi="Calibri" w:eastAsia="Times New Roman" w:cs="Calibri"/>
                <w:b/>
                <w:bCs/>
                <w:sz w:val="14"/>
                <w:szCs w:val="14"/>
              </w:rPr>
              <w:t>Categorie</w:t>
            </w:r>
          </w:p>
        </w:tc>
        <w:tc>
          <w:tcPr>
            <w:tcW w:w="1984"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A0006" w:rsidR="00577E37" w:rsidP="569065DF" w:rsidRDefault="569065DF" w14:paraId="47D976C5" w14:textId="08A21FAE">
            <w:pPr>
              <w:spacing w:line="240" w:lineRule="auto"/>
              <w:rPr>
                <w:rFonts w:ascii="Calibri" w:hAnsi="Calibri" w:eastAsia="Times New Roman" w:cs="Calibri"/>
                <w:b/>
                <w:bCs/>
                <w:sz w:val="14"/>
                <w:szCs w:val="14"/>
              </w:rPr>
            </w:pPr>
            <w:r w:rsidRPr="569065DF">
              <w:rPr>
                <w:rFonts w:ascii="Calibri" w:hAnsi="Calibri" w:eastAsia="Times New Roman" w:cs="Calibri"/>
                <w:b/>
                <w:bCs/>
                <w:sz w:val="14"/>
                <w:szCs w:val="14"/>
              </w:rPr>
              <w:t>Begroting</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343EC" w:rsidR="00577E37" w:rsidP="569065DF" w:rsidRDefault="569065DF" w14:paraId="7CAE2FEA" w14:textId="4EA5FD9F">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2022</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A0006" w:rsidR="00577E37" w:rsidP="569065DF" w:rsidRDefault="569065DF" w14:paraId="417127BB" w14:textId="50FFAB6E">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2023</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A0006" w:rsidR="00577E37" w:rsidP="569065DF" w:rsidRDefault="569065DF" w14:paraId="2D0E175D" w14:textId="7B607FA9">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2024</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A0006" w:rsidR="00577E37" w:rsidDel="00BE2DA3" w:rsidP="569065DF" w:rsidRDefault="569065DF" w14:paraId="10A309E1" w14:textId="400E7B64">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2025</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00577E37" w:rsidP="569065DF" w:rsidRDefault="569065DF" w14:paraId="59BEADF7" w14:textId="06A0950E">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2026</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343EC" w:rsidR="00577E37" w:rsidP="569065DF" w:rsidRDefault="569065DF" w14:paraId="0324C389" w14:textId="5982F8E0">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2027</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343EC" w:rsidR="00577E37" w:rsidP="569065DF" w:rsidRDefault="569065DF" w14:paraId="346E1A57" w14:textId="10928B76">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2028</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343EC" w:rsidR="00577E37" w:rsidP="569065DF" w:rsidRDefault="569065DF" w14:paraId="7EF53E97" w14:textId="60FCD86D">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2029</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343EC" w:rsidR="00577E37" w:rsidP="569065DF" w:rsidRDefault="569065DF" w14:paraId="216F2689" w14:textId="5F07AE0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2030</w:t>
            </w:r>
          </w:p>
        </w:tc>
        <w:tc>
          <w:tcPr>
            <w:tcW w:w="510"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Pr="00D343EC" w:rsidR="00577E37" w:rsidP="569065DF" w:rsidRDefault="569065DF" w14:paraId="40261D07" w14:textId="44AC39FB">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2031</w:t>
            </w:r>
          </w:p>
        </w:tc>
        <w:tc>
          <w:tcPr>
            <w:tcW w:w="854" w:type="dxa"/>
            <w:tcBorders>
              <w:top w:val="single" w:color="auto" w:sz="4" w:space="0"/>
              <w:left w:val="single" w:color="auto" w:sz="4" w:space="0"/>
              <w:bottom w:val="single" w:color="auto" w:sz="4" w:space="0"/>
              <w:right w:val="single" w:color="auto" w:sz="4" w:space="0"/>
            </w:tcBorders>
            <w:shd w:val="clear" w:color="auto" w:fill="C1E4F5" w:themeFill="accent1" w:themeFillTint="33"/>
            <w:noWrap/>
            <w:vAlign w:val="center"/>
          </w:tcPr>
          <w:p w:rsidR="00577E37" w:rsidP="569065DF" w:rsidRDefault="569065DF" w14:paraId="1134656B" w14:textId="1E391A31">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 xml:space="preserve">Cumulatief </w:t>
            </w:r>
          </w:p>
        </w:tc>
      </w:tr>
      <w:tr w:rsidRPr="00577E37" w:rsidR="00577E37" w:rsidTr="569065DF" w14:paraId="3AB36BCA"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30BB3157" w14:textId="77777777">
            <w:pPr>
              <w:spacing w:line="240" w:lineRule="auto"/>
              <w:rPr>
                <w:rFonts w:ascii="Calibri" w:hAnsi="Calibri" w:eastAsia="Times New Roman" w:cs="Calibri"/>
                <w:sz w:val="14"/>
                <w:szCs w:val="14"/>
              </w:rPr>
            </w:pPr>
            <w:r w:rsidRPr="569065DF">
              <w:rPr>
                <w:rFonts w:ascii="Calibri" w:hAnsi="Calibri" w:eastAsia="Times New Roman" w:cs="Calibri"/>
                <w:b/>
                <w:bCs/>
                <w:sz w:val="14"/>
                <w:szCs w:val="14"/>
              </w:rPr>
              <w:t>Garanties en leningen</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186099AB" w14:textId="77777777">
            <w:pPr>
              <w:spacing w:line="240" w:lineRule="auto"/>
              <w:rPr>
                <w:rFonts w:ascii="Calibri" w:hAnsi="Calibri" w:eastAsia="Times New Roman" w:cs="Calibri"/>
                <w:b/>
                <w:bCs/>
                <w:sz w:val="14"/>
                <w:szCs w:val="14"/>
              </w:rPr>
            </w:pPr>
            <w:r w:rsidRPr="569065DF">
              <w:rPr>
                <w:rFonts w:ascii="Calibri" w:hAnsi="Calibri" w:eastAsia="Times New Roman" w:cs="Calibri"/>
                <w:b/>
                <w:bCs/>
                <w:sz w:val="14"/>
                <w:szCs w:val="14"/>
              </w:rPr>
              <w:t>Totaal</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4CF3FE67"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100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4773819F"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1.277</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35408030"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5.443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06827999"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-1.412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567F92FC"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5.940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7736B46C"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08B47C23"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0F0B0995"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357B5BD1"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587E2DBA"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7E37" w:rsidR="00577E37" w:rsidP="569065DF" w:rsidRDefault="569065DF" w14:paraId="7BAD1960" w14:textId="77777777">
            <w:pPr>
              <w:spacing w:line="240" w:lineRule="auto"/>
              <w:jc w:val="center"/>
              <w:rPr>
                <w:rFonts w:ascii="Calibri" w:hAnsi="Calibri" w:eastAsia="Times New Roman" w:cs="Calibri"/>
                <w:b/>
                <w:bCs/>
                <w:sz w:val="14"/>
                <w:szCs w:val="14"/>
              </w:rPr>
            </w:pPr>
            <w:r w:rsidRPr="569065DF">
              <w:rPr>
                <w:rFonts w:ascii="Calibri" w:hAnsi="Calibri" w:eastAsia="Times New Roman" w:cs="Calibri"/>
                <w:b/>
                <w:bCs/>
                <w:sz w:val="14"/>
                <w:szCs w:val="14"/>
              </w:rPr>
              <w:t>11.348</w:t>
            </w:r>
          </w:p>
        </w:tc>
      </w:tr>
      <w:tr w:rsidRPr="00D343EC" w:rsidR="00577E37" w:rsidTr="569065DF" w14:paraId="6CE8E171" w14:textId="77777777">
        <w:trPr>
          <w:trHeight w:val="288"/>
        </w:trPr>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00577E37" w:rsidRDefault="00577E37" w14:paraId="103AFE3A" w14:textId="77777777">
            <w:pPr>
              <w:spacing w:line="240" w:lineRule="auto"/>
              <w:rPr>
                <w:rFonts w:ascii="Calibri" w:hAnsi="Calibri" w:eastAsia="Times New Roman" w:cs="Calibri"/>
                <w:sz w:val="14"/>
                <w:szCs w:val="14"/>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4237A261" w14:textId="77777777">
            <w:pPr>
              <w:spacing w:line="240" w:lineRule="auto"/>
              <w:rPr>
                <w:rFonts w:ascii="Calibri" w:hAnsi="Calibri" w:eastAsia="Times New Roman" w:cs="Calibri"/>
                <w:sz w:val="14"/>
                <w:szCs w:val="14"/>
              </w:rPr>
            </w:pPr>
            <w:r w:rsidRPr="569065DF">
              <w:rPr>
                <w:rFonts w:ascii="Calibri" w:hAnsi="Calibri" w:eastAsia="Times New Roman" w:cs="Calibri"/>
                <w:sz w:val="14"/>
                <w:szCs w:val="14"/>
              </w:rPr>
              <w:t>Financiën</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6B5D3CA0"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100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72EBBAB6"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1.277</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5866CA3B"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5.443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7A692BD9"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-1.412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2FC40BAF"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5.940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0F010920"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35C7CE38"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4D3EF9A8"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03FC8E88"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3EC" w:rsidR="00577E37" w:rsidP="569065DF" w:rsidRDefault="569065DF" w14:paraId="0AF4AB7C"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F7845" w:rsidR="00577E37" w:rsidP="569065DF" w:rsidRDefault="569065DF" w14:paraId="676370BD" w14:textId="77777777">
            <w:pPr>
              <w:spacing w:line="240" w:lineRule="auto"/>
              <w:jc w:val="center"/>
              <w:rPr>
                <w:rFonts w:ascii="Calibri" w:hAnsi="Calibri" w:eastAsia="Times New Roman" w:cs="Calibri"/>
                <w:sz w:val="14"/>
                <w:szCs w:val="14"/>
              </w:rPr>
            </w:pPr>
            <w:r w:rsidRPr="569065DF">
              <w:rPr>
                <w:rFonts w:ascii="Calibri" w:hAnsi="Calibri" w:eastAsia="Times New Roman" w:cs="Calibri"/>
                <w:sz w:val="14"/>
                <w:szCs w:val="14"/>
              </w:rPr>
              <w:t>11.348</w:t>
            </w:r>
          </w:p>
        </w:tc>
      </w:tr>
    </w:tbl>
    <w:p w:rsidR="00577E37" w:rsidRDefault="00577E37" w14:paraId="01FA774A" w14:textId="083DA672"/>
    <w:p w:rsidR="00A05322" w:rsidRDefault="00A05322" w14:paraId="3AB6332E" w14:textId="3328072A"/>
    <w:tbl>
      <w:tblPr>
        <w:tblStyle w:val="Tabelondertekening"/>
        <w:tblW w:w="7541" w:type="dxa"/>
        <w:tblInd w:w="0" w:type="dxa"/>
        <w:tblLayout w:type="fixed"/>
        <w:tblLook w:val="07E0" w:firstRow="1" w:lastRow="1" w:firstColumn="1" w:lastColumn="1" w:noHBand="1" w:noVBand="1"/>
      </w:tblPr>
      <w:tblGrid>
        <w:gridCol w:w="3620"/>
        <w:gridCol w:w="3921"/>
      </w:tblGrid>
      <w:tr w:rsidR="00300DB4" w:rsidTr="569065DF" w14:paraId="5296AAFA" w14:textId="77777777">
        <w:tc>
          <w:tcPr>
            <w:tcW w:w="3620" w:type="dxa"/>
          </w:tcPr>
          <w:p w:rsidR="00300DB4" w:rsidRDefault="569065DF" w14:paraId="5296AAF8" w14:textId="138FFA3F">
            <w:r>
              <w:t>De minister van Buitenlandse Handel en Ontwikkelingssamenwerking,</w:t>
            </w:r>
            <w:r w:rsidR="007F410E">
              <w:br/>
            </w:r>
            <w:r w:rsidR="007F410E">
              <w:br/>
            </w:r>
            <w:r w:rsidR="007F410E">
              <w:br/>
            </w:r>
            <w:r w:rsidR="007F410E">
              <w:br/>
            </w:r>
            <w:r w:rsidR="007F410E">
              <w:br/>
            </w:r>
            <w:r>
              <w:t>S.W. Sjoerdsma</w:t>
            </w:r>
          </w:p>
        </w:tc>
        <w:tc>
          <w:tcPr>
            <w:tcW w:w="3921" w:type="dxa"/>
          </w:tcPr>
          <w:p w:rsidR="00300DB4" w:rsidRDefault="00300DB4" w14:paraId="5296AAF9" w14:textId="77777777"/>
        </w:tc>
      </w:tr>
    </w:tbl>
    <w:p w:rsidR="00300DB4" w:rsidP="004040A6" w:rsidRDefault="00300DB4" w14:paraId="5296AAFB" w14:textId="77777777"/>
    <w:sectPr w:rsidR="00300DB4" w:rsidSect="00724703">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C529" w14:textId="77777777" w:rsidR="007F410E" w:rsidRDefault="007F410E">
      <w:pPr>
        <w:spacing w:line="240" w:lineRule="auto"/>
      </w:pPr>
      <w:r>
        <w:separator/>
      </w:r>
    </w:p>
  </w:endnote>
  <w:endnote w:type="continuationSeparator" w:id="0">
    <w:p w14:paraId="18D7536E" w14:textId="77777777" w:rsidR="007F410E" w:rsidRDefault="007F4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06F6" w14:textId="77777777" w:rsidR="006119EF" w:rsidRDefault="00611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90060"/>
      <w:docPartObj>
        <w:docPartGallery w:val="Page Numbers (Bottom of Page)"/>
        <w:docPartUnique/>
      </w:docPartObj>
    </w:sdtPr>
    <w:sdtEndPr/>
    <w:sdtContent>
      <w:p w14:paraId="7E7B8978" w14:textId="3C22E8CE" w:rsidR="00867D74" w:rsidRDefault="00867D74">
        <w:pPr>
          <w:pStyle w:val="Footer"/>
          <w:jc w:val="center"/>
        </w:pPr>
        <w:r>
          <w:fldChar w:fldCharType="begin"/>
        </w:r>
        <w:r>
          <w:instrText>PAGE   \* MERGEFORMAT</w:instrText>
        </w:r>
        <w:r>
          <w:fldChar w:fldCharType="separate"/>
        </w:r>
        <w:r>
          <w:t>2</w:t>
        </w:r>
        <w:r>
          <w:fldChar w:fldCharType="end"/>
        </w:r>
      </w:p>
    </w:sdtContent>
  </w:sdt>
  <w:p w14:paraId="1B78A5C0" w14:textId="77777777" w:rsidR="00867D74" w:rsidRDefault="00867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169166"/>
      <w:docPartObj>
        <w:docPartGallery w:val="Page Numbers (Bottom of Page)"/>
        <w:docPartUnique/>
      </w:docPartObj>
    </w:sdtPr>
    <w:sdtEndPr/>
    <w:sdtContent>
      <w:p w14:paraId="18433A95" w14:textId="5F9810E0" w:rsidR="00867D74" w:rsidRDefault="00867D74">
        <w:pPr>
          <w:pStyle w:val="Footer"/>
          <w:jc w:val="center"/>
        </w:pPr>
        <w:r>
          <w:fldChar w:fldCharType="begin"/>
        </w:r>
        <w:r>
          <w:instrText>PAGE   \* MERGEFORMAT</w:instrText>
        </w:r>
        <w:r>
          <w:fldChar w:fldCharType="separate"/>
        </w:r>
        <w:r>
          <w:t>2</w:t>
        </w:r>
        <w:r>
          <w:fldChar w:fldCharType="end"/>
        </w:r>
      </w:p>
    </w:sdtContent>
  </w:sdt>
  <w:p w14:paraId="33B304AE" w14:textId="77777777" w:rsidR="00867D74" w:rsidRDefault="0086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F506" w14:textId="77777777" w:rsidR="007F410E" w:rsidRDefault="007F410E">
      <w:pPr>
        <w:spacing w:line="240" w:lineRule="auto"/>
      </w:pPr>
      <w:r>
        <w:separator/>
      </w:r>
    </w:p>
  </w:footnote>
  <w:footnote w:type="continuationSeparator" w:id="0">
    <w:p w14:paraId="6EFC1C61" w14:textId="77777777" w:rsidR="007F410E" w:rsidRDefault="007F410E">
      <w:pPr>
        <w:spacing w:line="240" w:lineRule="auto"/>
      </w:pPr>
      <w:r>
        <w:continuationSeparator/>
      </w:r>
    </w:p>
  </w:footnote>
  <w:footnote w:id="1">
    <w:p w14:paraId="12E82AA1" w14:textId="2F21E01D" w:rsidR="00803E6F" w:rsidRPr="00184F9F" w:rsidRDefault="00803E6F">
      <w:pPr>
        <w:pStyle w:val="FootnoteText"/>
      </w:pPr>
      <w:r>
        <w:rPr>
          <w:rStyle w:val="FootnoteReference"/>
        </w:rPr>
        <w:footnoteRef/>
      </w:r>
      <w:r>
        <w:t xml:space="preserve"> </w:t>
      </w:r>
      <w:r w:rsidR="0078763F" w:rsidRPr="0078763F">
        <w:rPr>
          <w:sz w:val="16"/>
          <w:szCs w:val="16"/>
        </w:rPr>
        <w:t xml:space="preserve">Kamerstuk </w:t>
      </w:r>
      <w:r w:rsidR="0078763F">
        <w:rPr>
          <w:sz w:val="16"/>
          <w:szCs w:val="16"/>
        </w:rPr>
        <w:t>369</w:t>
      </w:r>
      <w:r w:rsidR="006119EF">
        <w:rPr>
          <w:sz w:val="16"/>
          <w:szCs w:val="16"/>
        </w:rPr>
        <w:t>1</w:t>
      </w:r>
      <w:r w:rsidR="0078763F">
        <w:rPr>
          <w:sz w:val="16"/>
          <w:szCs w:val="16"/>
        </w:rPr>
        <w:t>5-XVII, nr. 17</w:t>
      </w:r>
    </w:p>
  </w:footnote>
  <w:footnote w:id="2">
    <w:p w14:paraId="7987A0FE" w14:textId="031AF305" w:rsidR="008A6A09" w:rsidRPr="00CA0425" w:rsidRDefault="008A6A09" w:rsidP="569065DF">
      <w:pPr>
        <w:pStyle w:val="FootnoteText"/>
        <w:rPr>
          <w:sz w:val="16"/>
          <w:szCs w:val="16"/>
        </w:rPr>
      </w:pPr>
      <w:r w:rsidRPr="00CA0425">
        <w:rPr>
          <w:rStyle w:val="FootnoteReference"/>
          <w:sz w:val="16"/>
          <w:szCs w:val="16"/>
        </w:rPr>
        <w:footnoteRef/>
      </w:r>
      <w:r w:rsidRPr="00CA0425">
        <w:rPr>
          <w:sz w:val="16"/>
          <w:szCs w:val="16"/>
        </w:rPr>
        <w:t xml:space="preserve"> Kamerstuk: 36</w:t>
      </w:r>
      <w:r w:rsidR="006119EF">
        <w:rPr>
          <w:sz w:val="16"/>
          <w:szCs w:val="16"/>
        </w:rPr>
        <w:t xml:space="preserve"> </w:t>
      </w:r>
      <w:r w:rsidRPr="00CA0425">
        <w:rPr>
          <w:sz w:val="16"/>
          <w:szCs w:val="16"/>
        </w:rPr>
        <w:t>045</w:t>
      </w:r>
      <w:r w:rsidR="006119EF">
        <w:rPr>
          <w:sz w:val="16"/>
          <w:szCs w:val="16"/>
        </w:rPr>
        <w:t xml:space="preserve"> nr. </w:t>
      </w:r>
      <w:r w:rsidRPr="00CA0425">
        <w:rPr>
          <w:sz w:val="16"/>
          <w:szCs w:val="16"/>
        </w:rPr>
        <w:t>239.</w:t>
      </w:r>
    </w:p>
  </w:footnote>
  <w:footnote w:id="3">
    <w:p w14:paraId="76AD0370" w14:textId="3BE9C77B" w:rsidR="00E42D4D" w:rsidRDefault="00E42D4D">
      <w:pPr>
        <w:pStyle w:val="FootnoteText"/>
      </w:pPr>
      <w:r w:rsidRPr="00DC2BAD">
        <w:rPr>
          <w:rStyle w:val="FootnoteReference"/>
          <w:sz w:val="16"/>
          <w:szCs w:val="16"/>
        </w:rPr>
        <w:footnoteRef/>
      </w:r>
      <w:r w:rsidRPr="00DC2BAD">
        <w:rPr>
          <w:sz w:val="16"/>
          <w:szCs w:val="16"/>
        </w:rPr>
        <w:t xml:space="preserve"> </w:t>
      </w:r>
      <w:r w:rsidRPr="00CA0425">
        <w:rPr>
          <w:sz w:val="16"/>
          <w:szCs w:val="16"/>
        </w:rPr>
        <w:t>Kamerstuk</w:t>
      </w:r>
      <w:r w:rsidR="00CA0425">
        <w:rPr>
          <w:sz w:val="16"/>
          <w:szCs w:val="16"/>
        </w:rPr>
        <w:t>:</w:t>
      </w:r>
      <w:r w:rsidRPr="00CA0425">
        <w:rPr>
          <w:sz w:val="16"/>
          <w:szCs w:val="16"/>
        </w:rPr>
        <w:t xml:space="preserve"> 21</w:t>
      </w:r>
      <w:r w:rsidR="006119EF">
        <w:rPr>
          <w:sz w:val="16"/>
          <w:szCs w:val="16"/>
        </w:rPr>
        <w:t xml:space="preserve"> </w:t>
      </w:r>
      <w:r w:rsidRPr="00CA0425">
        <w:rPr>
          <w:sz w:val="16"/>
          <w:szCs w:val="16"/>
        </w:rPr>
        <w:t>501-20, nr. 2265</w:t>
      </w:r>
    </w:p>
  </w:footnote>
  <w:footnote w:id="4">
    <w:p w14:paraId="07B4B739" w14:textId="315D8DFC" w:rsidR="00603033" w:rsidRPr="006977BD" w:rsidRDefault="00603033" w:rsidP="569065DF">
      <w:pPr>
        <w:pStyle w:val="FootnoteText"/>
        <w:rPr>
          <w:sz w:val="16"/>
          <w:szCs w:val="16"/>
        </w:rPr>
      </w:pPr>
      <w:r w:rsidRPr="000347FA">
        <w:rPr>
          <w:rStyle w:val="FootnoteReference"/>
          <w:sz w:val="16"/>
          <w:szCs w:val="16"/>
        </w:rPr>
        <w:footnoteRef/>
      </w:r>
      <w:r w:rsidRPr="000347FA">
        <w:rPr>
          <w:sz w:val="16"/>
          <w:szCs w:val="16"/>
        </w:rPr>
        <w:t xml:space="preserve"> </w:t>
      </w:r>
      <w:r w:rsidR="00837168" w:rsidRPr="00837168">
        <w:rPr>
          <w:sz w:val="16"/>
          <w:szCs w:val="16"/>
        </w:rPr>
        <w:t xml:space="preserve">De Wereldbank voert onder meer steunprogramma’s uit die Oekraïne helpen </w:t>
      </w:r>
      <w:proofErr w:type="spellStart"/>
      <w:r w:rsidR="00837168" w:rsidRPr="00837168">
        <w:rPr>
          <w:sz w:val="16"/>
          <w:szCs w:val="16"/>
        </w:rPr>
        <w:t>bĳ</w:t>
      </w:r>
      <w:proofErr w:type="spellEnd"/>
      <w:r w:rsidR="00837168" w:rsidRPr="00837168">
        <w:rPr>
          <w:sz w:val="16"/>
          <w:szCs w:val="16"/>
        </w:rPr>
        <w:t xml:space="preserve"> het leveren van basisdiensten, herstellen van infrastructuur en implementeren van hervormingen.</w:t>
      </w:r>
    </w:p>
  </w:footnote>
  <w:footnote w:id="5">
    <w:p w14:paraId="55C559F6" w14:textId="5B7CAB62" w:rsidR="00E64767" w:rsidRPr="00B508F3" w:rsidRDefault="00E64767" w:rsidP="569065DF">
      <w:pPr>
        <w:pStyle w:val="FootnoteText"/>
        <w:rPr>
          <w:sz w:val="16"/>
          <w:szCs w:val="16"/>
        </w:rPr>
      </w:pPr>
      <w:r w:rsidRPr="00B508F3">
        <w:rPr>
          <w:rStyle w:val="FootnoteReference"/>
          <w:sz w:val="16"/>
          <w:szCs w:val="16"/>
        </w:rPr>
        <w:footnoteRef/>
      </w:r>
      <w:r w:rsidRPr="00B508F3">
        <w:rPr>
          <w:sz w:val="16"/>
          <w:szCs w:val="16"/>
        </w:rPr>
        <w:t xml:space="preserve"> Zie laat</w:t>
      </w:r>
      <w:r w:rsidRPr="006977BD">
        <w:rPr>
          <w:sz w:val="16"/>
          <w:szCs w:val="16"/>
        </w:rPr>
        <w:t>s</w:t>
      </w:r>
      <w:r w:rsidRPr="00B508F3">
        <w:rPr>
          <w:sz w:val="16"/>
          <w:szCs w:val="16"/>
        </w:rPr>
        <w:t xml:space="preserve">telijk </w:t>
      </w:r>
      <w:r w:rsidRPr="006977BD">
        <w:rPr>
          <w:sz w:val="16"/>
          <w:szCs w:val="16"/>
        </w:rPr>
        <w:t xml:space="preserve">Kamerbrief “De financiële invulling van humanitaire hulp in 2026”, </w:t>
      </w:r>
      <w:r w:rsidRPr="00B508F3">
        <w:rPr>
          <w:sz w:val="16"/>
          <w:szCs w:val="16"/>
        </w:rPr>
        <w:t xml:space="preserve">Kamerstuk </w:t>
      </w:r>
      <w:r w:rsidRPr="006977BD">
        <w:rPr>
          <w:sz w:val="16"/>
          <w:szCs w:val="16"/>
        </w:rPr>
        <w:t xml:space="preserve">36180-189 </w:t>
      </w:r>
    </w:p>
  </w:footnote>
  <w:footnote w:id="6">
    <w:p w14:paraId="392BA78C" w14:textId="5A7E7519" w:rsidR="000347FA" w:rsidRPr="00B508F3" w:rsidRDefault="000347FA" w:rsidP="569065DF">
      <w:pPr>
        <w:pStyle w:val="FootnoteText"/>
        <w:rPr>
          <w:sz w:val="16"/>
          <w:szCs w:val="16"/>
        </w:rPr>
      </w:pPr>
      <w:r w:rsidRPr="00B508F3">
        <w:rPr>
          <w:rStyle w:val="FootnoteReference"/>
          <w:sz w:val="16"/>
          <w:szCs w:val="16"/>
        </w:rPr>
        <w:footnoteRef/>
      </w:r>
      <w:r w:rsidRPr="00B508F3">
        <w:rPr>
          <w:sz w:val="16"/>
          <w:szCs w:val="16"/>
        </w:rPr>
        <w:t xml:space="preserve"> </w:t>
      </w:r>
      <w:r w:rsidRPr="006977BD">
        <w:rPr>
          <w:sz w:val="16"/>
          <w:szCs w:val="16"/>
        </w:rPr>
        <w:t xml:space="preserve">Kamerstuk: </w:t>
      </w:r>
      <w:r w:rsidRPr="00B508F3">
        <w:rPr>
          <w:sz w:val="16"/>
          <w:szCs w:val="16"/>
        </w:rPr>
        <w:t>36</w:t>
      </w:r>
      <w:r w:rsidR="006119EF">
        <w:rPr>
          <w:sz w:val="16"/>
          <w:szCs w:val="16"/>
        </w:rPr>
        <w:t xml:space="preserve"> </w:t>
      </w:r>
      <w:r w:rsidRPr="00B508F3">
        <w:rPr>
          <w:sz w:val="16"/>
          <w:szCs w:val="16"/>
        </w:rPr>
        <w:t>045</w:t>
      </w:r>
      <w:r w:rsidR="006119EF">
        <w:rPr>
          <w:sz w:val="16"/>
          <w:szCs w:val="16"/>
        </w:rPr>
        <w:t xml:space="preserve"> nr. </w:t>
      </w:r>
      <w:r w:rsidRPr="00B508F3">
        <w:rPr>
          <w:sz w:val="16"/>
          <w:szCs w:val="16"/>
        </w:rPr>
        <w:t>282</w:t>
      </w:r>
      <w:r w:rsidRPr="006977BD">
        <w:rPr>
          <w:sz w:val="16"/>
          <w:szCs w:val="16"/>
        </w:rPr>
        <w:t xml:space="preserve"> </w:t>
      </w:r>
    </w:p>
  </w:footnote>
  <w:footnote w:id="7">
    <w:p w14:paraId="55BA2F04" w14:textId="017D46A4" w:rsidR="00A516F7" w:rsidRPr="00B508F3" w:rsidRDefault="00A516F7" w:rsidP="569065DF">
      <w:pPr>
        <w:pStyle w:val="FootnoteText"/>
        <w:rPr>
          <w:sz w:val="16"/>
          <w:szCs w:val="16"/>
        </w:rPr>
      </w:pPr>
      <w:r w:rsidRPr="00B508F3">
        <w:rPr>
          <w:rStyle w:val="FootnoteReference"/>
          <w:sz w:val="16"/>
          <w:szCs w:val="16"/>
        </w:rPr>
        <w:footnoteRef/>
      </w:r>
      <w:r w:rsidRPr="00B508F3">
        <w:rPr>
          <w:sz w:val="16"/>
          <w:szCs w:val="16"/>
        </w:rPr>
        <w:t xml:space="preserve"> Kamerstuk: </w:t>
      </w:r>
      <w:r w:rsidRPr="006977BD">
        <w:rPr>
          <w:sz w:val="16"/>
          <w:szCs w:val="16"/>
        </w:rPr>
        <w:t>36</w:t>
      </w:r>
      <w:r w:rsidR="006119EF">
        <w:rPr>
          <w:sz w:val="16"/>
          <w:szCs w:val="16"/>
        </w:rPr>
        <w:t xml:space="preserve"> </w:t>
      </w:r>
      <w:r w:rsidRPr="006977BD">
        <w:rPr>
          <w:sz w:val="16"/>
          <w:szCs w:val="16"/>
        </w:rPr>
        <w:t>915</w:t>
      </w:r>
      <w:r w:rsidR="006119EF">
        <w:rPr>
          <w:sz w:val="16"/>
          <w:szCs w:val="16"/>
        </w:rPr>
        <w:t xml:space="preserve"> nr. </w:t>
      </w:r>
      <w:r w:rsidRPr="006977BD">
        <w:rPr>
          <w:sz w:val="16"/>
          <w:szCs w:val="16"/>
        </w:rPr>
        <w:t xml:space="preserve">17 </w:t>
      </w:r>
    </w:p>
  </w:footnote>
  <w:footnote w:id="8">
    <w:p w14:paraId="377BC904" w14:textId="0DA12F8B" w:rsidR="00A253CD" w:rsidRPr="00D21A57" w:rsidRDefault="00A253CD" w:rsidP="00A253CD">
      <w:pPr>
        <w:pStyle w:val="FootnoteText"/>
        <w:rPr>
          <w:sz w:val="16"/>
          <w:szCs w:val="16"/>
        </w:rPr>
      </w:pPr>
      <w:r w:rsidRPr="006977BD">
        <w:rPr>
          <w:rStyle w:val="FootnoteReference"/>
          <w:sz w:val="16"/>
          <w:szCs w:val="16"/>
        </w:rPr>
        <w:footnoteRef/>
      </w:r>
      <w:r w:rsidRPr="006977BD">
        <w:rPr>
          <w:sz w:val="16"/>
          <w:szCs w:val="16"/>
        </w:rPr>
        <w:t xml:space="preserve"> Kamerstuk: 36</w:t>
      </w:r>
      <w:r w:rsidR="006119EF">
        <w:rPr>
          <w:sz w:val="16"/>
          <w:szCs w:val="16"/>
        </w:rPr>
        <w:t xml:space="preserve"> </w:t>
      </w:r>
      <w:r w:rsidRPr="006977BD">
        <w:rPr>
          <w:sz w:val="16"/>
          <w:szCs w:val="16"/>
        </w:rPr>
        <w:t>045</w:t>
      </w:r>
      <w:r w:rsidR="006119EF">
        <w:rPr>
          <w:sz w:val="16"/>
          <w:szCs w:val="16"/>
        </w:rPr>
        <w:t xml:space="preserve"> nr. </w:t>
      </w:r>
      <w:r w:rsidRPr="006977BD">
        <w:rPr>
          <w:sz w:val="16"/>
          <w:szCs w:val="16"/>
        </w:rPr>
        <w:t>209</w:t>
      </w:r>
    </w:p>
  </w:footnote>
  <w:footnote w:id="9">
    <w:p w14:paraId="22DB6842" w14:textId="77777777" w:rsidR="00A253CD" w:rsidRPr="003013FD" w:rsidRDefault="00A253CD" w:rsidP="00A253CD">
      <w:pPr>
        <w:pStyle w:val="FootnoteText"/>
        <w:rPr>
          <w:sz w:val="16"/>
          <w:szCs w:val="16"/>
        </w:rPr>
      </w:pPr>
      <w:r w:rsidRPr="003013FD">
        <w:rPr>
          <w:rStyle w:val="FootnoteReference"/>
          <w:sz w:val="16"/>
          <w:szCs w:val="16"/>
        </w:rPr>
        <w:footnoteRef/>
      </w:r>
      <w:r w:rsidRPr="003013FD">
        <w:rPr>
          <w:sz w:val="16"/>
          <w:szCs w:val="16"/>
        </w:rPr>
        <w:t xml:space="preserve"> Het </w:t>
      </w:r>
      <w:r w:rsidRPr="003013FD">
        <w:rPr>
          <w:i/>
          <w:iCs/>
          <w:sz w:val="16"/>
          <w:szCs w:val="16"/>
        </w:rPr>
        <w:t>Crisis Response Special Fund</w:t>
      </w:r>
      <w:r>
        <w:rPr>
          <w:sz w:val="16"/>
          <w:szCs w:val="16"/>
        </w:rPr>
        <w:t xml:space="preserve"> (CRSF)</w:t>
      </w:r>
      <w:r w:rsidRPr="003013FD">
        <w:rPr>
          <w:sz w:val="16"/>
          <w:szCs w:val="16"/>
        </w:rPr>
        <w:t xml:space="preserve"> van de EBRD</w:t>
      </w:r>
      <w:r>
        <w:rPr>
          <w:sz w:val="16"/>
          <w:szCs w:val="16"/>
        </w:rPr>
        <w:t xml:space="preserve"> ondersteunt vitale sectoren van de Oekraïense economie, waaronder de energievoorziening, landbouw en voedselzekerheid, de financiële sector, infrastructuur en de private sector. </w:t>
      </w:r>
    </w:p>
  </w:footnote>
  <w:footnote w:id="10">
    <w:p w14:paraId="563B8298" w14:textId="58D72EDC" w:rsidR="00A253CD" w:rsidRPr="00D21A57" w:rsidRDefault="00A253CD" w:rsidP="00A253CD">
      <w:pPr>
        <w:pStyle w:val="FootnoteText"/>
        <w:rPr>
          <w:sz w:val="16"/>
          <w:szCs w:val="16"/>
        </w:rPr>
      </w:pPr>
      <w:r w:rsidRPr="00D21A57">
        <w:rPr>
          <w:rStyle w:val="FootnoteReference"/>
          <w:sz w:val="16"/>
          <w:szCs w:val="16"/>
        </w:rPr>
        <w:footnoteRef/>
      </w:r>
      <w:r w:rsidRPr="00D21A57">
        <w:rPr>
          <w:sz w:val="16"/>
          <w:szCs w:val="16"/>
        </w:rPr>
        <w:t xml:space="preserve"> Kamerstuk: 36</w:t>
      </w:r>
      <w:r w:rsidR="006119EF">
        <w:rPr>
          <w:sz w:val="16"/>
          <w:szCs w:val="16"/>
        </w:rPr>
        <w:t xml:space="preserve"> </w:t>
      </w:r>
      <w:r w:rsidRPr="00D21A57">
        <w:rPr>
          <w:sz w:val="16"/>
          <w:szCs w:val="16"/>
        </w:rPr>
        <w:t>045</w:t>
      </w:r>
      <w:r w:rsidR="006119EF">
        <w:rPr>
          <w:sz w:val="16"/>
          <w:szCs w:val="16"/>
        </w:rPr>
        <w:t xml:space="preserve"> nr. </w:t>
      </w:r>
      <w:r w:rsidRPr="00D21A57">
        <w:rPr>
          <w:sz w:val="16"/>
          <w:szCs w:val="16"/>
        </w:rPr>
        <w:t>241</w:t>
      </w:r>
    </w:p>
  </w:footnote>
  <w:footnote w:id="11">
    <w:p w14:paraId="440DDA29" w14:textId="6DA3301B" w:rsidR="00A253CD" w:rsidRPr="00D21A57" w:rsidRDefault="00A253CD" w:rsidP="00A253CD">
      <w:pPr>
        <w:pStyle w:val="FootnoteText"/>
        <w:rPr>
          <w:sz w:val="16"/>
          <w:szCs w:val="16"/>
        </w:rPr>
      </w:pPr>
      <w:r w:rsidRPr="00D21A57">
        <w:rPr>
          <w:rStyle w:val="FootnoteReference"/>
          <w:sz w:val="16"/>
          <w:szCs w:val="16"/>
        </w:rPr>
        <w:footnoteRef/>
      </w:r>
      <w:r w:rsidRPr="00D21A57">
        <w:rPr>
          <w:sz w:val="16"/>
          <w:szCs w:val="16"/>
        </w:rPr>
        <w:t xml:space="preserve"> Kamerstukken: </w:t>
      </w:r>
      <w:r>
        <w:rPr>
          <w:sz w:val="16"/>
          <w:szCs w:val="16"/>
        </w:rPr>
        <w:t>36</w:t>
      </w:r>
      <w:r w:rsidR="006119EF">
        <w:rPr>
          <w:sz w:val="16"/>
          <w:szCs w:val="16"/>
        </w:rPr>
        <w:t xml:space="preserve"> </w:t>
      </w:r>
      <w:r>
        <w:rPr>
          <w:sz w:val="16"/>
          <w:szCs w:val="16"/>
        </w:rPr>
        <w:t>045</w:t>
      </w:r>
      <w:r w:rsidR="006119EF">
        <w:rPr>
          <w:sz w:val="16"/>
          <w:szCs w:val="16"/>
        </w:rPr>
        <w:t xml:space="preserve"> nr. </w:t>
      </w:r>
      <w:r>
        <w:rPr>
          <w:sz w:val="16"/>
          <w:szCs w:val="16"/>
        </w:rPr>
        <w:t>241 en 36</w:t>
      </w:r>
      <w:r w:rsidR="006119EF">
        <w:rPr>
          <w:sz w:val="16"/>
          <w:szCs w:val="16"/>
        </w:rPr>
        <w:t xml:space="preserve"> </w:t>
      </w:r>
      <w:r>
        <w:rPr>
          <w:sz w:val="16"/>
          <w:szCs w:val="16"/>
        </w:rPr>
        <w:t>045</w:t>
      </w:r>
      <w:r w:rsidR="006119EF">
        <w:rPr>
          <w:sz w:val="16"/>
          <w:szCs w:val="16"/>
        </w:rPr>
        <w:t xml:space="preserve"> nr. </w:t>
      </w:r>
      <w:r>
        <w:rPr>
          <w:sz w:val="16"/>
          <w:szCs w:val="16"/>
        </w:rPr>
        <w:t>265</w:t>
      </w:r>
    </w:p>
  </w:footnote>
  <w:footnote w:id="12">
    <w:p w14:paraId="377BA50E" w14:textId="77777777" w:rsidR="00C74B44" w:rsidRPr="00AA2A85" w:rsidRDefault="00C74B44" w:rsidP="569065DF">
      <w:pPr>
        <w:pStyle w:val="FootnoteText"/>
        <w:rPr>
          <w:sz w:val="16"/>
          <w:szCs w:val="16"/>
        </w:rPr>
      </w:pPr>
      <w:r w:rsidRPr="00AA2A85">
        <w:rPr>
          <w:rStyle w:val="FootnoteReference"/>
          <w:sz w:val="16"/>
          <w:szCs w:val="16"/>
        </w:rPr>
        <w:footnoteRef/>
      </w:r>
      <w:r w:rsidRPr="00AA2A85">
        <w:rPr>
          <w:sz w:val="16"/>
          <w:szCs w:val="16"/>
        </w:rPr>
        <w:t xml:space="preserve"> Netto uitgaven zijn uitgaven minus ontvangsten.</w:t>
      </w:r>
    </w:p>
  </w:footnote>
  <w:footnote w:id="13">
    <w:p w14:paraId="4983A3BA" w14:textId="28797472" w:rsidR="00BE2DA3" w:rsidRPr="00A95974" w:rsidRDefault="00BE2DA3" w:rsidP="569065DF">
      <w:pPr>
        <w:pStyle w:val="FootnoteText"/>
        <w:rPr>
          <w:sz w:val="16"/>
          <w:szCs w:val="16"/>
        </w:rPr>
      </w:pPr>
      <w:r w:rsidRPr="00AA2A85">
        <w:rPr>
          <w:rStyle w:val="FootnoteReference"/>
          <w:sz w:val="16"/>
          <w:szCs w:val="16"/>
        </w:rPr>
        <w:footnoteRef/>
      </w:r>
      <w:r w:rsidR="000F5E51" w:rsidRPr="00AA2A85">
        <w:rPr>
          <w:sz w:val="16"/>
          <w:szCs w:val="16"/>
        </w:rPr>
        <w:t xml:space="preserve"> Kamerstukken: 36</w:t>
      </w:r>
      <w:r w:rsidR="006119EF">
        <w:rPr>
          <w:sz w:val="16"/>
          <w:szCs w:val="16"/>
        </w:rPr>
        <w:t xml:space="preserve"> </w:t>
      </w:r>
      <w:r w:rsidR="000F5E51" w:rsidRPr="00AA2A85">
        <w:rPr>
          <w:sz w:val="16"/>
          <w:szCs w:val="16"/>
        </w:rPr>
        <w:t>915, V, nr. 6 en 36915, XVII, nr. 8</w:t>
      </w:r>
      <w:r w:rsidR="000F5E51" w:rsidRPr="00A95974">
        <w:rPr>
          <w:sz w:val="16"/>
          <w:szCs w:val="16"/>
        </w:rPr>
        <w:t xml:space="preserve">  </w:t>
      </w:r>
    </w:p>
  </w:footnote>
  <w:footnote w:id="14">
    <w:p w14:paraId="26095F2D" w14:textId="1F74C9B9" w:rsidR="00BE2DA3" w:rsidRDefault="00BE2DA3" w:rsidP="00BE2DA3">
      <w:pPr>
        <w:pStyle w:val="FootnoteText"/>
      </w:pPr>
      <w:r w:rsidRPr="00A95974">
        <w:rPr>
          <w:rStyle w:val="FootnoteReference"/>
          <w:sz w:val="16"/>
          <w:szCs w:val="16"/>
        </w:rPr>
        <w:footnoteRef/>
      </w:r>
      <w:r w:rsidRPr="00A95974">
        <w:rPr>
          <w:sz w:val="16"/>
          <w:szCs w:val="16"/>
        </w:rPr>
        <w:t xml:space="preserve"> Kamerstuk: 36</w:t>
      </w:r>
      <w:r w:rsidR="006119EF">
        <w:rPr>
          <w:sz w:val="16"/>
          <w:szCs w:val="16"/>
        </w:rPr>
        <w:t xml:space="preserve"> </w:t>
      </w:r>
      <w:r w:rsidRPr="00A95974">
        <w:rPr>
          <w:sz w:val="16"/>
          <w:szCs w:val="16"/>
        </w:rPr>
        <w:t>045</w:t>
      </w:r>
      <w:r w:rsidR="006119EF">
        <w:rPr>
          <w:sz w:val="16"/>
          <w:szCs w:val="16"/>
        </w:rPr>
        <w:t xml:space="preserve"> nr. </w:t>
      </w:r>
      <w:r w:rsidRPr="00A95974">
        <w:rPr>
          <w:sz w:val="16"/>
          <w:szCs w:val="16"/>
        </w:rPr>
        <w:t>296 (blz. 9).</w:t>
      </w:r>
    </w:p>
  </w:footnote>
  <w:footnote w:id="15">
    <w:p w14:paraId="3FE9CBB0" w14:textId="1959E5AD" w:rsidR="00577E37" w:rsidRPr="00A95974" w:rsidRDefault="00577E37" w:rsidP="569065DF">
      <w:pPr>
        <w:pStyle w:val="FootnoteText"/>
        <w:rPr>
          <w:sz w:val="16"/>
          <w:szCs w:val="16"/>
        </w:rPr>
      </w:pPr>
      <w:r w:rsidRPr="00A95974">
        <w:rPr>
          <w:rStyle w:val="FootnoteReference"/>
          <w:sz w:val="16"/>
          <w:szCs w:val="16"/>
        </w:rPr>
        <w:footnoteRef/>
      </w:r>
      <w:r w:rsidRPr="00A95974">
        <w:rPr>
          <w:sz w:val="16"/>
          <w:szCs w:val="16"/>
        </w:rPr>
        <w:t xml:space="preserve"> Dit zijn verplichtingenuitgaven die niet noodzakelijkerwijs tot kasuitgaven leiden.</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C85A" w14:textId="77777777" w:rsidR="006119EF" w:rsidRDefault="00611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AAFC" w14:textId="6A2CEFCF" w:rsidR="00300DB4" w:rsidRDefault="007F410E">
    <w:r>
      <w:rPr>
        <w:noProof/>
      </w:rPr>
      <mc:AlternateContent>
        <mc:Choice Requires="wps">
          <w:drawing>
            <wp:anchor distT="0" distB="0" distL="0" distR="0" simplePos="0" relativeHeight="251658240" behindDoc="0" locked="1" layoutInCell="1" allowOverlap="1" wp14:anchorId="5296AB00" wp14:editId="1056FF8C">
              <wp:simplePos x="0" y="0"/>
              <wp:positionH relativeFrom="page">
                <wp:posOffset>5920740</wp:posOffset>
              </wp:positionH>
              <wp:positionV relativeFrom="page">
                <wp:posOffset>1965960</wp:posOffset>
              </wp:positionV>
              <wp:extent cx="14249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4940" cy="8009890"/>
                      </a:xfrm>
                      <a:prstGeom prst="rect">
                        <a:avLst/>
                      </a:prstGeom>
                      <a:noFill/>
                    </wps:spPr>
                    <wps:txbx>
                      <w:txbxContent>
                        <w:p w14:paraId="5296AB2E" w14:textId="77777777" w:rsidR="00300DB4" w:rsidRDefault="007F410E">
                          <w:pPr>
                            <w:pStyle w:val="Referentiegegevensbold"/>
                          </w:pPr>
                          <w:r>
                            <w:t>Ministerie van Buitenlandse Zaken</w:t>
                          </w:r>
                        </w:p>
                        <w:p w14:paraId="5296AB2F" w14:textId="77777777" w:rsidR="00300DB4" w:rsidRDefault="00300DB4">
                          <w:pPr>
                            <w:pStyle w:val="WitregelW2"/>
                          </w:pPr>
                        </w:p>
                        <w:p w14:paraId="5296AB30" w14:textId="77777777" w:rsidR="00300DB4" w:rsidRDefault="007F410E">
                          <w:pPr>
                            <w:pStyle w:val="Referentiegegevensbold"/>
                          </w:pPr>
                          <w:r>
                            <w:t>Onze referentie</w:t>
                          </w:r>
                        </w:p>
                        <w:p w14:paraId="5296AB31" w14:textId="77777777" w:rsidR="00300DB4" w:rsidRDefault="007F410E">
                          <w:pPr>
                            <w:pStyle w:val="Referentiegegevens"/>
                          </w:pPr>
                          <w:r>
                            <w:t>BZ2629297</w:t>
                          </w:r>
                        </w:p>
                      </w:txbxContent>
                    </wps:txbx>
                    <wps:bodyPr vert="horz" wrap="square" lIns="0" tIns="0" rIns="0" bIns="0" anchor="t" anchorCtr="0"/>
                  </wps:wsp>
                </a:graphicData>
              </a:graphic>
              <wp14:sizeRelH relativeFrom="margin">
                <wp14:pctWidth>0</wp14:pctWidth>
              </wp14:sizeRelH>
            </wp:anchor>
          </w:drawing>
        </mc:Choice>
        <mc:Fallback>
          <w:pict>
            <v:shapetype w14:anchorId="5296AB00" id="_x0000_t202" coordsize="21600,21600" o:spt="202" path="m,l,21600r21600,l21600,xe">
              <v:stroke joinstyle="miter"/>
              <v:path gradientshapeok="t" o:connecttype="rect"/>
            </v:shapetype>
            <v:shape id="41b1110a-80a4-11ea-b356-6230a4311406" o:spid="_x0000_s1026" type="#_x0000_t202" style="position:absolute;margin-left:466.2pt;margin-top:154.8pt;width:112.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" filled="f" stroked="f">
              <v:textbox inset="0,0,0,0">
                <w:txbxContent>
                  <w:p w14:paraId="5296AB2E" w14:textId="77777777" w:rsidR="00300DB4" w:rsidRDefault="007F410E">
                    <w:pPr>
                      <w:pStyle w:val="Referentiegegevensbold"/>
                    </w:pPr>
                    <w:r>
                      <w:t>Ministerie van Buitenlandse Zaken</w:t>
                    </w:r>
                  </w:p>
                  <w:p w14:paraId="5296AB2F" w14:textId="77777777" w:rsidR="00300DB4" w:rsidRDefault="00300DB4">
                    <w:pPr>
                      <w:pStyle w:val="WitregelW2"/>
                    </w:pPr>
                  </w:p>
                  <w:p w14:paraId="5296AB30" w14:textId="77777777" w:rsidR="00300DB4" w:rsidRDefault="007F410E">
                    <w:pPr>
                      <w:pStyle w:val="Referentiegegevensbold"/>
                    </w:pPr>
                    <w:r>
                      <w:t>Onze referentie</w:t>
                    </w:r>
                  </w:p>
                  <w:p w14:paraId="5296AB31" w14:textId="77777777" w:rsidR="00300DB4" w:rsidRDefault="007F410E">
                    <w:pPr>
                      <w:pStyle w:val="Referentiegegevens"/>
                    </w:pPr>
                    <w:r>
                      <w:t>BZ2629297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296AB04" wp14:editId="58F8BA3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96AB40" w14:textId="77777777" w:rsidR="007F410E" w:rsidRDefault="007F410E"/>
                      </w:txbxContent>
                    </wps:txbx>
                    <wps:bodyPr vert="horz" wrap="square" lIns="0" tIns="0" rIns="0" bIns="0" anchor="t" anchorCtr="0"/>
                  </wps:wsp>
                </a:graphicData>
              </a:graphic>
            </wp:anchor>
          </w:drawing>
        </mc:Choice>
        <mc:Fallback>
          <w:pict>
            <v:shape w14:anchorId="5296AB0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296AB40" w14:textId="77777777" w:rsidR="007F410E" w:rsidRDefault="007F410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AAFE" w14:textId="7DF4B948" w:rsidR="00300DB4" w:rsidRDefault="007F410E">
    <w:pPr>
      <w:spacing w:after="7131" w:line="14" w:lineRule="exact"/>
    </w:pPr>
    <w:r>
      <w:rPr>
        <w:noProof/>
      </w:rPr>
      <mc:AlternateContent>
        <mc:Choice Requires="wps">
          <w:drawing>
            <wp:anchor distT="0" distB="0" distL="0" distR="0" simplePos="0" relativeHeight="251658243" behindDoc="0" locked="1" layoutInCell="1" allowOverlap="1" wp14:anchorId="5296AB06" wp14:editId="5296AB0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296AB33" w14:textId="77777777" w:rsidR="007F410E" w:rsidRDefault="007F410E"/>
                      </w:txbxContent>
                    </wps:txbx>
                    <wps:bodyPr vert="horz" wrap="square" lIns="0" tIns="0" rIns="0" bIns="0" anchor="t" anchorCtr="0"/>
                  </wps:wsp>
                </a:graphicData>
              </a:graphic>
            </wp:anchor>
          </w:drawing>
        </mc:Choice>
        <mc:Fallback>
          <w:pict>
            <v:shapetype w14:anchorId="5296AB0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296AB33" w14:textId="77777777" w:rsidR="007F410E" w:rsidRDefault="007F410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96AB08" wp14:editId="5296AB0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96AB17" w14:textId="77777777" w:rsidR="00300DB4" w:rsidRDefault="007F410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296AB0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296AB17" w14:textId="77777777" w:rsidR="00300DB4" w:rsidRDefault="007F410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296AB0A" wp14:editId="5296AB0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00DB4" w14:paraId="5296AB1A" w14:textId="77777777">
                            <w:tc>
                              <w:tcPr>
                                <w:tcW w:w="678" w:type="dxa"/>
                              </w:tcPr>
                              <w:p w14:paraId="5296AB18" w14:textId="77777777" w:rsidR="00300DB4" w:rsidRDefault="007F410E">
                                <w:r>
                                  <w:t>Datum</w:t>
                                </w:r>
                              </w:p>
                            </w:tc>
                            <w:tc>
                              <w:tcPr>
                                <w:tcW w:w="6851" w:type="dxa"/>
                              </w:tcPr>
                              <w:p w14:paraId="5296AB19" w14:textId="056AEB85" w:rsidR="00300DB4" w:rsidRDefault="00867D74">
                                <w:r>
                                  <w:t xml:space="preserve"> </w:t>
                                </w:r>
                                <w:r w:rsidR="006119EF">
                                  <w:t>2</w:t>
                                </w:r>
                                <w:r>
                                  <w:t xml:space="preserve"> juli</w:t>
                                </w:r>
                                <w:r w:rsidR="007F410E">
                                  <w:t xml:space="preserve"> 2026</w:t>
                                </w:r>
                              </w:p>
                            </w:tc>
                          </w:tr>
                          <w:tr w:rsidR="00300DB4" w14:paraId="5296AB1F" w14:textId="77777777">
                            <w:tc>
                              <w:tcPr>
                                <w:tcW w:w="678" w:type="dxa"/>
                              </w:tcPr>
                              <w:p w14:paraId="5296AB1B" w14:textId="77777777" w:rsidR="00300DB4" w:rsidRDefault="007F410E">
                                <w:r>
                                  <w:t>Betreft</w:t>
                                </w:r>
                              </w:p>
                              <w:p w14:paraId="5296AB1C" w14:textId="77777777" w:rsidR="00300DB4" w:rsidRDefault="00300DB4"/>
                            </w:tc>
                            <w:tc>
                              <w:tcPr>
                                <w:tcW w:w="6851" w:type="dxa"/>
                              </w:tcPr>
                              <w:p w14:paraId="5296AB1D" w14:textId="71CB9C24" w:rsidR="00300DB4" w:rsidRDefault="007F410E">
                                <w:r>
                                  <w:t xml:space="preserve">Nederlandse inzet tijdens de Ukraine Recovery Conference in </w:t>
                                </w:r>
                                <w:proofErr w:type="spellStart"/>
                                <w:r w:rsidRPr="007F410E">
                                  <w:t>Gdańsk</w:t>
                                </w:r>
                                <w:proofErr w:type="spellEnd"/>
                              </w:p>
                              <w:p w14:paraId="5296AB1E" w14:textId="77777777" w:rsidR="00300DB4" w:rsidRDefault="00300DB4"/>
                            </w:tc>
                          </w:tr>
                        </w:tbl>
                        <w:p w14:paraId="5296AB20" w14:textId="77777777" w:rsidR="00300DB4" w:rsidRDefault="00300DB4"/>
                        <w:p w14:paraId="5296AB21" w14:textId="77777777" w:rsidR="00300DB4" w:rsidRDefault="00300DB4"/>
                      </w:txbxContent>
                    </wps:txbx>
                    <wps:bodyPr vert="horz" wrap="square" lIns="0" tIns="0" rIns="0" bIns="0" anchor="t" anchorCtr="0"/>
                  </wps:wsp>
                </a:graphicData>
              </a:graphic>
            </wp:anchor>
          </w:drawing>
        </mc:Choice>
        <mc:Fallback>
          <w:pict>
            <v:shape w14:anchorId="5296AB0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00DB4" w14:paraId="5296AB1A" w14:textId="77777777">
                      <w:tc>
                        <w:tcPr>
                          <w:tcW w:w="678" w:type="dxa"/>
                        </w:tcPr>
                        <w:p w14:paraId="5296AB18" w14:textId="77777777" w:rsidR="00300DB4" w:rsidRDefault="007F410E">
                          <w:r>
                            <w:t>Datum</w:t>
                          </w:r>
                        </w:p>
                      </w:tc>
                      <w:tc>
                        <w:tcPr>
                          <w:tcW w:w="6851" w:type="dxa"/>
                        </w:tcPr>
                        <w:p w14:paraId="5296AB19" w14:textId="056AEB85" w:rsidR="00300DB4" w:rsidRDefault="00867D74">
                          <w:r>
                            <w:t xml:space="preserve"> </w:t>
                          </w:r>
                          <w:r w:rsidR="006119EF">
                            <w:t>2</w:t>
                          </w:r>
                          <w:r>
                            <w:t xml:space="preserve"> juli</w:t>
                          </w:r>
                          <w:r w:rsidR="007F410E">
                            <w:t xml:space="preserve"> 2026</w:t>
                          </w:r>
                        </w:p>
                      </w:tc>
                    </w:tr>
                    <w:tr w:rsidR="00300DB4" w14:paraId="5296AB1F" w14:textId="77777777">
                      <w:tc>
                        <w:tcPr>
                          <w:tcW w:w="678" w:type="dxa"/>
                        </w:tcPr>
                        <w:p w14:paraId="5296AB1B" w14:textId="77777777" w:rsidR="00300DB4" w:rsidRDefault="007F410E">
                          <w:r>
                            <w:t>Betreft</w:t>
                          </w:r>
                        </w:p>
                        <w:p w14:paraId="5296AB1C" w14:textId="77777777" w:rsidR="00300DB4" w:rsidRDefault="00300DB4"/>
                      </w:tc>
                      <w:tc>
                        <w:tcPr>
                          <w:tcW w:w="6851" w:type="dxa"/>
                        </w:tcPr>
                        <w:p w14:paraId="5296AB1D" w14:textId="71CB9C24" w:rsidR="00300DB4" w:rsidRDefault="007F410E">
                          <w:r>
                            <w:t xml:space="preserve">Nederlandse inzet tijdens de Ukraine Recovery Conference in </w:t>
                          </w:r>
                          <w:proofErr w:type="spellStart"/>
                          <w:r w:rsidRPr="007F410E">
                            <w:t>Gdańsk</w:t>
                          </w:r>
                          <w:proofErr w:type="spellEnd"/>
                        </w:p>
                        <w:p w14:paraId="5296AB1E" w14:textId="77777777" w:rsidR="00300DB4" w:rsidRDefault="00300DB4"/>
                      </w:tc>
                    </w:tr>
                  </w:tbl>
                  <w:p w14:paraId="5296AB20" w14:textId="77777777" w:rsidR="00300DB4" w:rsidRDefault="00300DB4"/>
                  <w:p w14:paraId="5296AB21" w14:textId="77777777" w:rsidR="00300DB4" w:rsidRDefault="00300DB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96AB0C" wp14:editId="0D96B16E">
              <wp:simplePos x="0" y="0"/>
              <wp:positionH relativeFrom="page">
                <wp:posOffset>5920740</wp:posOffset>
              </wp:positionH>
              <wp:positionV relativeFrom="page">
                <wp:posOffset>1965960</wp:posOffset>
              </wp:positionV>
              <wp:extent cx="14325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3256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9B33649" w14:textId="77777777" w:rsidR="00867D74" w:rsidRPr="00F51C07" w:rsidRDefault="00867D74" w:rsidP="00867D74">
                              <w:pPr>
                                <w:rPr>
                                  <w:b/>
                                  <w:sz w:val="13"/>
                                  <w:szCs w:val="13"/>
                                </w:rPr>
                              </w:pPr>
                              <w:r w:rsidRPr="00FC13FA">
                                <w:rPr>
                                  <w:b/>
                                  <w:sz w:val="13"/>
                                  <w:szCs w:val="13"/>
                                </w:rPr>
                                <w:t>Ministerie van Buitenlandse Zaken</w:t>
                              </w:r>
                            </w:p>
                          </w:sdtContent>
                        </w:sdt>
                        <w:p w14:paraId="4B367938" w14:textId="77777777" w:rsidR="00867D74" w:rsidRPr="00EE5E5D" w:rsidRDefault="00867D74" w:rsidP="00867D74">
                          <w:pPr>
                            <w:rPr>
                              <w:sz w:val="13"/>
                              <w:szCs w:val="13"/>
                            </w:rPr>
                          </w:pPr>
                          <w:r>
                            <w:rPr>
                              <w:sz w:val="13"/>
                              <w:szCs w:val="13"/>
                            </w:rPr>
                            <w:t>Rijnstraat 8</w:t>
                          </w:r>
                        </w:p>
                        <w:p w14:paraId="03D52600" w14:textId="77777777" w:rsidR="00867D74" w:rsidRPr="0059764A" w:rsidRDefault="00867D74" w:rsidP="00867D74">
                          <w:pPr>
                            <w:rPr>
                              <w:sz w:val="13"/>
                              <w:szCs w:val="13"/>
                              <w:lang w:val="da-DK"/>
                            </w:rPr>
                          </w:pPr>
                          <w:r w:rsidRPr="0059764A">
                            <w:rPr>
                              <w:sz w:val="13"/>
                              <w:szCs w:val="13"/>
                              <w:lang w:val="da-DK"/>
                            </w:rPr>
                            <w:t>2515 XP Den Haag</w:t>
                          </w:r>
                        </w:p>
                        <w:p w14:paraId="231F7A82" w14:textId="77777777" w:rsidR="00867D74" w:rsidRPr="0059764A" w:rsidRDefault="00867D74" w:rsidP="00867D74">
                          <w:pPr>
                            <w:rPr>
                              <w:sz w:val="13"/>
                              <w:szCs w:val="13"/>
                              <w:lang w:val="da-DK"/>
                            </w:rPr>
                          </w:pPr>
                          <w:r w:rsidRPr="0059764A">
                            <w:rPr>
                              <w:sz w:val="13"/>
                              <w:szCs w:val="13"/>
                              <w:lang w:val="da-DK"/>
                            </w:rPr>
                            <w:t>Postbus 20061</w:t>
                          </w:r>
                        </w:p>
                        <w:p w14:paraId="09ABA306" w14:textId="77777777" w:rsidR="00867D74" w:rsidRPr="0059764A" w:rsidRDefault="00867D74" w:rsidP="00867D74">
                          <w:pPr>
                            <w:rPr>
                              <w:sz w:val="13"/>
                              <w:szCs w:val="13"/>
                              <w:lang w:val="da-DK"/>
                            </w:rPr>
                          </w:pPr>
                          <w:r w:rsidRPr="0059764A">
                            <w:rPr>
                              <w:sz w:val="13"/>
                              <w:szCs w:val="13"/>
                              <w:lang w:val="da-DK"/>
                            </w:rPr>
                            <w:t>Nederland</w:t>
                          </w:r>
                        </w:p>
                        <w:p w14:paraId="5296AB25" w14:textId="77777777" w:rsidR="00300DB4" w:rsidRPr="00867D74" w:rsidRDefault="007F410E">
                          <w:pPr>
                            <w:pStyle w:val="Referentiegegevens"/>
                            <w:rPr>
                              <w:lang w:val="da-DK"/>
                            </w:rPr>
                          </w:pPr>
                          <w:r w:rsidRPr="00867D74">
                            <w:rPr>
                              <w:lang w:val="da-DK"/>
                            </w:rPr>
                            <w:t>www.minbuza.nl</w:t>
                          </w:r>
                        </w:p>
                        <w:p w14:paraId="5296AB26" w14:textId="77777777" w:rsidR="00300DB4" w:rsidRPr="00867D74" w:rsidRDefault="00300DB4">
                          <w:pPr>
                            <w:pStyle w:val="WitregelW2"/>
                            <w:rPr>
                              <w:lang w:val="da-DK"/>
                            </w:rPr>
                          </w:pPr>
                        </w:p>
                        <w:p w14:paraId="5296AB27" w14:textId="77777777" w:rsidR="00300DB4" w:rsidRDefault="007F410E">
                          <w:pPr>
                            <w:pStyle w:val="Referentiegegevensbold"/>
                          </w:pPr>
                          <w:r>
                            <w:t>Onze referentie</w:t>
                          </w:r>
                        </w:p>
                        <w:p w14:paraId="5296AB28" w14:textId="77777777" w:rsidR="00300DB4" w:rsidRDefault="007F410E">
                          <w:pPr>
                            <w:pStyle w:val="Referentiegegevens"/>
                          </w:pPr>
                          <w:r>
                            <w:t>BZ2629297</w:t>
                          </w:r>
                        </w:p>
                        <w:p w14:paraId="5296AB29" w14:textId="77777777" w:rsidR="00300DB4" w:rsidRDefault="00300DB4">
                          <w:pPr>
                            <w:pStyle w:val="WitregelW1"/>
                          </w:pPr>
                        </w:p>
                        <w:p w14:paraId="5296AB2A" w14:textId="77777777" w:rsidR="00300DB4" w:rsidRDefault="007F410E">
                          <w:pPr>
                            <w:pStyle w:val="Referentiegegevensbold"/>
                          </w:pPr>
                          <w:r>
                            <w:t>Bijlage(n)</w:t>
                          </w:r>
                        </w:p>
                        <w:p w14:paraId="5296AB2B" w14:textId="77777777" w:rsidR="00300DB4" w:rsidRDefault="007F410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296AB0C" id="41b10cd4-80a4-11ea-b356-6230a4311406" o:spid="_x0000_s1031" type="#_x0000_t202" style="position:absolute;margin-left:466.2pt;margin-top:154.8pt;width:112.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9B33649" w14:textId="77777777" w:rsidR="00867D74" w:rsidRPr="00F51C07" w:rsidRDefault="00867D74" w:rsidP="00867D74">
                        <w:pPr>
                          <w:rPr>
                            <w:b/>
                            <w:sz w:val="13"/>
                            <w:szCs w:val="13"/>
                          </w:rPr>
                        </w:pPr>
                        <w:r w:rsidRPr="00FC13FA">
                          <w:rPr>
                            <w:b/>
                            <w:sz w:val="13"/>
                            <w:szCs w:val="13"/>
                          </w:rPr>
                          <w:t>Ministerie van Buitenlandse Zaken</w:t>
                        </w:r>
                      </w:p>
                    </w:sdtContent>
                  </w:sdt>
                  <w:p w14:paraId="4B367938" w14:textId="77777777" w:rsidR="00867D74" w:rsidRPr="00EE5E5D" w:rsidRDefault="00867D74" w:rsidP="00867D74">
                    <w:pPr>
                      <w:rPr>
                        <w:sz w:val="13"/>
                        <w:szCs w:val="13"/>
                      </w:rPr>
                    </w:pPr>
                    <w:r>
                      <w:rPr>
                        <w:sz w:val="13"/>
                        <w:szCs w:val="13"/>
                      </w:rPr>
                      <w:t>Rijnstraat 8</w:t>
                    </w:r>
                  </w:p>
                  <w:p w14:paraId="03D52600" w14:textId="77777777" w:rsidR="00867D74" w:rsidRPr="0059764A" w:rsidRDefault="00867D74" w:rsidP="00867D74">
                    <w:pPr>
                      <w:rPr>
                        <w:sz w:val="13"/>
                        <w:szCs w:val="13"/>
                        <w:lang w:val="da-DK"/>
                      </w:rPr>
                    </w:pPr>
                    <w:r w:rsidRPr="0059764A">
                      <w:rPr>
                        <w:sz w:val="13"/>
                        <w:szCs w:val="13"/>
                        <w:lang w:val="da-DK"/>
                      </w:rPr>
                      <w:t>2515 XP Den Haag</w:t>
                    </w:r>
                  </w:p>
                  <w:p w14:paraId="231F7A82" w14:textId="77777777" w:rsidR="00867D74" w:rsidRPr="0059764A" w:rsidRDefault="00867D74" w:rsidP="00867D74">
                    <w:pPr>
                      <w:rPr>
                        <w:sz w:val="13"/>
                        <w:szCs w:val="13"/>
                        <w:lang w:val="da-DK"/>
                      </w:rPr>
                    </w:pPr>
                    <w:r w:rsidRPr="0059764A">
                      <w:rPr>
                        <w:sz w:val="13"/>
                        <w:szCs w:val="13"/>
                        <w:lang w:val="da-DK"/>
                      </w:rPr>
                      <w:t>Postbus 20061</w:t>
                    </w:r>
                  </w:p>
                  <w:p w14:paraId="09ABA306" w14:textId="77777777" w:rsidR="00867D74" w:rsidRPr="0059764A" w:rsidRDefault="00867D74" w:rsidP="00867D74">
                    <w:pPr>
                      <w:rPr>
                        <w:sz w:val="13"/>
                        <w:szCs w:val="13"/>
                        <w:lang w:val="da-DK"/>
                      </w:rPr>
                    </w:pPr>
                    <w:r w:rsidRPr="0059764A">
                      <w:rPr>
                        <w:sz w:val="13"/>
                        <w:szCs w:val="13"/>
                        <w:lang w:val="da-DK"/>
                      </w:rPr>
                      <w:t>Nederland</w:t>
                    </w:r>
                  </w:p>
                  <w:p w14:paraId="5296AB25" w14:textId="77777777" w:rsidR="00300DB4" w:rsidRPr="00867D74" w:rsidRDefault="007F410E">
                    <w:pPr>
                      <w:pStyle w:val="Referentiegegevens"/>
                      <w:rPr>
                        <w:lang w:val="da-DK"/>
                      </w:rPr>
                    </w:pPr>
                    <w:r w:rsidRPr="00867D74">
                      <w:rPr>
                        <w:lang w:val="da-DK"/>
                      </w:rPr>
                      <w:t>www.minbuza.nl</w:t>
                    </w:r>
                  </w:p>
                  <w:p w14:paraId="5296AB26" w14:textId="77777777" w:rsidR="00300DB4" w:rsidRPr="00867D74" w:rsidRDefault="00300DB4">
                    <w:pPr>
                      <w:pStyle w:val="WitregelW2"/>
                      <w:rPr>
                        <w:lang w:val="da-DK"/>
                      </w:rPr>
                    </w:pPr>
                  </w:p>
                  <w:p w14:paraId="5296AB27" w14:textId="77777777" w:rsidR="00300DB4" w:rsidRDefault="007F410E">
                    <w:pPr>
                      <w:pStyle w:val="Referentiegegevensbold"/>
                    </w:pPr>
                    <w:r>
                      <w:t>Onze referentie</w:t>
                    </w:r>
                  </w:p>
                  <w:p w14:paraId="5296AB28" w14:textId="77777777" w:rsidR="00300DB4" w:rsidRDefault="007F410E">
                    <w:pPr>
                      <w:pStyle w:val="Referentiegegevens"/>
                    </w:pPr>
                    <w:r>
                      <w:t>BZ2629297</w:t>
                    </w:r>
                  </w:p>
                  <w:p w14:paraId="5296AB29" w14:textId="77777777" w:rsidR="00300DB4" w:rsidRDefault="00300DB4">
                    <w:pPr>
                      <w:pStyle w:val="WitregelW1"/>
                    </w:pPr>
                  </w:p>
                  <w:p w14:paraId="5296AB2A" w14:textId="77777777" w:rsidR="00300DB4" w:rsidRDefault="007F410E">
                    <w:pPr>
                      <w:pStyle w:val="Referentiegegevensbold"/>
                    </w:pPr>
                    <w:r>
                      <w:t>Bijlage(n)</w:t>
                    </w:r>
                  </w:p>
                  <w:p w14:paraId="5296AB2B" w14:textId="77777777" w:rsidR="00300DB4" w:rsidRDefault="007F410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296AB10" wp14:editId="3075091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96AB39" w14:textId="77777777" w:rsidR="007F410E" w:rsidRDefault="007F410E"/>
                      </w:txbxContent>
                    </wps:txbx>
                    <wps:bodyPr vert="horz" wrap="square" lIns="0" tIns="0" rIns="0" bIns="0" anchor="t" anchorCtr="0"/>
                  </wps:wsp>
                </a:graphicData>
              </a:graphic>
            </wp:anchor>
          </w:drawing>
        </mc:Choice>
        <mc:Fallback>
          <w:pict>
            <v:shape w14:anchorId="5296AB1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296AB39" w14:textId="77777777" w:rsidR="007F410E" w:rsidRDefault="007F410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296AB12" wp14:editId="5296AB1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96AB3B" w14:textId="77777777" w:rsidR="007F410E" w:rsidRDefault="007F410E"/>
                      </w:txbxContent>
                    </wps:txbx>
                    <wps:bodyPr vert="horz" wrap="square" lIns="0" tIns="0" rIns="0" bIns="0" anchor="t" anchorCtr="0"/>
                  </wps:wsp>
                </a:graphicData>
              </a:graphic>
            </wp:anchor>
          </w:drawing>
        </mc:Choice>
        <mc:Fallback>
          <w:pict>
            <v:shape w14:anchorId="5296AB1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296AB3B" w14:textId="77777777" w:rsidR="007F410E" w:rsidRDefault="007F410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296AB14" wp14:editId="5296AB1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96AB2D" w14:textId="0B1383C8" w:rsidR="00300DB4" w:rsidRDefault="007F410E">
                          <w:pPr>
                            <w:spacing w:line="240" w:lineRule="auto"/>
                          </w:pPr>
                          <w:r>
                            <w:rPr>
                              <w:noProof/>
                            </w:rPr>
                            <w:drawing>
                              <wp:inline distT="0" distB="0" distL="0" distR="0" wp14:anchorId="5B5608EC" wp14:editId="5296AB3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96AB1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296AB2D" w14:textId="0B1383C8" w:rsidR="00300DB4" w:rsidRDefault="007F410E">
                    <w:pPr>
                      <w:spacing w:line="240" w:lineRule="auto"/>
                    </w:pPr>
                    <w:r>
                      <w:rPr>
                        <w:noProof/>
                      </w:rPr>
                      <w:drawing>
                        <wp:inline distT="0" distB="0" distL="0" distR="0" wp14:anchorId="5B5608EC" wp14:editId="5296AB3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CD21B"/>
    <w:multiLevelType w:val="multilevel"/>
    <w:tmpl w:val="D9C80C3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B30720F"/>
    <w:multiLevelType w:val="multilevel"/>
    <w:tmpl w:val="C2CA027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CF0262"/>
    <w:multiLevelType w:val="multilevel"/>
    <w:tmpl w:val="74D549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A676890"/>
    <w:multiLevelType w:val="hybridMultilevel"/>
    <w:tmpl w:val="86282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FB7AE9"/>
    <w:multiLevelType w:val="hybridMultilevel"/>
    <w:tmpl w:val="B6D6A09A"/>
    <w:lvl w:ilvl="0" w:tplc="1BB6564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503CA3"/>
    <w:multiLevelType w:val="multilevel"/>
    <w:tmpl w:val="5B64815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5CAB7400"/>
    <w:multiLevelType w:val="multilevel"/>
    <w:tmpl w:val="05E32BE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95281350">
    <w:abstractNumId w:val="5"/>
  </w:num>
  <w:num w:numId="2" w16cid:durableId="1391919805">
    <w:abstractNumId w:val="0"/>
  </w:num>
  <w:num w:numId="3" w16cid:durableId="1829714348">
    <w:abstractNumId w:val="2"/>
  </w:num>
  <w:num w:numId="4" w16cid:durableId="2006735676">
    <w:abstractNumId w:val="6"/>
  </w:num>
  <w:num w:numId="5" w16cid:durableId="329800459">
    <w:abstractNumId w:val="1"/>
  </w:num>
  <w:num w:numId="6" w16cid:durableId="251014634">
    <w:abstractNumId w:val="3"/>
  </w:num>
  <w:num w:numId="7" w16cid:durableId="1837187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DB4"/>
    <w:rsid w:val="0001420C"/>
    <w:rsid w:val="00015FC3"/>
    <w:rsid w:val="00020209"/>
    <w:rsid w:val="0002161B"/>
    <w:rsid w:val="00023266"/>
    <w:rsid w:val="00027C6D"/>
    <w:rsid w:val="00031560"/>
    <w:rsid w:val="000347FA"/>
    <w:rsid w:val="000370B3"/>
    <w:rsid w:val="00041DCB"/>
    <w:rsid w:val="00043222"/>
    <w:rsid w:val="00055C92"/>
    <w:rsid w:val="0005704F"/>
    <w:rsid w:val="00061639"/>
    <w:rsid w:val="00063681"/>
    <w:rsid w:val="0006561D"/>
    <w:rsid w:val="000705C8"/>
    <w:rsid w:val="00073741"/>
    <w:rsid w:val="00080AC6"/>
    <w:rsid w:val="00086FCE"/>
    <w:rsid w:val="00092910"/>
    <w:rsid w:val="00095B3D"/>
    <w:rsid w:val="000A340D"/>
    <w:rsid w:val="000A699D"/>
    <w:rsid w:val="000A6EBE"/>
    <w:rsid w:val="000B7551"/>
    <w:rsid w:val="000C0AA9"/>
    <w:rsid w:val="000C1340"/>
    <w:rsid w:val="000C4343"/>
    <w:rsid w:val="000D3912"/>
    <w:rsid w:val="000D5D59"/>
    <w:rsid w:val="000D740F"/>
    <w:rsid w:val="000E277E"/>
    <w:rsid w:val="000E2A2B"/>
    <w:rsid w:val="000E2D46"/>
    <w:rsid w:val="000E7B04"/>
    <w:rsid w:val="000F47E1"/>
    <w:rsid w:val="000F5CAD"/>
    <w:rsid w:val="000F5E51"/>
    <w:rsid w:val="000F6112"/>
    <w:rsid w:val="000F696C"/>
    <w:rsid w:val="0010164F"/>
    <w:rsid w:val="00103AEE"/>
    <w:rsid w:val="0010508D"/>
    <w:rsid w:val="001063CD"/>
    <w:rsid w:val="0010653B"/>
    <w:rsid w:val="00114460"/>
    <w:rsid w:val="0011717E"/>
    <w:rsid w:val="001218D1"/>
    <w:rsid w:val="001256F1"/>
    <w:rsid w:val="00126DFB"/>
    <w:rsid w:val="00126E5B"/>
    <w:rsid w:val="001270A4"/>
    <w:rsid w:val="00127E51"/>
    <w:rsid w:val="0013224F"/>
    <w:rsid w:val="00135DF2"/>
    <w:rsid w:val="00142CB1"/>
    <w:rsid w:val="00143271"/>
    <w:rsid w:val="001454F2"/>
    <w:rsid w:val="001555C8"/>
    <w:rsid w:val="00160739"/>
    <w:rsid w:val="00161CCF"/>
    <w:rsid w:val="001654E6"/>
    <w:rsid w:val="001669B4"/>
    <w:rsid w:val="00166FB4"/>
    <w:rsid w:val="0017073E"/>
    <w:rsid w:val="00173F08"/>
    <w:rsid w:val="00175950"/>
    <w:rsid w:val="00184468"/>
    <w:rsid w:val="00184F9F"/>
    <w:rsid w:val="001858AA"/>
    <w:rsid w:val="00187C5C"/>
    <w:rsid w:val="00190B61"/>
    <w:rsid w:val="0019230C"/>
    <w:rsid w:val="00193CB7"/>
    <w:rsid w:val="001A170B"/>
    <w:rsid w:val="001B03D9"/>
    <w:rsid w:val="001B4013"/>
    <w:rsid w:val="001B43A1"/>
    <w:rsid w:val="001B452F"/>
    <w:rsid w:val="001B67DE"/>
    <w:rsid w:val="001C08E3"/>
    <w:rsid w:val="001C244B"/>
    <w:rsid w:val="001C6601"/>
    <w:rsid w:val="001C7F67"/>
    <w:rsid w:val="001C7FB5"/>
    <w:rsid w:val="001E2685"/>
    <w:rsid w:val="001E2F4C"/>
    <w:rsid w:val="001E3615"/>
    <w:rsid w:val="001E754F"/>
    <w:rsid w:val="001F1E57"/>
    <w:rsid w:val="001F2345"/>
    <w:rsid w:val="001F4BED"/>
    <w:rsid w:val="001F4C8C"/>
    <w:rsid w:val="001F71BA"/>
    <w:rsid w:val="0020323D"/>
    <w:rsid w:val="0020378B"/>
    <w:rsid w:val="0020672C"/>
    <w:rsid w:val="00210FF2"/>
    <w:rsid w:val="00217BA1"/>
    <w:rsid w:val="002358F4"/>
    <w:rsid w:val="00246F40"/>
    <w:rsid w:val="00253EDE"/>
    <w:rsid w:val="00255465"/>
    <w:rsid w:val="002606E0"/>
    <w:rsid w:val="002741AF"/>
    <w:rsid w:val="0027600D"/>
    <w:rsid w:val="002814BE"/>
    <w:rsid w:val="00284FBD"/>
    <w:rsid w:val="002852C4"/>
    <w:rsid w:val="00292311"/>
    <w:rsid w:val="00295177"/>
    <w:rsid w:val="002A44F1"/>
    <w:rsid w:val="002B6752"/>
    <w:rsid w:val="002C0269"/>
    <w:rsid w:val="002C1558"/>
    <w:rsid w:val="002C7BA3"/>
    <w:rsid w:val="002D05C0"/>
    <w:rsid w:val="002D24E7"/>
    <w:rsid w:val="002D6468"/>
    <w:rsid w:val="002E03F6"/>
    <w:rsid w:val="002E2841"/>
    <w:rsid w:val="002E52CB"/>
    <w:rsid w:val="002E6CE0"/>
    <w:rsid w:val="002F5D23"/>
    <w:rsid w:val="002F6809"/>
    <w:rsid w:val="002F7845"/>
    <w:rsid w:val="00300248"/>
    <w:rsid w:val="00300DB4"/>
    <w:rsid w:val="0030698F"/>
    <w:rsid w:val="00316601"/>
    <w:rsid w:val="00322B76"/>
    <w:rsid w:val="003276D1"/>
    <w:rsid w:val="00336B13"/>
    <w:rsid w:val="00337F3F"/>
    <w:rsid w:val="003419AA"/>
    <w:rsid w:val="00341D7F"/>
    <w:rsid w:val="003462D3"/>
    <w:rsid w:val="003553D6"/>
    <w:rsid w:val="00355661"/>
    <w:rsid w:val="0036014E"/>
    <w:rsid w:val="0036198B"/>
    <w:rsid w:val="00361C38"/>
    <w:rsid w:val="00363D8B"/>
    <w:rsid w:val="00364BDA"/>
    <w:rsid w:val="00366C9A"/>
    <w:rsid w:val="00367585"/>
    <w:rsid w:val="00367AB8"/>
    <w:rsid w:val="00373C99"/>
    <w:rsid w:val="00373DA6"/>
    <w:rsid w:val="0037670E"/>
    <w:rsid w:val="00382E62"/>
    <w:rsid w:val="00390FEC"/>
    <w:rsid w:val="00393CED"/>
    <w:rsid w:val="003A4F9C"/>
    <w:rsid w:val="003A7B13"/>
    <w:rsid w:val="003B1313"/>
    <w:rsid w:val="003B1423"/>
    <w:rsid w:val="003B3823"/>
    <w:rsid w:val="003C1A75"/>
    <w:rsid w:val="003D102B"/>
    <w:rsid w:val="003D1BFD"/>
    <w:rsid w:val="003E6392"/>
    <w:rsid w:val="003E71FA"/>
    <w:rsid w:val="003F1136"/>
    <w:rsid w:val="003F1A89"/>
    <w:rsid w:val="003F6197"/>
    <w:rsid w:val="003F6EBC"/>
    <w:rsid w:val="00400EAF"/>
    <w:rsid w:val="004040A6"/>
    <w:rsid w:val="0040415C"/>
    <w:rsid w:val="004046CC"/>
    <w:rsid w:val="00406EFD"/>
    <w:rsid w:val="00411008"/>
    <w:rsid w:val="00412085"/>
    <w:rsid w:val="00416FEA"/>
    <w:rsid w:val="00424B7B"/>
    <w:rsid w:val="00426F70"/>
    <w:rsid w:val="00427CBD"/>
    <w:rsid w:val="004304DD"/>
    <w:rsid w:val="00435590"/>
    <w:rsid w:val="00440114"/>
    <w:rsid w:val="004443F0"/>
    <w:rsid w:val="0045605B"/>
    <w:rsid w:val="0045787D"/>
    <w:rsid w:val="00477CF3"/>
    <w:rsid w:val="00482C86"/>
    <w:rsid w:val="00483913"/>
    <w:rsid w:val="00487403"/>
    <w:rsid w:val="0049734B"/>
    <w:rsid w:val="004A0BD2"/>
    <w:rsid w:val="004A32F5"/>
    <w:rsid w:val="004A4507"/>
    <w:rsid w:val="004A588D"/>
    <w:rsid w:val="004B1BDF"/>
    <w:rsid w:val="004B44B4"/>
    <w:rsid w:val="004B753B"/>
    <w:rsid w:val="004C3C47"/>
    <w:rsid w:val="004D6859"/>
    <w:rsid w:val="004E000F"/>
    <w:rsid w:val="004E7177"/>
    <w:rsid w:val="004F7ABE"/>
    <w:rsid w:val="00503F67"/>
    <w:rsid w:val="005042DC"/>
    <w:rsid w:val="0051125A"/>
    <w:rsid w:val="0051215D"/>
    <w:rsid w:val="005305A8"/>
    <w:rsid w:val="005315C5"/>
    <w:rsid w:val="00532FDF"/>
    <w:rsid w:val="00537BC6"/>
    <w:rsid w:val="005501A0"/>
    <w:rsid w:val="005735C8"/>
    <w:rsid w:val="00576148"/>
    <w:rsid w:val="00577E37"/>
    <w:rsid w:val="00577F54"/>
    <w:rsid w:val="00584427"/>
    <w:rsid w:val="0058515D"/>
    <w:rsid w:val="00586316"/>
    <w:rsid w:val="00591F62"/>
    <w:rsid w:val="00592E22"/>
    <w:rsid w:val="00594498"/>
    <w:rsid w:val="005A081A"/>
    <w:rsid w:val="005A7008"/>
    <w:rsid w:val="005B715E"/>
    <w:rsid w:val="005C1AC5"/>
    <w:rsid w:val="005C2E52"/>
    <w:rsid w:val="005C518B"/>
    <w:rsid w:val="005C5DAE"/>
    <w:rsid w:val="005C7651"/>
    <w:rsid w:val="005D5BAC"/>
    <w:rsid w:val="005F2146"/>
    <w:rsid w:val="005F2EE5"/>
    <w:rsid w:val="005F5804"/>
    <w:rsid w:val="005F790C"/>
    <w:rsid w:val="00603033"/>
    <w:rsid w:val="006036BD"/>
    <w:rsid w:val="006076DD"/>
    <w:rsid w:val="006119EF"/>
    <w:rsid w:val="00612675"/>
    <w:rsid w:val="006128F2"/>
    <w:rsid w:val="00613ABD"/>
    <w:rsid w:val="006141FE"/>
    <w:rsid w:val="0061507C"/>
    <w:rsid w:val="0062421B"/>
    <w:rsid w:val="0063338F"/>
    <w:rsid w:val="00633DB6"/>
    <w:rsid w:val="00637EC6"/>
    <w:rsid w:val="00643719"/>
    <w:rsid w:val="00650F03"/>
    <w:rsid w:val="00651A48"/>
    <w:rsid w:val="00655F1A"/>
    <w:rsid w:val="00657112"/>
    <w:rsid w:val="00657949"/>
    <w:rsid w:val="00660ABB"/>
    <w:rsid w:val="00663140"/>
    <w:rsid w:val="00663BDA"/>
    <w:rsid w:val="00666F3B"/>
    <w:rsid w:val="006751ED"/>
    <w:rsid w:val="00675C9E"/>
    <w:rsid w:val="006767BC"/>
    <w:rsid w:val="006768C0"/>
    <w:rsid w:val="006858CD"/>
    <w:rsid w:val="00691D64"/>
    <w:rsid w:val="00691E07"/>
    <w:rsid w:val="00693BAC"/>
    <w:rsid w:val="00693E3F"/>
    <w:rsid w:val="006977BD"/>
    <w:rsid w:val="006A7944"/>
    <w:rsid w:val="006B7EB0"/>
    <w:rsid w:val="006C23F2"/>
    <w:rsid w:val="006C5675"/>
    <w:rsid w:val="006D325D"/>
    <w:rsid w:val="006D77D0"/>
    <w:rsid w:val="006F3B28"/>
    <w:rsid w:val="007002FD"/>
    <w:rsid w:val="00700FF6"/>
    <w:rsid w:val="0070140C"/>
    <w:rsid w:val="00702C2E"/>
    <w:rsid w:val="00703305"/>
    <w:rsid w:val="0070635B"/>
    <w:rsid w:val="00713171"/>
    <w:rsid w:val="0071570B"/>
    <w:rsid w:val="007171BB"/>
    <w:rsid w:val="00720096"/>
    <w:rsid w:val="00722710"/>
    <w:rsid w:val="0072364B"/>
    <w:rsid w:val="00724703"/>
    <w:rsid w:val="007264BB"/>
    <w:rsid w:val="00726AD6"/>
    <w:rsid w:val="0073509F"/>
    <w:rsid w:val="007351E1"/>
    <w:rsid w:val="007415F1"/>
    <w:rsid w:val="0075359A"/>
    <w:rsid w:val="00757101"/>
    <w:rsid w:val="007626F1"/>
    <w:rsid w:val="00765814"/>
    <w:rsid w:val="00765B16"/>
    <w:rsid w:val="00765F9B"/>
    <w:rsid w:val="007664DD"/>
    <w:rsid w:val="007679BE"/>
    <w:rsid w:val="00772940"/>
    <w:rsid w:val="00775C98"/>
    <w:rsid w:val="007767A6"/>
    <w:rsid w:val="00784C1E"/>
    <w:rsid w:val="0078763F"/>
    <w:rsid w:val="00792FDD"/>
    <w:rsid w:val="007930D5"/>
    <w:rsid w:val="00797A98"/>
    <w:rsid w:val="007A2E34"/>
    <w:rsid w:val="007A319E"/>
    <w:rsid w:val="007B1634"/>
    <w:rsid w:val="007B30A4"/>
    <w:rsid w:val="007B3EA1"/>
    <w:rsid w:val="007B4D72"/>
    <w:rsid w:val="007B56DA"/>
    <w:rsid w:val="007B5C57"/>
    <w:rsid w:val="007B6950"/>
    <w:rsid w:val="007B6A96"/>
    <w:rsid w:val="007C02B0"/>
    <w:rsid w:val="007C14ED"/>
    <w:rsid w:val="007C14FA"/>
    <w:rsid w:val="007C4296"/>
    <w:rsid w:val="007C7B5B"/>
    <w:rsid w:val="007C7F07"/>
    <w:rsid w:val="007E2D8E"/>
    <w:rsid w:val="007E4BC4"/>
    <w:rsid w:val="007F410E"/>
    <w:rsid w:val="007F5BFF"/>
    <w:rsid w:val="007F67F0"/>
    <w:rsid w:val="007F752D"/>
    <w:rsid w:val="00803E6F"/>
    <w:rsid w:val="0080725B"/>
    <w:rsid w:val="00810C77"/>
    <w:rsid w:val="00811363"/>
    <w:rsid w:val="0081335A"/>
    <w:rsid w:val="008134E8"/>
    <w:rsid w:val="00814329"/>
    <w:rsid w:val="00816DF3"/>
    <w:rsid w:val="00821CB0"/>
    <w:rsid w:val="00824CC5"/>
    <w:rsid w:val="00826DC3"/>
    <w:rsid w:val="00833462"/>
    <w:rsid w:val="00833BAB"/>
    <w:rsid w:val="00837168"/>
    <w:rsid w:val="00840B7A"/>
    <w:rsid w:val="0085043F"/>
    <w:rsid w:val="00852836"/>
    <w:rsid w:val="0085284C"/>
    <w:rsid w:val="00854295"/>
    <w:rsid w:val="008620E0"/>
    <w:rsid w:val="00864AC1"/>
    <w:rsid w:val="00867D74"/>
    <w:rsid w:val="0087626E"/>
    <w:rsid w:val="00877F36"/>
    <w:rsid w:val="00882695"/>
    <w:rsid w:val="00883E2D"/>
    <w:rsid w:val="00885675"/>
    <w:rsid w:val="008914AE"/>
    <w:rsid w:val="008922EC"/>
    <w:rsid w:val="008A05DB"/>
    <w:rsid w:val="008A51A1"/>
    <w:rsid w:val="008A6351"/>
    <w:rsid w:val="008A6A09"/>
    <w:rsid w:val="008A7165"/>
    <w:rsid w:val="008B0E39"/>
    <w:rsid w:val="008B360B"/>
    <w:rsid w:val="008B3F47"/>
    <w:rsid w:val="008B7B61"/>
    <w:rsid w:val="008C10C5"/>
    <w:rsid w:val="008C37B2"/>
    <w:rsid w:val="008C5777"/>
    <w:rsid w:val="008C67CE"/>
    <w:rsid w:val="008C67FB"/>
    <w:rsid w:val="008D1E84"/>
    <w:rsid w:val="008D2FD7"/>
    <w:rsid w:val="008D4892"/>
    <w:rsid w:val="008D7397"/>
    <w:rsid w:val="008E3B65"/>
    <w:rsid w:val="008F07B7"/>
    <w:rsid w:val="008F0D3B"/>
    <w:rsid w:val="008F1286"/>
    <w:rsid w:val="008F3BDE"/>
    <w:rsid w:val="008F45D6"/>
    <w:rsid w:val="008F7222"/>
    <w:rsid w:val="00911D0E"/>
    <w:rsid w:val="00911EC2"/>
    <w:rsid w:val="00913B12"/>
    <w:rsid w:val="00917608"/>
    <w:rsid w:val="0092575B"/>
    <w:rsid w:val="009272ED"/>
    <w:rsid w:val="009400AE"/>
    <w:rsid w:val="00940695"/>
    <w:rsid w:val="00943A89"/>
    <w:rsid w:val="00946884"/>
    <w:rsid w:val="00951C35"/>
    <w:rsid w:val="0095263E"/>
    <w:rsid w:val="00961D3D"/>
    <w:rsid w:val="00962D2E"/>
    <w:rsid w:val="009678EC"/>
    <w:rsid w:val="009728D3"/>
    <w:rsid w:val="00974644"/>
    <w:rsid w:val="009800F7"/>
    <w:rsid w:val="00984610"/>
    <w:rsid w:val="00986FD2"/>
    <w:rsid w:val="00987EC3"/>
    <w:rsid w:val="009910BC"/>
    <w:rsid w:val="00991C89"/>
    <w:rsid w:val="009A0A6E"/>
    <w:rsid w:val="009A0C6F"/>
    <w:rsid w:val="009A1BC1"/>
    <w:rsid w:val="009A29E4"/>
    <w:rsid w:val="009A363A"/>
    <w:rsid w:val="009C07F0"/>
    <w:rsid w:val="009C0968"/>
    <w:rsid w:val="009C6E87"/>
    <w:rsid w:val="009C7EE1"/>
    <w:rsid w:val="009D7268"/>
    <w:rsid w:val="009E23AD"/>
    <w:rsid w:val="009E4CDA"/>
    <w:rsid w:val="009F07AF"/>
    <w:rsid w:val="009F334A"/>
    <w:rsid w:val="009F79EA"/>
    <w:rsid w:val="00A041D0"/>
    <w:rsid w:val="00A050CC"/>
    <w:rsid w:val="00A05322"/>
    <w:rsid w:val="00A056A0"/>
    <w:rsid w:val="00A06422"/>
    <w:rsid w:val="00A1649A"/>
    <w:rsid w:val="00A17CAD"/>
    <w:rsid w:val="00A253CD"/>
    <w:rsid w:val="00A32364"/>
    <w:rsid w:val="00A34795"/>
    <w:rsid w:val="00A35124"/>
    <w:rsid w:val="00A36C1B"/>
    <w:rsid w:val="00A37BEE"/>
    <w:rsid w:val="00A44584"/>
    <w:rsid w:val="00A516F7"/>
    <w:rsid w:val="00A531A3"/>
    <w:rsid w:val="00A53E94"/>
    <w:rsid w:val="00A55ABC"/>
    <w:rsid w:val="00A60446"/>
    <w:rsid w:val="00A64B91"/>
    <w:rsid w:val="00A75FE9"/>
    <w:rsid w:val="00A842AE"/>
    <w:rsid w:val="00A914F1"/>
    <w:rsid w:val="00A92BC7"/>
    <w:rsid w:val="00A93911"/>
    <w:rsid w:val="00A95974"/>
    <w:rsid w:val="00AA1D0A"/>
    <w:rsid w:val="00AA2A85"/>
    <w:rsid w:val="00AB0CE4"/>
    <w:rsid w:val="00AB2CDE"/>
    <w:rsid w:val="00AB33E0"/>
    <w:rsid w:val="00AC0A5D"/>
    <w:rsid w:val="00AC0D2A"/>
    <w:rsid w:val="00AC4003"/>
    <w:rsid w:val="00AC7C48"/>
    <w:rsid w:val="00AD19D8"/>
    <w:rsid w:val="00AD3CAC"/>
    <w:rsid w:val="00AD5143"/>
    <w:rsid w:val="00AD6B80"/>
    <w:rsid w:val="00AD70CF"/>
    <w:rsid w:val="00AE2EC6"/>
    <w:rsid w:val="00AF24C7"/>
    <w:rsid w:val="00AF40A0"/>
    <w:rsid w:val="00B0233B"/>
    <w:rsid w:val="00B0610C"/>
    <w:rsid w:val="00B11CE0"/>
    <w:rsid w:val="00B1298F"/>
    <w:rsid w:val="00B12A59"/>
    <w:rsid w:val="00B1547D"/>
    <w:rsid w:val="00B24893"/>
    <w:rsid w:val="00B27752"/>
    <w:rsid w:val="00B31442"/>
    <w:rsid w:val="00B410D0"/>
    <w:rsid w:val="00B508F3"/>
    <w:rsid w:val="00B51CF7"/>
    <w:rsid w:val="00B73A15"/>
    <w:rsid w:val="00B82A3D"/>
    <w:rsid w:val="00B8352D"/>
    <w:rsid w:val="00B83BAC"/>
    <w:rsid w:val="00B876FB"/>
    <w:rsid w:val="00B87D60"/>
    <w:rsid w:val="00B91324"/>
    <w:rsid w:val="00B91962"/>
    <w:rsid w:val="00B9580D"/>
    <w:rsid w:val="00B9622F"/>
    <w:rsid w:val="00BA3E8B"/>
    <w:rsid w:val="00BA4516"/>
    <w:rsid w:val="00BA670C"/>
    <w:rsid w:val="00BA7BFE"/>
    <w:rsid w:val="00BA7E2D"/>
    <w:rsid w:val="00BB05D0"/>
    <w:rsid w:val="00BB33B0"/>
    <w:rsid w:val="00BB3431"/>
    <w:rsid w:val="00BB6476"/>
    <w:rsid w:val="00BC2006"/>
    <w:rsid w:val="00BD6395"/>
    <w:rsid w:val="00BE0A55"/>
    <w:rsid w:val="00BE1082"/>
    <w:rsid w:val="00BE21FA"/>
    <w:rsid w:val="00BE2DA3"/>
    <w:rsid w:val="00BE6C5D"/>
    <w:rsid w:val="00BF083D"/>
    <w:rsid w:val="00BF15FE"/>
    <w:rsid w:val="00BF54B3"/>
    <w:rsid w:val="00C041E8"/>
    <w:rsid w:val="00C12314"/>
    <w:rsid w:val="00C23974"/>
    <w:rsid w:val="00C25299"/>
    <w:rsid w:val="00C261F3"/>
    <w:rsid w:val="00C34D14"/>
    <w:rsid w:val="00C47EE5"/>
    <w:rsid w:val="00C51B6B"/>
    <w:rsid w:val="00C51C7C"/>
    <w:rsid w:val="00C53098"/>
    <w:rsid w:val="00C645C3"/>
    <w:rsid w:val="00C739CC"/>
    <w:rsid w:val="00C74B44"/>
    <w:rsid w:val="00C763CA"/>
    <w:rsid w:val="00C767EE"/>
    <w:rsid w:val="00C7742F"/>
    <w:rsid w:val="00C978C3"/>
    <w:rsid w:val="00CA0425"/>
    <w:rsid w:val="00CA2066"/>
    <w:rsid w:val="00CA2EBF"/>
    <w:rsid w:val="00CA5043"/>
    <w:rsid w:val="00CC2526"/>
    <w:rsid w:val="00CC34F7"/>
    <w:rsid w:val="00CC4530"/>
    <w:rsid w:val="00CD4255"/>
    <w:rsid w:val="00CE47F8"/>
    <w:rsid w:val="00CF54EB"/>
    <w:rsid w:val="00D042F2"/>
    <w:rsid w:val="00D05E64"/>
    <w:rsid w:val="00D12D1A"/>
    <w:rsid w:val="00D12D8C"/>
    <w:rsid w:val="00D20F94"/>
    <w:rsid w:val="00D215CF"/>
    <w:rsid w:val="00D21A57"/>
    <w:rsid w:val="00D21B6E"/>
    <w:rsid w:val="00D22BC1"/>
    <w:rsid w:val="00D230DA"/>
    <w:rsid w:val="00D23A4C"/>
    <w:rsid w:val="00D30136"/>
    <w:rsid w:val="00D315CD"/>
    <w:rsid w:val="00D315FF"/>
    <w:rsid w:val="00D33FD8"/>
    <w:rsid w:val="00D343EC"/>
    <w:rsid w:val="00D44AD0"/>
    <w:rsid w:val="00D513E0"/>
    <w:rsid w:val="00D53501"/>
    <w:rsid w:val="00D54955"/>
    <w:rsid w:val="00D56CBE"/>
    <w:rsid w:val="00D617D9"/>
    <w:rsid w:val="00D6199A"/>
    <w:rsid w:val="00D61ECC"/>
    <w:rsid w:val="00D7149A"/>
    <w:rsid w:val="00D73243"/>
    <w:rsid w:val="00D9425F"/>
    <w:rsid w:val="00DA0006"/>
    <w:rsid w:val="00DA010C"/>
    <w:rsid w:val="00DA66A4"/>
    <w:rsid w:val="00DA6860"/>
    <w:rsid w:val="00DB4875"/>
    <w:rsid w:val="00DB4C72"/>
    <w:rsid w:val="00DB56AE"/>
    <w:rsid w:val="00DB69E1"/>
    <w:rsid w:val="00DC0213"/>
    <w:rsid w:val="00DC0889"/>
    <w:rsid w:val="00DC185B"/>
    <w:rsid w:val="00DC1B2E"/>
    <w:rsid w:val="00DC2BAD"/>
    <w:rsid w:val="00DC4E1B"/>
    <w:rsid w:val="00DC6E66"/>
    <w:rsid w:val="00DD0347"/>
    <w:rsid w:val="00DD526B"/>
    <w:rsid w:val="00DE07EA"/>
    <w:rsid w:val="00DE49EF"/>
    <w:rsid w:val="00DF44B7"/>
    <w:rsid w:val="00E04722"/>
    <w:rsid w:val="00E124C7"/>
    <w:rsid w:val="00E2074B"/>
    <w:rsid w:val="00E23C4B"/>
    <w:rsid w:val="00E33469"/>
    <w:rsid w:val="00E34133"/>
    <w:rsid w:val="00E35F59"/>
    <w:rsid w:val="00E42D4D"/>
    <w:rsid w:val="00E431BC"/>
    <w:rsid w:val="00E459BB"/>
    <w:rsid w:val="00E524F5"/>
    <w:rsid w:val="00E52741"/>
    <w:rsid w:val="00E543A5"/>
    <w:rsid w:val="00E57D09"/>
    <w:rsid w:val="00E63C67"/>
    <w:rsid w:val="00E64767"/>
    <w:rsid w:val="00E651A8"/>
    <w:rsid w:val="00E66314"/>
    <w:rsid w:val="00E700C0"/>
    <w:rsid w:val="00E72238"/>
    <w:rsid w:val="00E7288E"/>
    <w:rsid w:val="00E732B5"/>
    <w:rsid w:val="00E75E50"/>
    <w:rsid w:val="00E85BC9"/>
    <w:rsid w:val="00E85C59"/>
    <w:rsid w:val="00E90E1F"/>
    <w:rsid w:val="00E923CC"/>
    <w:rsid w:val="00E93119"/>
    <w:rsid w:val="00E96ACD"/>
    <w:rsid w:val="00EA1BCB"/>
    <w:rsid w:val="00EA2A5D"/>
    <w:rsid w:val="00EA3A76"/>
    <w:rsid w:val="00EA4E42"/>
    <w:rsid w:val="00EA5323"/>
    <w:rsid w:val="00EA55A7"/>
    <w:rsid w:val="00EA5EB8"/>
    <w:rsid w:val="00EB0785"/>
    <w:rsid w:val="00EB502C"/>
    <w:rsid w:val="00EB6730"/>
    <w:rsid w:val="00EC1DD1"/>
    <w:rsid w:val="00ED7351"/>
    <w:rsid w:val="00ED7845"/>
    <w:rsid w:val="00EE0F93"/>
    <w:rsid w:val="00EE1988"/>
    <w:rsid w:val="00EE2410"/>
    <w:rsid w:val="00EE25B8"/>
    <w:rsid w:val="00EE4F43"/>
    <w:rsid w:val="00EE74EA"/>
    <w:rsid w:val="00EE79A8"/>
    <w:rsid w:val="00EF0437"/>
    <w:rsid w:val="00F00A0B"/>
    <w:rsid w:val="00F011D0"/>
    <w:rsid w:val="00F015E3"/>
    <w:rsid w:val="00F057D6"/>
    <w:rsid w:val="00F1558F"/>
    <w:rsid w:val="00F169F6"/>
    <w:rsid w:val="00F22E47"/>
    <w:rsid w:val="00F347EC"/>
    <w:rsid w:val="00F51220"/>
    <w:rsid w:val="00F55945"/>
    <w:rsid w:val="00F65329"/>
    <w:rsid w:val="00F67D42"/>
    <w:rsid w:val="00F73DE0"/>
    <w:rsid w:val="00F7622B"/>
    <w:rsid w:val="00F77218"/>
    <w:rsid w:val="00F849B6"/>
    <w:rsid w:val="00F91EB5"/>
    <w:rsid w:val="00F93BFD"/>
    <w:rsid w:val="00F952E3"/>
    <w:rsid w:val="00FA09AD"/>
    <w:rsid w:val="00FA5E30"/>
    <w:rsid w:val="00FB281A"/>
    <w:rsid w:val="00FC1E5E"/>
    <w:rsid w:val="00FC65A2"/>
    <w:rsid w:val="00FC7079"/>
    <w:rsid w:val="00FD568F"/>
    <w:rsid w:val="00FD7138"/>
    <w:rsid w:val="00FE0079"/>
    <w:rsid w:val="00FE4C92"/>
    <w:rsid w:val="00FE6F4F"/>
    <w:rsid w:val="00FF5054"/>
    <w:rsid w:val="00FF5205"/>
    <w:rsid w:val="00FF55C6"/>
    <w:rsid w:val="00FF5D16"/>
    <w:rsid w:val="083C1216"/>
    <w:rsid w:val="119C69D6"/>
    <w:rsid w:val="12736DFF"/>
    <w:rsid w:val="1350CB1C"/>
    <w:rsid w:val="25F56975"/>
    <w:rsid w:val="27DC738E"/>
    <w:rsid w:val="2F09C3AF"/>
    <w:rsid w:val="2F7494E3"/>
    <w:rsid w:val="4BFCD6EA"/>
    <w:rsid w:val="569065DF"/>
    <w:rsid w:val="62433996"/>
    <w:rsid w:val="7DA24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5296AAF4"/>
  <w15:docId w15:val="{22DEB001-94F4-416C-8539-3B7F2EF1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A5EB8"/>
    <w:pPr>
      <w:tabs>
        <w:tab w:val="center" w:pos="4513"/>
        <w:tab w:val="right" w:pos="9026"/>
      </w:tabs>
      <w:spacing w:line="240" w:lineRule="auto"/>
    </w:pPr>
  </w:style>
  <w:style w:type="character" w:customStyle="1" w:styleId="HeaderChar">
    <w:name w:val="Header Char"/>
    <w:basedOn w:val="DefaultParagraphFont"/>
    <w:link w:val="Header"/>
    <w:uiPriority w:val="99"/>
    <w:rsid w:val="00EA5EB8"/>
    <w:rPr>
      <w:rFonts w:ascii="Verdana" w:hAnsi="Verdana"/>
      <w:color w:val="000000"/>
      <w:sz w:val="18"/>
      <w:szCs w:val="18"/>
    </w:rPr>
  </w:style>
  <w:style w:type="paragraph" w:styleId="Footer">
    <w:name w:val="footer"/>
    <w:basedOn w:val="Normal"/>
    <w:link w:val="FooterChar"/>
    <w:uiPriority w:val="99"/>
    <w:unhideWhenUsed/>
    <w:rsid w:val="00EA5EB8"/>
    <w:pPr>
      <w:tabs>
        <w:tab w:val="center" w:pos="4513"/>
        <w:tab w:val="right" w:pos="9026"/>
      </w:tabs>
      <w:spacing w:line="240" w:lineRule="auto"/>
    </w:pPr>
  </w:style>
  <w:style w:type="character" w:customStyle="1" w:styleId="FooterChar">
    <w:name w:val="Footer Char"/>
    <w:basedOn w:val="DefaultParagraphFont"/>
    <w:link w:val="Footer"/>
    <w:uiPriority w:val="99"/>
    <w:rsid w:val="00EA5EB8"/>
    <w:rPr>
      <w:rFonts w:ascii="Verdana" w:hAnsi="Verdana"/>
      <w:color w:val="000000"/>
      <w:sz w:val="18"/>
      <w:szCs w:val="18"/>
    </w:rPr>
  </w:style>
  <w:style w:type="paragraph" w:styleId="ListParagraph">
    <w:name w:val="List Paragraph"/>
    <w:basedOn w:val="Normal"/>
    <w:uiPriority w:val="34"/>
    <w:rsid w:val="00EA5EB8"/>
    <w:pPr>
      <w:ind w:left="720"/>
      <w:contextualSpacing/>
    </w:pPr>
  </w:style>
  <w:style w:type="character" w:styleId="CommentReference">
    <w:name w:val="annotation reference"/>
    <w:basedOn w:val="DefaultParagraphFont"/>
    <w:uiPriority w:val="99"/>
    <w:semiHidden/>
    <w:unhideWhenUsed/>
    <w:rsid w:val="00EA5EB8"/>
    <w:rPr>
      <w:sz w:val="16"/>
      <w:szCs w:val="16"/>
    </w:rPr>
  </w:style>
  <w:style w:type="paragraph" w:styleId="CommentText">
    <w:name w:val="annotation text"/>
    <w:basedOn w:val="Normal"/>
    <w:link w:val="CommentTextChar"/>
    <w:uiPriority w:val="99"/>
    <w:unhideWhenUsed/>
    <w:rsid w:val="00EA5EB8"/>
    <w:pPr>
      <w:spacing w:line="240" w:lineRule="auto"/>
    </w:pPr>
    <w:rPr>
      <w:sz w:val="20"/>
      <w:szCs w:val="20"/>
    </w:rPr>
  </w:style>
  <w:style w:type="character" w:customStyle="1" w:styleId="CommentTextChar">
    <w:name w:val="Comment Text Char"/>
    <w:basedOn w:val="DefaultParagraphFont"/>
    <w:link w:val="CommentText"/>
    <w:uiPriority w:val="99"/>
    <w:rsid w:val="00EA5EB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A5EB8"/>
    <w:rPr>
      <w:b/>
      <w:bCs/>
    </w:rPr>
  </w:style>
  <w:style w:type="character" w:customStyle="1" w:styleId="CommentSubjectChar">
    <w:name w:val="Comment Subject Char"/>
    <w:basedOn w:val="CommentTextChar"/>
    <w:link w:val="CommentSubject"/>
    <w:uiPriority w:val="99"/>
    <w:semiHidden/>
    <w:rsid w:val="00EA5EB8"/>
    <w:rPr>
      <w:rFonts w:ascii="Verdana" w:hAnsi="Verdana"/>
      <w:b/>
      <w:bCs/>
      <w:color w:val="000000"/>
    </w:rPr>
  </w:style>
  <w:style w:type="paragraph" w:styleId="Revision">
    <w:name w:val="Revision"/>
    <w:hidden/>
    <w:uiPriority w:val="99"/>
    <w:semiHidden/>
    <w:rsid w:val="0095263E"/>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95263E"/>
    <w:pPr>
      <w:spacing w:line="240" w:lineRule="auto"/>
    </w:pPr>
    <w:rPr>
      <w:sz w:val="20"/>
      <w:szCs w:val="20"/>
    </w:rPr>
  </w:style>
  <w:style w:type="character" w:customStyle="1" w:styleId="FootnoteTextChar">
    <w:name w:val="Footnote Text Char"/>
    <w:basedOn w:val="DefaultParagraphFont"/>
    <w:link w:val="FootnoteText"/>
    <w:uiPriority w:val="99"/>
    <w:semiHidden/>
    <w:rsid w:val="0095263E"/>
    <w:rPr>
      <w:rFonts w:ascii="Verdana" w:hAnsi="Verdana"/>
      <w:color w:val="000000"/>
    </w:rPr>
  </w:style>
  <w:style w:type="character" w:styleId="FootnoteReference">
    <w:name w:val="footnote reference"/>
    <w:basedOn w:val="DefaultParagraphFont"/>
    <w:uiPriority w:val="99"/>
    <w:semiHidden/>
    <w:unhideWhenUsed/>
    <w:rsid w:val="0095263E"/>
    <w:rPr>
      <w:vertAlign w:val="superscript"/>
    </w:rPr>
  </w:style>
  <w:style w:type="character" w:styleId="UnresolvedMention">
    <w:name w:val="Unresolved Mention"/>
    <w:basedOn w:val="DefaultParagraphFont"/>
    <w:uiPriority w:val="99"/>
    <w:semiHidden/>
    <w:unhideWhenUsed/>
    <w:rsid w:val="00793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32261">
      <w:bodyDiv w:val="1"/>
      <w:marLeft w:val="0"/>
      <w:marRight w:val="0"/>
      <w:marTop w:val="0"/>
      <w:marBottom w:val="0"/>
      <w:divBdr>
        <w:top w:val="none" w:sz="0" w:space="0" w:color="auto"/>
        <w:left w:val="none" w:sz="0" w:space="0" w:color="auto"/>
        <w:bottom w:val="none" w:sz="0" w:space="0" w:color="auto"/>
        <w:right w:val="none" w:sz="0" w:space="0" w:color="auto"/>
      </w:divBdr>
    </w:div>
    <w:div w:id="1186091620">
      <w:bodyDiv w:val="1"/>
      <w:marLeft w:val="0"/>
      <w:marRight w:val="0"/>
      <w:marTop w:val="0"/>
      <w:marBottom w:val="0"/>
      <w:divBdr>
        <w:top w:val="none" w:sz="0" w:space="0" w:color="auto"/>
        <w:left w:val="none" w:sz="0" w:space="0" w:color="auto"/>
        <w:bottom w:val="none" w:sz="0" w:space="0" w:color="auto"/>
        <w:right w:val="none" w:sz="0" w:space="0" w:color="auto"/>
      </w:divBdr>
    </w:div>
    <w:div w:id="1654869934">
      <w:bodyDiv w:val="1"/>
      <w:marLeft w:val="0"/>
      <w:marRight w:val="0"/>
      <w:marTop w:val="0"/>
      <w:marBottom w:val="0"/>
      <w:divBdr>
        <w:top w:val="none" w:sz="0" w:space="0" w:color="auto"/>
        <w:left w:val="none" w:sz="0" w:space="0" w:color="auto"/>
        <w:bottom w:val="none" w:sz="0" w:space="0" w:color="auto"/>
        <w:right w:val="none" w:sz="0" w:space="0" w:color="auto"/>
      </w:divBdr>
    </w:div>
    <w:div w:id="2014800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2511</ap:Words>
  <ap:Characters>13813</ap:Characters>
  <ap:DocSecurity>0</ap:DocSecurity>
  <ap:Lines>115</ap:Lines>
  <ap:Paragraphs>32</ap:Paragraphs>
  <ap:ScaleCrop>false</ap:ScaleCrop>
  <ap:HeadingPairs>
    <vt:vector baseType="variant" size="2">
      <vt:variant>
        <vt:lpstr>Title</vt:lpstr>
      </vt:variant>
      <vt:variant>
        <vt:i4>1</vt:i4>
      </vt:variant>
    </vt:vector>
  </ap:HeadingPairs>
  <ap:TitlesOfParts>
    <vt:vector baseType="lpstr" size="1">
      <vt:lpstr>Nederlandse inzet tijdens de Ukraine Recovery Conference in Warschau</vt:lpstr>
    </vt:vector>
  </ap:TitlesOfParts>
  <ap:LinksUpToDate>false</ap:LinksUpToDate>
  <ap:CharactersWithSpaces>16292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2026-07-02T07:57:00.0000000Z</lastPrinted>
  <dcterms:created xsi:type="dcterms:W3CDTF">2026-07-02T15:50:00.0000000Z</dcterms:created>
  <dcterms:modified xsi:type="dcterms:W3CDTF">2026-07-02T15:50:00.0000000Z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https://247.plaza.buzaservices.nl/subject/PV-RK2026042026/BZ2629297/Reguliere%20kamerbrief%20-%20Nederlandse%20inzet%20tijdens%20de%20Ukraine%20Recovery%20Conference%20in%20Warschau.docx, </vt:lpwstr>
  </property>
  <property fmtid="{D5CDD505-2E9C-101B-9397-08002B2CF9AE}" pid="24" name="_dlc_DocIdItemGuid">
    <vt:lpwstr>c392f571-179b-47c5-b5c6-fc20ae0769f5</vt:lpwstr>
  </property>
  <property fmtid="{D5CDD505-2E9C-101B-9397-08002B2CF9AE}" pid="25" name="_docset_NoMedatataSyncRequired">
    <vt:lpwstr>False</vt:lpwstr>
  </property>
</Properties>
</file>