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0C63" w:rsidR="00C23F8D" w:rsidP="00C23F8D" w:rsidRDefault="00C23F8D" w14:paraId="444A780E" w14:textId="77777777">
      <w:r w:rsidRPr="000F0C63">
        <w:t>Het Centraal Orgaan opvang asielzoekers (COA) biedt menswaardige asielopvang</w:t>
      </w:r>
    </w:p>
    <w:p w:rsidRPr="000F0C63" w:rsidR="00C23F8D" w:rsidP="00C23F8D" w:rsidRDefault="00C23F8D" w14:paraId="77EC7D23" w14:textId="77777777">
      <w:r w:rsidRPr="000F0C63">
        <w:t>en draagt zo bij een belangrijke maatschappelijke opgave. Het COA doet dit sinds</w:t>
      </w:r>
    </w:p>
    <w:p w:rsidRPr="000F0C63" w:rsidR="00C23F8D" w:rsidP="00C23F8D" w:rsidRDefault="00C23F8D" w14:paraId="46898F91" w14:textId="77777777">
      <w:r w:rsidRPr="000F0C63">
        <w:t>1994 als zelfstandig bestuursorgaan (</w:t>
      </w:r>
      <w:proofErr w:type="spellStart"/>
      <w:r w:rsidRPr="000F0C63">
        <w:t>zbo</w:t>
      </w:r>
      <w:proofErr w:type="spellEnd"/>
      <w:r w:rsidRPr="000F0C63">
        <w:t>). Op grond van artikel 39 van de</w:t>
      </w:r>
    </w:p>
    <w:p w:rsidRPr="000F0C63" w:rsidR="00C23F8D" w:rsidP="00C23F8D" w:rsidRDefault="00C23F8D" w14:paraId="26557E3A" w14:textId="77777777">
      <w:r w:rsidRPr="000F0C63">
        <w:t xml:space="preserve">Kaderwet zelfstandige bestuursorganen (Kaderwet </w:t>
      </w:r>
      <w:proofErr w:type="spellStart"/>
      <w:r w:rsidRPr="000F0C63">
        <w:t>zbo’s</w:t>
      </w:r>
      <w:proofErr w:type="spellEnd"/>
      <w:r w:rsidRPr="000F0C63">
        <w:t>) ontvangt uw Kamer elke</w:t>
      </w:r>
    </w:p>
    <w:p w:rsidRPr="000F0C63" w:rsidR="00C23F8D" w:rsidP="00C23F8D" w:rsidRDefault="00C23F8D" w14:paraId="38D834AA" w14:textId="77777777">
      <w:r w:rsidRPr="000F0C63">
        <w:t>vijf jaar een verslag ten behoeve van de beoordeling van de doeltreffendheid en</w:t>
      </w:r>
    </w:p>
    <w:p w:rsidRPr="000F0C63" w:rsidR="005F53DF" w:rsidP="00C23F8D" w:rsidRDefault="00C23F8D" w14:paraId="5B2FAB96" w14:textId="08A36082">
      <w:r w:rsidRPr="000F0C63">
        <w:t xml:space="preserve">doelmatigheid. In </w:t>
      </w:r>
      <w:r w:rsidRPr="000F0C63" w:rsidR="004758F7">
        <w:t xml:space="preserve">het najaar van 2025 tot begin 2026 </w:t>
      </w:r>
      <w:r w:rsidRPr="000F0C63">
        <w:t>is deze Kaderwetevaluatie uitgevoerd over</w:t>
      </w:r>
      <w:r w:rsidRPr="000F0C63" w:rsidR="004758F7">
        <w:t xml:space="preserve"> </w:t>
      </w:r>
      <w:r w:rsidRPr="000F0C63">
        <w:t>de jaren 2019 tot en met 2024. Met deze brief informeer ik uw Kamer over de</w:t>
      </w:r>
      <w:r w:rsidRPr="000F0C63" w:rsidR="004758F7">
        <w:t xml:space="preserve"> </w:t>
      </w:r>
      <w:r w:rsidRPr="000F0C63">
        <w:t>uitkomsten van de evaluatie en geef ik mijn beleidsreactie. Daarbij staat voorop</w:t>
      </w:r>
      <w:r w:rsidRPr="000F0C63" w:rsidR="004758F7">
        <w:t xml:space="preserve"> </w:t>
      </w:r>
      <w:r w:rsidRPr="000F0C63">
        <w:t>dat het van belang is om meer rust en stabiliteit te brengen in de asielopvang.</w:t>
      </w:r>
      <w:r w:rsidRPr="000F0C63" w:rsidR="004758F7">
        <w:t xml:space="preserve"> </w:t>
      </w:r>
      <w:r w:rsidRPr="000F0C63">
        <w:t>Deze evaluatie bevat goede aanknopingspunten hiervoor en onderstreept het</w:t>
      </w:r>
      <w:r w:rsidRPr="000F0C63" w:rsidR="004758F7">
        <w:t xml:space="preserve"> </w:t>
      </w:r>
      <w:r w:rsidRPr="000F0C63">
        <w:t>belang van de maatregelen die dit kabinet inzet om te komen tot voldoende en</w:t>
      </w:r>
      <w:r w:rsidRPr="000F0C63" w:rsidR="004758F7">
        <w:t xml:space="preserve"> </w:t>
      </w:r>
      <w:r w:rsidRPr="000F0C63">
        <w:t>toekomstbestendige opvangcapaciteit.</w:t>
      </w:r>
    </w:p>
    <w:p w:rsidRPr="000F0C63" w:rsidR="00C23F8D" w:rsidP="00C23F8D" w:rsidRDefault="00C23F8D" w14:paraId="2D4539B5" w14:textId="77777777"/>
    <w:p w:rsidRPr="000F0C63" w:rsidR="00C23F8D" w:rsidP="00C23F8D" w:rsidRDefault="00C23F8D" w14:paraId="14F3F00F" w14:textId="4A3EA104">
      <w:r w:rsidRPr="000F0C63">
        <w:rPr>
          <w:b/>
          <w:bCs/>
        </w:rPr>
        <w:t>Onderzoeksopzet</w:t>
      </w:r>
    </w:p>
    <w:p w:rsidRPr="000F0C63" w:rsidR="00C23F8D" w:rsidP="00C23F8D" w:rsidRDefault="00C23F8D" w14:paraId="3ABEF02F" w14:textId="77777777">
      <w:r w:rsidRPr="000F0C63">
        <w:t>De evaluatie is in opdracht van het Ministerie van Justitie en Veiligheid uitgevoerd</w:t>
      </w:r>
    </w:p>
    <w:p w:rsidRPr="000F0C63" w:rsidR="00C23F8D" w:rsidP="00C23F8D" w:rsidRDefault="00C23F8D" w14:paraId="4A111044" w14:textId="77777777">
      <w:r w:rsidRPr="000F0C63">
        <w:t>door Significant Public. In het onderzoek is daarbij de context van de organisatie,</w:t>
      </w:r>
    </w:p>
    <w:p w:rsidRPr="000F0C63" w:rsidR="00C23F8D" w:rsidP="00C23F8D" w:rsidRDefault="00C23F8D" w14:paraId="0BA9EEB4" w14:textId="77777777">
      <w:r w:rsidRPr="000F0C63">
        <w:t xml:space="preserve">de samenwerking in de keten, het sturingsmodel van </w:t>
      </w:r>
      <w:proofErr w:type="spellStart"/>
      <w:r w:rsidRPr="000F0C63">
        <w:t>JenV</w:t>
      </w:r>
      <w:proofErr w:type="spellEnd"/>
      <w:r w:rsidRPr="000F0C63">
        <w:t xml:space="preserve"> en de </w:t>
      </w:r>
      <w:proofErr w:type="spellStart"/>
      <w:r w:rsidRPr="000F0C63">
        <w:t>passendheid</w:t>
      </w:r>
      <w:proofErr w:type="spellEnd"/>
      <w:r w:rsidRPr="000F0C63">
        <w:t xml:space="preserve"> van</w:t>
      </w:r>
    </w:p>
    <w:p w:rsidRPr="000F0C63" w:rsidR="00C23F8D" w:rsidP="00C23F8D" w:rsidRDefault="00C23F8D" w14:paraId="11371562" w14:textId="77777777">
      <w:r w:rsidRPr="000F0C63">
        <w:t>de ZBO-status meegenomen.</w:t>
      </w:r>
    </w:p>
    <w:p w:rsidRPr="000F0C63" w:rsidR="00C23F8D" w:rsidP="00C23F8D" w:rsidRDefault="00C23F8D" w14:paraId="3CFEBA1B" w14:textId="77777777"/>
    <w:p w:rsidRPr="000F0C63" w:rsidR="00C23F8D" w:rsidP="00C23F8D" w:rsidRDefault="00C23F8D" w14:paraId="093C079A" w14:textId="77777777">
      <w:pPr>
        <w:rPr>
          <w:b/>
          <w:bCs/>
        </w:rPr>
      </w:pPr>
      <w:r w:rsidRPr="000F0C63">
        <w:rPr>
          <w:b/>
          <w:bCs/>
        </w:rPr>
        <w:t>Uitkomsten</w:t>
      </w:r>
    </w:p>
    <w:p w:rsidRPr="000F0C63" w:rsidR="00C23F8D" w:rsidP="00C23F8D" w:rsidRDefault="00C23F8D" w14:paraId="5EFC5EDC" w14:textId="77777777">
      <w:r w:rsidRPr="000F0C63">
        <w:t>De taken van het COA zijn vastgelegd in de Wet COA en komen kortheidshalve</w:t>
      </w:r>
    </w:p>
    <w:p w:rsidRPr="000F0C63" w:rsidR="00C23F8D" w:rsidP="00C23F8D" w:rsidRDefault="00C23F8D" w14:paraId="12CFF571" w14:textId="77777777">
      <w:r w:rsidRPr="000F0C63">
        <w:t>neer op de opvang en begeleiding van asielzoekers. Gedurende de</w:t>
      </w:r>
    </w:p>
    <w:p w:rsidRPr="000F0C63" w:rsidR="00C23F8D" w:rsidP="00C23F8D" w:rsidRDefault="00C23F8D" w14:paraId="4F07A985" w14:textId="77777777">
      <w:r w:rsidRPr="000F0C63">
        <w:t>onderzoeksperiode groeide de organisatie uitzonderlijk sterk: de benodigde</w:t>
      </w:r>
    </w:p>
    <w:p w:rsidRPr="000F0C63" w:rsidR="00C23F8D" w:rsidP="00C23F8D" w:rsidRDefault="00C23F8D" w14:paraId="73FF395E" w14:textId="77777777">
      <w:r w:rsidRPr="000F0C63">
        <w:t>opvangcapaciteit nam toe van gemiddeld circa 31.000 plekken in 2019 naar bijna</w:t>
      </w:r>
    </w:p>
    <w:p w:rsidRPr="000F0C63" w:rsidR="00C23F8D" w:rsidP="00C23F8D" w:rsidRDefault="00C23F8D" w14:paraId="2148B420" w14:textId="77777777">
      <w:r w:rsidRPr="000F0C63">
        <w:t>73.000 in 2024, de bezetting steeg van 78% naar 95%, uitgaven namen toe van</w:t>
      </w:r>
    </w:p>
    <w:p w:rsidRPr="000F0C63" w:rsidR="00C23F8D" w:rsidP="00C23F8D" w:rsidRDefault="00C23F8D" w14:paraId="7D32F588" w14:textId="77777777">
      <w:r w:rsidRPr="000F0C63">
        <w:t>ruim €658 mln. naar ruim €4,5 mld. en het personeelsbestand van 2.639 naar</w:t>
      </w:r>
    </w:p>
    <w:p w:rsidRPr="000F0C63" w:rsidR="00C23F8D" w:rsidP="00C23F8D" w:rsidRDefault="00C23F8D" w14:paraId="27024E4E" w14:textId="77777777">
      <w:r w:rsidRPr="000F0C63">
        <w:t>7.450 fte, met een groter aandeel tijdelijke contracten.</w:t>
      </w:r>
    </w:p>
    <w:p w:rsidRPr="000F0C63" w:rsidR="007255B4" w:rsidP="00C23F8D" w:rsidRDefault="007255B4" w14:paraId="2FA85887" w14:textId="77777777"/>
    <w:p w:rsidRPr="000F0C63" w:rsidR="00C23F8D" w:rsidP="00C23F8D" w:rsidRDefault="00C23F8D" w14:paraId="1E82CF65" w14:textId="77777777">
      <w:r w:rsidRPr="000F0C63">
        <w:t>Door tekorten aan reguliere locaties zijn (tijdelijke) noodopvanglocaties geopend</w:t>
      </w:r>
    </w:p>
    <w:p w:rsidRPr="000F0C63" w:rsidR="00C23F8D" w:rsidP="00C23F8D" w:rsidRDefault="00C23F8D" w14:paraId="1B5B0CFE" w14:textId="77777777">
      <w:r w:rsidRPr="000F0C63">
        <w:t>die in principe voor korte tijd zijn, duurder zijn dan reguliere locaties en vaak van</w:t>
      </w:r>
    </w:p>
    <w:p w:rsidRPr="000F0C63" w:rsidR="00C23F8D" w:rsidP="00C23F8D" w:rsidRDefault="00C23F8D" w14:paraId="0F0E21B3" w14:textId="77777777">
      <w:r w:rsidRPr="000F0C63">
        <w:t>een lager kwaliteits- en voorzieningenniveau. Externe factoren als COVID-19,</w:t>
      </w:r>
    </w:p>
    <w:p w:rsidRPr="000F0C63" w:rsidR="00C23F8D" w:rsidP="00C23F8D" w:rsidRDefault="00C23F8D" w14:paraId="2C2F9710" w14:textId="77777777">
      <w:r w:rsidRPr="000F0C63">
        <w:t>geopolitieke ontwikkelingen, woningtekort en arbeidsmarktkrapte en wisselende</w:t>
      </w:r>
    </w:p>
    <w:p w:rsidRPr="000F0C63" w:rsidR="00C23F8D" w:rsidP="00C23F8D" w:rsidRDefault="00C23F8D" w14:paraId="38C2FBC8" w14:textId="77777777">
      <w:r w:rsidRPr="000F0C63">
        <w:t>politieke verhoudingen waren belangrijke factoren in de taakuitvoering van het</w:t>
      </w:r>
    </w:p>
    <w:p w:rsidRPr="000F0C63" w:rsidR="00C23F8D" w:rsidP="00C23F8D" w:rsidRDefault="00C23F8D" w14:paraId="2B41FFA0" w14:textId="77777777">
      <w:r w:rsidRPr="000F0C63">
        <w:t>COA. De bezetting bij het COA is, naast de instroom, in hoge mate afhankelijk van</w:t>
      </w:r>
    </w:p>
    <w:p w:rsidRPr="000F0C63" w:rsidR="00C23F8D" w:rsidP="00C23F8D" w:rsidRDefault="00C23F8D" w14:paraId="1DF85A0B" w14:textId="77777777">
      <w:r w:rsidRPr="000F0C63">
        <w:t>de doorlooptijden van de asielprocedures en de uitstroom richting land van</w:t>
      </w:r>
    </w:p>
    <w:p w:rsidRPr="000F0C63" w:rsidR="00C23F8D" w:rsidP="00C23F8D" w:rsidRDefault="00C23F8D" w14:paraId="5BA32552" w14:textId="77777777">
      <w:r w:rsidRPr="000F0C63">
        <w:t>herkomst of huisvesting. Hierdoor spelen de ontwikkelingen bij ketenpartners,</w:t>
      </w:r>
    </w:p>
    <w:p w:rsidRPr="000F0C63" w:rsidR="00C23F8D" w:rsidP="00C23F8D" w:rsidRDefault="00C23F8D" w14:paraId="126F5895" w14:textId="1CDBA604">
      <w:r w:rsidRPr="000F0C63">
        <w:t xml:space="preserve">zoals IND en </w:t>
      </w:r>
      <w:proofErr w:type="spellStart"/>
      <w:r w:rsidRPr="000F0C63">
        <w:t>DTenV</w:t>
      </w:r>
      <w:proofErr w:type="spellEnd"/>
      <w:r w:rsidRPr="000F0C63">
        <w:t>, als ook gemeenten een belangrijke rol.</w:t>
      </w:r>
    </w:p>
    <w:p w:rsidRPr="000F0C63" w:rsidR="00C23F8D" w:rsidP="00C23F8D" w:rsidRDefault="00C23F8D" w14:paraId="34ABCA39" w14:textId="77777777"/>
    <w:p w:rsidRPr="000F0C63" w:rsidR="00C23F8D" w:rsidP="00C23F8D" w:rsidRDefault="00C23F8D" w14:paraId="5519C0C3" w14:textId="77777777">
      <w:pPr>
        <w:rPr>
          <w:i/>
          <w:iCs/>
        </w:rPr>
      </w:pPr>
      <w:r w:rsidRPr="000F0C63">
        <w:rPr>
          <w:i/>
          <w:iCs/>
        </w:rPr>
        <w:t>Doeltreffendheid</w:t>
      </w:r>
    </w:p>
    <w:p w:rsidRPr="000F0C63" w:rsidR="00C23F8D" w:rsidP="00C23F8D" w:rsidRDefault="00C23F8D" w14:paraId="5804E0B0" w14:textId="77777777">
      <w:r w:rsidRPr="000F0C63">
        <w:lastRenderedPageBreak/>
        <w:t>In algemene zin is de taakuitvoering door het COA doeltreffend: gedurende het</w:t>
      </w:r>
    </w:p>
    <w:p w:rsidRPr="000F0C63" w:rsidR="00C23F8D" w:rsidP="00C23F8D" w:rsidRDefault="00C23F8D" w14:paraId="4E2CB6B3" w14:textId="77777777">
      <w:r w:rsidRPr="000F0C63">
        <w:t>grootste deel van de onderzoeksperiode is alle asielzoekers onderdak geboden,</w:t>
      </w:r>
    </w:p>
    <w:p w:rsidRPr="000F0C63" w:rsidR="00C23F8D" w:rsidP="00C23F8D" w:rsidRDefault="00C23F8D" w14:paraId="2469C70C" w14:textId="77777777">
      <w:r w:rsidRPr="000F0C63">
        <w:t>met uitzondering van een periode in 2022 wanneer mensen in Ter Apel buiten</w:t>
      </w:r>
    </w:p>
    <w:p w:rsidRPr="000F0C63" w:rsidR="00C23F8D" w:rsidP="00C23F8D" w:rsidRDefault="00C23F8D" w14:paraId="0905DEEB" w14:textId="77777777">
      <w:r w:rsidRPr="000F0C63">
        <w:t>moesten slapen. Het verwerven en beheren van opvanglocaties verliep wisselend.</w:t>
      </w:r>
    </w:p>
    <w:p w:rsidRPr="000F0C63" w:rsidR="00C23F8D" w:rsidP="00C23F8D" w:rsidRDefault="00C23F8D" w14:paraId="4145A2C1" w14:textId="77777777">
      <w:r w:rsidRPr="000F0C63">
        <w:t>Noodgrepen waren noodzakelijk om iedereen opvang te bieden en de kwaliteit,</w:t>
      </w:r>
    </w:p>
    <w:p w:rsidRPr="000F0C63" w:rsidR="00C23F8D" w:rsidP="00C23F8D" w:rsidRDefault="00C23F8D" w14:paraId="2781A799" w14:textId="77777777">
      <w:r w:rsidRPr="000F0C63">
        <w:t>leefbaarheid en veiligheid van de opvang, met name in (langdurige) noodopvang,</w:t>
      </w:r>
    </w:p>
    <w:p w:rsidRPr="000F0C63" w:rsidR="00C23F8D" w:rsidP="00C23F8D" w:rsidRDefault="00C23F8D" w14:paraId="3407581F" w14:textId="77777777">
      <w:r w:rsidRPr="000F0C63">
        <w:t>stond onder druk. Stakeholders spreken waardering uit voor wat het COA heeft</w:t>
      </w:r>
    </w:p>
    <w:p w:rsidRPr="000F0C63" w:rsidR="00C23F8D" w:rsidP="00C23F8D" w:rsidRDefault="00C23F8D" w14:paraId="18CC784D" w14:textId="77777777">
      <w:r w:rsidRPr="000F0C63">
        <w:t>gerealiseerd in een complexe en dynamische context en een periode van sterke</w:t>
      </w:r>
    </w:p>
    <w:p w:rsidRPr="000F0C63" w:rsidR="00C23F8D" w:rsidP="00C23F8D" w:rsidRDefault="00C23F8D" w14:paraId="772FF00B" w14:textId="77777777">
      <w:r w:rsidRPr="000F0C63">
        <w:t>groei.</w:t>
      </w:r>
    </w:p>
    <w:p w:rsidRPr="000F0C63" w:rsidR="00C23F8D" w:rsidP="00C23F8D" w:rsidRDefault="00C23F8D" w14:paraId="4AE8F19A" w14:textId="77777777"/>
    <w:p w:rsidRPr="000F0C63" w:rsidR="00C23F8D" w:rsidP="00C23F8D" w:rsidRDefault="00C23F8D" w14:paraId="0518E08B" w14:textId="77777777">
      <w:pPr>
        <w:rPr>
          <w:i/>
          <w:iCs/>
        </w:rPr>
      </w:pPr>
      <w:r w:rsidRPr="000F0C63">
        <w:rPr>
          <w:i/>
          <w:iCs/>
        </w:rPr>
        <w:t>Doelmatigheid</w:t>
      </w:r>
    </w:p>
    <w:p w:rsidRPr="000F0C63" w:rsidR="00C23F8D" w:rsidP="00C23F8D" w:rsidRDefault="00C23F8D" w14:paraId="266AE26E" w14:textId="77777777">
      <w:r w:rsidRPr="000F0C63">
        <w:t>Door de dominante focus op het realiseren van voldoende opvangplekken kreeg</w:t>
      </w:r>
    </w:p>
    <w:p w:rsidRPr="000F0C63" w:rsidR="00C23F8D" w:rsidP="00C23F8D" w:rsidRDefault="00C23F8D" w14:paraId="6D7D56B2" w14:textId="77777777">
      <w:r w:rsidRPr="000F0C63">
        <w:t>doelmatigheid in 2021–2023 relatief weinig aandacht. In 2024 is aantoonbaar</w:t>
      </w:r>
    </w:p>
    <w:p w:rsidRPr="000F0C63" w:rsidR="00C23F8D" w:rsidP="00C23F8D" w:rsidRDefault="00C23F8D" w14:paraId="7C73E877" w14:textId="77777777">
      <w:r w:rsidRPr="000F0C63">
        <w:t>meer aandacht besteed aan doelmatigheid: zo is er een referentiekader opgesteld</w:t>
      </w:r>
    </w:p>
    <w:p w:rsidRPr="000F0C63" w:rsidR="00C23F8D" w:rsidP="00C23F8D" w:rsidRDefault="00C23F8D" w14:paraId="05AA1C8A" w14:textId="77777777">
      <w:r w:rsidRPr="000F0C63">
        <w:t>met normen voor kostprijzen, wordt er vaker ‘nee’ gezegd tegen aangeboden</w:t>
      </w:r>
    </w:p>
    <w:p w:rsidRPr="000F0C63" w:rsidR="00C23F8D" w:rsidP="00C23F8D" w:rsidRDefault="00C23F8D" w14:paraId="6A157E9F" w14:textId="77777777">
      <w:r w:rsidRPr="000F0C63">
        <w:t>(dure) locaties en zijn voor sommige (nood)locaties prijzen heronderhandeld. In</w:t>
      </w:r>
    </w:p>
    <w:p w:rsidRPr="000F0C63" w:rsidR="00C23F8D" w:rsidP="00C23F8D" w:rsidRDefault="00C23F8D" w14:paraId="55A78535" w14:textId="77777777">
      <w:r w:rsidRPr="000F0C63">
        <w:t>de context van sterk fluctuerende instroom en beperkte voorspelbaarheid</w:t>
      </w:r>
    </w:p>
    <w:p w:rsidRPr="000F0C63" w:rsidR="00C23F8D" w:rsidP="00C23F8D" w:rsidRDefault="00C23F8D" w14:paraId="16AE2E3A" w14:textId="77777777">
      <w:r w:rsidRPr="000F0C63">
        <w:t>beoordeelt Significant de taakuitvoering als grotendeels doelmatig.</w:t>
      </w:r>
    </w:p>
    <w:p w:rsidRPr="000F0C63" w:rsidR="00C23F8D" w:rsidP="00C23F8D" w:rsidRDefault="00C23F8D" w14:paraId="67F2EEC6" w14:textId="77777777"/>
    <w:p w:rsidRPr="000F0C63" w:rsidR="00C23F8D" w:rsidP="00C23F8D" w:rsidRDefault="00C23F8D" w14:paraId="33303718" w14:textId="77777777">
      <w:pPr>
        <w:rPr>
          <w:i/>
          <w:iCs/>
        </w:rPr>
      </w:pPr>
      <w:r w:rsidRPr="000F0C63">
        <w:rPr>
          <w:i/>
          <w:iCs/>
        </w:rPr>
        <w:t xml:space="preserve">Sturing en </w:t>
      </w:r>
      <w:proofErr w:type="spellStart"/>
      <w:r w:rsidRPr="000F0C63">
        <w:rPr>
          <w:i/>
          <w:iCs/>
        </w:rPr>
        <w:t>governance</w:t>
      </w:r>
      <w:proofErr w:type="spellEnd"/>
    </w:p>
    <w:p w:rsidRPr="000F0C63" w:rsidR="00C23F8D" w:rsidP="00C23F8D" w:rsidRDefault="00C23F8D" w14:paraId="5BBE6D42" w14:textId="77777777">
      <w:r w:rsidRPr="000F0C63">
        <w:t>Conform de circulaire ‘</w:t>
      </w:r>
      <w:proofErr w:type="spellStart"/>
      <w:r w:rsidRPr="000F0C63">
        <w:t>Governance</w:t>
      </w:r>
      <w:proofErr w:type="spellEnd"/>
      <w:r w:rsidRPr="000F0C63">
        <w:t xml:space="preserve"> ten aanzien van zelfstandige bestuursorganen</w:t>
      </w:r>
    </w:p>
    <w:p w:rsidRPr="000F0C63" w:rsidR="00C23F8D" w:rsidP="00C23F8D" w:rsidRDefault="00C23F8D" w14:paraId="33725924" w14:textId="77777777">
      <w:r w:rsidRPr="000F0C63">
        <w:t>(</w:t>
      </w:r>
      <w:proofErr w:type="spellStart"/>
      <w:r w:rsidRPr="000F0C63">
        <w:t>zbo’s</w:t>
      </w:r>
      <w:proofErr w:type="spellEnd"/>
      <w:r w:rsidRPr="000F0C63">
        <w:t>)’ wordt binnen het departement gewerkt met twee rollen die van elkaar</w:t>
      </w:r>
    </w:p>
    <w:p w:rsidRPr="000F0C63" w:rsidR="00C23F8D" w:rsidP="00C23F8D" w:rsidRDefault="00C23F8D" w14:paraId="44D27D97" w14:textId="77777777">
      <w:r w:rsidRPr="000F0C63">
        <w:t xml:space="preserve">gescheiden zijn: die van eigenaar en van opdrachtgever. Het </w:t>
      </w:r>
      <w:proofErr w:type="spellStart"/>
      <w:r w:rsidRPr="000F0C63">
        <w:t>zbo</w:t>
      </w:r>
      <w:proofErr w:type="spellEnd"/>
      <w:r w:rsidRPr="000F0C63">
        <w:t xml:space="preserve"> is in dit model</w:t>
      </w:r>
    </w:p>
    <w:p w:rsidRPr="000F0C63" w:rsidR="00C23F8D" w:rsidP="00C23F8D" w:rsidRDefault="00C23F8D" w14:paraId="5A28D695" w14:textId="77777777">
      <w:r w:rsidRPr="000F0C63">
        <w:t>de opdrachtnemer. Significant signaleert dat in periode van crisis de rolzuiverheid</w:t>
      </w:r>
    </w:p>
    <w:p w:rsidRPr="000F0C63" w:rsidR="00C23F8D" w:rsidP="00C23F8D" w:rsidRDefault="00C23F8D" w14:paraId="6BBCEBF7" w14:textId="77777777">
      <w:r w:rsidRPr="000F0C63">
        <w:t>onder druk komt te staan: de relatie tussen opdrachtgever en opdrachtnemer</w:t>
      </w:r>
    </w:p>
    <w:p w:rsidRPr="000F0C63" w:rsidR="00C23F8D" w:rsidP="00C23F8D" w:rsidRDefault="00C23F8D" w14:paraId="49B55AC4" w14:textId="77777777">
      <w:r w:rsidRPr="000F0C63">
        <w:t>stond onder spanning; de eigenaar werd door sommigen als onvoldoende</w:t>
      </w:r>
    </w:p>
    <w:p w:rsidRPr="000F0C63" w:rsidR="00C23F8D" w:rsidP="00C23F8D" w:rsidRDefault="00C23F8D" w14:paraId="4D67EABE" w14:textId="77777777">
      <w:r w:rsidRPr="000F0C63">
        <w:t>zichtbaar ervaren. SZW deed als kleinere opdrachtgever niet steeds volwaardig</w:t>
      </w:r>
    </w:p>
    <w:p w:rsidRPr="000F0C63" w:rsidR="00C23F8D" w:rsidP="00C23F8D" w:rsidRDefault="00C23F8D" w14:paraId="26A55730" w14:textId="77777777">
      <w:r w:rsidRPr="000F0C63">
        <w:t>mee in de driehoek. Significant constateert echter dat er groei wordt ervaren in</w:t>
      </w:r>
    </w:p>
    <w:p w:rsidRPr="000F0C63" w:rsidR="00C23F8D" w:rsidP="00C23F8D" w:rsidRDefault="00C23F8D" w14:paraId="300E8FF3" w14:textId="77777777">
      <w:r w:rsidRPr="000F0C63">
        <w:t>het functioneren van de driehoek met meer onderling vertrouwen en toenemende</w:t>
      </w:r>
    </w:p>
    <w:p w:rsidRPr="000F0C63" w:rsidR="00C23F8D" w:rsidP="00C23F8D" w:rsidRDefault="00C23F8D" w14:paraId="39B52A01" w14:textId="77777777">
      <w:r w:rsidRPr="000F0C63">
        <w:t>rolvastheid.</w:t>
      </w:r>
    </w:p>
    <w:p w:rsidRPr="000F0C63" w:rsidR="00C23F8D" w:rsidP="00C23F8D" w:rsidRDefault="00C23F8D" w14:paraId="555CE8C0" w14:textId="77777777"/>
    <w:p w:rsidRPr="000F0C63" w:rsidR="00C23F8D" w:rsidP="00C23F8D" w:rsidRDefault="00C23F8D" w14:paraId="76194233" w14:textId="77777777">
      <w:r w:rsidRPr="000F0C63">
        <w:t>Een omvorming naar een andere rechtsvorm, zoals bijvoorbeeld een</w:t>
      </w:r>
    </w:p>
    <w:p w:rsidRPr="000F0C63" w:rsidR="00C23F8D" w:rsidP="00C23F8D" w:rsidRDefault="00C23F8D" w14:paraId="420D9690" w14:textId="77777777">
      <w:r w:rsidRPr="000F0C63">
        <w:t>agentschapsstatus, wordt door Significant niet als oplossing gezien; dit zou naar</w:t>
      </w:r>
    </w:p>
    <w:p w:rsidRPr="000F0C63" w:rsidR="00C23F8D" w:rsidP="00C23F8D" w:rsidRDefault="00C23F8D" w14:paraId="1E55EBDB" w14:textId="77777777">
      <w:r w:rsidRPr="000F0C63">
        <w:t>verwachting niet leiden tot betere sturingsmogelijkheden op het realiseren van</w:t>
      </w:r>
    </w:p>
    <w:p w:rsidRPr="000F0C63" w:rsidR="00C23F8D" w:rsidP="00C23F8D" w:rsidRDefault="00C23F8D" w14:paraId="6145E65B" w14:textId="77777777">
      <w:r w:rsidRPr="000F0C63">
        <w:t>beleidsdoelstellingen.</w:t>
      </w:r>
    </w:p>
    <w:p w:rsidRPr="000F0C63" w:rsidR="00C23F8D" w:rsidP="00C23F8D" w:rsidRDefault="00C23F8D" w14:paraId="648CD3A0" w14:textId="77777777"/>
    <w:p w:rsidRPr="000F0C63" w:rsidR="00C23F8D" w:rsidP="00C23F8D" w:rsidRDefault="00C23F8D" w14:paraId="51A31AEE" w14:textId="77777777">
      <w:pPr>
        <w:rPr>
          <w:b/>
          <w:bCs/>
        </w:rPr>
      </w:pPr>
      <w:r w:rsidRPr="000F0C63">
        <w:rPr>
          <w:b/>
          <w:bCs/>
        </w:rPr>
        <w:t>Aanbevelingen en reflectie</w:t>
      </w:r>
    </w:p>
    <w:p w:rsidRPr="000F0C63" w:rsidR="00C23F8D" w:rsidP="00C23F8D" w:rsidRDefault="00C23F8D" w14:paraId="794D0F8C" w14:textId="77777777">
      <w:r w:rsidRPr="000F0C63">
        <w:t>Ik deel de hoofdconclusies en kan mij vinden in de aanbevelingen. Ik reageer op</w:t>
      </w:r>
    </w:p>
    <w:p w:rsidRPr="000F0C63" w:rsidR="00C23F8D" w:rsidP="00C23F8D" w:rsidRDefault="00C23F8D" w14:paraId="1C5A6E10" w14:textId="77777777">
      <w:r w:rsidRPr="000F0C63">
        <w:t>hoofdlijnen op de belangrijkste aanbevelingen.</w:t>
      </w:r>
    </w:p>
    <w:p w:rsidRPr="000F0C63" w:rsidR="004A5E86" w:rsidP="00C23F8D" w:rsidRDefault="004A5E86" w14:paraId="405380F3" w14:textId="77777777"/>
    <w:p w:rsidRPr="000F0C63" w:rsidR="00C23F8D" w:rsidP="00C23F8D" w:rsidRDefault="00C23F8D" w14:paraId="543D2D8F" w14:textId="77777777">
      <w:r w:rsidRPr="000F0C63">
        <w:t>De kern van de bevindingen van Significant betreffen de gevolgen van een sterke</w:t>
      </w:r>
    </w:p>
    <w:p w:rsidRPr="000F0C63" w:rsidR="00C23F8D" w:rsidP="00C23F8D" w:rsidRDefault="00C23F8D" w14:paraId="4A09A74F" w14:textId="77777777">
      <w:r w:rsidRPr="000F0C63">
        <w:t>groei van de organisatie in korte tijd. Het COA heeft daarbij substantieel</w:t>
      </w:r>
    </w:p>
    <w:p w:rsidRPr="000F0C63" w:rsidR="00C23F8D" w:rsidP="00C23F8D" w:rsidRDefault="00C23F8D" w14:paraId="6F644BCD" w14:textId="77777777">
      <w:r w:rsidRPr="000F0C63">
        <w:t>gepresteerd, maar stond – mede door externe omstandigheden – langdurig in een</w:t>
      </w:r>
    </w:p>
    <w:p w:rsidRPr="000F0C63" w:rsidR="00C23F8D" w:rsidP="00C23F8D" w:rsidRDefault="00C23F8D" w14:paraId="75BCE9F6" w14:textId="77777777">
      <w:r w:rsidRPr="000F0C63">
        <w:t>ad-hoc en crisisstand. Zoals het onderzoek aangeeft is het van belang te zorgen</w:t>
      </w:r>
    </w:p>
    <w:p w:rsidRPr="000F0C63" w:rsidR="00C23F8D" w:rsidP="00C23F8D" w:rsidRDefault="00C23F8D" w14:paraId="6B68712F" w14:textId="77777777">
      <w:r w:rsidRPr="000F0C63">
        <w:t>voor een goede balans tussen korte en lange termijn binnen het COA en in relatie</w:t>
      </w:r>
    </w:p>
    <w:p w:rsidRPr="000F0C63" w:rsidR="00C23F8D" w:rsidP="00C23F8D" w:rsidRDefault="00C23F8D" w14:paraId="20CB0ACB" w14:textId="77777777">
      <w:r w:rsidRPr="000F0C63">
        <w:t>tussen het COA en het departement. Het COA werkt op dit moment aan een</w:t>
      </w:r>
    </w:p>
    <w:p w:rsidRPr="000F0C63" w:rsidR="00C23F8D" w:rsidP="00C23F8D" w:rsidRDefault="00C23F8D" w14:paraId="2869C4D2" w14:textId="77777777">
      <w:r w:rsidRPr="000F0C63">
        <w:t xml:space="preserve">nieuwe </w:t>
      </w:r>
      <w:proofErr w:type="spellStart"/>
      <w:r w:rsidRPr="000F0C63">
        <w:t>Meerjarenkoers</w:t>
      </w:r>
      <w:proofErr w:type="spellEnd"/>
      <w:r w:rsidRPr="000F0C63">
        <w:t>, die richting geeft aan de organisatie. Daarin is onder</w:t>
      </w:r>
    </w:p>
    <w:p w:rsidRPr="000F0C63" w:rsidR="00C23F8D" w:rsidP="00C23F8D" w:rsidRDefault="00C23F8D" w14:paraId="017854EB" w14:textId="7CB0732B">
      <w:r w:rsidRPr="000F0C63">
        <w:t>andere aandacht voor resultaatgericht en wendbaar werken. Inherent aan de</w:t>
      </w:r>
    </w:p>
    <w:p w:rsidRPr="000F0C63" w:rsidR="00C23F8D" w:rsidP="00C23F8D" w:rsidRDefault="00C23F8D" w14:paraId="5EF63C6B" w14:textId="77777777"/>
    <w:p w:rsidRPr="000F0C63" w:rsidR="00C23F8D" w:rsidP="00C23F8D" w:rsidRDefault="00C23F8D" w14:paraId="278F8E23" w14:textId="77777777">
      <w:r w:rsidRPr="000F0C63">
        <w:lastRenderedPageBreak/>
        <w:t>maatschappelijke opgave van het COA is dat zij een wendbare organisatie moet</w:t>
      </w:r>
    </w:p>
    <w:p w:rsidRPr="000F0C63" w:rsidR="00C23F8D" w:rsidP="00C23F8D" w:rsidRDefault="00C23F8D" w14:paraId="494CAEDA" w14:textId="77777777">
      <w:r w:rsidRPr="000F0C63">
        <w:t>zijn. De ambitie is dat het COA niet langer wendbaar is vanuit crisis maar juist</w:t>
      </w:r>
    </w:p>
    <w:p w:rsidRPr="000F0C63" w:rsidR="00C23F8D" w:rsidP="00C23F8D" w:rsidRDefault="00C23F8D" w14:paraId="1DDCCEBE" w14:textId="77777777">
      <w:r w:rsidRPr="000F0C63">
        <w:t>wendbaar vanuit een stabiele basis. In het Coalitieakkoord ‘Aan de slag’ zijn</w:t>
      </w:r>
    </w:p>
    <w:p w:rsidRPr="000F0C63" w:rsidR="00C23F8D" w:rsidP="00C23F8D" w:rsidRDefault="00C23F8D" w14:paraId="3AF417EE" w14:textId="77777777">
      <w:r w:rsidRPr="000F0C63">
        <w:t>keuzes gemaakt om de asielketen op orde te brengen en stelt het COA in staat om</w:t>
      </w:r>
    </w:p>
    <w:p w:rsidRPr="000F0C63" w:rsidR="00C23F8D" w:rsidP="00C23F8D" w:rsidRDefault="00C23F8D" w14:paraId="4146D52F" w14:textId="77777777">
      <w:r w:rsidRPr="000F0C63">
        <w:t>voldoende structurele en flexibele opvangplekken te realiseren, zowel</w:t>
      </w:r>
    </w:p>
    <w:p w:rsidRPr="000F0C63" w:rsidR="00C23F8D" w:rsidP="00C23F8D" w:rsidRDefault="00C23F8D" w14:paraId="556D501A" w14:textId="77777777">
      <w:r w:rsidRPr="000F0C63">
        <w:t>grootschalig- als kleinschalig, met stabiele financiering op basis van de laatste</w:t>
      </w:r>
    </w:p>
    <w:p w:rsidRPr="000F0C63" w:rsidR="00C23F8D" w:rsidP="00C23F8D" w:rsidRDefault="00C23F8D" w14:paraId="5DA6E217" w14:textId="77777777">
      <w:proofErr w:type="spellStart"/>
      <w:r w:rsidRPr="000F0C63">
        <w:t>meerjaren</w:t>
      </w:r>
      <w:proofErr w:type="spellEnd"/>
      <w:r w:rsidRPr="000F0C63">
        <w:t xml:space="preserve"> productie prognose. Hiermee ontstaat de mogelijkheid voor de</w:t>
      </w:r>
    </w:p>
    <w:p w:rsidRPr="000F0C63" w:rsidR="00C23F8D" w:rsidP="00C23F8D" w:rsidRDefault="00C23F8D" w14:paraId="663C74BB" w14:textId="77777777">
      <w:r w:rsidRPr="000F0C63">
        <w:t>organisatie om ‘uit de crisisstand’ te komen, wendbaar te zijn vanuit stabiliteit én</w:t>
      </w:r>
    </w:p>
    <w:p w:rsidRPr="000F0C63" w:rsidR="00C23F8D" w:rsidP="00C23F8D" w:rsidRDefault="00C23F8D" w14:paraId="385704BF" w14:textId="77777777">
      <w:r w:rsidRPr="000F0C63">
        <w:t>een betrouwbare partner te zijn richting gemeenten en samenleving, waarbij</w:t>
      </w:r>
    </w:p>
    <w:p w:rsidRPr="000F0C63" w:rsidR="00C23F8D" w:rsidP="00C23F8D" w:rsidRDefault="00C23F8D" w14:paraId="7D5DF2EB" w14:textId="77777777">
      <w:r w:rsidRPr="000F0C63">
        <w:t>gemeenten ook zelf een rol kunnen spelen in de asielopvang. Tegelijkertijd zijn we</w:t>
      </w:r>
    </w:p>
    <w:p w:rsidRPr="000F0C63" w:rsidR="00C23F8D" w:rsidP="00C23F8D" w:rsidRDefault="00C23F8D" w14:paraId="183D11EB" w14:textId="77777777">
      <w:r w:rsidRPr="000F0C63">
        <w:t>hier nog niet en toont het huidige tekort aan opvangplekken temeer het belang</w:t>
      </w:r>
    </w:p>
    <w:p w:rsidRPr="000F0C63" w:rsidR="00C23F8D" w:rsidP="00C23F8D" w:rsidRDefault="00C23F8D" w14:paraId="79E51140" w14:textId="77777777">
      <w:r w:rsidRPr="000F0C63">
        <w:t>van een stabiel opvanglandschap.</w:t>
      </w:r>
    </w:p>
    <w:p w:rsidRPr="000F0C63" w:rsidR="00C23F8D" w:rsidP="00C23F8D" w:rsidRDefault="00C23F8D" w14:paraId="248C8719" w14:textId="77777777"/>
    <w:p w:rsidRPr="000F0C63" w:rsidR="00C23F8D" w:rsidP="00C23F8D" w:rsidRDefault="00C23F8D" w14:paraId="63D3BCE2" w14:textId="77777777">
      <w:r w:rsidRPr="000F0C63">
        <w:t>De overige aandachtspunten die Significant constateert betreffen de</w:t>
      </w:r>
    </w:p>
    <w:p w:rsidRPr="000F0C63" w:rsidR="00C23F8D" w:rsidP="00C23F8D" w:rsidRDefault="00C23F8D" w14:paraId="4D021506" w14:textId="77777777">
      <w:r w:rsidRPr="000F0C63">
        <w:t>samenwerking binnen de migratieketen, de doorvertaling van landelijke afspraken</w:t>
      </w:r>
    </w:p>
    <w:p w:rsidRPr="000F0C63" w:rsidR="00C23F8D" w:rsidP="00C23F8D" w:rsidRDefault="00C23F8D" w14:paraId="63ED68BC" w14:textId="77777777">
      <w:r w:rsidRPr="000F0C63">
        <w:t>naar regionaal en lokaal niveau binnen het COA en het verbreden van de sturing</w:t>
      </w:r>
    </w:p>
    <w:p w:rsidRPr="000F0C63" w:rsidR="00C23F8D" w:rsidP="00C23F8D" w:rsidRDefault="00C23F8D" w14:paraId="25D7E12B" w14:textId="77777777">
      <w:r w:rsidRPr="000F0C63">
        <w:t>op andere vlakken dan enkel bezetting en capaciteit. Hierop wordt vanuit de</w:t>
      </w:r>
    </w:p>
    <w:p w:rsidRPr="000F0C63" w:rsidR="00C23F8D" w:rsidP="00C23F8D" w:rsidRDefault="00C23F8D" w14:paraId="65E60589" w14:textId="77777777">
      <w:r w:rsidRPr="000F0C63">
        <w:t>bestuurlijke driehoek gestuurd en gemonitord. Verschillende maatregelen zijn</w:t>
      </w:r>
    </w:p>
    <w:p w:rsidRPr="000F0C63" w:rsidR="00C23F8D" w:rsidP="00C23F8D" w:rsidRDefault="00C23F8D" w14:paraId="446F4D95" w14:textId="77777777">
      <w:r w:rsidRPr="000F0C63">
        <w:t>reeds in gang gezet door de bestuurlijke driehoek. Zo is in 2023 het Ketenplan</w:t>
      </w:r>
    </w:p>
    <w:p w:rsidRPr="000F0C63" w:rsidR="00C23F8D" w:rsidP="00C23F8D" w:rsidRDefault="00C23F8D" w14:paraId="7D002DC8" w14:textId="77777777">
      <w:r w:rsidRPr="000F0C63">
        <w:t>migratieketen vastgesteld. Het doel van het ketenplan is om op realisatie van</w:t>
      </w:r>
    </w:p>
    <w:p w:rsidRPr="000F0C63" w:rsidR="00C23F8D" w:rsidP="00C23F8D" w:rsidRDefault="00C23F8D" w14:paraId="0AE95E00" w14:textId="77777777">
      <w:r w:rsidRPr="000F0C63">
        <w:t>ketendoelen te sturen en het concretiseren van een gezamenlijke strategie. Juist</w:t>
      </w:r>
    </w:p>
    <w:p w:rsidRPr="000F0C63" w:rsidR="00C23F8D" w:rsidP="00C23F8D" w:rsidRDefault="00C23F8D" w14:paraId="35C7E1B8" w14:textId="77777777">
      <w:r w:rsidRPr="000F0C63">
        <w:t>in een keten waarin de afzonderlijke organisaties onder grote druk staan door</w:t>
      </w:r>
    </w:p>
    <w:p w:rsidRPr="000F0C63" w:rsidR="00C23F8D" w:rsidP="00C23F8D" w:rsidRDefault="00C23F8D" w14:paraId="502B20C4" w14:textId="77777777">
      <w:r w:rsidRPr="000F0C63">
        <w:t>grote stelselwijzigingen en voorraden van asielaanvragen, is een gezamenlijke blik</w:t>
      </w:r>
    </w:p>
    <w:p w:rsidRPr="000F0C63" w:rsidR="00C23F8D" w:rsidP="00C23F8D" w:rsidRDefault="00C23F8D" w14:paraId="2194DFA3" w14:textId="77777777">
      <w:r w:rsidRPr="000F0C63">
        <w:t>lastig en vraagt extra aandacht. Het streven is om op ontwikkelingen tijdig te</w:t>
      </w:r>
    </w:p>
    <w:p w:rsidRPr="000F0C63" w:rsidR="00C23F8D" w:rsidP="00C23F8D" w:rsidRDefault="00C23F8D" w14:paraId="67544149" w14:textId="77777777">
      <w:r w:rsidRPr="000F0C63">
        <w:t>anticiperen, de voorspelbaarheid te vergroten en de effectiviteit van maatregelen</w:t>
      </w:r>
    </w:p>
    <w:p w:rsidRPr="000F0C63" w:rsidR="00C23F8D" w:rsidP="00C23F8D" w:rsidRDefault="00C23F8D" w14:paraId="772DF7F4" w14:textId="264F4F04">
      <w:r w:rsidRPr="000F0C63">
        <w:t>binnen de keten te versterken. Voorts blijf ik, samen met het COA en andere ketenpartners, onderzoeken hoe het migratiestelsel, inclusief de daarbij behorende taakverdeling tussen organisaties, verbeterd kan worden. Ten aanzien van sturing op doeltreffendheid en doelmatigheid en de gewenste voorspelbaarheid van uitgaven aan asielopvang acht ik het wenselijk om nader te bezien in hoeverre de ex post kostprijzen per modaliteit beter gemonitord kunnen worden.</w:t>
      </w:r>
    </w:p>
    <w:p w:rsidRPr="000F0C63" w:rsidR="00C23F8D" w:rsidP="00C23F8D" w:rsidRDefault="00C23F8D" w14:paraId="10ABD336" w14:textId="77777777"/>
    <w:p w:rsidRPr="000F0C63" w:rsidR="00C23F8D" w:rsidP="00C23F8D" w:rsidRDefault="00C23F8D" w14:paraId="398E37EA" w14:textId="77777777">
      <w:pPr>
        <w:rPr>
          <w:b/>
          <w:bCs/>
        </w:rPr>
      </w:pPr>
      <w:r w:rsidRPr="000F0C63">
        <w:rPr>
          <w:b/>
          <w:bCs/>
        </w:rPr>
        <w:t>Slot</w:t>
      </w:r>
    </w:p>
    <w:p w:rsidRPr="000F0C63" w:rsidR="00C23F8D" w:rsidP="00C23F8D" w:rsidRDefault="00C23F8D" w14:paraId="2003D19E" w14:textId="77777777">
      <w:r w:rsidRPr="000F0C63">
        <w:t>Het COA heeft haar taak de afgelopen jaren onder uitzonderlijke druk uitgevoerd.</w:t>
      </w:r>
    </w:p>
    <w:p w:rsidRPr="000F0C63" w:rsidR="00C23F8D" w:rsidP="00C23F8D" w:rsidRDefault="00C23F8D" w14:paraId="4D8D6A6C" w14:textId="77777777">
      <w:r w:rsidRPr="000F0C63">
        <w:t>De inzet en professionaliteit van de medewerkers verdienen grote waardering. Met</w:t>
      </w:r>
    </w:p>
    <w:p w:rsidRPr="000F0C63" w:rsidR="00C23F8D" w:rsidP="00C23F8D" w:rsidRDefault="00C23F8D" w14:paraId="45388AC6" w14:textId="77777777">
      <w:r w:rsidRPr="000F0C63">
        <w:t>de opvolging van de aanbevelingen zet ik in op een stabieler, doelmatiger en</w:t>
      </w:r>
    </w:p>
    <w:p w:rsidRPr="000F0C63" w:rsidR="00C23F8D" w:rsidP="00C23F8D" w:rsidRDefault="00C23F8D" w14:paraId="2530AA18" w14:textId="77777777">
      <w:r w:rsidRPr="000F0C63">
        <w:t>menswaardiger opvanglandschap, met duidelijke rolverdeling, betere ketenregie</w:t>
      </w:r>
    </w:p>
    <w:p w:rsidRPr="000F0C63" w:rsidR="00C23F8D" w:rsidP="00C23F8D" w:rsidRDefault="00C23F8D" w14:paraId="56FA1E3A" w14:textId="77777777">
      <w:r w:rsidRPr="000F0C63">
        <w:t>en voorspelbare randvoorwaarden.</w:t>
      </w:r>
    </w:p>
    <w:p w:rsidRPr="000F0C63" w:rsidR="00C23F8D" w:rsidP="00C23F8D" w:rsidRDefault="00C23F8D" w14:paraId="6A04CB22" w14:textId="77777777"/>
    <w:p w:rsidRPr="000F0C63" w:rsidR="00C23F8D" w:rsidP="00C23F8D" w:rsidRDefault="00C23F8D" w14:paraId="5B4C26C0" w14:textId="77777777"/>
    <w:p w:rsidRPr="000F0C63" w:rsidR="00C23F8D" w:rsidP="00C23F8D" w:rsidRDefault="00C23F8D" w14:paraId="54668A29" w14:textId="78B40883">
      <w:r w:rsidRPr="000F0C63">
        <w:t xml:space="preserve">De </w:t>
      </w:r>
      <w:r w:rsidR="00021977">
        <w:t>M</w:t>
      </w:r>
      <w:r w:rsidRPr="000F0C63">
        <w:t>inister van Asiel en Migratie,</w:t>
      </w:r>
    </w:p>
    <w:p w:rsidRPr="000F0C63" w:rsidR="00C23F8D" w:rsidP="00C23F8D" w:rsidRDefault="00C23F8D" w14:paraId="69B69460" w14:textId="77777777"/>
    <w:p w:rsidRPr="000F0C63" w:rsidR="00C23F8D" w:rsidP="00C23F8D" w:rsidRDefault="00C23F8D" w14:paraId="3AF16BD8" w14:textId="77777777"/>
    <w:p w:rsidRPr="000F0C63" w:rsidR="00C23F8D" w:rsidP="00C23F8D" w:rsidRDefault="00C23F8D" w14:paraId="0A8A160E" w14:textId="77777777"/>
    <w:p w:rsidRPr="000F0C63" w:rsidR="00C23F8D" w:rsidP="00C23F8D" w:rsidRDefault="00C23F8D" w14:paraId="4403AD07" w14:textId="77777777"/>
    <w:p w:rsidR="00C23F8D" w:rsidP="00C23F8D" w:rsidRDefault="00C23F8D" w14:paraId="5EA1ED75" w14:textId="7CCF20BB">
      <w:r w:rsidRPr="000F0C63">
        <w:t>Bart van den Brink</w:t>
      </w:r>
    </w:p>
    <w:sectPr w:rsidR="00C23F8D">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20CE" w14:textId="77777777" w:rsidR="00674E98" w:rsidRDefault="00674E98">
      <w:pPr>
        <w:spacing w:line="240" w:lineRule="auto"/>
      </w:pPr>
      <w:r>
        <w:separator/>
      </w:r>
    </w:p>
  </w:endnote>
  <w:endnote w:type="continuationSeparator" w:id="0">
    <w:p w14:paraId="72966480" w14:textId="77777777" w:rsidR="00674E98" w:rsidRDefault="00674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roman"/>
    <w:pitch w:val="default"/>
  </w:font>
  <w:font w:name="Lohit Hindi">
    <w:altName w:val="Times New Roman"/>
    <w:charset w:val="00"/>
    <w:family w:val="roman"/>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12B03" w14:textId="77777777" w:rsidR="00674E98" w:rsidRDefault="00674E98">
      <w:pPr>
        <w:spacing w:line="240" w:lineRule="auto"/>
      </w:pPr>
      <w:r>
        <w:separator/>
      </w:r>
    </w:p>
  </w:footnote>
  <w:footnote w:type="continuationSeparator" w:id="0">
    <w:p w14:paraId="5716C494" w14:textId="77777777" w:rsidR="00674E98" w:rsidRDefault="00674E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23BA" w14:textId="77777777" w:rsidR="00D10FD1" w:rsidRDefault="0013427C">
    <w:r>
      <w:rPr>
        <w:noProof/>
      </w:rPr>
      <mc:AlternateContent>
        <mc:Choice Requires="wps">
          <w:drawing>
            <wp:anchor distT="0" distB="0" distL="0" distR="0" simplePos="0" relativeHeight="251652096" behindDoc="0" locked="1" layoutInCell="1" allowOverlap="1" wp14:anchorId="74AD5539" wp14:editId="38AB602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BFAD0B2" w14:textId="77777777" w:rsidR="0013427C" w:rsidRDefault="0013427C"/>
                      </w:txbxContent>
                    </wps:txbx>
                    <wps:bodyPr vert="horz" wrap="square" lIns="0" tIns="0" rIns="0" bIns="0" anchor="t" anchorCtr="0"/>
                  </wps:wsp>
                </a:graphicData>
              </a:graphic>
            </wp:anchor>
          </w:drawing>
        </mc:Choice>
        <mc:Fallback>
          <w:pict>
            <v:shapetype w14:anchorId="74AD553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BFAD0B2" w14:textId="77777777" w:rsidR="0013427C" w:rsidRDefault="0013427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1944FC6" wp14:editId="51C51AB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6469F8" w14:textId="77777777" w:rsidR="00D10FD1" w:rsidRDefault="0013427C">
                          <w:pPr>
                            <w:pStyle w:val="Referentiegegevensbold"/>
                          </w:pPr>
                          <w:r>
                            <w:t>Cluster secretaris-generaal</w:t>
                          </w:r>
                        </w:p>
                        <w:p w14:paraId="5C4215C0" w14:textId="77777777" w:rsidR="00D10FD1" w:rsidRDefault="0013427C">
                          <w:pPr>
                            <w:pStyle w:val="Referentiegegevens"/>
                          </w:pPr>
                          <w:r>
                            <w:t>Directie Eigenaarsadvisering</w:t>
                          </w:r>
                        </w:p>
                        <w:p w14:paraId="6E494B9A" w14:textId="77777777" w:rsidR="00D10FD1" w:rsidRDefault="00D10FD1">
                          <w:pPr>
                            <w:pStyle w:val="WitregelW2"/>
                          </w:pPr>
                        </w:p>
                        <w:p w14:paraId="0CE63F85" w14:textId="77777777" w:rsidR="00D10FD1" w:rsidRDefault="0013427C">
                          <w:pPr>
                            <w:pStyle w:val="Referentiegegevensbold"/>
                          </w:pPr>
                          <w:r>
                            <w:t>Datum</w:t>
                          </w:r>
                        </w:p>
                        <w:p w14:paraId="781F8C6F" w14:textId="18CFAAF9" w:rsidR="00D10FD1" w:rsidRDefault="001C740D">
                          <w:pPr>
                            <w:pStyle w:val="Referentiegegevens"/>
                          </w:pPr>
                          <w:sdt>
                            <w:sdtPr>
                              <w:id w:val="-1501582671"/>
                              <w:date w:fullDate="2026-07-02T00:00:00Z">
                                <w:dateFormat w:val="d MMMM yyyy"/>
                                <w:lid w:val="nl"/>
                                <w:storeMappedDataAs w:val="dateTime"/>
                                <w:calendar w:val="gregorian"/>
                              </w:date>
                            </w:sdtPr>
                            <w:sdtEndPr/>
                            <w:sdtContent>
                              <w:r w:rsidR="00021977">
                                <w:rPr>
                                  <w:lang w:val="nl"/>
                                </w:rPr>
                                <w:t>2 juli 2026</w:t>
                              </w:r>
                            </w:sdtContent>
                          </w:sdt>
                        </w:p>
                        <w:p w14:paraId="6D5B6439" w14:textId="77777777" w:rsidR="00D10FD1" w:rsidRDefault="00D10FD1">
                          <w:pPr>
                            <w:pStyle w:val="WitregelW1"/>
                          </w:pPr>
                        </w:p>
                        <w:p w14:paraId="6620E01B" w14:textId="77777777" w:rsidR="00D10FD1" w:rsidRDefault="0013427C">
                          <w:pPr>
                            <w:pStyle w:val="Referentiegegevensbold"/>
                          </w:pPr>
                          <w:r>
                            <w:t>Onze referentie</w:t>
                          </w:r>
                        </w:p>
                        <w:p w14:paraId="16426053" w14:textId="24285DE2" w:rsidR="00D10FD1" w:rsidRDefault="00021977">
                          <w:pPr>
                            <w:pStyle w:val="Referentiegegevens"/>
                          </w:pPr>
                          <w:r>
                            <w:t>7500990</w:t>
                          </w:r>
                        </w:p>
                      </w:txbxContent>
                    </wps:txbx>
                    <wps:bodyPr vert="horz" wrap="square" lIns="0" tIns="0" rIns="0" bIns="0" anchor="t" anchorCtr="0"/>
                  </wps:wsp>
                </a:graphicData>
              </a:graphic>
            </wp:anchor>
          </w:drawing>
        </mc:Choice>
        <mc:Fallback>
          <w:pict>
            <v:shape w14:anchorId="21944FC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96469F8" w14:textId="77777777" w:rsidR="00D10FD1" w:rsidRDefault="0013427C">
                    <w:pPr>
                      <w:pStyle w:val="Referentiegegevensbold"/>
                    </w:pPr>
                    <w:r>
                      <w:t>Cluster secretaris-generaal</w:t>
                    </w:r>
                  </w:p>
                  <w:p w14:paraId="5C4215C0" w14:textId="77777777" w:rsidR="00D10FD1" w:rsidRDefault="0013427C">
                    <w:pPr>
                      <w:pStyle w:val="Referentiegegevens"/>
                    </w:pPr>
                    <w:r>
                      <w:t>Directie Eigenaarsadvisering</w:t>
                    </w:r>
                  </w:p>
                  <w:p w14:paraId="6E494B9A" w14:textId="77777777" w:rsidR="00D10FD1" w:rsidRDefault="00D10FD1">
                    <w:pPr>
                      <w:pStyle w:val="WitregelW2"/>
                    </w:pPr>
                  </w:p>
                  <w:p w14:paraId="0CE63F85" w14:textId="77777777" w:rsidR="00D10FD1" w:rsidRDefault="0013427C">
                    <w:pPr>
                      <w:pStyle w:val="Referentiegegevensbold"/>
                    </w:pPr>
                    <w:r>
                      <w:t>Datum</w:t>
                    </w:r>
                  </w:p>
                  <w:p w14:paraId="781F8C6F" w14:textId="18CFAAF9" w:rsidR="00D10FD1" w:rsidRDefault="001C740D">
                    <w:pPr>
                      <w:pStyle w:val="Referentiegegevens"/>
                    </w:pPr>
                    <w:sdt>
                      <w:sdtPr>
                        <w:id w:val="-1501582671"/>
                        <w:date w:fullDate="2026-07-02T00:00:00Z">
                          <w:dateFormat w:val="d MMMM yyyy"/>
                          <w:lid w:val="nl"/>
                          <w:storeMappedDataAs w:val="dateTime"/>
                          <w:calendar w:val="gregorian"/>
                        </w:date>
                      </w:sdtPr>
                      <w:sdtEndPr/>
                      <w:sdtContent>
                        <w:r w:rsidR="00021977">
                          <w:rPr>
                            <w:lang w:val="nl"/>
                          </w:rPr>
                          <w:t>2 juli 2026</w:t>
                        </w:r>
                      </w:sdtContent>
                    </w:sdt>
                  </w:p>
                  <w:p w14:paraId="6D5B6439" w14:textId="77777777" w:rsidR="00D10FD1" w:rsidRDefault="00D10FD1">
                    <w:pPr>
                      <w:pStyle w:val="WitregelW1"/>
                    </w:pPr>
                  </w:p>
                  <w:p w14:paraId="6620E01B" w14:textId="77777777" w:rsidR="00D10FD1" w:rsidRDefault="0013427C">
                    <w:pPr>
                      <w:pStyle w:val="Referentiegegevensbold"/>
                    </w:pPr>
                    <w:r>
                      <w:t>Onze referentie</w:t>
                    </w:r>
                  </w:p>
                  <w:p w14:paraId="16426053" w14:textId="24285DE2" w:rsidR="00D10FD1" w:rsidRDefault="00021977">
                    <w:pPr>
                      <w:pStyle w:val="Referentiegegevens"/>
                    </w:pPr>
                    <w:r>
                      <w:t>7500990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19F031A" wp14:editId="1C46B26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0E0B49" w14:textId="77777777" w:rsidR="0013427C" w:rsidRDefault="0013427C"/>
                      </w:txbxContent>
                    </wps:txbx>
                    <wps:bodyPr vert="horz" wrap="square" lIns="0" tIns="0" rIns="0" bIns="0" anchor="t" anchorCtr="0"/>
                  </wps:wsp>
                </a:graphicData>
              </a:graphic>
            </wp:anchor>
          </w:drawing>
        </mc:Choice>
        <mc:Fallback>
          <w:pict>
            <v:shape w14:anchorId="119F031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C0E0B49" w14:textId="77777777" w:rsidR="0013427C" w:rsidRDefault="0013427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F369E23" wp14:editId="4D5D8F9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5E07495" w14:textId="7CAF8D7F" w:rsidR="00D10FD1" w:rsidRDefault="0013427C">
                          <w:pPr>
                            <w:pStyle w:val="Referentiegegevens"/>
                          </w:pPr>
                          <w:r>
                            <w:t xml:space="preserve">Pagina </w:t>
                          </w:r>
                          <w:r>
                            <w:fldChar w:fldCharType="begin"/>
                          </w:r>
                          <w:r>
                            <w:instrText>PAGE</w:instrText>
                          </w:r>
                          <w:r>
                            <w:fldChar w:fldCharType="separate"/>
                          </w:r>
                          <w:r w:rsidR="00D96E5E">
                            <w:rPr>
                              <w:noProof/>
                            </w:rPr>
                            <w:t>2</w:t>
                          </w:r>
                          <w:r>
                            <w:fldChar w:fldCharType="end"/>
                          </w:r>
                          <w:r>
                            <w:t xml:space="preserve"> van </w:t>
                          </w:r>
                          <w:r>
                            <w:fldChar w:fldCharType="begin"/>
                          </w:r>
                          <w:r>
                            <w:instrText>NUMPAGES</w:instrText>
                          </w:r>
                          <w:r>
                            <w:fldChar w:fldCharType="separate"/>
                          </w:r>
                          <w:r w:rsidR="00D96E5E">
                            <w:rPr>
                              <w:noProof/>
                            </w:rPr>
                            <w:t>1</w:t>
                          </w:r>
                          <w:r>
                            <w:fldChar w:fldCharType="end"/>
                          </w:r>
                        </w:p>
                      </w:txbxContent>
                    </wps:txbx>
                    <wps:bodyPr vert="horz" wrap="square" lIns="0" tIns="0" rIns="0" bIns="0" anchor="t" anchorCtr="0"/>
                  </wps:wsp>
                </a:graphicData>
              </a:graphic>
            </wp:anchor>
          </w:drawing>
        </mc:Choice>
        <mc:Fallback>
          <w:pict>
            <v:shape w14:anchorId="5F369E2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5E07495" w14:textId="7CAF8D7F" w:rsidR="00D10FD1" w:rsidRDefault="0013427C">
                    <w:pPr>
                      <w:pStyle w:val="Referentiegegevens"/>
                    </w:pPr>
                    <w:r>
                      <w:t xml:space="preserve">Pagina </w:t>
                    </w:r>
                    <w:r>
                      <w:fldChar w:fldCharType="begin"/>
                    </w:r>
                    <w:r>
                      <w:instrText>PAGE</w:instrText>
                    </w:r>
                    <w:r>
                      <w:fldChar w:fldCharType="separate"/>
                    </w:r>
                    <w:r w:rsidR="00D96E5E">
                      <w:rPr>
                        <w:noProof/>
                      </w:rPr>
                      <w:t>2</w:t>
                    </w:r>
                    <w:r>
                      <w:fldChar w:fldCharType="end"/>
                    </w:r>
                    <w:r>
                      <w:t xml:space="preserve"> van </w:t>
                    </w:r>
                    <w:r>
                      <w:fldChar w:fldCharType="begin"/>
                    </w:r>
                    <w:r>
                      <w:instrText>NUMPAGES</w:instrText>
                    </w:r>
                    <w:r>
                      <w:fldChar w:fldCharType="separate"/>
                    </w:r>
                    <w:r w:rsidR="00D96E5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F8EE" w14:textId="77777777" w:rsidR="00D10FD1" w:rsidRDefault="0013427C">
    <w:pPr>
      <w:spacing w:after="6377" w:line="14" w:lineRule="exact"/>
    </w:pPr>
    <w:r>
      <w:rPr>
        <w:noProof/>
      </w:rPr>
      <mc:AlternateContent>
        <mc:Choice Requires="wps">
          <w:drawing>
            <wp:anchor distT="0" distB="0" distL="0" distR="0" simplePos="0" relativeHeight="251656192" behindDoc="0" locked="1" layoutInCell="1" allowOverlap="1" wp14:anchorId="195961E7" wp14:editId="150DA58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FBEC71" w14:textId="77777777" w:rsidR="00D10FD1" w:rsidRDefault="0013427C">
                          <w:pPr>
                            <w:spacing w:line="240" w:lineRule="auto"/>
                          </w:pPr>
                          <w:r>
                            <w:rPr>
                              <w:noProof/>
                            </w:rPr>
                            <w:drawing>
                              <wp:inline distT="0" distB="0" distL="0" distR="0" wp14:anchorId="3D6A79FC" wp14:editId="38D67EE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95961E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0FBEC71" w14:textId="77777777" w:rsidR="00D10FD1" w:rsidRDefault="0013427C">
                    <w:pPr>
                      <w:spacing w:line="240" w:lineRule="auto"/>
                    </w:pPr>
                    <w:r>
                      <w:rPr>
                        <w:noProof/>
                      </w:rPr>
                      <w:drawing>
                        <wp:inline distT="0" distB="0" distL="0" distR="0" wp14:anchorId="3D6A79FC" wp14:editId="38D67EE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94C267" wp14:editId="30F2BB6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6231DA" w14:textId="77777777" w:rsidR="00D10FD1" w:rsidRDefault="0013427C">
                          <w:pPr>
                            <w:spacing w:line="240" w:lineRule="auto"/>
                          </w:pPr>
                          <w:r>
                            <w:rPr>
                              <w:noProof/>
                            </w:rPr>
                            <w:drawing>
                              <wp:inline distT="0" distB="0" distL="0" distR="0" wp14:anchorId="17CF5344" wp14:editId="07BA080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94C26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A6231DA" w14:textId="77777777" w:rsidR="00D10FD1" w:rsidRDefault="0013427C">
                    <w:pPr>
                      <w:spacing w:line="240" w:lineRule="auto"/>
                    </w:pPr>
                    <w:r>
                      <w:rPr>
                        <w:noProof/>
                      </w:rPr>
                      <w:drawing>
                        <wp:inline distT="0" distB="0" distL="0" distR="0" wp14:anchorId="17CF5344" wp14:editId="07BA080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B0BBA3A" wp14:editId="3BF4272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E913FA" w14:textId="77777777" w:rsidR="00D10FD1" w:rsidRDefault="0013427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B0BBA3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DE913FA" w14:textId="77777777" w:rsidR="00D10FD1" w:rsidRDefault="0013427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8FB69A" wp14:editId="445CEFD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7BDA9AD" w14:textId="41D5D503" w:rsidR="00976BAC" w:rsidRDefault="00021977">
                          <w:r>
                            <w:t>Aan d</w:t>
                          </w:r>
                          <w:r w:rsidR="00976BAC" w:rsidRPr="00976BAC">
                            <w:t>e Voorzitter van de Tweede Kamer</w:t>
                          </w:r>
                        </w:p>
                        <w:p w14:paraId="04C66CEF" w14:textId="58969CB1" w:rsidR="00D10FD1" w:rsidRDefault="00976BAC">
                          <w:r>
                            <w:t>der Staten-Generaal</w:t>
                          </w:r>
                          <w:r w:rsidRPr="00976BAC">
                            <w:br/>
                            <w:t>Postbus 20018</w:t>
                          </w:r>
                          <w:r w:rsidRPr="00976BAC">
                            <w:br/>
                            <w:t xml:space="preserve">2500 EA </w:t>
                          </w:r>
                          <w:r w:rsidR="00021977">
                            <w:t xml:space="preserve"> </w:t>
                          </w:r>
                          <w:r w:rsidRPr="00976BAC">
                            <w:t>D</w:t>
                          </w:r>
                          <w:r w:rsidR="00021977">
                            <w:t xml:space="preserve">EN </w:t>
                          </w:r>
                          <w:proofErr w:type="spellStart"/>
                          <w:r w:rsidR="00021977">
                            <w:t>HAAG</w:t>
                          </w:r>
                          <w:proofErr w:type="spellEnd"/>
                        </w:p>
                      </w:txbxContent>
                    </wps:txbx>
                    <wps:bodyPr vert="horz" wrap="square" lIns="0" tIns="0" rIns="0" bIns="0" anchor="t" anchorCtr="0"/>
                  </wps:wsp>
                </a:graphicData>
              </a:graphic>
            </wp:anchor>
          </w:drawing>
        </mc:Choice>
        <mc:Fallback>
          <w:pict>
            <v:shape w14:anchorId="208FB69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7BDA9AD" w14:textId="41D5D503" w:rsidR="00976BAC" w:rsidRDefault="00021977">
                    <w:r>
                      <w:t>Aan d</w:t>
                    </w:r>
                    <w:r w:rsidR="00976BAC" w:rsidRPr="00976BAC">
                      <w:t>e Voorzitter van de Tweede Kamer</w:t>
                    </w:r>
                  </w:p>
                  <w:p w14:paraId="04C66CEF" w14:textId="58969CB1" w:rsidR="00D10FD1" w:rsidRDefault="00976BAC">
                    <w:r>
                      <w:t>der Staten-Generaal</w:t>
                    </w:r>
                    <w:r w:rsidRPr="00976BAC">
                      <w:br/>
                      <w:t>Postbus 20018</w:t>
                    </w:r>
                    <w:r w:rsidRPr="00976BAC">
                      <w:br/>
                      <w:t xml:space="preserve">2500 EA </w:t>
                    </w:r>
                    <w:r w:rsidR="00021977">
                      <w:t xml:space="preserve"> </w:t>
                    </w:r>
                    <w:r w:rsidRPr="00976BAC">
                      <w:t>D</w:t>
                    </w:r>
                    <w:r w:rsidR="00021977">
                      <w:t xml:space="preserve">EN </w:t>
                    </w:r>
                    <w:proofErr w:type="spellStart"/>
                    <w:r w:rsidR="00021977">
                      <w:t>HAAG</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C69BFEE" wp14:editId="3FF4E97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10FD1" w14:paraId="390DEEC8" w14:textId="77777777">
                            <w:trPr>
                              <w:trHeight w:val="240"/>
                            </w:trPr>
                            <w:tc>
                              <w:tcPr>
                                <w:tcW w:w="1140" w:type="dxa"/>
                              </w:tcPr>
                              <w:p w14:paraId="7EB7D415" w14:textId="77777777" w:rsidR="00D10FD1" w:rsidRDefault="0013427C">
                                <w:r>
                                  <w:t>Datum</w:t>
                                </w:r>
                              </w:p>
                            </w:tc>
                            <w:tc>
                              <w:tcPr>
                                <w:tcW w:w="5918" w:type="dxa"/>
                              </w:tcPr>
                              <w:p w14:paraId="6D5034FE" w14:textId="64D1380D" w:rsidR="00D10FD1" w:rsidRDefault="001C740D">
                                <w:sdt>
                                  <w:sdtPr>
                                    <w:id w:val="1340430932"/>
                                    <w:date w:fullDate="2026-07-02T00:00:00Z">
                                      <w:dateFormat w:val="d MMMM yyyy"/>
                                      <w:lid w:val="nl"/>
                                      <w:storeMappedDataAs w:val="dateTime"/>
                                      <w:calendar w:val="gregorian"/>
                                    </w:date>
                                  </w:sdtPr>
                                  <w:sdtEndPr/>
                                  <w:sdtContent>
                                    <w:r w:rsidR="00021977">
                                      <w:rPr>
                                        <w:lang w:val="nl"/>
                                      </w:rPr>
                                      <w:t>2 juli 2026</w:t>
                                    </w:r>
                                  </w:sdtContent>
                                </w:sdt>
                              </w:p>
                            </w:tc>
                          </w:tr>
                          <w:tr w:rsidR="00D10FD1" w14:paraId="069EEC78" w14:textId="77777777">
                            <w:trPr>
                              <w:trHeight w:val="240"/>
                            </w:trPr>
                            <w:tc>
                              <w:tcPr>
                                <w:tcW w:w="1140" w:type="dxa"/>
                              </w:tcPr>
                              <w:p w14:paraId="668E47E5" w14:textId="77777777" w:rsidR="00D10FD1" w:rsidRDefault="0013427C">
                                <w:r>
                                  <w:t>Betreft</w:t>
                                </w:r>
                              </w:p>
                            </w:tc>
                            <w:tc>
                              <w:tcPr>
                                <w:tcW w:w="5918" w:type="dxa"/>
                              </w:tcPr>
                              <w:p w14:paraId="7B6902D7" w14:textId="3ED0D613" w:rsidR="00D10FD1" w:rsidRDefault="00907CB3">
                                <w:r>
                                  <w:t>A</w:t>
                                </w:r>
                                <w:r w:rsidRPr="00907CB3">
                                  <w:t xml:space="preserve">anbiedingsbrief rapport </w:t>
                                </w:r>
                                <w:proofErr w:type="spellStart"/>
                                <w:r w:rsidRPr="00907CB3">
                                  <w:t>zbo</w:t>
                                </w:r>
                                <w:proofErr w:type="spellEnd"/>
                                <w:r w:rsidRPr="00907CB3">
                                  <w:t>-evaluatie Centraal Orgaan opvang asielzoekers</w:t>
                                </w:r>
                              </w:p>
                            </w:tc>
                          </w:tr>
                        </w:tbl>
                        <w:p w14:paraId="19E25C89" w14:textId="77777777" w:rsidR="0013427C" w:rsidRDefault="0013427C"/>
                      </w:txbxContent>
                    </wps:txbx>
                    <wps:bodyPr vert="horz" wrap="square" lIns="0" tIns="0" rIns="0" bIns="0" anchor="t" anchorCtr="0"/>
                  </wps:wsp>
                </a:graphicData>
              </a:graphic>
            </wp:anchor>
          </w:drawing>
        </mc:Choice>
        <mc:Fallback>
          <w:pict>
            <v:shape w14:anchorId="3C69BFE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10FD1" w14:paraId="390DEEC8" w14:textId="77777777">
                      <w:trPr>
                        <w:trHeight w:val="240"/>
                      </w:trPr>
                      <w:tc>
                        <w:tcPr>
                          <w:tcW w:w="1140" w:type="dxa"/>
                        </w:tcPr>
                        <w:p w14:paraId="7EB7D415" w14:textId="77777777" w:rsidR="00D10FD1" w:rsidRDefault="0013427C">
                          <w:r>
                            <w:t>Datum</w:t>
                          </w:r>
                        </w:p>
                      </w:tc>
                      <w:tc>
                        <w:tcPr>
                          <w:tcW w:w="5918" w:type="dxa"/>
                        </w:tcPr>
                        <w:p w14:paraId="6D5034FE" w14:textId="64D1380D" w:rsidR="00D10FD1" w:rsidRDefault="001C740D">
                          <w:sdt>
                            <w:sdtPr>
                              <w:id w:val="1340430932"/>
                              <w:date w:fullDate="2026-07-02T00:00:00Z">
                                <w:dateFormat w:val="d MMMM yyyy"/>
                                <w:lid w:val="nl"/>
                                <w:storeMappedDataAs w:val="dateTime"/>
                                <w:calendar w:val="gregorian"/>
                              </w:date>
                            </w:sdtPr>
                            <w:sdtEndPr/>
                            <w:sdtContent>
                              <w:r w:rsidR="00021977">
                                <w:rPr>
                                  <w:lang w:val="nl"/>
                                </w:rPr>
                                <w:t>2 juli 2026</w:t>
                              </w:r>
                            </w:sdtContent>
                          </w:sdt>
                        </w:p>
                      </w:tc>
                    </w:tr>
                    <w:tr w:rsidR="00D10FD1" w14:paraId="069EEC78" w14:textId="77777777">
                      <w:trPr>
                        <w:trHeight w:val="240"/>
                      </w:trPr>
                      <w:tc>
                        <w:tcPr>
                          <w:tcW w:w="1140" w:type="dxa"/>
                        </w:tcPr>
                        <w:p w14:paraId="668E47E5" w14:textId="77777777" w:rsidR="00D10FD1" w:rsidRDefault="0013427C">
                          <w:r>
                            <w:t>Betreft</w:t>
                          </w:r>
                        </w:p>
                      </w:tc>
                      <w:tc>
                        <w:tcPr>
                          <w:tcW w:w="5918" w:type="dxa"/>
                        </w:tcPr>
                        <w:p w14:paraId="7B6902D7" w14:textId="3ED0D613" w:rsidR="00D10FD1" w:rsidRDefault="00907CB3">
                          <w:r>
                            <w:t>A</w:t>
                          </w:r>
                          <w:r w:rsidRPr="00907CB3">
                            <w:t xml:space="preserve">anbiedingsbrief rapport </w:t>
                          </w:r>
                          <w:proofErr w:type="spellStart"/>
                          <w:r w:rsidRPr="00907CB3">
                            <w:t>zbo</w:t>
                          </w:r>
                          <w:proofErr w:type="spellEnd"/>
                          <w:r w:rsidRPr="00907CB3">
                            <w:t>-evaluatie Centraal Orgaan opvang asielzoekers</w:t>
                          </w:r>
                        </w:p>
                      </w:tc>
                    </w:tr>
                  </w:tbl>
                  <w:p w14:paraId="19E25C89" w14:textId="77777777" w:rsidR="0013427C" w:rsidRDefault="0013427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ADA2E5" wp14:editId="5F2ED60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B8A937" w14:textId="77777777" w:rsidR="00D10FD1" w:rsidRDefault="0013427C">
                          <w:pPr>
                            <w:pStyle w:val="Referentiegegevensbold"/>
                          </w:pPr>
                          <w:r>
                            <w:t>Cluster secretaris-generaal</w:t>
                          </w:r>
                        </w:p>
                        <w:p w14:paraId="53409B9D" w14:textId="77777777" w:rsidR="00D10FD1" w:rsidRDefault="0013427C">
                          <w:pPr>
                            <w:pStyle w:val="Referentiegegevens"/>
                          </w:pPr>
                          <w:r>
                            <w:t>Directie Eigenaarsadvisering</w:t>
                          </w:r>
                        </w:p>
                        <w:p w14:paraId="709EC0F5" w14:textId="77777777" w:rsidR="00D10FD1" w:rsidRDefault="00D10FD1">
                          <w:pPr>
                            <w:pStyle w:val="WitregelW1"/>
                          </w:pPr>
                        </w:p>
                        <w:p w14:paraId="155D5890" w14:textId="77777777" w:rsidR="00D10FD1" w:rsidRDefault="0013427C">
                          <w:pPr>
                            <w:pStyle w:val="Referentiegegevens"/>
                          </w:pPr>
                          <w:r>
                            <w:t>Turfmarkt 147</w:t>
                          </w:r>
                        </w:p>
                        <w:p w14:paraId="391B52F8" w14:textId="77777777" w:rsidR="00D10FD1" w:rsidRPr="000F2227" w:rsidRDefault="0013427C">
                          <w:pPr>
                            <w:pStyle w:val="Referentiegegevens"/>
                            <w:rPr>
                              <w:lang w:val="de-DE"/>
                            </w:rPr>
                          </w:pPr>
                          <w:r w:rsidRPr="000F2227">
                            <w:rPr>
                              <w:lang w:val="de-DE"/>
                            </w:rPr>
                            <w:t>2511 DP  Den Haag</w:t>
                          </w:r>
                        </w:p>
                        <w:p w14:paraId="684AD8F2" w14:textId="77777777" w:rsidR="00D10FD1" w:rsidRPr="000F2227" w:rsidRDefault="0013427C">
                          <w:pPr>
                            <w:pStyle w:val="Referentiegegevens"/>
                            <w:rPr>
                              <w:lang w:val="de-DE"/>
                            </w:rPr>
                          </w:pPr>
                          <w:r w:rsidRPr="000F2227">
                            <w:rPr>
                              <w:lang w:val="de-DE"/>
                            </w:rPr>
                            <w:t>Postbus 20301</w:t>
                          </w:r>
                        </w:p>
                        <w:p w14:paraId="1A71A87D" w14:textId="77777777" w:rsidR="00D10FD1" w:rsidRPr="000F2227" w:rsidRDefault="0013427C">
                          <w:pPr>
                            <w:pStyle w:val="Referentiegegevens"/>
                            <w:rPr>
                              <w:lang w:val="de-DE"/>
                            </w:rPr>
                          </w:pPr>
                          <w:r w:rsidRPr="000F2227">
                            <w:rPr>
                              <w:lang w:val="de-DE"/>
                            </w:rPr>
                            <w:t>2500 EH  Den Haag</w:t>
                          </w:r>
                        </w:p>
                        <w:p w14:paraId="15597E75" w14:textId="77777777" w:rsidR="00D10FD1" w:rsidRPr="000F2227" w:rsidRDefault="0013427C">
                          <w:pPr>
                            <w:pStyle w:val="Referentiegegevens"/>
                            <w:rPr>
                              <w:lang w:val="de-DE"/>
                            </w:rPr>
                          </w:pPr>
                          <w:r w:rsidRPr="000F2227">
                            <w:rPr>
                              <w:lang w:val="de-DE"/>
                            </w:rPr>
                            <w:t>www.rijksoverheid.nl/jenv</w:t>
                          </w:r>
                        </w:p>
                        <w:p w14:paraId="462FBAC4" w14:textId="77777777" w:rsidR="00D10FD1" w:rsidRDefault="00D10FD1">
                          <w:pPr>
                            <w:pStyle w:val="WitregelW2"/>
                            <w:rPr>
                              <w:lang w:val="de-DE"/>
                            </w:rPr>
                          </w:pPr>
                        </w:p>
                        <w:p w14:paraId="2D2087F0" w14:textId="77777777" w:rsidR="00021977" w:rsidRPr="00021977" w:rsidRDefault="00021977" w:rsidP="00021977">
                          <w:pPr>
                            <w:rPr>
                              <w:lang w:val="de-DE"/>
                            </w:rPr>
                          </w:pPr>
                        </w:p>
                        <w:p w14:paraId="301CD589" w14:textId="77777777" w:rsidR="00D10FD1" w:rsidRPr="000F2227" w:rsidRDefault="0013427C">
                          <w:pPr>
                            <w:pStyle w:val="Referentiegegevensbold"/>
                            <w:rPr>
                              <w:lang w:val="de-DE"/>
                            </w:rPr>
                          </w:pPr>
                          <w:proofErr w:type="spellStart"/>
                          <w:r w:rsidRPr="000F2227">
                            <w:rPr>
                              <w:lang w:val="de-DE"/>
                            </w:rPr>
                            <w:t>Onze</w:t>
                          </w:r>
                          <w:proofErr w:type="spellEnd"/>
                          <w:r w:rsidRPr="000F2227">
                            <w:rPr>
                              <w:lang w:val="de-DE"/>
                            </w:rPr>
                            <w:t xml:space="preserve"> </w:t>
                          </w:r>
                          <w:proofErr w:type="spellStart"/>
                          <w:r w:rsidRPr="000F2227">
                            <w:rPr>
                              <w:lang w:val="de-DE"/>
                            </w:rPr>
                            <w:t>referentie</w:t>
                          </w:r>
                          <w:proofErr w:type="spellEnd"/>
                        </w:p>
                        <w:p w14:paraId="5D38A490" w14:textId="5B8AC036" w:rsidR="00D10FD1" w:rsidRDefault="00DD7E76">
                          <w:pPr>
                            <w:pStyle w:val="Referentiegegevens"/>
                          </w:pPr>
                          <w:r>
                            <w:t>7500990</w:t>
                          </w:r>
                          <w:r w:rsidR="001C740D">
                            <w:br/>
                          </w:r>
                          <w:r w:rsidR="001C740D">
                            <w:br/>
                          </w:r>
                          <w:r w:rsidR="001C740D" w:rsidRPr="001C740D">
                            <w:rPr>
                              <w:b/>
                              <w:bCs/>
                            </w:rPr>
                            <w:t>Bijlagen</w:t>
                          </w:r>
                          <w:r w:rsidR="001C740D">
                            <w:br/>
                            <w:t>1</w:t>
                          </w:r>
                        </w:p>
                      </w:txbxContent>
                    </wps:txbx>
                    <wps:bodyPr vert="horz" wrap="square" lIns="0" tIns="0" rIns="0" bIns="0" anchor="t" anchorCtr="0"/>
                  </wps:wsp>
                </a:graphicData>
              </a:graphic>
            </wp:anchor>
          </w:drawing>
        </mc:Choice>
        <mc:Fallback>
          <w:pict>
            <v:shape w14:anchorId="31ADA2E5"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CB8A937" w14:textId="77777777" w:rsidR="00D10FD1" w:rsidRDefault="0013427C">
                    <w:pPr>
                      <w:pStyle w:val="Referentiegegevensbold"/>
                    </w:pPr>
                    <w:r>
                      <w:t>Cluster secretaris-generaal</w:t>
                    </w:r>
                  </w:p>
                  <w:p w14:paraId="53409B9D" w14:textId="77777777" w:rsidR="00D10FD1" w:rsidRDefault="0013427C">
                    <w:pPr>
                      <w:pStyle w:val="Referentiegegevens"/>
                    </w:pPr>
                    <w:r>
                      <w:t>Directie Eigenaarsadvisering</w:t>
                    </w:r>
                  </w:p>
                  <w:p w14:paraId="709EC0F5" w14:textId="77777777" w:rsidR="00D10FD1" w:rsidRDefault="00D10FD1">
                    <w:pPr>
                      <w:pStyle w:val="WitregelW1"/>
                    </w:pPr>
                  </w:p>
                  <w:p w14:paraId="155D5890" w14:textId="77777777" w:rsidR="00D10FD1" w:rsidRDefault="0013427C">
                    <w:pPr>
                      <w:pStyle w:val="Referentiegegevens"/>
                    </w:pPr>
                    <w:r>
                      <w:t>Turfmarkt 147</w:t>
                    </w:r>
                  </w:p>
                  <w:p w14:paraId="391B52F8" w14:textId="77777777" w:rsidR="00D10FD1" w:rsidRPr="000F2227" w:rsidRDefault="0013427C">
                    <w:pPr>
                      <w:pStyle w:val="Referentiegegevens"/>
                      <w:rPr>
                        <w:lang w:val="de-DE"/>
                      </w:rPr>
                    </w:pPr>
                    <w:r w:rsidRPr="000F2227">
                      <w:rPr>
                        <w:lang w:val="de-DE"/>
                      </w:rPr>
                      <w:t>2511 DP  Den Haag</w:t>
                    </w:r>
                  </w:p>
                  <w:p w14:paraId="684AD8F2" w14:textId="77777777" w:rsidR="00D10FD1" w:rsidRPr="000F2227" w:rsidRDefault="0013427C">
                    <w:pPr>
                      <w:pStyle w:val="Referentiegegevens"/>
                      <w:rPr>
                        <w:lang w:val="de-DE"/>
                      </w:rPr>
                    </w:pPr>
                    <w:r w:rsidRPr="000F2227">
                      <w:rPr>
                        <w:lang w:val="de-DE"/>
                      </w:rPr>
                      <w:t>Postbus 20301</w:t>
                    </w:r>
                  </w:p>
                  <w:p w14:paraId="1A71A87D" w14:textId="77777777" w:rsidR="00D10FD1" w:rsidRPr="000F2227" w:rsidRDefault="0013427C">
                    <w:pPr>
                      <w:pStyle w:val="Referentiegegevens"/>
                      <w:rPr>
                        <w:lang w:val="de-DE"/>
                      </w:rPr>
                    </w:pPr>
                    <w:r w:rsidRPr="000F2227">
                      <w:rPr>
                        <w:lang w:val="de-DE"/>
                      </w:rPr>
                      <w:t>2500 EH  Den Haag</w:t>
                    </w:r>
                  </w:p>
                  <w:p w14:paraId="15597E75" w14:textId="77777777" w:rsidR="00D10FD1" w:rsidRPr="000F2227" w:rsidRDefault="0013427C">
                    <w:pPr>
                      <w:pStyle w:val="Referentiegegevens"/>
                      <w:rPr>
                        <w:lang w:val="de-DE"/>
                      </w:rPr>
                    </w:pPr>
                    <w:r w:rsidRPr="000F2227">
                      <w:rPr>
                        <w:lang w:val="de-DE"/>
                      </w:rPr>
                      <w:t>www.rijksoverheid.nl/jenv</w:t>
                    </w:r>
                  </w:p>
                  <w:p w14:paraId="462FBAC4" w14:textId="77777777" w:rsidR="00D10FD1" w:rsidRDefault="00D10FD1">
                    <w:pPr>
                      <w:pStyle w:val="WitregelW2"/>
                      <w:rPr>
                        <w:lang w:val="de-DE"/>
                      </w:rPr>
                    </w:pPr>
                  </w:p>
                  <w:p w14:paraId="2D2087F0" w14:textId="77777777" w:rsidR="00021977" w:rsidRPr="00021977" w:rsidRDefault="00021977" w:rsidP="00021977">
                    <w:pPr>
                      <w:rPr>
                        <w:lang w:val="de-DE"/>
                      </w:rPr>
                    </w:pPr>
                  </w:p>
                  <w:p w14:paraId="301CD589" w14:textId="77777777" w:rsidR="00D10FD1" w:rsidRPr="000F2227" w:rsidRDefault="0013427C">
                    <w:pPr>
                      <w:pStyle w:val="Referentiegegevensbold"/>
                      <w:rPr>
                        <w:lang w:val="de-DE"/>
                      </w:rPr>
                    </w:pPr>
                    <w:proofErr w:type="spellStart"/>
                    <w:r w:rsidRPr="000F2227">
                      <w:rPr>
                        <w:lang w:val="de-DE"/>
                      </w:rPr>
                      <w:t>Onze</w:t>
                    </w:r>
                    <w:proofErr w:type="spellEnd"/>
                    <w:r w:rsidRPr="000F2227">
                      <w:rPr>
                        <w:lang w:val="de-DE"/>
                      </w:rPr>
                      <w:t xml:space="preserve"> </w:t>
                    </w:r>
                    <w:proofErr w:type="spellStart"/>
                    <w:r w:rsidRPr="000F2227">
                      <w:rPr>
                        <w:lang w:val="de-DE"/>
                      </w:rPr>
                      <w:t>referentie</w:t>
                    </w:r>
                    <w:proofErr w:type="spellEnd"/>
                  </w:p>
                  <w:p w14:paraId="5D38A490" w14:textId="5B8AC036" w:rsidR="00D10FD1" w:rsidRDefault="00DD7E76">
                    <w:pPr>
                      <w:pStyle w:val="Referentiegegevens"/>
                    </w:pPr>
                    <w:r>
                      <w:t>7500990</w:t>
                    </w:r>
                    <w:r w:rsidR="001C740D">
                      <w:br/>
                    </w:r>
                    <w:r w:rsidR="001C740D">
                      <w:br/>
                    </w:r>
                    <w:r w:rsidR="001C740D" w:rsidRPr="001C740D">
                      <w:rPr>
                        <w:b/>
                        <w:bCs/>
                      </w:rPr>
                      <w:t>Bijlagen</w:t>
                    </w:r>
                    <w:r w:rsidR="001C740D">
                      <w:b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AC5FDFD" wp14:editId="68AD855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2AA733" w14:textId="77777777" w:rsidR="00D10FD1" w:rsidRDefault="0013427C">
                          <w:pPr>
                            <w:pStyle w:val="Referentiegegevens"/>
                          </w:pPr>
                          <w:r>
                            <w:t xml:space="preserve">Pagina </w:t>
                          </w:r>
                          <w:r>
                            <w:fldChar w:fldCharType="begin"/>
                          </w:r>
                          <w:r>
                            <w:instrText>PAGE</w:instrText>
                          </w:r>
                          <w:r>
                            <w:fldChar w:fldCharType="separate"/>
                          </w:r>
                          <w:r w:rsidR="00D96E5E">
                            <w:rPr>
                              <w:noProof/>
                            </w:rPr>
                            <w:t>1</w:t>
                          </w:r>
                          <w:r>
                            <w:fldChar w:fldCharType="end"/>
                          </w:r>
                          <w:r>
                            <w:t xml:space="preserve"> van </w:t>
                          </w:r>
                          <w:r>
                            <w:fldChar w:fldCharType="begin"/>
                          </w:r>
                          <w:r>
                            <w:instrText>NUMPAGES</w:instrText>
                          </w:r>
                          <w:r>
                            <w:fldChar w:fldCharType="separate"/>
                          </w:r>
                          <w:r w:rsidR="00D96E5E">
                            <w:rPr>
                              <w:noProof/>
                            </w:rPr>
                            <w:t>1</w:t>
                          </w:r>
                          <w:r>
                            <w:fldChar w:fldCharType="end"/>
                          </w:r>
                        </w:p>
                      </w:txbxContent>
                    </wps:txbx>
                    <wps:bodyPr vert="horz" wrap="square" lIns="0" tIns="0" rIns="0" bIns="0" anchor="t" anchorCtr="0"/>
                  </wps:wsp>
                </a:graphicData>
              </a:graphic>
            </wp:anchor>
          </w:drawing>
        </mc:Choice>
        <mc:Fallback>
          <w:pict>
            <v:shape w14:anchorId="0AC5FDF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12AA733" w14:textId="77777777" w:rsidR="00D10FD1" w:rsidRDefault="0013427C">
                    <w:pPr>
                      <w:pStyle w:val="Referentiegegevens"/>
                    </w:pPr>
                    <w:r>
                      <w:t xml:space="preserve">Pagina </w:t>
                    </w:r>
                    <w:r>
                      <w:fldChar w:fldCharType="begin"/>
                    </w:r>
                    <w:r>
                      <w:instrText>PAGE</w:instrText>
                    </w:r>
                    <w:r>
                      <w:fldChar w:fldCharType="separate"/>
                    </w:r>
                    <w:r w:rsidR="00D96E5E">
                      <w:rPr>
                        <w:noProof/>
                      </w:rPr>
                      <w:t>1</w:t>
                    </w:r>
                    <w:r>
                      <w:fldChar w:fldCharType="end"/>
                    </w:r>
                    <w:r>
                      <w:t xml:space="preserve"> van </w:t>
                    </w:r>
                    <w:r>
                      <w:fldChar w:fldCharType="begin"/>
                    </w:r>
                    <w:r>
                      <w:instrText>NUMPAGES</w:instrText>
                    </w:r>
                    <w:r>
                      <w:fldChar w:fldCharType="separate"/>
                    </w:r>
                    <w:r w:rsidR="00D96E5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3E11772" wp14:editId="4D4D5D2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86992A" w14:textId="77777777" w:rsidR="0013427C" w:rsidRDefault="0013427C"/>
                      </w:txbxContent>
                    </wps:txbx>
                    <wps:bodyPr vert="horz" wrap="square" lIns="0" tIns="0" rIns="0" bIns="0" anchor="t" anchorCtr="0"/>
                  </wps:wsp>
                </a:graphicData>
              </a:graphic>
            </wp:anchor>
          </w:drawing>
        </mc:Choice>
        <mc:Fallback>
          <w:pict>
            <v:shape w14:anchorId="63E1177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186992A" w14:textId="77777777" w:rsidR="0013427C" w:rsidRDefault="0013427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6A5CB"/>
    <w:multiLevelType w:val="multilevel"/>
    <w:tmpl w:val="0074A94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E7B6FDB"/>
    <w:multiLevelType w:val="multilevel"/>
    <w:tmpl w:val="5436BA1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AA15E43"/>
    <w:multiLevelType w:val="multilevel"/>
    <w:tmpl w:val="F25B89A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0E979CA"/>
    <w:multiLevelType w:val="multilevel"/>
    <w:tmpl w:val="6E4F0D9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3876E73"/>
    <w:multiLevelType w:val="multilevel"/>
    <w:tmpl w:val="EAF8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D0492"/>
    <w:multiLevelType w:val="multilevel"/>
    <w:tmpl w:val="28F0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265C8"/>
    <w:multiLevelType w:val="multilevel"/>
    <w:tmpl w:val="0796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AF890"/>
    <w:multiLevelType w:val="multilevel"/>
    <w:tmpl w:val="033D256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15BA3375"/>
    <w:multiLevelType w:val="hybridMultilevel"/>
    <w:tmpl w:val="EE2E1450"/>
    <w:lvl w:ilvl="0" w:tplc="B936FB6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9739CA"/>
    <w:multiLevelType w:val="multilevel"/>
    <w:tmpl w:val="5D24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46CDB"/>
    <w:multiLevelType w:val="multilevel"/>
    <w:tmpl w:val="DF24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E67E2"/>
    <w:multiLevelType w:val="multilevel"/>
    <w:tmpl w:val="16ECC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E40DD"/>
    <w:multiLevelType w:val="multilevel"/>
    <w:tmpl w:val="E362A3A0"/>
    <w:lvl w:ilvl="0">
      <w:start w:val="1"/>
      <w:numFmt w:val="decimal"/>
      <w:lvlText w:val="%1."/>
      <w:lvlJc w:val="left"/>
      <w:pPr>
        <w:tabs>
          <w:tab w:val="num" w:pos="720"/>
        </w:tabs>
        <w:ind w:left="720" w:hanging="360"/>
      </w:pPr>
      <w:rPr>
        <w:rFonts w:ascii="Verdana" w:eastAsia="DejaVu Sans" w:hAnsi="Verdana" w:cs="Lohit Hin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E633B"/>
    <w:multiLevelType w:val="multilevel"/>
    <w:tmpl w:val="9B3C3B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37CD784E"/>
    <w:multiLevelType w:val="multilevel"/>
    <w:tmpl w:val="53AC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97D0D"/>
    <w:multiLevelType w:val="multilevel"/>
    <w:tmpl w:val="4552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5D15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B4C63FB"/>
    <w:multiLevelType w:val="multilevel"/>
    <w:tmpl w:val="ABA0C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841B67"/>
    <w:multiLevelType w:val="multilevel"/>
    <w:tmpl w:val="F8F8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C4A98"/>
    <w:multiLevelType w:val="multilevel"/>
    <w:tmpl w:val="DC82F5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CC5D4D"/>
    <w:multiLevelType w:val="multilevel"/>
    <w:tmpl w:val="44D03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D81BB7"/>
    <w:multiLevelType w:val="multilevel"/>
    <w:tmpl w:val="C80E4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18064B"/>
    <w:multiLevelType w:val="multilevel"/>
    <w:tmpl w:val="44D6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2489B"/>
    <w:multiLevelType w:val="multilevel"/>
    <w:tmpl w:val="566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6C64F3"/>
    <w:multiLevelType w:val="multilevel"/>
    <w:tmpl w:val="EF4E08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3939130">
    <w:abstractNumId w:val="7"/>
  </w:num>
  <w:num w:numId="2" w16cid:durableId="692921438">
    <w:abstractNumId w:val="0"/>
  </w:num>
  <w:num w:numId="3" w16cid:durableId="1628077856">
    <w:abstractNumId w:val="2"/>
  </w:num>
  <w:num w:numId="4" w16cid:durableId="870415689">
    <w:abstractNumId w:val="1"/>
  </w:num>
  <w:num w:numId="5" w16cid:durableId="853883307">
    <w:abstractNumId w:val="3"/>
  </w:num>
  <w:num w:numId="6" w16cid:durableId="222373983">
    <w:abstractNumId w:val="13"/>
  </w:num>
  <w:num w:numId="7" w16cid:durableId="1816022647">
    <w:abstractNumId w:val="21"/>
  </w:num>
  <w:num w:numId="8" w16cid:durableId="1424688740">
    <w:abstractNumId w:val="22"/>
  </w:num>
  <w:num w:numId="9" w16cid:durableId="579339894">
    <w:abstractNumId w:val="17"/>
  </w:num>
  <w:num w:numId="10" w16cid:durableId="2071149482">
    <w:abstractNumId w:val="5"/>
  </w:num>
  <w:num w:numId="11" w16cid:durableId="881281604">
    <w:abstractNumId w:val="9"/>
  </w:num>
  <w:num w:numId="12" w16cid:durableId="1046374594">
    <w:abstractNumId w:val="18"/>
  </w:num>
  <w:num w:numId="13" w16cid:durableId="688261132">
    <w:abstractNumId w:val="12"/>
  </w:num>
  <w:num w:numId="14" w16cid:durableId="1040669559">
    <w:abstractNumId w:val="20"/>
  </w:num>
  <w:num w:numId="15" w16cid:durableId="1093354441">
    <w:abstractNumId w:val="11"/>
  </w:num>
  <w:num w:numId="16" w16cid:durableId="1944606255">
    <w:abstractNumId w:val="15"/>
  </w:num>
  <w:num w:numId="17" w16cid:durableId="751774952">
    <w:abstractNumId w:val="6"/>
  </w:num>
  <w:num w:numId="18" w16cid:durableId="1082143392">
    <w:abstractNumId w:val="4"/>
  </w:num>
  <w:num w:numId="19" w16cid:durableId="2074431328">
    <w:abstractNumId w:val="23"/>
  </w:num>
  <w:num w:numId="20" w16cid:durableId="978533073">
    <w:abstractNumId w:val="19"/>
  </w:num>
  <w:num w:numId="21" w16cid:durableId="946696205">
    <w:abstractNumId w:val="10"/>
  </w:num>
  <w:num w:numId="22" w16cid:durableId="521288905">
    <w:abstractNumId w:val="24"/>
  </w:num>
  <w:num w:numId="23" w16cid:durableId="69155233">
    <w:abstractNumId w:val="14"/>
  </w:num>
  <w:num w:numId="24" w16cid:durableId="101464182">
    <w:abstractNumId w:val="16"/>
  </w:num>
  <w:num w:numId="25" w16cid:durableId="1867215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5E"/>
    <w:rsid w:val="00001EB1"/>
    <w:rsid w:val="00012B66"/>
    <w:rsid w:val="00021977"/>
    <w:rsid w:val="00051425"/>
    <w:rsid w:val="00061CDA"/>
    <w:rsid w:val="000A337A"/>
    <w:rsid w:val="000E64F0"/>
    <w:rsid w:val="000F0C63"/>
    <w:rsid w:val="000F2227"/>
    <w:rsid w:val="000F5DEF"/>
    <w:rsid w:val="0013380C"/>
    <w:rsid w:val="0013427C"/>
    <w:rsid w:val="00176522"/>
    <w:rsid w:val="00187AED"/>
    <w:rsid w:val="001C740D"/>
    <w:rsid w:val="00200259"/>
    <w:rsid w:val="00204651"/>
    <w:rsid w:val="002464E9"/>
    <w:rsid w:val="002818CD"/>
    <w:rsid w:val="002C09E8"/>
    <w:rsid w:val="003036E5"/>
    <w:rsid w:val="00312D74"/>
    <w:rsid w:val="003324E1"/>
    <w:rsid w:val="00352639"/>
    <w:rsid w:val="00376DE6"/>
    <w:rsid w:val="00395D6A"/>
    <w:rsid w:val="004033AA"/>
    <w:rsid w:val="0044422E"/>
    <w:rsid w:val="00446C0C"/>
    <w:rsid w:val="0046377D"/>
    <w:rsid w:val="004758F7"/>
    <w:rsid w:val="004A0CB3"/>
    <w:rsid w:val="004A5E86"/>
    <w:rsid w:val="004C1D70"/>
    <w:rsid w:val="004C25CF"/>
    <w:rsid w:val="004E01FD"/>
    <w:rsid w:val="00584251"/>
    <w:rsid w:val="00585068"/>
    <w:rsid w:val="005A4939"/>
    <w:rsid w:val="005C5CD9"/>
    <w:rsid w:val="005F53DF"/>
    <w:rsid w:val="0060210A"/>
    <w:rsid w:val="006320F5"/>
    <w:rsid w:val="0065050F"/>
    <w:rsid w:val="0066147F"/>
    <w:rsid w:val="00674A54"/>
    <w:rsid w:val="00674E98"/>
    <w:rsid w:val="006B45BB"/>
    <w:rsid w:val="007126A0"/>
    <w:rsid w:val="007255B4"/>
    <w:rsid w:val="00731EFE"/>
    <w:rsid w:val="007325B4"/>
    <w:rsid w:val="00764C6B"/>
    <w:rsid w:val="007860E4"/>
    <w:rsid w:val="007B2FE3"/>
    <w:rsid w:val="007B4DA1"/>
    <w:rsid w:val="007C31E2"/>
    <w:rsid w:val="007C52CB"/>
    <w:rsid w:val="007D0A8F"/>
    <w:rsid w:val="007D274E"/>
    <w:rsid w:val="007E00A7"/>
    <w:rsid w:val="00817767"/>
    <w:rsid w:val="00835223"/>
    <w:rsid w:val="00865381"/>
    <w:rsid w:val="00874137"/>
    <w:rsid w:val="00886BE4"/>
    <w:rsid w:val="008A7DD8"/>
    <w:rsid w:val="008C3D8B"/>
    <w:rsid w:val="008D4957"/>
    <w:rsid w:val="008E75F7"/>
    <w:rsid w:val="008F0F53"/>
    <w:rsid w:val="00907CB3"/>
    <w:rsid w:val="0091132E"/>
    <w:rsid w:val="009119DF"/>
    <w:rsid w:val="00925C3D"/>
    <w:rsid w:val="00927D5E"/>
    <w:rsid w:val="0097355D"/>
    <w:rsid w:val="00976BAC"/>
    <w:rsid w:val="009B7317"/>
    <w:rsid w:val="009D5165"/>
    <w:rsid w:val="009D6F3A"/>
    <w:rsid w:val="009F1439"/>
    <w:rsid w:val="00A96753"/>
    <w:rsid w:val="00B00198"/>
    <w:rsid w:val="00B1260F"/>
    <w:rsid w:val="00B255C6"/>
    <w:rsid w:val="00B4515F"/>
    <w:rsid w:val="00B755EA"/>
    <w:rsid w:val="00B76706"/>
    <w:rsid w:val="00B86FB1"/>
    <w:rsid w:val="00B90603"/>
    <w:rsid w:val="00BB3D21"/>
    <w:rsid w:val="00BE1386"/>
    <w:rsid w:val="00BF09AB"/>
    <w:rsid w:val="00C23F8D"/>
    <w:rsid w:val="00C42AA1"/>
    <w:rsid w:val="00C60DD8"/>
    <w:rsid w:val="00C72DE3"/>
    <w:rsid w:val="00C854B7"/>
    <w:rsid w:val="00C87591"/>
    <w:rsid w:val="00CB50FD"/>
    <w:rsid w:val="00CC0D87"/>
    <w:rsid w:val="00CD1F6D"/>
    <w:rsid w:val="00D01C19"/>
    <w:rsid w:val="00D03A58"/>
    <w:rsid w:val="00D10FD1"/>
    <w:rsid w:val="00D83C48"/>
    <w:rsid w:val="00D9413B"/>
    <w:rsid w:val="00D96E5E"/>
    <w:rsid w:val="00DA7F63"/>
    <w:rsid w:val="00DD7E76"/>
    <w:rsid w:val="00DE5A78"/>
    <w:rsid w:val="00E156FF"/>
    <w:rsid w:val="00E24B6D"/>
    <w:rsid w:val="00E4631B"/>
    <w:rsid w:val="00E720D2"/>
    <w:rsid w:val="00E90D07"/>
    <w:rsid w:val="00E925FE"/>
    <w:rsid w:val="00EB370D"/>
    <w:rsid w:val="00EF4429"/>
    <w:rsid w:val="00F031A4"/>
    <w:rsid w:val="00F25118"/>
    <w:rsid w:val="00F45B62"/>
    <w:rsid w:val="00F56030"/>
    <w:rsid w:val="00F62F64"/>
    <w:rsid w:val="00FA2C9B"/>
    <w:rsid w:val="00FE60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C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7E00A7"/>
    <w:pPr>
      <w:ind w:left="720"/>
      <w:contextualSpacing/>
    </w:pPr>
  </w:style>
  <w:style w:type="character" w:styleId="Verwijzingopmerking">
    <w:name w:val="annotation reference"/>
    <w:basedOn w:val="Standaardalinea-lettertype"/>
    <w:uiPriority w:val="99"/>
    <w:semiHidden/>
    <w:unhideWhenUsed/>
    <w:rsid w:val="005C5CD9"/>
    <w:rPr>
      <w:sz w:val="16"/>
      <w:szCs w:val="16"/>
    </w:rPr>
  </w:style>
  <w:style w:type="paragraph" w:styleId="Tekstopmerking">
    <w:name w:val="annotation text"/>
    <w:basedOn w:val="Standaard"/>
    <w:link w:val="TekstopmerkingChar"/>
    <w:uiPriority w:val="99"/>
    <w:unhideWhenUsed/>
    <w:rsid w:val="005C5CD9"/>
    <w:pPr>
      <w:spacing w:line="240" w:lineRule="auto"/>
    </w:pPr>
    <w:rPr>
      <w:sz w:val="20"/>
      <w:szCs w:val="20"/>
    </w:rPr>
  </w:style>
  <w:style w:type="character" w:customStyle="1" w:styleId="TekstopmerkingChar">
    <w:name w:val="Tekst opmerking Char"/>
    <w:basedOn w:val="Standaardalinea-lettertype"/>
    <w:link w:val="Tekstopmerking"/>
    <w:uiPriority w:val="99"/>
    <w:rsid w:val="005C5CD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C5CD9"/>
    <w:rPr>
      <w:b/>
      <w:bCs/>
    </w:rPr>
  </w:style>
  <w:style w:type="character" w:customStyle="1" w:styleId="OnderwerpvanopmerkingChar">
    <w:name w:val="Onderwerp van opmerking Char"/>
    <w:basedOn w:val="TekstopmerkingChar"/>
    <w:link w:val="Onderwerpvanopmerking"/>
    <w:uiPriority w:val="99"/>
    <w:semiHidden/>
    <w:rsid w:val="005C5CD9"/>
    <w:rPr>
      <w:rFonts w:ascii="Verdana" w:hAnsi="Verdana"/>
      <w:b/>
      <w:bCs/>
      <w:color w:val="000000"/>
    </w:rPr>
  </w:style>
  <w:style w:type="paragraph" w:styleId="Revisie">
    <w:name w:val="Revision"/>
    <w:hidden/>
    <w:uiPriority w:val="99"/>
    <w:semiHidden/>
    <w:rsid w:val="002464E9"/>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7325B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325B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080">
      <w:bodyDiv w:val="1"/>
      <w:marLeft w:val="0"/>
      <w:marRight w:val="0"/>
      <w:marTop w:val="0"/>
      <w:marBottom w:val="0"/>
      <w:divBdr>
        <w:top w:val="none" w:sz="0" w:space="0" w:color="auto"/>
        <w:left w:val="none" w:sz="0" w:space="0" w:color="auto"/>
        <w:bottom w:val="none" w:sz="0" w:space="0" w:color="auto"/>
        <w:right w:val="none" w:sz="0" w:space="0" w:color="auto"/>
      </w:divBdr>
    </w:div>
    <w:div w:id="501161394">
      <w:bodyDiv w:val="1"/>
      <w:marLeft w:val="0"/>
      <w:marRight w:val="0"/>
      <w:marTop w:val="0"/>
      <w:marBottom w:val="0"/>
      <w:divBdr>
        <w:top w:val="none" w:sz="0" w:space="0" w:color="auto"/>
        <w:left w:val="none" w:sz="0" w:space="0" w:color="auto"/>
        <w:bottom w:val="none" w:sz="0" w:space="0" w:color="auto"/>
        <w:right w:val="none" w:sz="0" w:space="0" w:color="auto"/>
      </w:divBdr>
    </w:div>
    <w:div w:id="580681024">
      <w:bodyDiv w:val="1"/>
      <w:marLeft w:val="0"/>
      <w:marRight w:val="0"/>
      <w:marTop w:val="0"/>
      <w:marBottom w:val="0"/>
      <w:divBdr>
        <w:top w:val="none" w:sz="0" w:space="0" w:color="auto"/>
        <w:left w:val="none" w:sz="0" w:space="0" w:color="auto"/>
        <w:bottom w:val="none" w:sz="0" w:space="0" w:color="auto"/>
        <w:right w:val="none" w:sz="0" w:space="0" w:color="auto"/>
      </w:divBdr>
    </w:div>
    <w:div w:id="949971437">
      <w:bodyDiv w:val="1"/>
      <w:marLeft w:val="0"/>
      <w:marRight w:val="0"/>
      <w:marTop w:val="0"/>
      <w:marBottom w:val="0"/>
      <w:divBdr>
        <w:top w:val="none" w:sz="0" w:space="0" w:color="auto"/>
        <w:left w:val="none" w:sz="0" w:space="0" w:color="auto"/>
        <w:bottom w:val="none" w:sz="0" w:space="0" w:color="auto"/>
        <w:right w:val="none" w:sz="0" w:space="0" w:color="auto"/>
      </w:divBdr>
    </w:div>
    <w:div w:id="969897690">
      <w:bodyDiv w:val="1"/>
      <w:marLeft w:val="0"/>
      <w:marRight w:val="0"/>
      <w:marTop w:val="0"/>
      <w:marBottom w:val="0"/>
      <w:divBdr>
        <w:top w:val="none" w:sz="0" w:space="0" w:color="auto"/>
        <w:left w:val="none" w:sz="0" w:space="0" w:color="auto"/>
        <w:bottom w:val="none" w:sz="0" w:space="0" w:color="auto"/>
        <w:right w:val="none" w:sz="0" w:space="0" w:color="auto"/>
      </w:divBdr>
    </w:div>
    <w:div w:id="1126240941">
      <w:bodyDiv w:val="1"/>
      <w:marLeft w:val="0"/>
      <w:marRight w:val="0"/>
      <w:marTop w:val="0"/>
      <w:marBottom w:val="0"/>
      <w:divBdr>
        <w:top w:val="none" w:sz="0" w:space="0" w:color="auto"/>
        <w:left w:val="none" w:sz="0" w:space="0" w:color="auto"/>
        <w:bottom w:val="none" w:sz="0" w:space="0" w:color="auto"/>
        <w:right w:val="none" w:sz="0" w:space="0" w:color="auto"/>
      </w:divBdr>
    </w:div>
    <w:div w:id="1217081206">
      <w:bodyDiv w:val="1"/>
      <w:marLeft w:val="0"/>
      <w:marRight w:val="0"/>
      <w:marTop w:val="0"/>
      <w:marBottom w:val="0"/>
      <w:divBdr>
        <w:top w:val="none" w:sz="0" w:space="0" w:color="auto"/>
        <w:left w:val="none" w:sz="0" w:space="0" w:color="auto"/>
        <w:bottom w:val="none" w:sz="0" w:space="0" w:color="auto"/>
        <w:right w:val="none" w:sz="0" w:space="0" w:color="auto"/>
      </w:divBdr>
    </w:div>
    <w:div w:id="1458455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1240</ap:Words>
  <ap:Characters>6826</ap:Characters>
  <ap:DocSecurity>0</ap:DocSecurity>
  <ap:Lines>56</ap:Lines>
  <ap:Paragraphs>16</ap:Paragraphs>
  <ap:ScaleCrop>false</ap:ScaleCrop>
  <ap:LinksUpToDate>false</ap:LinksUpToDate>
  <ap:CharactersWithSpaces>8050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2026-07-02T15:15:00.0000000Z</dcterms:created>
  <dcterms:modified xsi:type="dcterms:W3CDTF">2026-07-02T15:15:00.0000000Z</dcterms:modified>
  <dc:description>------------------------</dc:description>
  <version/>
  <category/>
</coreProperties>
</file>