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6F71" w:rsidR="00B06701" w:rsidP="00376F71" w:rsidRDefault="00710F4A" w14:paraId="23ECF1BD" w14:textId="5741F88A">
      <w:pPr>
        <w:spacing w:line="360" w:lineRule="auto"/>
        <w:ind w:left="1418" w:hanging="1418"/>
        <w:rPr>
          <w:b/>
          <w:bCs/>
          <w:color w:val="000000" w:themeColor="text1"/>
        </w:rPr>
      </w:pPr>
      <w:r w:rsidRPr="00376F71">
        <w:rPr>
          <w:b/>
          <w:bCs/>
          <w:color w:val="000000" w:themeColor="text1"/>
        </w:rPr>
        <w:t xml:space="preserve">36 </w:t>
      </w:r>
      <w:r w:rsidRPr="00376F71" w:rsidR="00F11397">
        <w:rPr>
          <w:b/>
          <w:bCs/>
          <w:color w:val="000000" w:themeColor="text1"/>
        </w:rPr>
        <w:t>960</w:t>
      </w:r>
      <w:r w:rsidRPr="00376F71">
        <w:rPr>
          <w:b/>
          <w:bCs/>
          <w:color w:val="000000" w:themeColor="text1"/>
        </w:rPr>
        <w:tab/>
        <w:t xml:space="preserve">Wijziging van de Wet op de omzetbelasting 1968 (Wet implementatie Richtlijn </w:t>
      </w:r>
      <w:r w:rsidRPr="00376F71" w:rsidR="00F11397">
        <w:rPr>
          <w:b/>
          <w:bCs/>
          <w:color w:val="000000" w:themeColor="text1"/>
        </w:rPr>
        <w:t>btw in het digitale tijdperk – enkele btw-registratie</w:t>
      </w:r>
      <w:r w:rsidRPr="00376F71" w:rsidR="002E0A0A">
        <w:rPr>
          <w:b/>
          <w:bCs/>
          <w:color w:val="000000" w:themeColor="text1"/>
        </w:rPr>
        <w:t>)</w:t>
      </w:r>
    </w:p>
    <w:p w:rsidRPr="00376F71" w:rsidR="00710F4A" w:rsidP="00376F71" w:rsidRDefault="00710F4A" w14:paraId="5668D100" w14:textId="628CB809">
      <w:pPr>
        <w:spacing w:line="360" w:lineRule="auto"/>
        <w:ind w:left="1418"/>
        <w:rPr>
          <w:color w:val="000000" w:themeColor="text1"/>
        </w:rPr>
      </w:pPr>
    </w:p>
    <w:p w:rsidRPr="00376F71" w:rsidR="00710F4A" w:rsidP="00376F71" w:rsidRDefault="00710F4A" w14:paraId="4B7D27BB" w14:textId="159C50C8">
      <w:pPr>
        <w:spacing w:line="360" w:lineRule="auto"/>
        <w:ind w:left="1418"/>
        <w:rPr>
          <w:b/>
          <w:bCs/>
          <w:color w:val="000000" w:themeColor="text1"/>
        </w:rPr>
      </w:pPr>
      <w:r w:rsidRPr="00376F71">
        <w:rPr>
          <w:b/>
          <w:bCs/>
          <w:color w:val="000000" w:themeColor="text1"/>
        </w:rPr>
        <w:t>Nota naar aanleiding van het Verslag</w:t>
      </w:r>
    </w:p>
    <w:p w:rsidRPr="00376F71" w:rsidR="00710F4A" w:rsidP="00376F71" w:rsidRDefault="00710F4A" w14:paraId="37A1B161" w14:textId="1D81DE97">
      <w:pPr>
        <w:spacing w:line="360" w:lineRule="auto"/>
        <w:ind w:left="1418"/>
        <w:rPr>
          <w:color w:val="000000" w:themeColor="text1"/>
        </w:rPr>
      </w:pPr>
    </w:p>
    <w:p w:rsidRPr="00376F71" w:rsidR="00710F4A" w:rsidP="00376F71" w:rsidRDefault="00710F4A" w14:paraId="7DEA03AF" w14:textId="528D95A1">
      <w:pPr>
        <w:spacing w:line="360" w:lineRule="auto"/>
        <w:ind w:left="1418"/>
        <w:rPr>
          <w:b/>
          <w:bCs/>
          <w:color w:val="000000" w:themeColor="text1"/>
        </w:rPr>
      </w:pPr>
      <w:r w:rsidRPr="00376F71">
        <w:rPr>
          <w:b/>
          <w:bCs/>
          <w:color w:val="000000" w:themeColor="text1"/>
        </w:rPr>
        <w:t>Inhoudsopgave</w:t>
      </w:r>
    </w:p>
    <w:sdt>
      <w:sdtPr>
        <w:rPr>
          <w:rFonts w:ascii="Verdana" w:hAnsi="Verdana" w:eastAsiaTheme="minorHAnsi" w:cstheme="minorBidi"/>
          <w:color w:val="000000" w:themeColor="text1"/>
          <w:sz w:val="18"/>
          <w:szCs w:val="22"/>
          <w:lang w:eastAsia="en-US"/>
        </w:rPr>
        <w:id w:val="592668142"/>
        <w:docPartObj>
          <w:docPartGallery w:val="Table of Contents"/>
          <w:docPartUnique/>
        </w:docPartObj>
      </w:sdtPr>
      <w:sdtEndPr>
        <w:rPr>
          <w:b/>
          <w:bCs/>
        </w:rPr>
      </w:sdtEndPr>
      <w:sdtContent>
        <w:p w:rsidRPr="00376F71" w:rsidR="00710F4A" w:rsidP="00376F71" w:rsidRDefault="00710F4A" w14:paraId="6B49C7C8" w14:textId="567AC760">
          <w:pPr>
            <w:pStyle w:val="Kopvaninhoudsopgave"/>
            <w:spacing w:line="360" w:lineRule="auto"/>
            <w:ind w:left="1418"/>
            <w:rPr>
              <w:color w:val="000000" w:themeColor="text1"/>
            </w:rPr>
          </w:pPr>
        </w:p>
        <w:p w:rsidRPr="00376F71" w:rsidR="00D543A4" w:rsidP="00376F71" w:rsidRDefault="00710F4A" w14:paraId="7AA05442" w14:textId="60A5F1D0">
          <w:pPr>
            <w:pStyle w:val="Inhopg1"/>
            <w:tabs>
              <w:tab w:val="right" w:leader="dot" w:pos="9017"/>
            </w:tabs>
            <w:rPr>
              <w:rFonts w:asciiTheme="minorHAnsi" w:hAnsiTheme="minorHAnsi" w:eastAsiaTheme="minorEastAsia"/>
              <w:noProof/>
              <w:kern w:val="2"/>
              <w:sz w:val="24"/>
              <w:szCs w:val="24"/>
              <w:lang w:eastAsia="nl-NL"/>
              <w14:ligatures w14:val="standardContextual"/>
            </w:rPr>
          </w:pPr>
          <w:r w:rsidRPr="00376F71">
            <w:rPr>
              <w:color w:val="000000" w:themeColor="text1"/>
            </w:rPr>
            <w:fldChar w:fldCharType="begin"/>
          </w:r>
          <w:r w:rsidRPr="00376F71">
            <w:rPr>
              <w:color w:val="000000" w:themeColor="text1"/>
            </w:rPr>
            <w:instrText xml:space="preserve"> TOC \o "1-3" \h \z \u </w:instrText>
          </w:r>
          <w:r w:rsidRPr="00376F71">
            <w:rPr>
              <w:color w:val="000000" w:themeColor="text1"/>
            </w:rPr>
            <w:fldChar w:fldCharType="separate"/>
          </w:r>
          <w:hyperlink w:history="1" w:anchor="_Toc231899743">
            <w:r w:rsidRPr="00376F71" w:rsidR="00D543A4">
              <w:rPr>
                <w:rStyle w:val="Hyperlink"/>
                <w:rFonts w:eastAsia="Times New Roman" w:cs="Times New Roman"/>
                <w:b/>
                <w:iCs/>
                <w:noProof/>
              </w:rPr>
              <w:t>Inleidende opmerkingen</w:t>
            </w:r>
            <w:r w:rsidRPr="00376F71" w:rsidR="00D543A4">
              <w:rPr>
                <w:noProof/>
                <w:webHidden/>
              </w:rPr>
              <w:tab/>
            </w:r>
            <w:r w:rsidRPr="00376F71" w:rsidR="00D543A4">
              <w:rPr>
                <w:noProof/>
                <w:webHidden/>
              </w:rPr>
              <w:fldChar w:fldCharType="begin"/>
            </w:r>
            <w:r w:rsidRPr="00376F71" w:rsidR="00D543A4">
              <w:rPr>
                <w:noProof/>
                <w:webHidden/>
              </w:rPr>
              <w:instrText xml:space="preserve"> PAGEREF _Toc231899743 \h </w:instrText>
            </w:r>
            <w:r w:rsidRPr="00376F71" w:rsidR="00D543A4">
              <w:rPr>
                <w:noProof/>
                <w:webHidden/>
              </w:rPr>
            </w:r>
            <w:r w:rsidRPr="00376F71" w:rsidR="00D543A4">
              <w:rPr>
                <w:noProof/>
                <w:webHidden/>
              </w:rPr>
              <w:fldChar w:fldCharType="separate"/>
            </w:r>
            <w:r w:rsidRPr="00376F71" w:rsidR="00D543A4">
              <w:rPr>
                <w:noProof/>
                <w:webHidden/>
              </w:rPr>
              <w:t>2</w:t>
            </w:r>
            <w:r w:rsidRPr="00376F71" w:rsidR="00D543A4">
              <w:rPr>
                <w:noProof/>
                <w:webHidden/>
              </w:rPr>
              <w:fldChar w:fldCharType="end"/>
            </w:r>
          </w:hyperlink>
        </w:p>
        <w:p w:rsidRPr="00376F71" w:rsidR="00D543A4" w:rsidP="00376F71" w:rsidRDefault="00D543A4" w14:paraId="73CD5F1C" w14:textId="379944E2">
          <w:pPr>
            <w:pStyle w:val="Inhopg1"/>
            <w:tabs>
              <w:tab w:val="right" w:leader="dot" w:pos="9017"/>
            </w:tabs>
            <w:rPr>
              <w:rFonts w:asciiTheme="minorHAnsi" w:hAnsiTheme="minorHAnsi" w:eastAsiaTheme="minorEastAsia"/>
              <w:noProof/>
              <w:kern w:val="2"/>
              <w:sz w:val="24"/>
              <w:szCs w:val="24"/>
              <w:lang w:eastAsia="nl-NL"/>
              <w14:ligatures w14:val="standardContextual"/>
            </w:rPr>
          </w:pPr>
          <w:hyperlink w:history="1" w:anchor="_Toc231899744">
            <w:r w:rsidRPr="00376F71">
              <w:rPr>
                <w:rStyle w:val="Hyperlink"/>
                <w:rFonts w:eastAsia="Times New Roman" w:cs="Times New Roman"/>
                <w:b/>
                <w:iCs/>
                <w:noProof/>
              </w:rPr>
              <w:t>Algemeen deel</w:t>
            </w:r>
            <w:r w:rsidRPr="00376F71">
              <w:rPr>
                <w:noProof/>
                <w:webHidden/>
              </w:rPr>
              <w:tab/>
            </w:r>
            <w:r w:rsidRPr="00376F71">
              <w:rPr>
                <w:noProof/>
                <w:webHidden/>
              </w:rPr>
              <w:fldChar w:fldCharType="begin"/>
            </w:r>
            <w:r w:rsidRPr="00376F71">
              <w:rPr>
                <w:noProof/>
                <w:webHidden/>
              </w:rPr>
              <w:instrText xml:space="preserve"> PAGEREF _Toc231899744 \h </w:instrText>
            </w:r>
            <w:r w:rsidRPr="00376F71">
              <w:rPr>
                <w:noProof/>
                <w:webHidden/>
              </w:rPr>
            </w:r>
            <w:r w:rsidRPr="00376F71">
              <w:rPr>
                <w:noProof/>
                <w:webHidden/>
              </w:rPr>
              <w:fldChar w:fldCharType="separate"/>
            </w:r>
            <w:r w:rsidRPr="00376F71">
              <w:rPr>
                <w:noProof/>
                <w:webHidden/>
              </w:rPr>
              <w:t>2</w:t>
            </w:r>
            <w:r w:rsidRPr="00376F71">
              <w:rPr>
                <w:noProof/>
                <w:webHidden/>
              </w:rPr>
              <w:fldChar w:fldCharType="end"/>
            </w:r>
          </w:hyperlink>
        </w:p>
        <w:p w:rsidRPr="00376F71" w:rsidR="00D543A4" w:rsidP="00376F71" w:rsidRDefault="00D543A4" w14:paraId="28C6AE2F" w14:textId="73E69958">
          <w:pPr>
            <w:pStyle w:val="Inhopg1"/>
            <w:tabs>
              <w:tab w:val="right" w:leader="dot" w:pos="9017"/>
            </w:tabs>
            <w:rPr>
              <w:rFonts w:asciiTheme="minorHAnsi" w:hAnsiTheme="minorHAnsi" w:eastAsiaTheme="minorEastAsia"/>
              <w:noProof/>
              <w:kern w:val="2"/>
              <w:sz w:val="24"/>
              <w:szCs w:val="24"/>
              <w:lang w:eastAsia="nl-NL"/>
              <w14:ligatures w14:val="standardContextual"/>
            </w:rPr>
          </w:pPr>
          <w:hyperlink w:history="1" w:anchor="_Toc231899745">
            <w:r w:rsidRPr="00376F71">
              <w:rPr>
                <w:rStyle w:val="Hyperlink"/>
                <w:i/>
                <w:noProof/>
              </w:rPr>
              <w:t>2. Implementatie van Richtlijn btw in het digitale tijdperk</w:t>
            </w:r>
            <w:r w:rsidRPr="00376F71">
              <w:rPr>
                <w:noProof/>
                <w:webHidden/>
              </w:rPr>
              <w:tab/>
            </w:r>
            <w:r w:rsidRPr="00376F71">
              <w:rPr>
                <w:noProof/>
                <w:webHidden/>
              </w:rPr>
              <w:fldChar w:fldCharType="begin"/>
            </w:r>
            <w:r w:rsidRPr="00376F71">
              <w:rPr>
                <w:noProof/>
                <w:webHidden/>
              </w:rPr>
              <w:instrText xml:space="preserve"> PAGEREF _Toc231899745 \h </w:instrText>
            </w:r>
            <w:r w:rsidRPr="00376F71">
              <w:rPr>
                <w:noProof/>
                <w:webHidden/>
              </w:rPr>
            </w:r>
            <w:r w:rsidRPr="00376F71">
              <w:rPr>
                <w:noProof/>
                <w:webHidden/>
              </w:rPr>
              <w:fldChar w:fldCharType="separate"/>
            </w:r>
            <w:r w:rsidRPr="00376F71">
              <w:rPr>
                <w:noProof/>
                <w:webHidden/>
              </w:rPr>
              <w:t>2</w:t>
            </w:r>
            <w:r w:rsidRPr="00376F71">
              <w:rPr>
                <w:noProof/>
                <w:webHidden/>
              </w:rPr>
              <w:fldChar w:fldCharType="end"/>
            </w:r>
          </w:hyperlink>
        </w:p>
        <w:p w:rsidRPr="00376F71" w:rsidR="00D543A4" w:rsidP="00376F71" w:rsidRDefault="00D543A4" w14:paraId="69150209" w14:textId="3847ADF2">
          <w:pPr>
            <w:pStyle w:val="Inhopg1"/>
            <w:tabs>
              <w:tab w:val="right" w:leader="dot" w:pos="9017"/>
            </w:tabs>
            <w:rPr>
              <w:rFonts w:asciiTheme="minorHAnsi" w:hAnsiTheme="minorHAnsi" w:eastAsiaTheme="minorEastAsia"/>
              <w:noProof/>
              <w:kern w:val="2"/>
              <w:sz w:val="24"/>
              <w:szCs w:val="24"/>
              <w:lang w:eastAsia="nl-NL"/>
              <w14:ligatures w14:val="standardContextual"/>
            </w:rPr>
          </w:pPr>
          <w:hyperlink w:history="1" w:anchor="_Toc231899746">
            <w:r w:rsidRPr="00376F71">
              <w:rPr>
                <w:rStyle w:val="Hyperlink"/>
                <w:i/>
                <w:noProof/>
              </w:rPr>
              <w:t>3. Hoofdlijnen van het wetsvoorstel</w:t>
            </w:r>
            <w:r w:rsidRPr="00376F71">
              <w:rPr>
                <w:noProof/>
                <w:webHidden/>
              </w:rPr>
              <w:tab/>
            </w:r>
            <w:r w:rsidRPr="00376F71">
              <w:rPr>
                <w:noProof/>
                <w:webHidden/>
              </w:rPr>
              <w:fldChar w:fldCharType="begin"/>
            </w:r>
            <w:r w:rsidRPr="00376F71">
              <w:rPr>
                <w:noProof/>
                <w:webHidden/>
              </w:rPr>
              <w:instrText xml:space="preserve"> PAGEREF _Toc231899746 \h </w:instrText>
            </w:r>
            <w:r w:rsidRPr="00376F71">
              <w:rPr>
                <w:noProof/>
                <w:webHidden/>
              </w:rPr>
            </w:r>
            <w:r w:rsidRPr="00376F71">
              <w:rPr>
                <w:noProof/>
                <w:webHidden/>
              </w:rPr>
              <w:fldChar w:fldCharType="separate"/>
            </w:r>
            <w:r w:rsidRPr="00376F71">
              <w:rPr>
                <w:noProof/>
                <w:webHidden/>
              </w:rPr>
              <w:t>6</w:t>
            </w:r>
            <w:r w:rsidRPr="00376F71">
              <w:rPr>
                <w:noProof/>
                <w:webHidden/>
              </w:rPr>
              <w:fldChar w:fldCharType="end"/>
            </w:r>
          </w:hyperlink>
        </w:p>
        <w:p w:rsidRPr="00376F71" w:rsidR="00D543A4" w:rsidP="00376F71" w:rsidRDefault="00D543A4" w14:paraId="65FBFF9D" w14:textId="72A5AEEC">
          <w:pPr>
            <w:pStyle w:val="Inhopg1"/>
            <w:tabs>
              <w:tab w:val="right" w:leader="dot" w:pos="9017"/>
            </w:tabs>
            <w:rPr>
              <w:rFonts w:asciiTheme="minorHAnsi" w:hAnsiTheme="minorHAnsi" w:eastAsiaTheme="minorEastAsia"/>
              <w:noProof/>
              <w:kern w:val="2"/>
              <w:sz w:val="24"/>
              <w:szCs w:val="24"/>
              <w:lang w:eastAsia="nl-NL"/>
              <w14:ligatures w14:val="standardContextual"/>
            </w:rPr>
          </w:pPr>
          <w:hyperlink w:history="1" w:anchor="_Toc231899747">
            <w:r w:rsidRPr="00376F71">
              <w:rPr>
                <w:rStyle w:val="Hyperlink"/>
                <w:i/>
                <w:noProof/>
              </w:rPr>
              <w:t>3.1. Uitbreiding van de Unieregeling</w:t>
            </w:r>
            <w:r w:rsidRPr="00376F71">
              <w:rPr>
                <w:noProof/>
                <w:webHidden/>
              </w:rPr>
              <w:tab/>
            </w:r>
            <w:r w:rsidRPr="00376F71">
              <w:rPr>
                <w:noProof/>
                <w:webHidden/>
              </w:rPr>
              <w:fldChar w:fldCharType="begin"/>
            </w:r>
            <w:r w:rsidRPr="00376F71">
              <w:rPr>
                <w:noProof/>
                <w:webHidden/>
              </w:rPr>
              <w:instrText xml:space="preserve"> PAGEREF _Toc231899747 \h </w:instrText>
            </w:r>
            <w:r w:rsidRPr="00376F71">
              <w:rPr>
                <w:noProof/>
                <w:webHidden/>
              </w:rPr>
            </w:r>
            <w:r w:rsidRPr="00376F71">
              <w:rPr>
                <w:noProof/>
                <w:webHidden/>
              </w:rPr>
              <w:fldChar w:fldCharType="separate"/>
            </w:r>
            <w:r w:rsidRPr="00376F71">
              <w:rPr>
                <w:noProof/>
                <w:webHidden/>
              </w:rPr>
              <w:t>6</w:t>
            </w:r>
            <w:r w:rsidRPr="00376F71">
              <w:rPr>
                <w:noProof/>
                <w:webHidden/>
              </w:rPr>
              <w:fldChar w:fldCharType="end"/>
            </w:r>
          </w:hyperlink>
        </w:p>
        <w:p w:rsidRPr="00376F71" w:rsidR="00D543A4" w:rsidP="00376F71" w:rsidRDefault="00D543A4" w14:paraId="0F8A1CE7" w14:textId="5075776F">
          <w:pPr>
            <w:pStyle w:val="Inhopg1"/>
            <w:tabs>
              <w:tab w:val="right" w:leader="dot" w:pos="9017"/>
            </w:tabs>
            <w:rPr>
              <w:rFonts w:asciiTheme="minorHAnsi" w:hAnsiTheme="minorHAnsi" w:eastAsiaTheme="minorEastAsia"/>
              <w:noProof/>
              <w:kern w:val="2"/>
              <w:sz w:val="24"/>
              <w:szCs w:val="24"/>
              <w:lang w:eastAsia="nl-NL"/>
              <w14:ligatures w14:val="standardContextual"/>
            </w:rPr>
          </w:pPr>
          <w:hyperlink w:history="1" w:anchor="_Toc231899748">
            <w:r w:rsidRPr="00376F71">
              <w:rPr>
                <w:rStyle w:val="Hyperlink"/>
                <w:i/>
                <w:noProof/>
              </w:rPr>
              <w:t>3.2. Uitbreiding van de éénloketregelingen met de overbrengingsregeling</w:t>
            </w:r>
            <w:r w:rsidRPr="00376F71">
              <w:rPr>
                <w:noProof/>
                <w:webHidden/>
              </w:rPr>
              <w:tab/>
            </w:r>
            <w:r w:rsidRPr="00376F71">
              <w:rPr>
                <w:noProof/>
                <w:webHidden/>
              </w:rPr>
              <w:fldChar w:fldCharType="begin"/>
            </w:r>
            <w:r w:rsidRPr="00376F71">
              <w:rPr>
                <w:noProof/>
                <w:webHidden/>
              </w:rPr>
              <w:instrText xml:space="preserve"> PAGEREF _Toc231899748 \h </w:instrText>
            </w:r>
            <w:r w:rsidRPr="00376F71">
              <w:rPr>
                <w:noProof/>
                <w:webHidden/>
              </w:rPr>
            </w:r>
            <w:r w:rsidRPr="00376F71">
              <w:rPr>
                <w:noProof/>
                <w:webHidden/>
              </w:rPr>
              <w:fldChar w:fldCharType="separate"/>
            </w:r>
            <w:r w:rsidRPr="00376F71">
              <w:rPr>
                <w:noProof/>
                <w:webHidden/>
              </w:rPr>
              <w:t>6</w:t>
            </w:r>
            <w:r w:rsidRPr="00376F71">
              <w:rPr>
                <w:noProof/>
                <w:webHidden/>
              </w:rPr>
              <w:fldChar w:fldCharType="end"/>
            </w:r>
          </w:hyperlink>
        </w:p>
        <w:p w:rsidRPr="00376F71" w:rsidR="00D543A4" w:rsidP="00376F71" w:rsidRDefault="00D543A4" w14:paraId="40838EDA" w14:textId="0593DD6C">
          <w:pPr>
            <w:pStyle w:val="Inhopg1"/>
            <w:tabs>
              <w:tab w:val="right" w:leader="dot" w:pos="9017"/>
            </w:tabs>
            <w:rPr>
              <w:rFonts w:asciiTheme="minorHAnsi" w:hAnsiTheme="minorHAnsi" w:eastAsiaTheme="minorEastAsia"/>
              <w:noProof/>
              <w:kern w:val="2"/>
              <w:sz w:val="24"/>
              <w:szCs w:val="24"/>
              <w:lang w:eastAsia="nl-NL"/>
              <w14:ligatures w14:val="standardContextual"/>
            </w:rPr>
          </w:pPr>
          <w:hyperlink w:history="1" w:anchor="_Toc231899749">
            <w:r w:rsidRPr="00376F71">
              <w:rPr>
                <w:rStyle w:val="Hyperlink"/>
                <w:i/>
                <w:noProof/>
              </w:rPr>
              <w:t>3.3. Verplichtstelling en uitbreiding van de grensoverschrijdende verleggingsregeling</w:t>
            </w:r>
            <w:r w:rsidRPr="00376F71">
              <w:rPr>
                <w:noProof/>
                <w:webHidden/>
              </w:rPr>
              <w:tab/>
            </w:r>
            <w:r w:rsidRPr="00376F71">
              <w:rPr>
                <w:noProof/>
                <w:webHidden/>
              </w:rPr>
              <w:fldChar w:fldCharType="begin"/>
            </w:r>
            <w:r w:rsidRPr="00376F71">
              <w:rPr>
                <w:noProof/>
                <w:webHidden/>
              </w:rPr>
              <w:instrText xml:space="preserve"> PAGEREF _Toc231899749 \h </w:instrText>
            </w:r>
            <w:r w:rsidRPr="00376F71">
              <w:rPr>
                <w:noProof/>
                <w:webHidden/>
              </w:rPr>
            </w:r>
            <w:r w:rsidRPr="00376F71">
              <w:rPr>
                <w:noProof/>
                <w:webHidden/>
              </w:rPr>
              <w:fldChar w:fldCharType="separate"/>
            </w:r>
            <w:r w:rsidRPr="00376F71">
              <w:rPr>
                <w:noProof/>
                <w:webHidden/>
              </w:rPr>
              <w:t>7</w:t>
            </w:r>
            <w:r w:rsidRPr="00376F71">
              <w:rPr>
                <w:noProof/>
                <w:webHidden/>
              </w:rPr>
              <w:fldChar w:fldCharType="end"/>
            </w:r>
          </w:hyperlink>
        </w:p>
        <w:p w:rsidRPr="00376F71" w:rsidR="00D543A4" w:rsidP="00376F71" w:rsidRDefault="00D543A4" w14:paraId="120C1F3C" w14:textId="2C42D8FD">
          <w:pPr>
            <w:pStyle w:val="Inhopg1"/>
            <w:tabs>
              <w:tab w:val="right" w:leader="dot" w:pos="9017"/>
            </w:tabs>
            <w:rPr>
              <w:rFonts w:asciiTheme="minorHAnsi" w:hAnsiTheme="minorHAnsi" w:eastAsiaTheme="minorEastAsia"/>
              <w:noProof/>
              <w:kern w:val="2"/>
              <w:sz w:val="24"/>
              <w:szCs w:val="24"/>
              <w:lang w:eastAsia="nl-NL"/>
              <w14:ligatures w14:val="standardContextual"/>
            </w:rPr>
          </w:pPr>
          <w:hyperlink w:history="1" w:anchor="_Toc231899750">
            <w:r w:rsidRPr="00376F71">
              <w:rPr>
                <w:rStyle w:val="Hyperlink"/>
                <w:i/>
                <w:noProof/>
              </w:rPr>
              <w:t>5. Gevolgen</w:t>
            </w:r>
            <w:r w:rsidRPr="00376F71">
              <w:rPr>
                <w:noProof/>
                <w:webHidden/>
              </w:rPr>
              <w:tab/>
            </w:r>
            <w:r w:rsidRPr="00376F71">
              <w:rPr>
                <w:noProof/>
                <w:webHidden/>
              </w:rPr>
              <w:fldChar w:fldCharType="begin"/>
            </w:r>
            <w:r w:rsidRPr="00376F71">
              <w:rPr>
                <w:noProof/>
                <w:webHidden/>
              </w:rPr>
              <w:instrText xml:space="preserve"> PAGEREF _Toc231899750 \h </w:instrText>
            </w:r>
            <w:r w:rsidRPr="00376F71">
              <w:rPr>
                <w:noProof/>
                <w:webHidden/>
              </w:rPr>
            </w:r>
            <w:r w:rsidRPr="00376F71">
              <w:rPr>
                <w:noProof/>
                <w:webHidden/>
              </w:rPr>
              <w:fldChar w:fldCharType="separate"/>
            </w:r>
            <w:r w:rsidRPr="00376F71">
              <w:rPr>
                <w:noProof/>
                <w:webHidden/>
              </w:rPr>
              <w:t>9</w:t>
            </w:r>
            <w:r w:rsidRPr="00376F71">
              <w:rPr>
                <w:noProof/>
                <w:webHidden/>
              </w:rPr>
              <w:fldChar w:fldCharType="end"/>
            </w:r>
          </w:hyperlink>
        </w:p>
        <w:p w:rsidRPr="00376F71" w:rsidR="00D543A4" w:rsidP="00376F71" w:rsidRDefault="00D543A4" w14:paraId="7616F2B2" w14:textId="466EF2B5">
          <w:pPr>
            <w:pStyle w:val="Inhopg1"/>
            <w:tabs>
              <w:tab w:val="right" w:leader="dot" w:pos="9017"/>
            </w:tabs>
            <w:rPr>
              <w:rFonts w:asciiTheme="minorHAnsi" w:hAnsiTheme="minorHAnsi" w:eastAsiaTheme="minorEastAsia"/>
              <w:noProof/>
              <w:kern w:val="2"/>
              <w:sz w:val="24"/>
              <w:szCs w:val="24"/>
              <w:lang w:eastAsia="nl-NL"/>
              <w14:ligatures w14:val="standardContextual"/>
            </w:rPr>
          </w:pPr>
          <w:hyperlink w:history="1" w:anchor="_Toc231899751">
            <w:r w:rsidRPr="00376F71">
              <w:rPr>
                <w:rStyle w:val="Hyperlink"/>
                <w:i/>
                <w:noProof/>
              </w:rPr>
              <w:t>5.1. Effecten voor bedrijven en burgers</w:t>
            </w:r>
            <w:r w:rsidRPr="00376F71">
              <w:rPr>
                <w:noProof/>
                <w:webHidden/>
              </w:rPr>
              <w:tab/>
            </w:r>
            <w:r w:rsidRPr="00376F71">
              <w:rPr>
                <w:noProof/>
                <w:webHidden/>
              </w:rPr>
              <w:fldChar w:fldCharType="begin"/>
            </w:r>
            <w:r w:rsidRPr="00376F71">
              <w:rPr>
                <w:noProof/>
                <w:webHidden/>
              </w:rPr>
              <w:instrText xml:space="preserve"> PAGEREF _Toc231899751 \h </w:instrText>
            </w:r>
            <w:r w:rsidRPr="00376F71">
              <w:rPr>
                <w:noProof/>
                <w:webHidden/>
              </w:rPr>
            </w:r>
            <w:r w:rsidRPr="00376F71">
              <w:rPr>
                <w:noProof/>
                <w:webHidden/>
              </w:rPr>
              <w:fldChar w:fldCharType="separate"/>
            </w:r>
            <w:r w:rsidRPr="00376F71">
              <w:rPr>
                <w:noProof/>
                <w:webHidden/>
              </w:rPr>
              <w:t>9</w:t>
            </w:r>
            <w:r w:rsidRPr="00376F71">
              <w:rPr>
                <w:noProof/>
                <w:webHidden/>
              </w:rPr>
              <w:fldChar w:fldCharType="end"/>
            </w:r>
          </w:hyperlink>
        </w:p>
        <w:p w:rsidRPr="00376F71" w:rsidR="00D543A4" w:rsidP="00376F71" w:rsidRDefault="00D543A4" w14:paraId="696995D1" w14:textId="2C81A317">
          <w:pPr>
            <w:pStyle w:val="Inhopg1"/>
            <w:tabs>
              <w:tab w:val="right" w:leader="dot" w:pos="9017"/>
            </w:tabs>
            <w:rPr>
              <w:rFonts w:asciiTheme="minorHAnsi" w:hAnsiTheme="minorHAnsi" w:eastAsiaTheme="minorEastAsia"/>
              <w:noProof/>
              <w:kern w:val="2"/>
              <w:sz w:val="24"/>
              <w:szCs w:val="24"/>
              <w:lang w:eastAsia="nl-NL"/>
              <w14:ligatures w14:val="standardContextual"/>
            </w:rPr>
          </w:pPr>
          <w:hyperlink w:history="1" w:anchor="_Toc231899752">
            <w:r w:rsidRPr="00376F71">
              <w:rPr>
                <w:rStyle w:val="Hyperlink"/>
                <w:i/>
                <w:noProof/>
              </w:rPr>
              <w:t>5.2. Doeltreffendheid en doelmatigheid</w:t>
            </w:r>
            <w:r w:rsidRPr="00376F71">
              <w:rPr>
                <w:noProof/>
                <w:webHidden/>
              </w:rPr>
              <w:tab/>
            </w:r>
            <w:r w:rsidRPr="00376F71">
              <w:rPr>
                <w:noProof/>
                <w:webHidden/>
              </w:rPr>
              <w:fldChar w:fldCharType="begin"/>
            </w:r>
            <w:r w:rsidRPr="00376F71">
              <w:rPr>
                <w:noProof/>
                <w:webHidden/>
              </w:rPr>
              <w:instrText xml:space="preserve"> PAGEREF _Toc231899752 \h </w:instrText>
            </w:r>
            <w:r w:rsidRPr="00376F71">
              <w:rPr>
                <w:noProof/>
                <w:webHidden/>
              </w:rPr>
            </w:r>
            <w:r w:rsidRPr="00376F71">
              <w:rPr>
                <w:noProof/>
                <w:webHidden/>
              </w:rPr>
              <w:fldChar w:fldCharType="separate"/>
            </w:r>
            <w:r w:rsidRPr="00376F71">
              <w:rPr>
                <w:noProof/>
                <w:webHidden/>
              </w:rPr>
              <w:t>12</w:t>
            </w:r>
            <w:r w:rsidRPr="00376F71">
              <w:rPr>
                <w:noProof/>
                <w:webHidden/>
              </w:rPr>
              <w:fldChar w:fldCharType="end"/>
            </w:r>
          </w:hyperlink>
        </w:p>
        <w:p w:rsidRPr="00376F71" w:rsidR="00D543A4" w:rsidP="00376F71" w:rsidRDefault="00D543A4" w14:paraId="12A55635" w14:textId="1BB071A5">
          <w:pPr>
            <w:pStyle w:val="Inhopg1"/>
            <w:tabs>
              <w:tab w:val="right" w:leader="dot" w:pos="9017"/>
            </w:tabs>
            <w:rPr>
              <w:rFonts w:asciiTheme="minorHAnsi" w:hAnsiTheme="minorHAnsi" w:eastAsiaTheme="minorEastAsia"/>
              <w:noProof/>
              <w:kern w:val="2"/>
              <w:sz w:val="24"/>
              <w:szCs w:val="24"/>
              <w:lang w:eastAsia="nl-NL"/>
              <w14:ligatures w14:val="standardContextual"/>
            </w:rPr>
          </w:pPr>
          <w:hyperlink w:history="1" w:anchor="_Toc231899753">
            <w:r w:rsidRPr="00376F71">
              <w:rPr>
                <w:rStyle w:val="Hyperlink"/>
                <w:i/>
                <w:noProof/>
              </w:rPr>
              <w:t>6. Uitvoeringskosten Belastingdienst</w:t>
            </w:r>
            <w:r w:rsidRPr="00376F71">
              <w:rPr>
                <w:noProof/>
                <w:webHidden/>
              </w:rPr>
              <w:tab/>
            </w:r>
            <w:r w:rsidRPr="00376F71">
              <w:rPr>
                <w:noProof/>
                <w:webHidden/>
              </w:rPr>
              <w:fldChar w:fldCharType="begin"/>
            </w:r>
            <w:r w:rsidRPr="00376F71">
              <w:rPr>
                <w:noProof/>
                <w:webHidden/>
              </w:rPr>
              <w:instrText xml:space="preserve"> PAGEREF _Toc231899753 \h </w:instrText>
            </w:r>
            <w:r w:rsidRPr="00376F71">
              <w:rPr>
                <w:noProof/>
                <w:webHidden/>
              </w:rPr>
            </w:r>
            <w:r w:rsidRPr="00376F71">
              <w:rPr>
                <w:noProof/>
                <w:webHidden/>
              </w:rPr>
              <w:fldChar w:fldCharType="separate"/>
            </w:r>
            <w:r w:rsidRPr="00376F71">
              <w:rPr>
                <w:noProof/>
                <w:webHidden/>
              </w:rPr>
              <w:t>13</w:t>
            </w:r>
            <w:r w:rsidRPr="00376F71">
              <w:rPr>
                <w:noProof/>
                <w:webHidden/>
              </w:rPr>
              <w:fldChar w:fldCharType="end"/>
            </w:r>
          </w:hyperlink>
        </w:p>
        <w:p w:rsidRPr="00376F71" w:rsidR="00710F4A" w:rsidP="00376F71" w:rsidRDefault="00710F4A" w14:paraId="08823C07" w14:textId="6BE8FC94">
          <w:pPr>
            <w:spacing w:line="360" w:lineRule="auto"/>
            <w:ind w:left="1418"/>
            <w:rPr>
              <w:color w:val="000000" w:themeColor="text1"/>
            </w:rPr>
          </w:pPr>
          <w:r w:rsidRPr="00376F71">
            <w:rPr>
              <w:color w:val="000000" w:themeColor="text1"/>
            </w:rPr>
            <w:fldChar w:fldCharType="end"/>
          </w:r>
        </w:p>
      </w:sdtContent>
    </w:sdt>
    <w:p w:rsidRPr="00376F71" w:rsidR="00710F4A" w:rsidP="00376F71" w:rsidRDefault="00710F4A" w14:paraId="25D6E202" w14:textId="3FA93D32">
      <w:pPr>
        <w:spacing w:line="360" w:lineRule="auto"/>
        <w:rPr>
          <w:color w:val="000000" w:themeColor="text1"/>
        </w:rPr>
      </w:pPr>
    </w:p>
    <w:p w:rsidRPr="00376F71" w:rsidR="00543099" w:rsidP="00376F71" w:rsidRDefault="00543099" w14:paraId="5A9D722A" w14:textId="03468385">
      <w:pPr>
        <w:spacing w:line="360" w:lineRule="auto"/>
        <w:rPr>
          <w:color w:val="000000" w:themeColor="text1"/>
        </w:rPr>
      </w:pPr>
    </w:p>
    <w:p w:rsidRPr="00376F71" w:rsidR="00543099" w:rsidP="00376F71" w:rsidRDefault="00543099" w14:paraId="43303126" w14:textId="77777777">
      <w:pPr>
        <w:spacing w:line="360" w:lineRule="auto"/>
        <w:rPr>
          <w:color w:val="000000" w:themeColor="text1"/>
        </w:rPr>
      </w:pPr>
      <w:r w:rsidRPr="00376F71">
        <w:rPr>
          <w:color w:val="000000" w:themeColor="text1"/>
        </w:rPr>
        <w:br w:type="page"/>
      </w:r>
    </w:p>
    <w:p w:rsidRPr="00376F71" w:rsidR="00543099" w:rsidP="00376F71" w:rsidRDefault="00543099" w14:paraId="077A10AC" w14:textId="77777777">
      <w:pPr>
        <w:keepNext/>
        <w:keepLines/>
        <w:spacing w:line="360" w:lineRule="auto"/>
        <w:ind w:left="1418"/>
        <w:outlineLvl w:val="0"/>
        <w:rPr>
          <w:rFonts w:eastAsia="Times New Roman" w:cs="Times New Roman"/>
          <w:b/>
          <w:iCs/>
          <w:color w:val="000000" w:themeColor="text1"/>
          <w:szCs w:val="28"/>
        </w:rPr>
      </w:pPr>
      <w:bookmarkStart w:name="_Toc132116317" w:id="0"/>
      <w:bookmarkStart w:name="_Toc231899743" w:id="1"/>
      <w:r w:rsidRPr="00376F71">
        <w:rPr>
          <w:rFonts w:eastAsia="Times New Roman" w:cs="Times New Roman"/>
          <w:b/>
          <w:iCs/>
          <w:color w:val="000000" w:themeColor="text1"/>
          <w:szCs w:val="28"/>
        </w:rPr>
        <w:lastRenderedPageBreak/>
        <w:t>Inleidende opmerkingen</w:t>
      </w:r>
      <w:bookmarkEnd w:id="0"/>
      <w:bookmarkEnd w:id="1"/>
    </w:p>
    <w:p w:rsidRPr="00376F71" w:rsidR="00543099" w:rsidP="00376F71" w:rsidRDefault="00543099" w14:paraId="185E2FD9" w14:textId="77777777">
      <w:pPr>
        <w:spacing w:line="360" w:lineRule="auto"/>
        <w:ind w:left="1418"/>
        <w:contextualSpacing/>
        <w:rPr>
          <w:rFonts w:eastAsia="Times New Roman" w:cs="Arial"/>
          <w:color w:val="000000" w:themeColor="text1"/>
        </w:rPr>
      </w:pPr>
      <w:r w:rsidRPr="00376F71">
        <w:rPr>
          <w:rFonts w:eastAsia="Times New Roman" w:cs="Arial"/>
          <w:color w:val="000000" w:themeColor="text1"/>
        </w:rPr>
        <w:t xml:space="preserve">Het kabinet heeft met belangstelling kennisgenomen van de vragen en opmerkingen van het door de vaste commissie van Financiën uitgebrachte verslag over het wetsvoorstel. </w:t>
      </w:r>
    </w:p>
    <w:p w:rsidRPr="00376F71" w:rsidR="00543099" w:rsidP="00376F71" w:rsidRDefault="00543099" w14:paraId="705E4E9A" w14:textId="77777777">
      <w:pPr>
        <w:spacing w:line="360" w:lineRule="auto"/>
        <w:ind w:left="1418"/>
        <w:contextualSpacing/>
        <w:rPr>
          <w:rFonts w:eastAsia="Times New Roman" w:cs="Arial"/>
          <w:color w:val="000000" w:themeColor="text1"/>
        </w:rPr>
      </w:pPr>
    </w:p>
    <w:p w:rsidRPr="00376F71" w:rsidR="00543099" w:rsidP="00376F71" w:rsidRDefault="00543099" w14:paraId="6CFA61AE" w14:textId="2E95E5AA">
      <w:pPr>
        <w:spacing w:line="360" w:lineRule="auto"/>
        <w:ind w:left="1418"/>
        <w:contextualSpacing/>
        <w:rPr>
          <w:rFonts w:eastAsia="Times New Roman" w:cs="Arial"/>
          <w:color w:val="000000" w:themeColor="text1"/>
        </w:rPr>
      </w:pPr>
      <w:r w:rsidRPr="00376F71">
        <w:rPr>
          <w:rFonts w:eastAsia="Times New Roman" w:cs="Arial"/>
          <w:color w:val="000000" w:themeColor="text1"/>
        </w:rPr>
        <w:t xml:space="preserve">Het kabinet is verheugd dat de leden van de fracties van de </w:t>
      </w:r>
      <w:r w:rsidRPr="00376F71" w:rsidR="00F11397">
        <w:rPr>
          <w:rFonts w:eastAsia="Times New Roman" w:cs="Arial"/>
          <w:color w:val="000000" w:themeColor="text1"/>
        </w:rPr>
        <w:t xml:space="preserve">D66, de VVD, de GroenLinks-PvdA en de CDA </w:t>
      </w:r>
      <w:r w:rsidRPr="00376F71">
        <w:rPr>
          <w:rFonts w:eastAsia="Times New Roman" w:cs="Arial"/>
          <w:color w:val="000000" w:themeColor="text1"/>
        </w:rPr>
        <w:t xml:space="preserve">inbreng hebben geleverd voor het verslag. De vragen van de leden van de verschillende fracties zien onder andere op </w:t>
      </w:r>
      <w:r w:rsidRPr="00376F71" w:rsidR="005D4A43">
        <w:rPr>
          <w:rFonts w:eastAsia="Times New Roman" w:cs="Arial"/>
          <w:color w:val="000000" w:themeColor="text1"/>
        </w:rPr>
        <w:t xml:space="preserve">de gevolgen voor de administratieve lasten, de mogelijkheden voor verdere lastenverlichtingen, de reikwijdte van de regelingen </w:t>
      </w:r>
      <w:r w:rsidRPr="00376F71">
        <w:rPr>
          <w:rFonts w:eastAsia="Times New Roman" w:cs="Arial"/>
          <w:color w:val="000000" w:themeColor="text1"/>
        </w:rPr>
        <w:t xml:space="preserve">en de </w:t>
      </w:r>
      <w:r w:rsidRPr="00376F71" w:rsidR="005D4A43">
        <w:rPr>
          <w:rFonts w:eastAsia="Times New Roman" w:cs="Arial"/>
          <w:color w:val="000000" w:themeColor="text1"/>
        </w:rPr>
        <w:t>uitwerking van de wijzigingen bij</w:t>
      </w:r>
      <w:r w:rsidRPr="00376F71">
        <w:rPr>
          <w:rFonts w:eastAsia="Times New Roman" w:cs="Arial"/>
          <w:color w:val="000000" w:themeColor="text1"/>
        </w:rPr>
        <w:t xml:space="preserve"> de Belastingdienst.</w:t>
      </w:r>
      <w:r w:rsidRPr="00376F71" w:rsidR="00BF08CE">
        <w:rPr>
          <w:rFonts w:eastAsia="Times New Roman" w:cs="Arial"/>
          <w:color w:val="000000" w:themeColor="text1"/>
        </w:rPr>
        <w:t xml:space="preserve"> </w:t>
      </w:r>
      <w:r w:rsidRPr="00376F71">
        <w:rPr>
          <w:rFonts w:eastAsia="Times New Roman" w:cs="Arial"/>
          <w:color w:val="000000" w:themeColor="text1"/>
        </w:rPr>
        <w:t>Het kabinet vindt dit, net als deze leden, belangrijke onderwerpen. Wij danken de leden voor hun gedegen inbreng.</w:t>
      </w:r>
    </w:p>
    <w:p w:rsidRPr="00376F71" w:rsidR="00543099" w:rsidP="00376F71" w:rsidRDefault="00543099" w14:paraId="5C82343D" w14:textId="77777777">
      <w:pPr>
        <w:spacing w:line="360" w:lineRule="auto"/>
        <w:ind w:left="1418"/>
        <w:contextualSpacing/>
        <w:rPr>
          <w:rFonts w:eastAsia="Times New Roman" w:cs="Arial"/>
          <w:color w:val="000000" w:themeColor="text1"/>
        </w:rPr>
      </w:pPr>
    </w:p>
    <w:p w:rsidRPr="00376F71" w:rsidR="00543099" w:rsidP="00376F71" w:rsidRDefault="00543099" w14:paraId="0A1AF4E2" w14:textId="1F144D51">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Het kabinet hoopt met deze nota de onduidelijkheden over dit wetsvoorstel weg te nemen. In deze nota zijn de vragen en opmerkingen uit het verslag integraal opgenomen in cursieve tekst en de beantwoording daarvan in gewone typografie. De vragen en antwoorden zijn van een nummer voorzien, waarnaar in voorkomende gevallen in andere antwoorden is verwezen. </w:t>
      </w:r>
    </w:p>
    <w:p w:rsidRPr="00376F71" w:rsidR="00543099" w:rsidP="00376F71" w:rsidRDefault="00543099" w14:paraId="0E6298B3" w14:textId="00B131B0">
      <w:pPr>
        <w:keepNext/>
        <w:keepLines/>
        <w:spacing w:line="360" w:lineRule="auto"/>
        <w:ind w:left="1418"/>
        <w:outlineLvl w:val="0"/>
        <w:rPr>
          <w:rFonts w:eastAsia="Times New Roman" w:cs="Times New Roman"/>
          <w:b/>
          <w:iCs/>
          <w:color w:val="000000" w:themeColor="text1"/>
          <w:szCs w:val="28"/>
        </w:rPr>
      </w:pPr>
      <w:bookmarkStart w:name="_Toc132116318" w:id="2"/>
      <w:bookmarkStart w:name="_Toc231899744" w:id="3"/>
      <w:r w:rsidRPr="00376F71">
        <w:rPr>
          <w:rFonts w:eastAsia="Times New Roman" w:cs="Times New Roman"/>
          <w:b/>
          <w:iCs/>
          <w:color w:val="000000" w:themeColor="text1"/>
          <w:szCs w:val="28"/>
        </w:rPr>
        <w:t>Algemeen deel</w:t>
      </w:r>
      <w:bookmarkEnd w:id="2"/>
      <w:bookmarkEnd w:id="3"/>
    </w:p>
    <w:p w:rsidRPr="00376F71" w:rsidR="00543099" w:rsidP="00376F71" w:rsidRDefault="00C0200F" w14:paraId="7788D1AF" w14:textId="12E865C2">
      <w:pPr>
        <w:keepNext/>
        <w:keepLines/>
        <w:spacing w:line="360" w:lineRule="auto"/>
        <w:ind w:left="1418"/>
        <w:outlineLvl w:val="0"/>
        <w:rPr>
          <w:b/>
          <w:i/>
          <w:color w:val="000000" w:themeColor="text1"/>
          <w:szCs w:val="28"/>
        </w:rPr>
      </w:pPr>
      <w:bookmarkStart w:name="_Toc231899745" w:id="4"/>
      <w:r w:rsidRPr="00376F71">
        <w:rPr>
          <w:b/>
          <w:i/>
          <w:color w:val="000000" w:themeColor="text1"/>
          <w:szCs w:val="28"/>
        </w:rPr>
        <w:t>2. Implementatie van Richtlijn btw in het digitale tijdperk</w:t>
      </w:r>
      <w:bookmarkEnd w:id="4"/>
    </w:p>
    <w:p w:rsidRPr="00376F71" w:rsidR="00DC5AFF" w:rsidP="00376F71" w:rsidRDefault="00FC012E" w14:paraId="5729C22A" w14:textId="645BDC34">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 xml:space="preserve">1 </w:t>
      </w:r>
      <w:r w:rsidRPr="00376F71" w:rsidR="00DC5AFF">
        <w:rPr>
          <w:rFonts w:eastAsia="Times New Roman" w:cs="Times New Roman"/>
          <w:i/>
          <w:color w:val="000000" w:themeColor="text1"/>
        </w:rPr>
        <w:t>–</w:t>
      </w:r>
      <w:r w:rsidRPr="00376F71">
        <w:rPr>
          <w:rFonts w:eastAsia="Times New Roman" w:cs="Times New Roman"/>
          <w:i/>
          <w:color w:val="000000" w:themeColor="text1"/>
        </w:rPr>
        <w:t xml:space="preserve"> </w:t>
      </w:r>
      <w:r w:rsidRPr="00376F71" w:rsidR="00C0200F">
        <w:rPr>
          <w:rFonts w:eastAsia="Times New Roman" w:cs="Times New Roman"/>
          <w:i/>
          <w:color w:val="000000" w:themeColor="text1"/>
        </w:rPr>
        <w:t>GroenLinks-PvdA</w:t>
      </w:r>
    </w:p>
    <w:p w:rsidRPr="00376F71" w:rsidR="008B6FDC" w:rsidP="00376F71" w:rsidRDefault="00C0200F" w14:paraId="6EAC95BF" w14:textId="74739052">
      <w:pPr>
        <w:spacing w:line="360" w:lineRule="auto"/>
        <w:ind w:left="1418"/>
        <w:rPr>
          <w:rFonts w:eastAsia="Times New Roman" w:cs="Times New Roman"/>
          <w:iCs/>
          <w:color w:val="000000" w:themeColor="text1"/>
        </w:rPr>
      </w:pPr>
      <w:r w:rsidRPr="00376F71">
        <w:rPr>
          <w:rFonts w:eastAsia="Times New Roman" w:cs="Times New Roman"/>
          <w:i/>
          <w:color w:val="000000" w:themeColor="text1"/>
        </w:rPr>
        <w:t>De leden van de GroenLinks-PvdA-fractie vragen in aanvulling op de opmerkingen van de Raad van State waarom gekozen is enkele onderhoudswijzigingen in het voorliggende wetsvoorstel op te nemen, zijnde een implementatiewet, in plaats van in de Fiscale Verzamelwet 2027.</w:t>
      </w:r>
    </w:p>
    <w:p w:rsidRPr="00376F71" w:rsidR="003803DC" w:rsidP="00376F71" w:rsidRDefault="00B2673A" w14:paraId="278003C9" w14:textId="21C2000F">
      <w:pPr>
        <w:spacing w:line="360" w:lineRule="auto"/>
        <w:ind w:left="1418" w:firstLine="22"/>
        <w:rPr>
          <w:rFonts w:eastAsia="Times New Roman" w:cs="Times New Roman"/>
          <w:iCs/>
          <w:color w:val="000000" w:themeColor="text1"/>
        </w:rPr>
      </w:pPr>
      <w:r w:rsidRPr="00376F71">
        <w:rPr>
          <w:rFonts w:eastAsia="Times New Roman" w:cs="Times New Roman"/>
          <w:iCs/>
          <w:color w:val="000000" w:themeColor="text1"/>
        </w:rPr>
        <w:t>Het kabinet</w:t>
      </w:r>
      <w:r w:rsidRPr="00376F71" w:rsidR="003803DC">
        <w:rPr>
          <w:rFonts w:eastAsia="Times New Roman" w:cs="Times New Roman"/>
          <w:iCs/>
          <w:color w:val="000000" w:themeColor="text1"/>
        </w:rPr>
        <w:t xml:space="preserve"> heeft ervoor gekozen enkele onderhoudswijzigingen </w:t>
      </w:r>
      <w:r w:rsidRPr="00376F71" w:rsidR="00B708AE">
        <w:rPr>
          <w:rFonts w:eastAsia="Times New Roman" w:cs="Times New Roman"/>
          <w:iCs/>
          <w:color w:val="000000" w:themeColor="text1"/>
        </w:rPr>
        <w:t>op te nemen</w:t>
      </w:r>
      <w:r w:rsidRPr="00376F71" w:rsidR="003803DC">
        <w:rPr>
          <w:rFonts w:eastAsia="Times New Roman" w:cs="Times New Roman"/>
          <w:iCs/>
          <w:color w:val="000000" w:themeColor="text1"/>
        </w:rPr>
        <w:t xml:space="preserve"> in het onderhavige implementatievoorstel en niet te wachten op opname in een fiscale verzamelwet of een wet overige fiscale maatregelen. Deze keuze is ingegeven door het streven naar samenhang in de regelgeving. De</w:t>
      </w:r>
      <w:r w:rsidRPr="00376F71" w:rsidR="00B708AE">
        <w:rPr>
          <w:rFonts w:eastAsia="Times New Roman" w:cs="Times New Roman"/>
          <w:iCs/>
          <w:color w:val="000000" w:themeColor="text1"/>
        </w:rPr>
        <w:t xml:space="preserve"> </w:t>
      </w:r>
      <w:r w:rsidRPr="00376F71" w:rsidR="003803DC">
        <w:rPr>
          <w:rFonts w:eastAsia="Times New Roman" w:cs="Times New Roman"/>
          <w:iCs/>
          <w:color w:val="000000" w:themeColor="text1"/>
        </w:rPr>
        <w:t xml:space="preserve">onderhoudswijzigingen </w:t>
      </w:r>
      <w:r w:rsidRPr="00376F71" w:rsidR="00B708AE">
        <w:rPr>
          <w:rFonts w:eastAsia="Times New Roman" w:cs="Times New Roman"/>
          <w:iCs/>
          <w:color w:val="000000" w:themeColor="text1"/>
        </w:rPr>
        <w:t xml:space="preserve">die betrekking hebben op het vervallen van </w:t>
      </w:r>
      <w:r w:rsidRPr="00376F71" w:rsidR="003803DC">
        <w:rPr>
          <w:rFonts w:eastAsia="Times New Roman" w:cs="Times New Roman"/>
          <w:iCs/>
          <w:color w:val="000000" w:themeColor="text1"/>
        </w:rPr>
        <w:t xml:space="preserve">de meldingsverplichting in artikel 6k </w:t>
      </w:r>
      <w:r w:rsidRPr="00376F71" w:rsidR="00B708AE">
        <w:rPr>
          <w:rFonts w:eastAsia="Times New Roman" w:cs="Times New Roman"/>
          <w:iCs/>
          <w:color w:val="000000" w:themeColor="text1"/>
        </w:rPr>
        <w:t xml:space="preserve">van de Wet op de omzetbelasting 1968 (hierna: Wet OB 1968) </w:t>
      </w:r>
      <w:r w:rsidRPr="00376F71" w:rsidR="003803DC">
        <w:rPr>
          <w:rFonts w:eastAsia="Times New Roman" w:cs="Times New Roman"/>
          <w:iCs/>
          <w:color w:val="000000" w:themeColor="text1"/>
        </w:rPr>
        <w:t>en het schrappen van het vestigingsvereiste in artikel 37c</w:t>
      </w:r>
      <w:r w:rsidRPr="00376F71" w:rsidR="00B708AE">
        <w:rPr>
          <w:rFonts w:eastAsia="Times New Roman" w:cs="Times New Roman"/>
          <w:iCs/>
          <w:color w:val="000000" w:themeColor="text1"/>
        </w:rPr>
        <w:t xml:space="preserve"> Wet OB 1968 </w:t>
      </w:r>
      <w:r w:rsidRPr="00376F71" w:rsidR="003803DC">
        <w:rPr>
          <w:rFonts w:eastAsia="Times New Roman" w:cs="Times New Roman"/>
          <w:iCs/>
          <w:color w:val="000000" w:themeColor="text1"/>
        </w:rPr>
        <w:t>hangen inhoudelijk samen met de wijzigingen die noodzakelijk zijn voor de implementatie van de Richtlijn btw in het digitale tijdperk – enkele btw-registratie. Door deze wijzigingen gelijktijdig op te nemen</w:t>
      </w:r>
      <w:r w:rsidRPr="00376F71" w:rsidR="00B708AE">
        <w:rPr>
          <w:rFonts w:eastAsia="Times New Roman" w:cs="Times New Roman"/>
          <w:iCs/>
          <w:color w:val="000000" w:themeColor="text1"/>
        </w:rPr>
        <w:t>,</w:t>
      </w:r>
      <w:r w:rsidRPr="00376F71" w:rsidR="003803DC">
        <w:rPr>
          <w:rFonts w:eastAsia="Times New Roman" w:cs="Times New Roman"/>
          <w:iCs/>
          <w:color w:val="000000" w:themeColor="text1"/>
        </w:rPr>
        <w:t xml:space="preserve"> wordt voorkomen dat </w:t>
      </w:r>
      <w:r w:rsidRPr="00376F71" w:rsidR="00B708AE">
        <w:rPr>
          <w:rFonts w:eastAsia="Times New Roman" w:cs="Times New Roman"/>
          <w:iCs/>
          <w:color w:val="000000" w:themeColor="text1"/>
        </w:rPr>
        <w:t>op korte termijn</w:t>
      </w:r>
      <w:r w:rsidRPr="00376F71" w:rsidR="003803DC">
        <w:rPr>
          <w:rFonts w:eastAsia="Times New Roman" w:cs="Times New Roman"/>
          <w:iCs/>
          <w:color w:val="000000" w:themeColor="text1"/>
        </w:rPr>
        <w:t xml:space="preserve"> opnieuw </w:t>
      </w:r>
      <w:r w:rsidRPr="00376F71" w:rsidR="00B708AE">
        <w:rPr>
          <w:rFonts w:eastAsia="Times New Roman" w:cs="Times New Roman"/>
          <w:iCs/>
          <w:color w:val="000000" w:themeColor="text1"/>
        </w:rPr>
        <w:t xml:space="preserve">wijzigingen </w:t>
      </w:r>
      <w:r w:rsidRPr="00376F71" w:rsidR="003803DC">
        <w:rPr>
          <w:rFonts w:eastAsia="Times New Roman" w:cs="Times New Roman"/>
          <w:iCs/>
          <w:color w:val="000000" w:themeColor="text1"/>
        </w:rPr>
        <w:t xml:space="preserve">in dezelfde bepalingen </w:t>
      </w:r>
      <w:r w:rsidRPr="00376F71" w:rsidR="00B708AE">
        <w:rPr>
          <w:rFonts w:eastAsia="Times New Roman" w:cs="Times New Roman"/>
          <w:iCs/>
          <w:color w:val="000000" w:themeColor="text1"/>
        </w:rPr>
        <w:t>moeten</w:t>
      </w:r>
      <w:r w:rsidRPr="00376F71" w:rsidR="003803DC">
        <w:rPr>
          <w:rFonts w:eastAsia="Times New Roman" w:cs="Times New Roman"/>
          <w:iCs/>
          <w:color w:val="000000" w:themeColor="text1"/>
        </w:rPr>
        <w:t xml:space="preserve"> worden </w:t>
      </w:r>
      <w:r w:rsidRPr="00376F71" w:rsidR="00B708AE">
        <w:rPr>
          <w:rFonts w:eastAsia="Times New Roman" w:cs="Times New Roman"/>
          <w:iCs/>
          <w:color w:val="000000" w:themeColor="text1"/>
        </w:rPr>
        <w:t>aangebracht</w:t>
      </w:r>
      <w:r w:rsidRPr="00376F71" w:rsidR="003803DC">
        <w:rPr>
          <w:rFonts w:eastAsia="Times New Roman" w:cs="Times New Roman"/>
          <w:iCs/>
          <w:color w:val="000000" w:themeColor="text1"/>
        </w:rPr>
        <w:t xml:space="preserve">. </w:t>
      </w:r>
    </w:p>
    <w:p w:rsidRPr="00376F71" w:rsidR="00B708AE" w:rsidP="00376F71" w:rsidRDefault="003803DC" w14:paraId="53764705" w14:textId="6B15196C">
      <w:pPr>
        <w:spacing w:line="360" w:lineRule="auto"/>
        <w:ind w:left="1418" w:firstLine="22"/>
        <w:rPr>
          <w:rFonts w:eastAsia="Times New Roman" w:cs="Times New Roman"/>
          <w:iCs/>
          <w:color w:val="000000" w:themeColor="text1"/>
        </w:rPr>
      </w:pPr>
      <w:r w:rsidRPr="00376F71">
        <w:rPr>
          <w:rFonts w:eastAsia="Times New Roman" w:cs="Times New Roman"/>
          <w:iCs/>
          <w:color w:val="000000" w:themeColor="text1"/>
        </w:rPr>
        <w:t>Ten aanzien van de</w:t>
      </w:r>
      <w:r w:rsidRPr="00376F71" w:rsidR="00B708AE">
        <w:rPr>
          <w:rFonts w:eastAsia="Times New Roman" w:cs="Times New Roman"/>
          <w:iCs/>
          <w:color w:val="000000" w:themeColor="text1"/>
        </w:rPr>
        <w:t xml:space="preserve"> redactionele correctie in artikel 32n Wet OB 1968 merkt het kabinet op dat deze wijziging uitsluitend technisch van aard is en geen materiële gevolgen heeft. Voor een dergelijke wijziging vormt een wet overige fiscale </w:t>
      </w:r>
      <w:r w:rsidRPr="00376F71" w:rsidR="00B708AE">
        <w:rPr>
          <w:rFonts w:eastAsia="Times New Roman" w:cs="Times New Roman"/>
          <w:iCs/>
          <w:color w:val="000000" w:themeColor="text1"/>
        </w:rPr>
        <w:lastRenderedPageBreak/>
        <w:t>maatregelen doorgaans een meer geëigend instrument. Deze correctie is evenwel eveneens in het onderhavige wetsvoorstel opgenomen. Gelet op het ontbreken van materiële gevolgen en de zeer beperkte omvang van de wijziging, acht het kabinet het niet noodzakelijk het wetsvoorstel op dit punt aan te passen.</w:t>
      </w:r>
    </w:p>
    <w:p w:rsidRPr="00376F71" w:rsidR="008B6FDC" w:rsidP="00376F71" w:rsidRDefault="008B6FDC" w14:paraId="4FBBCEE9" w14:textId="77777777">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2- GroenLinks-PvdA</w:t>
      </w:r>
    </w:p>
    <w:p w:rsidRPr="00376F71" w:rsidR="00C0200F" w:rsidP="00376F71" w:rsidRDefault="00C0200F" w14:paraId="75DA7CEB" w14:textId="366B5C2C">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Voorts vragen deze leden wanneer de regering verwacht voorstellen in te dienen voor de implementatie van de overige onderdelen van de Richtlijn btw in het digitale tijdperk.</w:t>
      </w:r>
    </w:p>
    <w:p w:rsidRPr="00376F71" w:rsidR="00555B26" w:rsidP="00376F71" w:rsidRDefault="00F11402" w14:paraId="0C834D7D" w14:textId="126DFA46">
      <w:pPr>
        <w:spacing w:line="360" w:lineRule="auto"/>
        <w:ind w:left="1418"/>
        <w:rPr>
          <w:color w:val="000000" w:themeColor="text1"/>
        </w:rPr>
      </w:pPr>
      <w:r w:rsidRPr="00376F71">
        <w:rPr>
          <w:color w:val="000000" w:themeColor="text1"/>
        </w:rPr>
        <w:t xml:space="preserve">De overige onderdelen van de Richtlijn btw in het digitale tijdperk </w:t>
      </w:r>
      <w:r w:rsidRPr="00376F71" w:rsidR="00F40ACD">
        <w:rPr>
          <w:color w:val="000000" w:themeColor="text1"/>
        </w:rPr>
        <w:t xml:space="preserve">zien op de </w:t>
      </w:r>
      <w:r w:rsidRPr="00376F71" w:rsidR="00555B26">
        <w:rPr>
          <w:color w:val="000000" w:themeColor="text1"/>
        </w:rPr>
        <w:t>platformeconomie</w:t>
      </w:r>
      <w:r w:rsidRPr="00376F71" w:rsidR="00F40ACD">
        <w:rPr>
          <w:color w:val="000000" w:themeColor="text1"/>
        </w:rPr>
        <w:t xml:space="preserve"> en op </w:t>
      </w:r>
      <w:r w:rsidRPr="00376F71">
        <w:rPr>
          <w:color w:val="000000" w:themeColor="text1"/>
        </w:rPr>
        <w:t xml:space="preserve">elektronisch factureren en digitale rapportageverplichtingen. </w:t>
      </w:r>
      <w:r w:rsidRPr="00376F71" w:rsidR="00555B26">
        <w:rPr>
          <w:color w:val="000000" w:themeColor="text1"/>
        </w:rPr>
        <w:t xml:space="preserve">Het wetsvoorstel </w:t>
      </w:r>
      <w:r w:rsidRPr="00376F71">
        <w:rPr>
          <w:color w:val="000000" w:themeColor="text1"/>
        </w:rPr>
        <w:t xml:space="preserve">ter implementatie van het onderdeel platformeconomie </w:t>
      </w:r>
      <w:r w:rsidRPr="00376F71" w:rsidR="00555B26">
        <w:rPr>
          <w:color w:val="000000" w:themeColor="text1"/>
        </w:rPr>
        <w:t>wordt naar verwachting eind 2026 bij de Tweede Kamer ingediend. Het wetsvoorstel inzake elektronische factureren en digitale rapportageverplichtingen zal naar verwachting in de zomer van 2027 bij de Tweede Kamer worden ingediend. Met betrekking tot dit laatste onderdeel is het voornemen in het najaar van 2026 een internetconsultatie te starten.</w:t>
      </w:r>
    </w:p>
    <w:p w:rsidRPr="00376F71" w:rsidR="00DC5AFF" w:rsidP="00376F71" w:rsidRDefault="008B6FDC" w14:paraId="3E89B442" w14:textId="09CB2E4E">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3</w:t>
      </w:r>
      <w:r w:rsidRPr="00376F71" w:rsidR="00DC5AFF">
        <w:rPr>
          <w:rFonts w:eastAsia="Times New Roman" w:cs="Times New Roman"/>
          <w:i/>
          <w:color w:val="000000" w:themeColor="text1"/>
        </w:rPr>
        <w:t xml:space="preserve"> </w:t>
      </w:r>
      <w:r w:rsidRPr="00376F71" w:rsidR="00C0200F">
        <w:rPr>
          <w:rFonts w:eastAsia="Times New Roman" w:cs="Times New Roman"/>
          <w:i/>
          <w:color w:val="000000" w:themeColor="text1"/>
        </w:rPr>
        <w:t>–</w:t>
      </w:r>
      <w:r w:rsidRPr="00376F71" w:rsidR="00DC5AFF">
        <w:rPr>
          <w:rFonts w:eastAsia="Times New Roman" w:cs="Times New Roman"/>
          <w:i/>
          <w:color w:val="000000" w:themeColor="text1"/>
        </w:rPr>
        <w:t xml:space="preserve"> </w:t>
      </w:r>
      <w:r w:rsidRPr="00376F71" w:rsidR="00C0200F">
        <w:rPr>
          <w:rFonts w:eastAsia="Times New Roman" w:cs="Times New Roman"/>
          <w:i/>
          <w:color w:val="000000" w:themeColor="text1"/>
        </w:rPr>
        <w:t>GroenLinks-PvdA</w:t>
      </w:r>
    </w:p>
    <w:p w:rsidRPr="00376F71" w:rsidR="008B6FDC" w:rsidP="00376F71" w:rsidRDefault="00C0200F" w14:paraId="13D2A246" w14:textId="10748C82">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Deze leden vragen de regering om een overzicht te maken van wat na implementatie van de Richtlijn btw in het digitale tijdperk wel en niet onder de reikwijdte van de Unieregeling valt.</w:t>
      </w:r>
    </w:p>
    <w:p w:rsidR="00ED596F" w:rsidP="00376F71" w:rsidRDefault="00555B26" w14:paraId="275C0FEB" w14:textId="43B89E8F">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Het kabinet acht het voor een volledig beeld noodzakelijk om, naast de Unieregeling, tevens de overige éénloketregelingen – de niet-Unieregeling en de invoerregeling – in beschouwing te nemen. Een uitsluitend op de Unieregeling gericht overzicht zou immers de indruk kunnen wekken dat gecentraliseerde aangifte en afdracht van btw slechts voor een beperkte groep ondernemers mogelijk is. Om die reden is hier, mede op basis van de bij de Richtlijn btw in het digitale tijdperk gevoegde effectenbeoordeling van de Europese Commissie, een schematisch overzicht opgenomen van de verschillende éénloketregelingen en hun toepassingsbereik.</w:t>
      </w:r>
      <w:r w:rsidRPr="00376F71" w:rsidR="008118A2">
        <w:rPr>
          <w:rStyle w:val="Voetnootmarkering"/>
          <w:rFonts w:eastAsia="Times New Roman" w:cs="Times New Roman"/>
          <w:iCs/>
          <w:color w:val="000000" w:themeColor="text1"/>
        </w:rPr>
        <w:footnoteReference w:id="1"/>
      </w:r>
    </w:p>
    <w:p w:rsidR="00ED596F" w:rsidRDefault="00ED596F" w14:paraId="1CA799B6" w14:textId="77777777">
      <w:pPr>
        <w:rPr>
          <w:rFonts w:eastAsia="Times New Roman" w:cs="Times New Roman"/>
          <w:iCs/>
          <w:color w:val="000000" w:themeColor="text1"/>
        </w:rPr>
      </w:pPr>
      <w:r>
        <w:rPr>
          <w:rFonts w:eastAsia="Times New Roman" w:cs="Times New Roman"/>
          <w:iCs/>
          <w:color w:val="000000" w:themeColor="text1"/>
        </w:rPr>
        <w:br w:type="page"/>
      </w:r>
    </w:p>
    <w:p w:rsidRPr="00376F71" w:rsidR="00CD70AA" w:rsidP="00376F71" w:rsidRDefault="00CD70AA" w14:paraId="3735CB0D" w14:textId="44EA14F0">
      <w:pPr>
        <w:spacing w:line="360" w:lineRule="auto"/>
        <w:ind w:left="1418"/>
        <w:rPr>
          <w:rFonts w:eastAsia="Times New Roman" w:cs="Times New Roman"/>
          <w:b/>
          <w:bCs/>
          <w:iCs/>
          <w:color w:val="000000" w:themeColor="text1"/>
          <w:sz w:val="14"/>
          <w:szCs w:val="18"/>
        </w:rPr>
      </w:pPr>
      <w:r w:rsidRPr="00376F71">
        <w:rPr>
          <w:rFonts w:eastAsia="Times New Roman" w:cs="Times New Roman"/>
          <w:b/>
          <w:bCs/>
          <w:iCs/>
          <w:color w:val="000000" w:themeColor="text1"/>
          <w:sz w:val="14"/>
          <w:szCs w:val="18"/>
        </w:rPr>
        <w:lastRenderedPageBreak/>
        <w:t>Tabel 1: reikwijdte van de éénloketregelingen</w:t>
      </w:r>
      <w:r w:rsidRPr="00376F71" w:rsidR="0054695F">
        <w:rPr>
          <w:rFonts w:eastAsia="Times New Roman" w:cs="Times New Roman"/>
          <w:b/>
          <w:bCs/>
          <w:iCs/>
          <w:color w:val="000000" w:themeColor="text1"/>
          <w:sz w:val="14"/>
          <w:szCs w:val="18"/>
        </w:rPr>
        <w:t>; veralgemeniseerd</w:t>
      </w:r>
    </w:p>
    <w:tbl>
      <w:tblPr>
        <w:tblStyle w:val="Tabelraster"/>
        <w:tblW w:w="0" w:type="auto"/>
        <w:tblInd w:w="1418" w:type="dxa"/>
        <w:tblLook w:val="04A0" w:firstRow="1" w:lastRow="0" w:firstColumn="1" w:lastColumn="0" w:noHBand="0" w:noVBand="1"/>
      </w:tblPr>
      <w:tblGrid>
        <w:gridCol w:w="2224"/>
        <w:gridCol w:w="2731"/>
        <w:gridCol w:w="2644"/>
      </w:tblGrid>
      <w:tr w:rsidRPr="00376F71" w:rsidR="006F4B9A" w:rsidTr="00DE2BD2" w14:paraId="71EC6553" w14:textId="77777777">
        <w:tc>
          <w:tcPr>
            <w:tcW w:w="2224" w:type="dxa"/>
          </w:tcPr>
          <w:p w:rsidRPr="00376F71" w:rsidR="007B704E" w:rsidP="00376F71" w:rsidRDefault="00DE2BD2" w14:paraId="09ED3BB7" w14:textId="59F7D2AE">
            <w:pPr>
              <w:spacing w:line="360" w:lineRule="auto"/>
              <w:rPr>
                <w:b/>
                <w:bCs/>
                <w:color w:val="000000" w:themeColor="text1"/>
                <w:sz w:val="12"/>
                <w:szCs w:val="12"/>
              </w:rPr>
            </w:pPr>
            <w:r w:rsidRPr="00376F71">
              <w:rPr>
                <w:b/>
                <w:bCs/>
                <w:color w:val="000000" w:themeColor="text1"/>
                <w:sz w:val="12"/>
                <w:szCs w:val="12"/>
              </w:rPr>
              <w:t>Éénloketregeling</w:t>
            </w:r>
          </w:p>
        </w:tc>
        <w:tc>
          <w:tcPr>
            <w:tcW w:w="2731" w:type="dxa"/>
          </w:tcPr>
          <w:p w:rsidRPr="00376F71" w:rsidR="007B704E" w:rsidP="00376F71" w:rsidRDefault="008940B0" w14:paraId="6D188FA1" w14:textId="33E74958">
            <w:pPr>
              <w:spacing w:line="360" w:lineRule="auto"/>
              <w:rPr>
                <w:b/>
                <w:bCs/>
                <w:color w:val="000000" w:themeColor="text1"/>
                <w:sz w:val="12"/>
                <w:szCs w:val="12"/>
              </w:rPr>
            </w:pPr>
            <w:r w:rsidRPr="00376F71">
              <w:rPr>
                <w:b/>
                <w:bCs/>
                <w:color w:val="000000" w:themeColor="text1"/>
                <w:sz w:val="12"/>
                <w:szCs w:val="12"/>
              </w:rPr>
              <w:t>Belastingplichtigen</w:t>
            </w:r>
          </w:p>
        </w:tc>
        <w:tc>
          <w:tcPr>
            <w:tcW w:w="2644" w:type="dxa"/>
          </w:tcPr>
          <w:p w:rsidRPr="00376F71" w:rsidR="007B704E" w:rsidP="00376F71" w:rsidRDefault="008940B0" w14:paraId="624AFD83" w14:textId="59439166">
            <w:pPr>
              <w:spacing w:line="360" w:lineRule="auto"/>
              <w:rPr>
                <w:b/>
                <w:bCs/>
                <w:color w:val="000000" w:themeColor="text1"/>
                <w:sz w:val="12"/>
                <w:szCs w:val="12"/>
              </w:rPr>
            </w:pPr>
            <w:r w:rsidRPr="00376F71">
              <w:rPr>
                <w:b/>
                <w:bCs/>
                <w:color w:val="000000" w:themeColor="text1"/>
                <w:sz w:val="12"/>
                <w:szCs w:val="12"/>
              </w:rPr>
              <w:t>Prestaties</w:t>
            </w:r>
          </w:p>
        </w:tc>
      </w:tr>
      <w:tr w:rsidRPr="00376F71" w:rsidR="00DE2BD2" w:rsidTr="001065D4" w14:paraId="7F917AB5" w14:textId="77777777">
        <w:tc>
          <w:tcPr>
            <w:tcW w:w="2224" w:type="dxa"/>
            <w:vMerge w:val="restart"/>
            <w:vAlign w:val="center"/>
          </w:tcPr>
          <w:p w:rsidRPr="00376F71" w:rsidR="00DE2BD2" w:rsidP="00376F71" w:rsidRDefault="00DE2BD2" w14:paraId="14F82015" w14:textId="6CC3B11B">
            <w:pPr>
              <w:spacing w:line="480" w:lineRule="auto"/>
              <w:jc w:val="center"/>
              <w:rPr>
                <w:color w:val="000000" w:themeColor="text1"/>
                <w:sz w:val="12"/>
                <w:szCs w:val="12"/>
              </w:rPr>
            </w:pPr>
            <w:r w:rsidRPr="00376F71">
              <w:rPr>
                <w:color w:val="000000" w:themeColor="text1"/>
                <w:sz w:val="12"/>
                <w:szCs w:val="12"/>
              </w:rPr>
              <w:t>Unieregeling</w:t>
            </w:r>
          </w:p>
        </w:tc>
        <w:tc>
          <w:tcPr>
            <w:tcW w:w="2731" w:type="dxa"/>
            <w:vAlign w:val="center"/>
          </w:tcPr>
          <w:p w:rsidRPr="00376F71" w:rsidR="00DE2BD2" w:rsidP="00376F71" w:rsidRDefault="00983BF5" w14:paraId="0DF39415" w14:textId="058BCFB3">
            <w:pPr>
              <w:spacing w:line="480" w:lineRule="auto"/>
              <w:jc w:val="center"/>
              <w:rPr>
                <w:color w:val="000000" w:themeColor="text1"/>
                <w:sz w:val="12"/>
                <w:szCs w:val="12"/>
              </w:rPr>
            </w:pPr>
            <w:r w:rsidRPr="00376F71">
              <w:rPr>
                <w:color w:val="000000" w:themeColor="text1"/>
                <w:sz w:val="12"/>
                <w:szCs w:val="12"/>
              </w:rPr>
              <w:t>In</w:t>
            </w:r>
            <w:r w:rsidRPr="00376F71" w:rsidR="00DE2BD2">
              <w:rPr>
                <w:color w:val="000000" w:themeColor="text1"/>
                <w:sz w:val="12"/>
                <w:szCs w:val="12"/>
              </w:rPr>
              <w:t xml:space="preserve"> de Unie gevestigde ondernemers</w:t>
            </w:r>
          </w:p>
        </w:tc>
        <w:tc>
          <w:tcPr>
            <w:tcW w:w="2644" w:type="dxa"/>
            <w:vAlign w:val="center"/>
          </w:tcPr>
          <w:p w:rsidRPr="00376F71" w:rsidR="00BD2C6A" w:rsidP="00376F71" w:rsidRDefault="005E3DCF" w14:paraId="5484A3EC" w14:textId="31CDA43C">
            <w:pPr>
              <w:spacing w:line="480" w:lineRule="auto"/>
              <w:jc w:val="center"/>
              <w:rPr>
                <w:color w:val="000000" w:themeColor="text1"/>
                <w:sz w:val="12"/>
                <w:szCs w:val="12"/>
              </w:rPr>
            </w:pPr>
            <w:r w:rsidRPr="00376F71">
              <w:rPr>
                <w:color w:val="000000" w:themeColor="text1"/>
                <w:sz w:val="12"/>
                <w:szCs w:val="12"/>
              </w:rPr>
              <w:t>B2C-diensten waarvoor de plaats van dienst in een andere lidstaat ligt</w:t>
            </w:r>
          </w:p>
        </w:tc>
      </w:tr>
      <w:tr w:rsidRPr="00376F71" w:rsidR="00DE2BD2" w:rsidTr="001065D4" w14:paraId="5F35037C" w14:textId="77777777">
        <w:tc>
          <w:tcPr>
            <w:tcW w:w="2224" w:type="dxa"/>
            <w:vMerge/>
            <w:vAlign w:val="center"/>
          </w:tcPr>
          <w:p w:rsidRPr="00376F71" w:rsidR="00DE2BD2" w:rsidP="00376F71" w:rsidRDefault="00DE2BD2" w14:paraId="0B1D7A20" w14:textId="77777777">
            <w:pPr>
              <w:spacing w:line="480" w:lineRule="auto"/>
              <w:jc w:val="center"/>
              <w:rPr>
                <w:color w:val="000000" w:themeColor="text1"/>
                <w:sz w:val="12"/>
                <w:szCs w:val="12"/>
              </w:rPr>
            </w:pPr>
          </w:p>
        </w:tc>
        <w:tc>
          <w:tcPr>
            <w:tcW w:w="2731" w:type="dxa"/>
            <w:vMerge w:val="restart"/>
            <w:vAlign w:val="center"/>
          </w:tcPr>
          <w:p w:rsidRPr="00376F71" w:rsidR="00DE2BD2" w:rsidP="00376F71" w:rsidRDefault="009D17E7" w14:paraId="04E2E795" w14:textId="5ADAF864">
            <w:pPr>
              <w:spacing w:line="480" w:lineRule="auto"/>
              <w:jc w:val="center"/>
              <w:rPr>
                <w:color w:val="000000" w:themeColor="text1"/>
                <w:sz w:val="12"/>
                <w:szCs w:val="12"/>
              </w:rPr>
            </w:pPr>
            <w:r w:rsidRPr="00376F71">
              <w:rPr>
                <w:color w:val="000000" w:themeColor="text1"/>
                <w:sz w:val="12"/>
                <w:szCs w:val="12"/>
              </w:rPr>
              <w:t>In de Unie en buiten de Unie</w:t>
            </w:r>
            <w:r w:rsidRPr="00376F71" w:rsidR="00DE2BD2">
              <w:rPr>
                <w:color w:val="000000" w:themeColor="text1"/>
                <w:sz w:val="12"/>
                <w:szCs w:val="12"/>
              </w:rPr>
              <w:t xml:space="preserve"> gevestigde ondernemers</w:t>
            </w:r>
          </w:p>
        </w:tc>
        <w:tc>
          <w:tcPr>
            <w:tcW w:w="2644" w:type="dxa"/>
            <w:vAlign w:val="center"/>
          </w:tcPr>
          <w:p w:rsidRPr="00376F71" w:rsidR="00DE2BD2" w:rsidP="00376F71" w:rsidRDefault="005E3DCF" w14:paraId="0FDAFD53" w14:textId="2524E81C">
            <w:pPr>
              <w:spacing w:line="480" w:lineRule="auto"/>
              <w:jc w:val="center"/>
              <w:rPr>
                <w:color w:val="000000" w:themeColor="text1"/>
                <w:sz w:val="12"/>
                <w:szCs w:val="12"/>
              </w:rPr>
            </w:pPr>
            <w:r w:rsidRPr="00376F71">
              <w:rPr>
                <w:color w:val="000000" w:themeColor="text1"/>
                <w:sz w:val="12"/>
                <w:szCs w:val="12"/>
              </w:rPr>
              <w:t>Intracommunautaire afstandsverkopen</w:t>
            </w:r>
          </w:p>
        </w:tc>
      </w:tr>
      <w:tr w:rsidRPr="00376F71" w:rsidR="00DE2BD2" w:rsidTr="001065D4" w14:paraId="74260E89" w14:textId="77777777">
        <w:tc>
          <w:tcPr>
            <w:tcW w:w="2224" w:type="dxa"/>
            <w:vMerge/>
            <w:vAlign w:val="center"/>
          </w:tcPr>
          <w:p w:rsidRPr="00376F71" w:rsidR="00DE2BD2" w:rsidP="00376F71" w:rsidRDefault="00DE2BD2" w14:paraId="7EC2D549" w14:textId="77777777">
            <w:pPr>
              <w:spacing w:line="480" w:lineRule="auto"/>
              <w:jc w:val="center"/>
              <w:rPr>
                <w:color w:val="000000" w:themeColor="text1"/>
                <w:sz w:val="12"/>
                <w:szCs w:val="12"/>
              </w:rPr>
            </w:pPr>
          </w:p>
        </w:tc>
        <w:tc>
          <w:tcPr>
            <w:tcW w:w="2731" w:type="dxa"/>
            <w:vMerge/>
            <w:vAlign w:val="center"/>
          </w:tcPr>
          <w:p w:rsidRPr="00376F71" w:rsidR="00DE2BD2" w:rsidP="00376F71" w:rsidRDefault="00DE2BD2" w14:paraId="137D49EF" w14:textId="77777777">
            <w:pPr>
              <w:spacing w:line="480" w:lineRule="auto"/>
              <w:jc w:val="center"/>
              <w:rPr>
                <w:color w:val="000000" w:themeColor="text1"/>
                <w:sz w:val="12"/>
                <w:szCs w:val="12"/>
              </w:rPr>
            </w:pPr>
          </w:p>
        </w:tc>
        <w:tc>
          <w:tcPr>
            <w:tcW w:w="2644" w:type="dxa"/>
            <w:vAlign w:val="center"/>
          </w:tcPr>
          <w:p w:rsidRPr="00376F71" w:rsidR="00DE2BD2" w:rsidP="00376F71" w:rsidRDefault="005E3DCF" w14:paraId="488A13CA" w14:textId="3E4EC5ED">
            <w:pPr>
              <w:spacing w:line="480" w:lineRule="auto"/>
              <w:jc w:val="center"/>
              <w:rPr>
                <w:color w:val="000000" w:themeColor="text1"/>
                <w:sz w:val="12"/>
                <w:szCs w:val="12"/>
              </w:rPr>
            </w:pPr>
            <w:r w:rsidRPr="00376F71">
              <w:rPr>
                <w:color w:val="000000" w:themeColor="text1"/>
                <w:sz w:val="12"/>
                <w:szCs w:val="12"/>
              </w:rPr>
              <w:t xml:space="preserve">Binnenlandse </w:t>
            </w:r>
            <w:r w:rsidRPr="00376F71" w:rsidR="00DE2BD2">
              <w:rPr>
                <w:color w:val="000000" w:themeColor="text1"/>
                <w:sz w:val="12"/>
                <w:szCs w:val="12"/>
              </w:rPr>
              <w:t>B2C-</w:t>
            </w:r>
            <w:r w:rsidRPr="00376F71">
              <w:rPr>
                <w:color w:val="000000" w:themeColor="text1"/>
                <w:sz w:val="12"/>
                <w:szCs w:val="12"/>
              </w:rPr>
              <w:t>leveringen</w:t>
            </w:r>
            <w:r w:rsidRPr="00376F71" w:rsidR="00BD2C6A">
              <w:rPr>
                <w:color w:val="000000" w:themeColor="text1"/>
                <w:sz w:val="12"/>
                <w:szCs w:val="12"/>
              </w:rPr>
              <w:t xml:space="preserve"> </w:t>
            </w:r>
            <w:r w:rsidRPr="00376F71" w:rsidR="00CD6978">
              <w:rPr>
                <w:color w:val="000000" w:themeColor="text1"/>
                <w:sz w:val="12"/>
                <w:szCs w:val="12"/>
              </w:rPr>
              <w:t>in ande</w:t>
            </w:r>
            <w:r w:rsidRPr="00376F71" w:rsidR="008735E1">
              <w:rPr>
                <w:color w:val="000000" w:themeColor="text1"/>
                <w:sz w:val="12"/>
                <w:szCs w:val="12"/>
              </w:rPr>
              <w:t>r</w:t>
            </w:r>
            <w:r w:rsidRPr="00376F71" w:rsidR="00CD6978">
              <w:rPr>
                <w:color w:val="000000" w:themeColor="text1"/>
                <w:sz w:val="12"/>
                <w:szCs w:val="12"/>
              </w:rPr>
              <w:t xml:space="preserve">e lidstaten </w:t>
            </w:r>
            <w:r w:rsidRPr="00376F71">
              <w:rPr>
                <w:color w:val="000000" w:themeColor="text1"/>
                <w:sz w:val="12"/>
                <w:szCs w:val="12"/>
              </w:rPr>
              <w:t>(voor zover niet uitgezonderd)</w:t>
            </w:r>
          </w:p>
        </w:tc>
      </w:tr>
      <w:tr w:rsidRPr="00376F71" w:rsidR="006F4B9A" w:rsidTr="001065D4" w14:paraId="06B1C220" w14:textId="77777777">
        <w:tc>
          <w:tcPr>
            <w:tcW w:w="2224" w:type="dxa"/>
            <w:vAlign w:val="center"/>
          </w:tcPr>
          <w:p w:rsidRPr="00376F71" w:rsidR="007B704E" w:rsidP="00376F71" w:rsidRDefault="006F4B9A" w14:paraId="0FD39DF1" w14:textId="669EAD3A">
            <w:pPr>
              <w:spacing w:line="480" w:lineRule="auto"/>
              <w:jc w:val="center"/>
              <w:rPr>
                <w:color w:val="000000" w:themeColor="text1"/>
                <w:sz w:val="12"/>
                <w:szCs w:val="12"/>
              </w:rPr>
            </w:pPr>
            <w:r w:rsidRPr="00376F71">
              <w:rPr>
                <w:color w:val="000000" w:themeColor="text1"/>
                <w:sz w:val="12"/>
                <w:szCs w:val="12"/>
              </w:rPr>
              <w:t>Niet-Unieregeling</w:t>
            </w:r>
          </w:p>
        </w:tc>
        <w:tc>
          <w:tcPr>
            <w:tcW w:w="2731" w:type="dxa"/>
            <w:vAlign w:val="center"/>
          </w:tcPr>
          <w:p w:rsidRPr="00376F71" w:rsidR="00DE2BD2" w:rsidP="00376F71" w:rsidRDefault="006F4B9A" w14:paraId="445EDDA0" w14:textId="5FABAEB6">
            <w:pPr>
              <w:spacing w:line="480" w:lineRule="auto"/>
              <w:jc w:val="center"/>
              <w:rPr>
                <w:color w:val="000000" w:themeColor="text1"/>
                <w:sz w:val="12"/>
                <w:szCs w:val="12"/>
              </w:rPr>
            </w:pPr>
            <w:r w:rsidRPr="00376F71">
              <w:rPr>
                <w:color w:val="000000" w:themeColor="text1"/>
                <w:sz w:val="12"/>
                <w:szCs w:val="12"/>
              </w:rPr>
              <w:t>Niet in de Unie gevestigde ondernemers</w:t>
            </w:r>
          </w:p>
        </w:tc>
        <w:tc>
          <w:tcPr>
            <w:tcW w:w="2644" w:type="dxa"/>
            <w:vAlign w:val="center"/>
          </w:tcPr>
          <w:p w:rsidRPr="00376F71" w:rsidR="007B704E" w:rsidP="00376F71" w:rsidRDefault="00DE2BD2" w14:paraId="06690A03" w14:textId="241534B3">
            <w:pPr>
              <w:spacing w:line="480" w:lineRule="auto"/>
              <w:jc w:val="center"/>
              <w:rPr>
                <w:color w:val="000000" w:themeColor="text1"/>
                <w:sz w:val="12"/>
                <w:szCs w:val="12"/>
              </w:rPr>
            </w:pPr>
            <w:r w:rsidRPr="00376F71">
              <w:rPr>
                <w:color w:val="000000" w:themeColor="text1"/>
                <w:sz w:val="12"/>
                <w:szCs w:val="12"/>
              </w:rPr>
              <w:t>B2C-</w:t>
            </w:r>
            <w:r w:rsidRPr="00376F71" w:rsidR="009D17E7">
              <w:rPr>
                <w:color w:val="000000" w:themeColor="text1"/>
                <w:sz w:val="12"/>
                <w:szCs w:val="12"/>
              </w:rPr>
              <w:t>diensten</w:t>
            </w:r>
            <w:r w:rsidRPr="00376F71">
              <w:rPr>
                <w:color w:val="000000" w:themeColor="text1"/>
                <w:sz w:val="12"/>
                <w:szCs w:val="12"/>
              </w:rPr>
              <w:t xml:space="preserve"> in de U</w:t>
            </w:r>
            <w:r w:rsidRPr="00376F71" w:rsidR="00BD2C6A">
              <w:rPr>
                <w:color w:val="000000" w:themeColor="text1"/>
                <w:sz w:val="12"/>
                <w:szCs w:val="12"/>
              </w:rPr>
              <w:t>nie</w:t>
            </w:r>
          </w:p>
        </w:tc>
      </w:tr>
      <w:tr w:rsidRPr="00376F71" w:rsidR="009D17E7" w:rsidTr="001065D4" w14:paraId="07AE4FEA" w14:textId="77777777">
        <w:tc>
          <w:tcPr>
            <w:tcW w:w="2224" w:type="dxa"/>
            <w:vAlign w:val="center"/>
          </w:tcPr>
          <w:p w:rsidRPr="00376F71" w:rsidR="009D17E7" w:rsidP="00376F71" w:rsidRDefault="009D17E7" w14:paraId="4EB79414" w14:textId="77777777">
            <w:pPr>
              <w:spacing w:line="480" w:lineRule="auto"/>
              <w:jc w:val="center"/>
              <w:rPr>
                <w:color w:val="000000" w:themeColor="text1"/>
                <w:sz w:val="12"/>
                <w:szCs w:val="12"/>
              </w:rPr>
            </w:pPr>
          </w:p>
          <w:p w:rsidRPr="00376F71" w:rsidR="009D17E7" w:rsidP="00376F71" w:rsidRDefault="009D17E7" w14:paraId="5EB70F2E" w14:textId="52602D52">
            <w:pPr>
              <w:spacing w:line="480" w:lineRule="auto"/>
              <w:jc w:val="center"/>
              <w:rPr>
                <w:color w:val="000000" w:themeColor="text1"/>
                <w:sz w:val="12"/>
                <w:szCs w:val="12"/>
              </w:rPr>
            </w:pPr>
            <w:r w:rsidRPr="00376F71">
              <w:rPr>
                <w:color w:val="000000" w:themeColor="text1"/>
                <w:sz w:val="12"/>
                <w:szCs w:val="12"/>
              </w:rPr>
              <w:t>Invoerregeling</w:t>
            </w:r>
          </w:p>
        </w:tc>
        <w:tc>
          <w:tcPr>
            <w:tcW w:w="2731" w:type="dxa"/>
            <w:vAlign w:val="center"/>
          </w:tcPr>
          <w:p w:rsidRPr="00376F71" w:rsidR="009D17E7" w:rsidP="00376F71" w:rsidRDefault="009D17E7" w14:paraId="2FCE3154" w14:textId="3AA626FE">
            <w:pPr>
              <w:spacing w:line="480" w:lineRule="auto"/>
              <w:jc w:val="center"/>
              <w:rPr>
                <w:color w:val="000000" w:themeColor="text1"/>
                <w:sz w:val="12"/>
                <w:szCs w:val="12"/>
              </w:rPr>
            </w:pPr>
            <w:r w:rsidRPr="00376F71">
              <w:rPr>
                <w:color w:val="000000" w:themeColor="text1"/>
                <w:sz w:val="12"/>
                <w:szCs w:val="12"/>
              </w:rPr>
              <w:t>In de Unie en buiten de Unie gevestigde ondernemers</w:t>
            </w:r>
          </w:p>
        </w:tc>
        <w:tc>
          <w:tcPr>
            <w:tcW w:w="2644" w:type="dxa"/>
            <w:vAlign w:val="center"/>
          </w:tcPr>
          <w:p w:rsidRPr="00376F71" w:rsidR="009D17E7" w:rsidP="00376F71" w:rsidRDefault="009D17E7" w14:paraId="14472049" w14:textId="442CD37B">
            <w:pPr>
              <w:spacing w:line="480" w:lineRule="auto"/>
              <w:jc w:val="center"/>
              <w:rPr>
                <w:color w:val="000000" w:themeColor="text1"/>
                <w:sz w:val="12"/>
                <w:szCs w:val="12"/>
              </w:rPr>
            </w:pPr>
            <w:r w:rsidRPr="00376F71">
              <w:rPr>
                <w:color w:val="000000" w:themeColor="text1"/>
                <w:sz w:val="12"/>
                <w:szCs w:val="12"/>
              </w:rPr>
              <w:t xml:space="preserve">Afstandsverkopen van ingevoerde goederen met een waarde tot en met </w:t>
            </w:r>
            <w:r w:rsidRPr="00376F71" w:rsidR="008735E1">
              <w:rPr>
                <w:color w:val="000000" w:themeColor="text1"/>
                <w:sz w:val="12"/>
                <w:szCs w:val="12"/>
              </w:rPr>
              <w:t>€ </w:t>
            </w:r>
            <w:r w:rsidRPr="00376F71">
              <w:rPr>
                <w:color w:val="000000" w:themeColor="text1"/>
                <w:sz w:val="12"/>
                <w:szCs w:val="12"/>
              </w:rPr>
              <w:t>150</w:t>
            </w:r>
          </w:p>
        </w:tc>
      </w:tr>
    </w:tbl>
    <w:p w:rsidRPr="00376F71" w:rsidR="00721821" w:rsidP="00376F71" w:rsidRDefault="00721821" w14:paraId="46C69BA6" w14:textId="77777777">
      <w:pPr>
        <w:spacing w:line="360" w:lineRule="auto"/>
        <w:rPr>
          <w:rFonts w:eastAsia="Times New Roman" w:cs="Times New Roman"/>
          <w:iCs/>
          <w:color w:val="000000" w:themeColor="text1"/>
        </w:rPr>
      </w:pPr>
    </w:p>
    <w:p w:rsidRPr="00376F71" w:rsidR="00690241" w:rsidP="00376F71" w:rsidRDefault="00555B26" w14:paraId="1F931A14" w14:textId="732F7E18">
      <w:pPr>
        <w:spacing w:line="360" w:lineRule="auto"/>
        <w:ind w:left="1418" w:firstLine="22"/>
        <w:rPr>
          <w:rFonts w:eastAsia="Times New Roman" w:cs="Times New Roman"/>
          <w:iCs/>
          <w:color w:val="000000" w:themeColor="text1"/>
        </w:rPr>
      </w:pPr>
      <w:r w:rsidRPr="00376F71">
        <w:rPr>
          <w:rFonts w:eastAsia="Times New Roman" w:cs="Times New Roman"/>
          <w:iCs/>
          <w:color w:val="000000" w:themeColor="text1"/>
        </w:rPr>
        <w:t xml:space="preserve">Uit tabel 1 volgt dat na implementatie van de richtlijn in beginsel alle </w:t>
      </w:r>
      <w:r w:rsidRPr="00376F71" w:rsidR="008E2EA3">
        <w:rPr>
          <w:rFonts w:eastAsia="Times New Roman" w:cs="Times New Roman"/>
          <w:iCs/>
          <w:color w:val="000000" w:themeColor="text1"/>
        </w:rPr>
        <w:t xml:space="preserve">veel voorkomende </w:t>
      </w:r>
      <w:r w:rsidRPr="00376F71">
        <w:rPr>
          <w:rFonts w:eastAsia="Times New Roman" w:cs="Times New Roman"/>
          <w:iCs/>
          <w:color w:val="000000" w:themeColor="text1"/>
        </w:rPr>
        <w:t>btw-belaste goederenleveringen en dienstverrichtingen aan particulieren en daarmee gelijkgestelde afnemers (B2C) in andere lidstaten via een éénloketregeling gecentraliseerd kunnen worden aangegeven. De belangrijkste u</w:t>
      </w:r>
      <w:r w:rsidRPr="00376F71" w:rsidR="00983BF5">
        <w:rPr>
          <w:rFonts w:eastAsia="Times New Roman" w:cs="Times New Roman"/>
          <w:iCs/>
          <w:color w:val="000000" w:themeColor="text1"/>
        </w:rPr>
        <w:t xml:space="preserve">itzonderingen </w:t>
      </w:r>
      <w:r w:rsidRPr="00376F71" w:rsidR="00BD2C6A">
        <w:rPr>
          <w:rFonts w:eastAsia="Times New Roman" w:cs="Times New Roman"/>
          <w:iCs/>
          <w:color w:val="000000" w:themeColor="text1"/>
        </w:rPr>
        <w:t>hierop betreffen:</w:t>
      </w:r>
    </w:p>
    <w:p w:rsidRPr="00376F71" w:rsidR="00BD2C6A" w:rsidP="00376F71" w:rsidRDefault="000A7F51" w14:paraId="322AC5CC" w14:textId="085FB5CE">
      <w:pPr>
        <w:pStyle w:val="Lijstalinea"/>
        <w:numPr>
          <w:ilvl w:val="0"/>
          <w:numId w:val="8"/>
        </w:numPr>
        <w:rPr>
          <w:iCs/>
          <w:color w:val="000000" w:themeColor="text1"/>
        </w:rPr>
      </w:pPr>
      <w:r w:rsidRPr="00376F71">
        <w:rPr>
          <w:iCs/>
          <w:color w:val="000000" w:themeColor="text1"/>
        </w:rPr>
        <w:t>v</w:t>
      </w:r>
      <w:r w:rsidRPr="00376F71" w:rsidR="00E15819">
        <w:rPr>
          <w:iCs/>
          <w:color w:val="000000" w:themeColor="text1"/>
        </w:rPr>
        <w:t xml:space="preserve">rijgestelde </w:t>
      </w:r>
      <w:r w:rsidRPr="00376F71" w:rsidR="00BD2C6A">
        <w:rPr>
          <w:iCs/>
          <w:color w:val="000000" w:themeColor="text1"/>
        </w:rPr>
        <w:t>goederenleveringen en dienstverrichtingen;</w:t>
      </w:r>
    </w:p>
    <w:p w:rsidRPr="00376F71" w:rsidR="00BD2C6A" w:rsidP="00376F71" w:rsidRDefault="00B2027C" w14:paraId="390482A5" w14:textId="2C4587E1">
      <w:pPr>
        <w:pStyle w:val="Lijstalinea"/>
        <w:numPr>
          <w:ilvl w:val="0"/>
          <w:numId w:val="8"/>
        </w:numPr>
        <w:rPr>
          <w:iCs/>
          <w:color w:val="000000" w:themeColor="text1"/>
        </w:rPr>
      </w:pPr>
      <w:r w:rsidRPr="00376F71">
        <w:rPr>
          <w:iCs/>
          <w:color w:val="000000" w:themeColor="text1"/>
        </w:rPr>
        <w:t xml:space="preserve">leveringen </w:t>
      </w:r>
      <w:r w:rsidRPr="00376F71" w:rsidR="00555B26">
        <w:rPr>
          <w:iCs/>
          <w:color w:val="000000" w:themeColor="text1"/>
        </w:rPr>
        <w:t xml:space="preserve">en diensten </w:t>
      </w:r>
      <w:r w:rsidRPr="00376F71">
        <w:rPr>
          <w:iCs/>
          <w:color w:val="000000" w:themeColor="text1"/>
        </w:rPr>
        <w:t xml:space="preserve">waarop </w:t>
      </w:r>
      <w:r w:rsidRPr="00376F71" w:rsidR="005F294C">
        <w:rPr>
          <w:iCs/>
          <w:color w:val="000000" w:themeColor="text1"/>
        </w:rPr>
        <w:t xml:space="preserve">bijzondere regelingen van toepassing zijn, zoals </w:t>
      </w:r>
      <w:r w:rsidRPr="00376F71">
        <w:rPr>
          <w:iCs/>
          <w:color w:val="000000" w:themeColor="text1"/>
        </w:rPr>
        <w:t>de margeregeling</w:t>
      </w:r>
      <w:r w:rsidRPr="00376F71" w:rsidR="005F294C">
        <w:rPr>
          <w:rStyle w:val="Voetnootmarkering"/>
          <w:iCs/>
          <w:color w:val="000000" w:themeColor="text1"/>
        </w:rPr>
        <w:footnoteReference w:id="2"/>
      </w:r>
      <w:r w:rsidRPr="00376F71" w:rsidR="008735E1">
        <w:rPr>
          <w:iCs/>
          <w:color w:val="000000" w:themeColor="text1"/>
        </w:rPr>
        <w:t xml:space="preserve"> of </w:t>
      </w:r>
      <w:r w:rsidRPr="00376F71" w:rsidR="005F294C">
        <w:rPr>
          <w:iCs/>
          <w:color w:val="000000" w:themeColor="text1"/>
        </w:rPr>
        <w:t>de reisbureauregeling</w:t>
      </w:r>
      <w:r w:rsidRPr="00376F71" w:rsidR="00BD2C6A">
        <w:rPr>
          <w:iCs/>
          <w:color w:val="000000" w:themeColor="text1"/>
        </w:rPr>
        <w:t>;</w:t>
      </w:r>
    </w:p>
    <w:p w:rsidRPr="00376F71" w:rsidR="00BD2C6A" w:rsidP="00376F71" w:rsidRDefault="00B2027C" w14:paraId="64EFEADA" w14:textId="2EF72F17">
      <w:pPr>
        <w:pStyle w:val="Lijstalinea"/>
        <w:numPr>
          <w:ilvl w:val="0"/>
          <w:numId w:val="8"/>
        </w:numPr>
        <w:rPr>
          <w:iCs/>
          <w:color w:val="000000" w:themeColor="text1"/>
        </w:rPr>
      </w:pPr>
      <w:r w:rsidRPr="00376F71">
        <w:rPr>
          <w:iCs/>
          <w:color w:val="000000" w:themeColor="text1"/>
        </w:rPr>
        <w:t>afstandsverkopen van ingevoerde goederen met een waarde boven de € 150</w:t>
      </w:r>
      <w:r w:rsidRPr="00376F71" w:rsidR="005F294C">
        <w:rPr>
          <w:iCs/>
          <w:color w:val="000000" w:themeColor="text1"/>
        </w:rPr>
        <w:t>; en</w:t>
      </w:r>
    </w:p>
    <w:p w:rsidRPr="00376F71" w:rsidR="005F294C" w:rsidP="00376F71" w:rsidRDefault="005F294C" w14:paraId="0285706C" w14:textId="22A05CDE">
      <w:pPr>
        <w:pStyle w:val="Lijstalinea"/>
        <w:numPr>
          <w:ilvl w:val="0"/>
          <w:numId w:val="8"/>
        </w:numPr>
        <w:rPr>
          <w:iCs/>
          <w:color w:val="000000" w:themeColor="text1"/>
        </w:rPr>
      </w:pPr>
      <w:r w:rsidRPr="00376F71">
        <w:rPr>
          <w:iCs/>
          <w:color w:val="000000" w:themeColor="text1"/>
        </w:rPr>
        <w:t xml:space="preserve">Afstandsverkopen van ingevoerde </w:t>
      </w:r>
      <w:r w:rsidRPr="00376F71" w:rsidR="00555B26">
        <w:rPr>
          <w:iCs/>
          <w:color w:val="000000" w:themeColor="text1"/>
        </w:rPr>
        <w:t>accijns</w:t>
      </w:r>
      <w:r w:rsidRPr="00376F71">
        <w:rPr>
          <w:iCs/>
          <w:color w:val="000000" w:themeColor="text1"/>
        </w:rPr>
        <w:t>goederen.</w:t>
      </w:r>
    </w:p>
    <w:p w:rsidRPr="00376F71" w:rsidR="00BD2C6A" w:rsidP="00376F71" w:rsidRDefault="00BD2C6A" w14:paraId="18ED827F" w14:textId="77777777">
      <w:pPr>
        <w:ind w:left="1440"/>
        <w:rPr>
          <w:iCs/>
          <w:color w:val="000000" w:themeColor="text1"/>
        </w:rPr>
      </w:pPr>
    </w:p>
    <w:p w:rsidRPr="00376F71" w:rsidR="00690241" w:rsidP="00376F71" w:rsidRDefault="00690241" w14:paraId="7C6E6154" w14:textId="77777777">
      <w:pPr>
        <w:spacing w:line="360" w:lineRule="auto"/>
        <w:ind w:left="1418" w:firstLine="22"/>
        <w:rPr>
          <w:rFonts w:eastAsia="Times New Roman" w:cs="Times New Roman"/>
          <w:i/>
          <w:color w:val="000000" w:themeColor="text1"/>
        </w:rPr>
      </w:pPr>
      <w:r w:rsidRPr="00376F71">
        <w:rPr>
          <w:rFonts w:eastAsia="Times New Roman" w:cs="Times New Roman"/>
          <w:i/>
          <w:color w:val="000000" w:themeColor="text1"/>
        </w:rPr>
        <w:t>Ad a) vrijgestelde goederenleveringen of dienstverrichtingen</w:t>
      </w:r>
    </w:p>
    <w:p w:rsidRPr="00376F71" w:rsidR="00555B26" w:rsidP="00376F71" w:rsidRDefault="00E15819" w14:paraId="2BF83A77" w14:textId="1E9EF03C">
      <w:pPr>
        <w:spacing w:line="360" w:lineRule="auto"/>
        <w:ind w:left="1418" w:firstLine="22"/>
        <w:rPr>
          <w:rFonts w:eastAsia="Times New Roman" w:cs="Times New Roman"/>
          <w:iCs/>
          <w:color w:val="000000" w:themeColor="text1"/>
        </w:rPr>
      </w:pPr>
      <w:r w:rsidRPr="00376F71">
        <w:rPr>
          <w:rFonts w:eastAsia="Times New Roman" w:cs="Times New Roman"/>
          <w:iCs/>
          <w:color w:val="000000" w:themeColor="text1"/>
        </w:rPr>
        <w:t xml:space="preserve">Vrijgestelde </w:t>
      </w:r>
      <w:r w:rsidRPr="00376F71" w:rsidR="00BD2C6A">
        <w:rPr>
          <w:rFonts w:eastAsia="Times New Roman" w:cs="Times New Roman"/>
          <w:iCs/>
          <w:color w:val="000000" w:themeColor="text1"/>
        </w:rPr>
        <w:t>goederen</w:t>
      </w:r>
      <w:r w:rsidRPr="00376F71">
        <w:rPr>
          <w:rFonts w:eastAsia="Times New Roman" w:cs="Times New Roman"/>
          <w:iCs/>
          <w:color w:val="000000" w:themeColor="text1"/>
        </w:rPr>
        <w:t xml:space="preserve">leveringen of dienstverrichtingen vallen </w:t>
      </w:r>
      <w:r w:rsidRPr="00376F71" w:rsidR="00555B26">
        <w:rPr>
          <w:rFonts w:eastAsia="Times New Roman" w:cs="Times New Roman"/>
          <w:iCs/>
          <w:color w:val="000000" w:themeColor="text1"/>
        </w:rPr>
        <w:t>buiten het toepassingsbereik van de éénloketregelingen omdat ter zake in de lidstaat van verbruik geen btw verschuldigd is. Voor dergelijke prestaties hoeft derhalve geen btw te worden aangegeven of afgedragen.</w:t>
      </w:r>
    </w:p>
    <w:p w:rsidRPr="00376F71" w:rsidR="00690241" w:rsidP="00376F71" w:rsidRDefault="00690241" w14:paraId="23F12D3D" w14:textId="47809639">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Ad b)</w:t>
      </w:r>
      <w:r w:rsidRPr="00376F71" w:rsidR="0021577E">
        <w:rPr>
          <w:rFonts w:eastAsia="Times New Roman" w:cs="Times New Roman"/>
          <w:i/>
          <w:color w:val="000000" w:themeColor="text1"/>
        </w:rPr>
        <w:t xml:space="preserve"> leveringen waarop bijzondere regelingen van toepassing zijn</w:t>
      </w:r>
    </w:p>
    <w:p w:rsidRPr="00376F71" w:rsidR="00555B26" w:rsidP="00376F71" w:rsidRDefault="00577990" w14:paraId="6F41093F" w14:textId="6F1CA949">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Goederenleveringen of dienstverrichtingen </w:t>
      </w:r>
      <w:r w:rsidRPr="00376F71" w:rsidR="00555B26">
        <w:rPr>
          <w:rFonts w:eastAsia="Times New Roman" w:cs="Times New Roman"/>
          <w:iCs/>
          <w:color w:val="000000" w:themeColor="text1"/>
        </w:rPr>
        <w:t xml:space="preserve">waarop bijzondere regelingen van toepassing zijn, zoals de margeregeling en de reisbureauregeling, vallen vooralsnog buiten het toepassingsbereik van de éénloketregelingen. Uitbreidingen </w:t>
      </w:r>
      <w:r w:rsidRPr="00376F71" w:rsidR="00555B26">
        <w:rPr>
          <w:rFonts w:eastAsia="Times New Roman" w:cs="Times New Roman"/>
          <w:iCs/>
          <w:color w:val="000000" w:themeColor="text1"/>
        </w:rPr>
        <w:lastRenderedPageBreak/>
        <w:t>van deze regelingen zijn tot op heden voornamelijk gericht geweest op prestaties die worden belast overeenkomstig de reguliere btw-systematiek.</w:t>
      </w:r>
    </w:p>
    <w:p w:rsidRPr="00376F71" w:rsidR="00555B26" w:rsidP="00376F71" w:rsidRDefault="00555B26" w14:paraId="7046124A" w14:textId="2B402AA7">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Bijzondere regelingen kennen in grensoverschrijdende situaties een grotere mate van complexiteit. </w:t>
      </w:r>
      <w:r w:rsidRPr="00376F71" w:rsidR="00D5716C">
        <w:rPr>
          <w:rFonts w:eastAsia="Times New Roman" w:cs="Times New Roman"/>
          <w:iCs/>
          <w:color w:val="000000" w:themeColor="text1"/>
        </w:rPr>
        <w:t>Daarbij speelt onder meer dat de heffingsgrondslag in bepaalde gevallen afwijkt van de reguliere systematiek over de vergoeding, bijvoorbeeld doordat belasting wordt geheven over de winstmarge. Daarnaast beschikken lidstaten binnen de kaders van de BTW-richtlijn 2006 veelal over beleids- en beoordelingsruimte bij de inrichting van dergelijke regelingen.</w:t>
      </w:r>
    </w:p>
    <w:p w:rsidRPr="00376F71" w:rsidR="00D5716C" w:rsidP="00376F71" w:rsidRDefault="00D5716C" w14:paraId="3C4D0309" w14:textId="5334D8F6">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Dit laat onverlet dat de Europese Commissie voornemens is om met name de margeregeling op termijn alsnog binnen de reikwijdte van de éénloketregelingen te brengen. In het oorspronkelijke voorstel voor de Richtlijn btw in het digitale tijdperk was daartoe reeds een voorstel opgenomen. Uiteindelijk is daarvan echter afzien, omdat de samenloop tussen de Unieregeling en de margereling bij de grensoverschrijdende transacties nog onvoldoende was uitgewerkt. </w:t>
      </w:r>
    </w:p>
    <w:p w:rsidRPr="00376F71" w:rsidR="00690241" w:rsidP="00376F71" w:rsidRDefault="00690241" w14:paraId="239124D6" w14:textId="6BB8FB05">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Ad c) afstandsverkopen van ingevoerde goederen met een waarde boven de € 150</w:t>
      </w:r>
    </w:p>
    <w:p w:rsidRPr="00376F71" w:rsidR="003325BC" w:rsidP="00376F71" w:rsidRDefault="00D5716C" w14:paraId="54DF939C" w14:textId="7D765E72">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Ten aanzien van de drempel van € 150 voor afstandsverkopen van ingevoerde goederen merkt het kabinet op dat het vervallen van deze grens momenteel onderwerp is van beraadslaging binnen de Raad. Op termijn wordt beoogd deze drempel te laten vervallen, zodat ook voor goederen met een hogere waarde de invoerregeling kan worden toegepast.</w:t>
      </w:r>
    </w:p>
    <w:p w:rsidRPr="00376F71" w:rsidR="00246B4B" w:rsidP="00376F71" w:rsidRDefault="00246B4B" w14:paraId="6EC4F2C7" w14:textId="70A83C8A">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Ad d) afstandsverkopen van ingevoerde accijnsgoederen</w:t>
      </w:r>
    </w:p>
    <w:p w:rsidRPr="00376F71" w:rsidR="00BE569F" w:rsidP="00376F71" w:rsidRDefault="00BE569F" w14:paraId="3F03F73B" w14:textId="77777777">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De invoerregeling is niet van toepassing op zogenoemde accijnsgoederen, zoals wijn en tabaksproducten, aangezien accijnzen deel uitmaken van de maatstaf van heffing voor de btw bij invoer. Voorts geldt dat voor deze goederen geen vrijstelling van douanerechten bestaat, waardoor toepassing van de invoerregeling in dit verband niet voor de hand ligt.</w:t>
      </w:r>
    </w:p>
    <w:p w:rsidRPr="00376F71" w:rsidR="008B6FDC" w:rsidP="00376F71" w:rsidRDefault="008B6FDC" w14:paraId="202D7A68" w14:textId="538F6434">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4 - GroenLinks-PvdA</w:t>
      </w:r>
    </w:p>
    <w:p w:rsidRPr="00376F71" w:rsidR="00C0200F" w:rsidP="00376F71" w:rsidRDefault="00C0200F" w14:paraId="38E9131C" w14:textId="1376ACAF">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Voorts vragen zij waarom voor de specifieke genoemde uitbreiding gekozen is</w:t>
      </w:r>
      <w:r w:rsidRPr="00376F71" w:rsidR="008E2EA3">
        <w:rPr>
          <w:rFonts w:eastAsia="Times New Roman" w:cs="Times New Roman"/>
          <w:i/>
          <w:color w:val="000000" w:themeColor="text1"/>
        </w:rPr>
        <w:t xml:space="preserve"> en</w:t>
      </w:r>
      <w:r w:rsidRPr="00376F71">
        <w:rPr>
          <w:rFonts w:eastAsia="Times New Roman" w:cs="Times New Roman"/>
          <w:i/>
          <w:color w:val="000000" w:themeColor="text1"/>
        </w:rPr>
        <w:t xml:space="preserve"> waarom de Unieregeling in eerste instantie niet gebruikt kon worden voor specifieke leveringen.</w:t>
      </w:r>
    </w:p>
    <w:p w:rsidRPr="00376F71" w:rsidR="00D5716C" w:rsidP="00376F71" w:rsidRDefault="002A0678" w14:paraId="46DD06D9" w14:textId="17802B5A">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De keuze voor uitbreiding met </w:t>
      </w:r>
      <w:r w:rsidRPr="002A0678">
        <w:rPr>
          <w:rFonts w:eastAsia="Times New Roman" w:cs="Times New Roman"/>
          <w:iCs/>
          <w:color w:val="000000" w:themeColor="text1"/>
        </w:rPr>
        <w:t>leveringen in verband met installaties of montage, leveringen aan boord van schepen, luchtvaartuigen of treinen, leveringen van gas, elektriciteit, verwarming en koeling, en bepaalde binnenlandse leveringen aan consumenten</w:t>
      </w:r>
      <w:r>
        <w:rPr>
          <w:rFonts w:eastAsia="Times New Roman" w:cs="Times New Roman"/>
          <w:iCs/>
          <w:color w:val="000000" w:themeColor="text1"/>
        </w:rPr>
        <w:t xml:space="preserve"> </w:t>
      </w:r>
      <w:r w:rsidRPr="00376F71">
        <w:rPr>
          <w:rFonts w:eastAsia="Times New Roman" w:cs="Times New Roman"/>
          <w:iCs/>
          <w:color w:val="000000" w:themeColor="text1"/>
        </w:rPr>
        <w:t>is gebaseerd op evaluaties en effectbeoordelingen van de Europese Commissie waaruit blijkt dat verdere uitbreiding van de éénloketregelingen kan bijdragen aan vermindering van registratieverplichtingen in andere lidstaten en verbetering van de naleving van btw-verplichtingen.</w:t>
      </w:r>
      <w:r>
        <w:rPr>
          <w:rFonts w:eastAsia="Times New Roman" w:cs="Times New Roman"/>
          <w:iCs/>
          <w:color w:val="000000" w:themeColor="text1"/>
        </w:rPr>
        <w:t xml:space="preserve"> </w:t>
      </w:r>
      <w:r w:rsidRPr="00376F71" w:rsidR="00D5716C">
        <w:rPr>
          <w:rFonts w:eastAsia="Times New Roman" w:cs="Times New Roman"/>
          <w:iCs/>
          <w:color w:val="000000" w:themeColor="text1"/>
        </w:rPr>
        <w:t xml:space="preserve">De éénloketregelingen en de voorlopers </w:t>
      </w:r>
      <w:r w:rsidRPr="00376F71">
        <w:rPr>
          <w:rFonts w:eastAsia="Times New Roman" w:cs="Times New Roman"/>
          <w:iCs/>
          <w:color w:val="000000" w:themeColor="text1"/>
        </w:rPr>
        <w:t xml:space="preserve">werden ingevoerd om concrete problemen aan te pakken die zich </w:t>
      </w:r>
      <w:r w:rsidRPr="00376F71">
        <w:rPr>
          <w:rFonts w:eastAsia="Times New Roman" w:cs="Times New Roman"/>
          <w:iCs/>
          <w:color w:val="000000" w:themeColor="text1"/>
        </w:rPr>
        <w:lastRenderedPageBreak/>
        <w:t>destijds voordeden, waaronder concurrentieverstoringen als gevolg van gebrekkige naleving van btw-verplichtingen door dienstverrichters uit derde landen en de noodzaak de btw-heffing beter te laten aansluiten op de opkomst van elektronische handel (e-commerce).</w:t>
      </w:r>
      <w:r>
        <w:rPr>
          <w:rFonts w:eastAsia="Times New Roman" w:cs="Times New Roman"/>
          <w:iCs/>
          <w:color w:val="000000" w:themeColor="text1"/>
        </w:rPr>
        <w:t xml:space="preserve"> De éénloketregeling </w:t>
      </w:r>
      <w:r w:rsidRPr="00376F71" w:rsidR="00D5716C">
        <w:rPr>
          <w:rFonts w:eastAsia="Times New Roman" w:cs="Times New Roman"/>
          <w:iCs/>
          <w:color w:val="000000" w:themeColor="text1"/>
        </w:rPr>
        <w:t xml:space="preserve">binnen de Unie </w:t>
      </w:r>
      <w:r>
        <w:rPr>
          <w:rFonts w:eastAsia="Times New Roman" w:cs="Times New Roman"/>
          <w:iCs/>
          <w:color w:val="000000" w:themeColor="text1"/>
        </w:rPr>
        <w:t xml:space="preserve">wordt daarmee </w:t>
      </w:r>
      <w:r w:rsidRPr="00376F71" w:rsidR="00D5716C">
        <w:rPr>
          <w:rFonts w:eastAsia="Times New Roman" w:cs="Times New Roman"/>
          <w:iCs/>
          <w:color w:val="000000" w:themeColor="text1"/>
        </w:rPr>
        <w:t>stapsgewijs ontwikkeld. De oorspronkelijke regelingen waren beperkt tot specifieke categorieën van diensten, zoals elektronische diensten, telecommunicatiediensten en omroepdiensten.</w:t>
      </w:r>
      <w:r w:rsidRPr="00376F71" w:rsidR="005136BE">
        <w:rPr>
          <w:rStyle w:val="Voetnootmarkering"/>
          <w:rFonts w:eastAsia="Times New Roman" w:cs="Times New Roman"/>
          <w:iCs/>
          <w:color w:val="000000" w:themeColor="text1"/>
        </w:rPr>
        <w:footnoteReference w:id="3"/>
      </w:r>
      <w:r w:rsidRPr="00376F71" w:rsidR="00D5716C">
        <w:rPr>
          <w:rFonts w:eastAsia="Times New Roman" w:cs="Times New Roman"/>
          <w:iCs/>
          <w:color w:val="000000" w:themeColor="text1"/>
        </w:rPr>
        <w:t xml:space="preserve"> </w:t>
      </w:r>
    </w:p>
    <w:p w:rsidRPr="00376F71" w:rsidR="00D5716C" w:rsidP="00376F71" w:rsidRDefault="00D5716C" w14:paraId="0205305C" w14:textId="1E77369E">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De Richtlijn btw in het digitale tijdperk vormt een volgende stap in de ontwikkeling van het centrale systeem. Waar eerdere uitbreidingen van de éénloketregelingen in belangrijke mate samenhingen met specifieke ontwikkelingen, zoals de groei van elektronische handel, zijn de huidige uitbreidingen met name gericht op verdere vermindering van administratieve lasten voor ondernemers en verdere vereenvoudiging van grensoverschrijdende btw-verplichtingen binnen de Unie. Daarbij wordt voortgebouwd op het bestaande systeem van gecentraliseerde aangifte en afdracht binnen de éénloketregelingen door het toepassingsbereik daarvan uit te breiden naar aanvullende prestaties. </w:t>
      </w:r>
    </w:p>
    <w:p w:rsidRPr="00376F71" w:rsidR="00C0200F" w:rsidP="00376F71" w:rsidRDefault="00C0200F" w14:paraId="4931D4CC" w14:textId="77777777">
      <w:pPr>
        <w:keepNext/>
        <w:keepLines/>
        <w:spacing w:line="360" w:lineRule="auto"/>
        <w:ind w:left="1418"/>
        <w:outlineLvl w:val="0"/>
        <w:rPr>
          <w:b/>
          <w:i/>
          <w:color w:val="000000" w:themeColor="text1"/>
          <w:szCs w:val="28"/>
        </w:rPr>
      </w:pPr>
      <w:bookmarkStart w:name="_Toc231899746" w:id="5"/>
      <w:r w:rsidRPr="00376F71">
        <w:rPr>
          <w:b/>
          <w:i/>
          <w:color w:val="000000" w:themeColor="text1"/>
          <w:szCs w:val="28"/>
        </w:rPr>
        <w:t>3. Hoofdlijnen van het wetsvoorstel</w:t>
      </w:r>
      <w:bookmarkEnd w:id="5"/>
    </w:p>
    <w:p w:rsidRPr="00376F71" w:rsidR="00C0200F" w:rsidP="00376F71" w:rsidRDefault="00C0200F" w14:paraId="17BD5F18" w14:textId="77777777">
      <w:pPr>
        <w:keepNext/>
        <w:keepLines/>
        <w:spacing w:line="360" w:lineRule="auto"/>
        <w:ind w:left="1418"/>
        <w:outlineLvl w:val="0"/>
        <w:rPr>
          <w:b/>
          <w:i/>
          <w:color w:val="000000" w:themeColor="text1"/>
          <w:szCs w:val="28"/>
        </w:rPr>
      </w:pPr>
      <w:bookmarkStart w:name="_Toc231899747" w:id="6"/>
      <w:r w:rsidRPr="00376F71">
        <w:rPr>
          <w:b/>
          <w:i/>
          <w:color w:val="000000" w:themeColor="text1"/>
          <w:szCs w:val="28"/>
        </w:rPr>
        <w:t>3.1. Uitbreiding van de Unieregeling</w:t>
      </w:r>
      <w:bookmarkEnd w:id="6"/>
    </w:p>
    <w:p w:rsidRPr="00376F71" w:rsidR="00C0200F" w:rsidP="00376F71" w:rsidRDefault="008B6FDC" w14:paraId="31DCA6DB" w14:textId="4655ECCA">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5</w:t>
      </w:r>
      <w:r w:rsidRPr="00376F71" w:rsidR="00C0200F">
        <w:rPr>
          <w:rFonts w:eastAsia="Times New Roman" w:cs="Times New Roman"/>
          <w:i/>
          <w:color w:val="000000" w:themeColor="text1"/>
        </w:rPr>
        <w:t xml:space="preserve"> – VVD</w:t>
      </w:r>
    </w:p>
    <w:p w:rsidRPr="00376F71" w:rsidR="00C0200F" w:rsidP="002E2325" w:rsidRDefault="00C0200F" w14:paraId="6F1985CA" w14:textId="2267D598">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De leden van de VVD-fractie lezen dat ter vermindering van administratieve lasten wordt voorgesteld de reikwijdte van de unieregeling uit te breiden, zodat de meeste grensoverschrijdende goederenleveringen en dienstverrichtingen aan consumenten onder de regeling vallen. Deze leden vragen welke grensoverschrijdende leveringen en diensten expliciet níet onder deze uitgebreide Unieregeling zullen vallen. Kan de regering hiervan een overzicht geven, inclusief de motivering waarom deze uitzonderingen blijven bestaan?</w:t>
      </w:r>
      <w:r w:rsidR="002E2325">
        <w:rPr>
          <w:rFonts w:eastAsia="Times New Roman" w:cs="Times New Roman"/>
          <w:iCs/>
          <w:color w:val="000000" w:themeColor="text1"/>
        </w:rPr>
        <w:t xml:space="preserve"> </w:t>
      </w:r>
      <w:r w:rsidRPr="00376F71">
        <w:rPr>
          <w:rFonts w:eastAsia="Times New Roman" w:cs="Times New Roman"/>
          <w:i/>
          <w:color w:val="000000" w:themeColor="text1"/>
        </w:rPr>
        <w:t>Daarnaast vragen deze leden of de regering nog verdere mogelijkheden ziet om de reikwijdte van de Unieregeling in de toekomst verder te verruimen, teneinde administratieve lasten voor ondernemers verder te beperken. Welke belemmeringen - bijvoorbeeld van juridische, uitvoerings- of Europeesrechtelijke aard - staan eventuele verdere uitbreiding momenteel nog in de weg?</w:t>
      </w:r>
    </w:p>
    <w:p w:rsidRPr="00376F71" w:rsidR="0080318B" w:rsidP="00376F71" w:rsidRDefault="002E2325" w14:paraId="07A7075C" w14:textId="047A000A">
      <w:pPr>
        <w:spacing w:line="360" w:lineRule="auto"/>
        <w:ind w:left="1418"/>
        <w:rPr>
          <w:rFonts w:eastAsia="Times New Roman" w:cs="Times New Roman"/>
          <w:iCs/>
          <w:color w:val="000000" w:themeColor="text1"/>
        </w:rPr>
      </w:pPr>
      <w:r>
        <w:rPr>
          <w:rFonts w:eastAsia="Times New Roman" w:cs="Times New Roman"/>
          <w:iCs/>
          <w:color w:val="000000" w:themeColor="text1"/>
        </w:rPr>
        <w:t xml:space="preserve">De eenloketregeling worden stapsgewijs ingevoerd afhankelijk van </w:t>
      </w:r>
      <w:r w:rsidRPr="002E2325">
        <w:rPr>
          <w:rFonts w:eastAsia="Times New Roman" w:cs="Times New Roman"/>
          <w:iCs/>
          <w:color w:val="000000" w:themeColor="text1"/>
        </w:rPr>
        <w:t>evaluaties en effectbeoordelingen van de Europese Commissie waaruit blijkt dat verdere uitbreiding van de éénloketregelingen kan bijdragen aan vermindering van registratieverplichtingen in andere lidstaten en verbetering van de naleving van btw-verplichtingen.</w:t>
      </w:r>
      <w:r>
        <w:rPr>
          <w:rFonts w:eastAsia="Times New Roman" w:cs="Times New Roman"/>
          <w:iCs/>
          <w:color w:val="000000" w:themeColor="text1"/>
        </w:rPr>
        <w:t xml:space="preserve"> Op dit moment zijn er op dit onderwerp geen evaluaties of effectbeoordelingen voorzien. </w:t>
      </w:r>
      <w:r w:rsidR="00C81FE2">
        <w:rPr>
          <w:rFonts w:eastAsia="Times New Roman" w:cs="Times New Roman"/>
          <w:iCs/>
          <w:color w:val="000000" w:themeColor="text1"/>
        </w:rPr>
        <w:t xml:space="preserve">Toepassing en uitbreiding van de eenloketregeling blijven onderdeel van gesprek in de gremia die daarvoor in de EU bestaan, </w:t>
      </w:r>
      <w:r w:rsidR="00C81FE2">
        <w:rPr>
          <w:rFonts w:eastAsia="Times New Roman" w:cs="Times New Roman"/>
          <w:iCs/>
          <w:color w:val="000000" w:themeColor="text1"/>
        </w:rPr>
        <w:lastRenderedPageBreak/>
        <w:t xml:space="preserve">waardoor het bedrijfsleven en lidstaten steeds de mogelijkheid hebben </w:t>
      </w:r>
      <w:r w:rsidR="00897EE7">
        <w:rPr>
          <w:rFonts w:eastAsia="Times New Roman" w:cs="Times New Roman"/>
          <w:iCs/>
          <w:color w:val="000000" w:themeColor="text1"/>
        </w:rPr>
        <w:t>voorstellen te doen voor verdere verbeteringen.</w:t>
      </w:r>
    </w:p>
    <w:p w:rsidRPr="00376F71" w:rsidR="00C0200F" w:rsidP="00376F71" w:rsidRDefault="00C0200F" w14:paraId="65B4AE7B" w14:textId="77777777">
      <w:pPr>
        <w:keepNext/>
        <w:keepLines/>
        <w:spacing w:line="360" w:lineRule="auto"/>
        <w:ind w:left="1418"/>
        <w:outlineLvl w:val="0"/>
        <w:rPr>
          <w:b/>
          <w:i/>
          <w:color w:val="000000" w:themeColor="text1"/>
          <w:szCs w:val="28"/>
        </w:rPr>
      </w:pPr>
      <w:bookmarkStart w:name="_Toc231899748" w:id="7"/>
      <w:r w:rsidRPr="00376F71">
        <w:rPr>
          <w:b/>
          <w:i/>
          <w:color w:val="000000" w:themeColor="text1"/>
          <w:szCs w:val="28"/>
        </w:rPr>
        <w:t>3.2. Uitbreiding van de éénloketregelingen met de overbrengingsregeling</w:t>
      </w:r>
      <w:bookmarkEnd w:id="7"/>
    </w:p>
    <w:p w:rsidRPr="00376F71" w:rsidR="00CB5D8E" w:rsidP="00376F71" w:rsidRDefault="002E2325" w14:paraId="6ADE5178" w14:textId="57602E9D">
      <w:pPr>
        <w:spacing w:line="360" w:lineRule="auto"/>
        <w:ind w:left="1418"/>
        <w:rPr>
          <w:rFonts w:eastAsia="Times New Roman" w:cs="Times New Roman"/>
          <w:i/>
          <w:color w:val="000000" w:themeColor="text1"/>
        </w:rPr>
      </w:pPr>
      <w:r>
        <w:rPr>
          <w:rFonts w:eastAsia="Times New Roman" w:cs="Times New Roman"/>
          <w:i/>
          <w:color w:val="000000" w:themeColor="text1"/>
        </w:rPr>
        <w:t>6</w:t>
      </w:r>
      <w:r w:rsidRPr="00376F71" w:rsidR="00C24695">
        <w:rPr>
          <w:rFonts w:eastAsia="Times New Roman" w:cs="Times New Roman"/>
          <w:i/>
          <w:color w:val="000000" w:themeColor="text1"/>
        </w:rPr>
        <w:t xml:space="preserve"> –</w:t>
      </w:r>
      <w:r w:rsidRPr="00376F71" w:rsidR="008B6FDC">
        <w:rPr>
          <w:rFonts w:eastAsia="Times New Roman" w:cs="Times New Roman"/>
          <w:i/>
          <w:color w:val="000000" w:themeColor="text1"/>
        </w:rPr>
        <w:t xml:space="preserve"> VVD</w:t>
      </w:r>
    </w:p>
    <w:p w:rsidRPr="00376F71" w:rsidR="008B6FDC" w:rsidP="00376F71" w:rsidRDefault="008B6FDC" w14:paraId="50C1D6F1" w14:textId="5D4D21BE">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De leden van de VVD-fractie lezen dat de nieuwe overbrengingsregeling wordt ingevoerd om administratieve lasten te verminderen, terwijl lidstaten “tegelijkertijd in staat worden gesteld de goederenstromen effectief te blijven volgen”. Daarbij vervalt de belastingheffing bij intracommunautaire verwerving en wordt deze vrijgesteld. Hoe wordt in de praktijk geborgd dat belastingautoriteiten voldoende zicht houden op goederenstromen bij toepassing van de overbrengingsregeling en acht de regering het risico op btw</w:t>
      </w:r>
      <w:r w:rsidRPr="00376F71">
        <w:rPr>
          <w:rFonts w:ascii="Cambria Math" w:hAnsi="Cambria Math" w:eastAsia="Times New Roman" w:cs="Cambria Math"/>
          <w:i/>
          <w:color w:val="000000" w:themeColor="text1"/>
        </w:rPr>
        <w:t>‑</w:t>
      </w:r>
      <w:r w:rsidRPr="00376F71">
        <w:rPr>
          <w:rFonts w:eastAsia="Times New Roman" w:cs="Times New Roman"/>
          <w:i/>
          <w:color w:val="000000" w:themeColor="text1"/>
        </w:rPr>
        <w:t>fraude hiermee afdoende ondervangen?</w:t>
      </w:r>
    </w:p>
    <w:p w:rsidRPr="00376F71" w:rsidR="00C25196" w:rsidP="00376F71" w:rsidRDefault="00C25196" w14:paraId="239A0B2F" w14:textId="34F81079">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De introductie van de overbrengingsregeling wijzigt niet het uitgangspunt dat zowel de lidstaat van vertrek als de lidstaat van aankomst zicht moet kunnen houden op goederenstromen binnen de Unie. In de bestaande systematiek worden overbrengingen gevolgd doordat deze in de lidstaat van vertrek als intracommunautaire leveringen worden aangegeven en worden opgenomen in de opgaaf ICP, terwijl in de lidstaat van aankomst sprake is van een belaste intracommunautaire verwerving (met recht op aftrek) die in de btw-aangifte wordt verantwoord. Op die wijze beschikken beide lidstaten reeds over informatie over de betrokken goederenstromen.</w:t>
      </w:r>
    </w:p>
    <w:p w:rsidRPr="00376F71" w:rsidR="00C25196" w:rsidP="00376F71" w:rsidRDefault="00C25196" w14:paraId="697D8DF2" w14:textId="440F01CD">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Onder de nieuwe overbrengingsregeling wordt de wijze van rapporteren gewijzigd, maar blijft de informatiepositie van de betrokken lidstaten behouden. De ondernemer die gebruikmaakt van de overbrengingsregeling geeft de overbrenging van eigen goederen centraal aan via het éénloketsysteem in de lidstaat van identificatie. Deze centrale melding bevat per lidstaat van vertrek en bestemming de relevante gegevens over de verplaatsing van de goederen. De betrokken lidstaten worden via het systeem geïnformeerd over deze overbrengingen</w:t>
      </w:r>
      <w:r w:rsidR="003D3B08">
        <w:rPr>
          <w:rFonts w:eastAsia="Times New Roman" w:cs="Times New Roman"/>
          <w:iCs/>
          <w:color w:val="000000" w:themeColor="text1"/>
        </w:rPr>
        <w:t>, waardoor de lidstaten de goederen kunnen blijven volgen</w:t>
      </w:r>
      <w:r w:rsidRPr="00376F71">
        <w:rPr>
          <w:rFonts w:eastAsia="Times New Roman" w:cs="Times New Roman"/>
          <w:iCs/>
          <w:color w:val="000000" w:themeColor="text1"/>
        </w:rPr>
        <w:t>. Daarbij wordt in de nieuwe systematiek de overbrenging in de lidstaat van aankomst niet langer als belastbare intracommunautaire verwerving behandeld, om te voorkomen dat afzonderlijke aangifteverplichtingen in meerdere lidstaten ontstaan.</w:t>
      </w:r>
    </w:p>
    <w:p w:rsidRPr="00376F71" w:rsidR="00C25196" w:rsidP="00376F71" w:rsidRDefault="00C25196" w14:paraId="180C4C0F" w14:textId="4B7B886B">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Ten aanzien van het risico op btw-fraude merkt het kabinet op dat de overbrengingsregeling gepaard gaat met aanvullende administratieve verplichtingen. </w:t>
      </w:r>
      <w:r w:rsidR="003D3B08">
        <w:rPr>
          <w:rFonts w:eastAsia="Times New Roman" w:cs="Times New Roman"/>
          <w:iCs/>
          <w:color w:val="000000" w:themeColor="text1"/>
        </w:rPr>
        <w:t xml:space="preserve">Naast het feit dat de lidstaten de goederen kunnen volgen via het éénloketsysteem in de lidstaat van identificatie </w:t>
      </w:r>
      <w:r w:rsidRPr="00376F71">
        <w:rPr>
          <w:rFonts w:eastAsia="Times New Roman" w:cs="Times New Roman"/>
          <w:iCs/>
          <w:color w:val="000000" w:themeColor="text1"/>
        </w:rPr>
        <w:t>is de ondernemer gehouden een administratie te voeren waaruit de overbrengingen blijken en dient deze administratie desgevraagd elektronisch beschikbaar te worden gesteld aan de betrokken lidstaten.</w:t>
      </w:r>
      <w:r w:rsidR="003D3B08">
        <w:rPr>
          <w:rFonts w:eastAsia="Times New Roman" w:cs="Times New Roman"/>
          <w:iCs/>
          <w:color w:val="000000" w:themeColor="text1"/>
        </w:rPr>
        <w:t xml:space="preserve"> Op deze manier wordt geborgd dat belastingautoriteiten voldoende zicht houden op de goederenstromen, waardoor het risico op fraude </w:t>
      </w:r>
      <w:r w:rsidR="003D3B08">
        <w:rPr>
          <w:rFonts w:eastAsia="Times New Roman" w:cs="Times New Roman"/>
          <w:iCs/>
          <w:color w:val="000000" w:themeColor="text1"/>
        </w:rPr>
        <w:lastRenderedPageBreak/>
        <w:t>effectief wordt ondervangen.</w:t>
      </w:r>
      <w:r w:rsidR="00D4306B">
        <w:rPr>
          <w:rFonts w:eastAsia="Times New Roman" w:cs="Times New Roman"/>
          <w:iCs/>
          <w:color w:val="000000" w:themeColor="text1"/>
        </w:rPr>
        <w:t xml:space="preserve"> Daarvoor kan gebruik worden gemaakt van het bestaande handhavingsinstrumentarium.</w:t>
      </w:r>
    </w:p>
    <w:p w:rsidRPr="00376F71" w:rsidR="00C0200F" w:rsidP="00376F71" w:rsidRDefault="002E2325" w14:paraId="4ABB5B38" w14:textId="5D2D4EFB">
      <w:pPr>
        <w:spacing w:line="360" w:lineRule="auto"/>
        <w:ind w:left="1418"/>
        <w:rPr>
          <w:rFonts w:eastAsia="Times New Roman" w:cs="Times New Roman"/>
          <w:i/>
          <w:color w:val="000000" w:themeColor="text1"/>
        </w:rPr>
      </w:pPr>
      <w:r>
        <w:rPr>
          <w:rFonts w:eastAsia="Times New Roman" w:cs="Times New Roman"/>
          <w:i/>
          <w:color w:val="000000" w:themeColor="text1"/>
        </w:rPr>
        <w:t>7</w:t>
      </w:r>
      <w:r w:rsidRPr="00376F71" w:rsidR="008B6FDC">
        <w:rPr>
          <w:rFonts w:eastAsia="Times New Roman" w:cs="Times New Roman"/>
          <w:i/>
          <w:color w:val="000000" w:themeColor="text1"/>
        </w:rPr>
        <w:t xml:space="preserve"> – GroenLinks-PvdA</w:t>
      </w:r>
    </w:p>
    <w:p w:rsidRPr="00376F71" w:rsidR="008B6FDC" w:rsidP="00376F71" w:rsidRDefault="008B6FDC" w14:paraId="7A81ABAA" w14:textId="71505C5E">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De leden van de GroenLinks-PvdA-fractie vragen de regering toe te lichten hoe de nieuwe overbrengingsregeling lidstaten in staat stelt goederenstromen effectief te blijven volgen als intracommunautaire verwerving voortaan vrijgesteld is.</w:t>
      </w:r>
    </w:p>
    <w:p w:rsidRPr="00376F71" w:rsidR="008B6FDC" w:rsidP="00376F71" w:rsidRDefault="003F4836" w14:paraId="669EA672" w14:textId="1836AE0A">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Verwezen wordt naar het antwoord op vraag 7.</w:t>
      </w:r>
    </w:p>
    <w:p w:rsidRPr="00376F71" w:rsidR="008B6FDC" w:rsidP="00376F71" w:rsidRDefault="008B6FDC" w14:paraId="79AB68E0" w14:textId="77777777">
      <w:pPr>
        <w:keepNext/>
        <w:keepLines/>
        <w:spacing w:line="360" w:lineRule="auto"/>
        <w:ind w:left="1418"/>
        <w:outlineLvl w:val="0"/>
        <w:rPr>
          <w:b/>
          <w:i/>
          <w:color w:val="000000" w:themeColor="text1"/>
          <w:szCs w:val="28"/>
        </w:rPr>
      </w:pPr>
      <w:bookmarkStart w:name="_Toc231899749" w:id="8"/>
      <w:r w:rsidRPr="00376F71">
        <w:rPr>
          <w:b/>
          <w:i/>
          <w:color w:val="000000" w:themeColor="text1"/>
          <w:szCs w:val="28"/>
        </w:rPr>
        <w:t>3.3. Verplichtstelling en uitbreiding van de grensoverschrijdende verleggingsregeling</w:t>
      </w:r>
      <w:bookmarkEnd w:id="8"/>
    </w:p>
    <w:p w:rsidRPr="00376F71" w:rsidR="008B6FDC" w:rsidP="00376F71" w:rsidRDefault="002E2325" w14:paraId="7695CF58" w14:textId="2E3BD26B">
      <w:pPr>
        <w:spacing w:line="360" w:lineRule="auto"/>
        <w:ind w:left="1418"/>
        <w:rPr>
          <w:rFonts w:eastAsia="Times New Roman" w:cs="Times New Roman"/>
          <w:i/>
          <w:color w:val="000000" w:themeColor="text1"/>
        </w:rPr>
      </w:pPr>
      <w:r>
        <w:rPr>
          <w:rFonts w:eastAsia="Times New Roman" w:cs="Times New Roman"/>
          <w:i/>
          <w:color w:val="000000" w:themeColor="text1"/>
        </w:rPr>
        <w:t>8</w:t>
      </w:r>
      <w:r w:rsidRPr="00376F71" w:rsidR="008B6FDC">
        <w:rPr>
          <w:rFonts w:eastAsia="Times New Roman" w:cs="Times New Roman"/>
          <w:i/>
          <w:color w:val="000000" w:themeColor="text1"/>
        </w:rPr>
        <w:t xml:space="preserve"> – VVD</w:t>
      </w:r>
    </w:p>
    <w:p w:rsidRPr="00376F71" w:rsidR="008B6FDC" w:rsidP="00376F71" w:rsidRDefault="008B6FDC" w14:paraId="5E1D9120" w14:textId="23D80C62">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De leden van de VVD-fractie lezen dat de bestaande, thans optionele, grensoverschrijdende verleggingsregeling verplicht wordt gesteld, waardoor ondernemers zich in meer gevallen niet hoeven te registreren in andere lidstaten. Tegelijkertijd wordt gesteld dat ondernemers hierdoor wel verplicht worden een opgaaf intracommunautaire prestaties (ICP) in te dienen. Hoe verhoudt de verplichtstelling van extra ICP</w:t>
      </w:r>
      <w:r w:rsidRPr="00376F71">
        <w:rPr>
          <w:rFonts w:ascii="Cambria Math" w:hAnsi="Cambria Math" w:eastAsia="Times New Roman" w:cs="Cambria Math"/>
          <w:i/>
          <w:color w:val="000000" w:themeColor="text1"/>
        </w:rPr>
        <w:t>‑</w:t>
      </w:r>
      <w:r w:rsidRPr="00376F71">
        <w:rPr>
          <w:rFonts w:eastAsia="Times New Roman" w:cs="Times New Roman"/>
          <w:i/>
          <w:color w:val="000000" w:themeColor="text1"/>
        </w:rPr>
        <w:t>verplichtingen zich tot het doel van lastenverlichting, en verwacht de regering dat dit voor met name mkb</w:t>
      </w:r>
      <w:r w:rsidRPr="00376F71">
        <w:rPr>
          <w:rFonts w:ascii="Cambria Math" w:hAnsi="Cambria Math" w:eastAsia="Times New Roman" w:cs="Cambria Math"/>
          <w:i/>
          <w:color w:val="000000" w:themeColor="text1"/>
        </w:rPr>
        <w:t>‑</w:t>
      </w:r>
      <w:r w:rsidRPr="00376F71">
        <w:rPr>
          <w:rFonts w:eastAsia="Times New Roman" w:cs="Times New Roman"/>
          <w:i/>
          <w:color w:val="000000" w:themeColor="text1"/>
        </w:rPr>
        <w:t>ondernemers per saldo daadwerkelijk eenvoudiger wordt?</w:t>
      </w:r>
    </w:p>
    <w:p w:rsidRPr="00376F71" w:rsidR="00C25196" w:rsidP="00376F71" w:rsidRDefault="003564A4" w14:paraId="28037F94" w14:textId="21794C7F">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Indien geen verleggingsregeling van toepassing is, geldt dat een in Nederland gevestigde ondernemer die een prestatie verricht waarop in een andere lidstaat btw is verschuldigd, zich in die lidstaat voor btw-doeleinden dient te registreren en aldaar btw-aangifte moet doen. Indien dergelijke prestaties in meerdere lidstaten worden verricht, leidt dit tot meerdere buitenlandse registraties en bijbehorende</w:t>
      </w:r>
      <w:r w:rsidRPr="00376F71" w:rsidR="008E2EA3">
        <w:rPr>
          <w:rFonts w:eastAsia="Times New Roman" w:cs="Times New Roman"/>
          <w:iCs/>
          <w:color w:val="000000" w:themeColor="text1"/>
        </w:rPr>
        <w:t>, mogelijk verschillende,</w:t>
      </w:r>
      <w:r w:rsidRPr="00376F71">
        <w:rPr>
          <w:rFonts w:eastAsia="Times New Roman" w:cs="Times New Roman"/>
          <w:iCs/>
          <w:color w:val="000000" w:themeColor="text1"/>
        </w:rPr>
        <w:t xml:space="preserve"> administratieve verplichtingen.</w:t>
      </w:r>
    </w:p>
    <w:p w:rsidRPr="00376F71" w:rsidR="003564A4" w:rsidP="00376F71" w:rsidRDefault="003564A4" w14:paraId="0A95A4B9" w14:textId="6F59F692">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Door het verplicht stellen van de grensoverschrijdende verleggingsregeling wordt de btw-heffing in beginsel verlegd naar de afnemer die in de betreffende lidstaat reeds als btw-ondernemer is geïdentificeerd. Hierdoor hoeft de leverancier zich in die lidstaat niet langer te registreren en geen aangifte te doen. Daar staat tegenover dat de ondernemer in Nederland in de opgaaf ICP moet vermelden welke prestaties naar andere lidstaten zijn verricht, zodat de belastingautoriteiten zicht houden op de toepassing van de verleggingsregeling.</w:t>
      </w:r>
    </w:p>
    <w:p w:rsidRPr="00376F71" w:rsidR="00C25196" w:rsidP="00376F71" w:rsidRDefault="001D266A" w14:paraId="666FBBC3" w14:textId="11187300">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Het kabinet is van oordeel dat de verplichtstelling van de verleggingsregeling per saldo naar verwachting leidt tot een lastenverlichting voor ondernemers. De ICP-opgaaf brengt weliswaar een aanvullende administratieve verplichting met zich, maar deze staat niet in verhouding tot de lasten die samenhangen met btw-registraties en aangiften in andere lidstaten. De maatregel vereenvoudigt daarmee de grensoverschrijdende handel en verlaagt </w:t>
      </w:r>
      <w:r w:rsidRPr="00376F71" w:rsidR="00BE569F">
        <w:rPr>
          <w:rFonts w:eastAsia="Times New Roman" w:cs="Times New Roman"/>
          <w:iCs/>
          <w:color w:val="000000" w:themeColor="text1"/>
        </w:rPr>
        <w:t>ook</w:t>
      </w:r>
      <w:r w:rsidRPr="00376F71">
        <w:rPr>
          <w:rFonts w:eastAsia="Times New Roman" w:cs="Times New Roman"/>
          <w:iCs/>
          <w:color w:val="000000" w:themeColor="text1"/>
        </w:rPr>
        <w:t xml:space="preserve"> voor het mkb de administratieve </w:t>
      </w:r>
      <w:r w:rsidRPr="00376F71">
        <w:rPr>
          <w:rFonts w:eastAsia="Times New Roman" w:cs="Times New Roman"/>
          <w:iCs/>
          <w:color w:val="000000" w:themeColor="text1"/>
        </w:rPr>
        <w:lastRenderedPageBreak/>
        <w:t>lasten en nalevingskosten</w:t>
      </w:r>
      <w:r w:rsidRPr="00376F71" w:rsidR="008E2EA3">
        <w:rPr>
          <w:rFonts w:eastAsia="Times New Roman" w:cs="Times New Roman"/>
          <w:iCs/>
          <w:color w:val="000000" w:themeColor="text1"/>
        </w:rPr>
        <w:t>, terwijl belastingdiensten zicht blijven houden op de activiteiten</w:t>
      </w:r>
      <w:r w:rsidRPr="00376F71">
        <w:rPr>
          <w:rFonts w:eastAsia="Times New Roman" w:cs="Times New Roman"/>
          <w:iCs/>
          <w:color w:val="000000" w:themeColor="text1"/>
        </w:rPr>
        <w:t>.</w:t>
      </w:r>
    </w:p>
    <w:p w:rsidRPr="00376F71" w:rsidR="008B6FDC" w:rsidP="00376F71" w:rsidRDefault="002E2325" w14:paraId="1FF9CF71" w14:textId="4804278A">
      <w:pPr>
        <w:spacing w:line="360" w:lineRule="auto"/>
        <w:ind w:left="1418"/>
        <w:rPr>
          <w:rFonts w:eastAsia="Times New Roman" w:cs="Times New Roman"/>
          <w:i/>
          <w:color w:val="000000" w:themeColor="text1"/>
        </w:rPr>
      </w:pPr>
      <w:r>
        <w:rPr>
          <w:rFonts w:eastAsia="Times New Roman" w:cs="Times New Roman"/>
          <w:i/>
          <w:color w:val="000000" w:themeColor="text1"/>
        </w:rPr>
        <w:t>9</w:t>
      </w:r>
      <w:r w:rsidRPr="00376F71" w:rsidR="008B6FDC">
        <w:rPr>
          <w:rFonts w:eastAsia="Times New Roman" w:cs="Times New Roman"/>
          <w:i/>
          <w:color w:val="000000" w:themeColor="text1"/>
        </w:rPr>
        <w:t xml:space="preserve"> – VVD</w:t>
      </w:r>
    </w:p>
    <w:p w:rsidRPr="00376F71" w:rsidR="008B6FDC" w:rsidP="00376F71" w:rsidRDefault="008B6FDC" w14:paraId="1D9DF8ED" w14:textId="30BC2834">
      <w:pPr>
        <w:spacing w:line="360" w:lineRule="auto"/>
        <w:ind w:left="1418"/>
        <w:rPr>
          <w:rFonts w:eastAsia="Times New Roman" w:cs="Times New Roman"/>
          <w:iCs/>
          <w:color w:val="000000" w:themeColor="text1"/>
        </w:rPr>
      </w:pPr>
      <w:r w:rsidRPr="00376F71">
        <w:rPr>
          <w:rFonts w:eastAsia="Times New Roman" w:cs="Times New Roman"/>
          <w:i/>
          <w:color w:val="000000" w:themeColor="text1"/>
        </w:rPr>
        <w:t xml:space="preserve">De voorgestelde wetswijziging introduceert een aanvullende verleggingsregeling naast artikel 12, tweede, derde en vijfde lid, Wet OB 1968. Deze nieuwe regeling geldt indien de leverancier of dienstverlener niet in Nederland is gevestigd, hier geen vaste inrichting en geen btw-identificatienummer heeft, terwijl de afnemer juist wel een Nederlands btw-identificatienummer heeft en het geen intracommunautaire levering of reeds onder artikel 12, tweede lid, vallende dienst betreft. De leden van de VVD-fractie delen het standpunt van de NOB dat deze systematiek complex en verwarrend is nu er sprake is van overlappende regelingen en ondernemers mede de Btw-richtlijn moeten raadplegen om hun verplichtingen vast te stellen. Vanuit het oogpunt van rechtszekerheid en eenvoud meent de NOB dat het de voorkeur heeft </w:t>
      </w:r>
      <w:r w:rsidRPr="00376F71" w:rsidR="008E2EA3">
        <w:rPr>
          <w:rFonts w:eastAsia="Times New Roman" w:cs="Times New Roman"/>
          <w:i/>
          <w:color w:val="000000" w:themeColor="text1"/>
        </w:rPr>
        <w:t xml:space="preserve">de </w:t>
      </w:r>
      <w:r w:rsidRPr="00376F71">
        <w:rPr>
          <w:rFonts w:eastAsia="Times New Roman" w:cs="Times New Roman"/>
          <w:i/>
          <w:color w:val="000000" w:themeColor="text1"/>
        </w:rPr>
        <w:t>nieuwe regeling op te nemen</w:t>
      </w:r>
      <w:r w:rsidRPr="00376F71" w:rsidR="008E2EA3">
        <w:rPr>
          <w:rFonts w:eastAsia="Times New Roman" w:cs="Times New Roman"/>
          <w:i/>
          <w:color w:val="000000" w:themeColor="text1"/>
        </w:rPr>
        <w:t xml:space="preserve"> in</w:t>
      </w:r>
      <w:r w:rsidRPr="00376F71">
        <w:rPr>
          <w:rFonts w:eastAsia="Times New Roman" w:cs="Times New Roman"/>
          <w:i/>
          <w:color w:val="000000" w:themeColor="text1"/>
        </w:rPr>
        <w:t xml:space="preserve"> en samen te voegen met artikel 12, derde lid, Wet OB 1968 en in artikel 37a rechtstreeks naar deze bepaling te wijzen. In een nieuw vierde lid kan dan aangegeven worden dat de verleggingsregeling ook geldt indien de afnemer een btw-ondernemer is die niet voor de btw is geregistreerd in Nederland, maar daar wel is gevestigd, of als het gaat om een lichaam in de zin van de AWR zonder btw-registratie. Deelt de regering de mening dat deze splitsing de wetgeving overzichtelijker en eenvoudiger toepasbaar zou maken?</w:t>
      </w:r>
    </w:p>
    <w:p w:rsidRPr="00376F71" w:rsidR="001D266A" w:rsidP="00376F71" w:rsidRDefault="001D266A" w14:paraId="23BECEF4" w14:textId="6DC42B3A">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De leden van de VVD-fractie verwijzen naar het standpunt van de NOB dat de systematiek van de verleggingsregeling complex en verwarrend is, nu sprake is van overlappende regelingen. Het voorstel van de NOB strekt ertoe de desbetreffende bepalingen in artikel 12 Wet OB 1968 te herstructureren, teneinde deze complexiteit te verminderen.</w:t>
      </w:r>
    </w:p>
    <w:p w:rsidRPr="00376F71" w:rsidR="001D266A" w:rsidP="00376F71" w:rsidRDefault="001D266A" w14:paraId="416DE5E7" w14:textId="7A98C9AC">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Het kabinet merkt op dat de door de NOB gesignaleerde complexiteit met name ziet op situaties waarin artikel 12</w:t>
      </w:r>
      <w:r w:rsidRPr="00376F71" w:rsidR="002804AB">
        <w:rPr>
          <w:rFonts w:eastAsia="Times New Roman" w:cs="Times New Roman"/>
          <w:iCs/>
          <w:color w:val="000000" w:themeColor="text1"/>
        </w:rPr>
        <w:t>, derde lid,</w:t>
      </w:r>
      <w:r w:rsidRPr="00376F71">
        <w:rPr>
          <w:rFonts w:eastAsia="Times New Roman" w:cs="Times New Roman"/>
          <w:iCs/>
          <w:color w:val="000000" w:themeColor="text1"/>
        </w:rPr>
        <w:t xml:space="preserve"> Wet OB 1968 </w:t>
      </w:r>
      <w:r w:rsidRPr="00376F71" w:rsidR="002804AB">
        <w:rPr>
          <w:rFonts w:eastAsia="Times New Roman" w:cs="Times New Roman"/>
          <w:iCs/>
          <w:color w:val="000000" w:themeColor="text1"/>
        </w:rPr>
        <w:t xml:space="preserve">en het voorgestelde artikel 12, vierde lid, Wet OB 1968 </w:t>
      </w:r>
      <w:r w:rsidRPr="00376F71">
        <w:rPr>
          <w:rFonts w:eastAsia="Times New Roman" w:cs="Times New Roman"/>
          <w:iCs/>
          <w:color w:val="000000" w:themeColor="text1"/>
        </w:rPr>
        <w:t>naast elkaar van toepassing kunnen zijn. Het herstructureren of samenvoegen van deze bepalingen neemt die overlap in de praktijk niet weg, omdat ook na een dergelijke aanpassing - afhankelijk van de feiten en omstandigheden - meerdere verleggingsbepalingen van toepassing kunnen blijven.</w:t>
      </w:r>
    </w:p>
    <w:p w:rsidRPr="00376F71" w:rsidR="001D266A" w:rsidP="00376F71" w:rsidRDefault="001D266A" w14:paraId="15D36184" w14:textId="3588CB23">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Voorts acht het kabinet het niet aangewezen om in artikel 37a Wet OB 1968 een verwijzing op te nemen naar artikel 12 Wet OB 1968. De verplichting tot het doen van een opgaaf ICP</w:t>
      </w:r>
      <w:r w:rsidRPr="00376F71" w:rsidR="001F211C">
        <w:rPr>
          <w:rFonts w:eastAsia="Times New Roman" w:cs="Times New Roman"/>
          <w:iCs/>
          <w:color w:val="000000" w:themeColor="text1"/>
        </w:rPr>
        <w:t xml:space="preserve"> in Nederland</w:t>
      </w:r>
      <w:r w:rsidRPr="00376F71">
        <w:rPr>
          <w:rFonts w:eastAsia="Times New Roman" w:cs="Times New Roman"/>
          <w:iCs/>
          <w:color w:val="000000" w:themeColor="text1"/>
        </w:rPr>
        <w:t xml:space="preserve"> hangt niet samen met in Nederland verlegde btw op grond van artikel 12 Wet OB 1968, maar met de in andere lidstaten toegepaste verleggingssystematiek op grond van artikel 194 BTW-richtlijn 2006. Om die reden volstaat de voorgestelde systematiek.</w:t>
      </w:r>
    </w:p>
    <w:p w:rsidRPr="00376F71" w:rsidR="00ED596F" w:rsidP="00376F71" w:rsidRDefault="001D266A" w14:paraId="73A7092E" w14:textId="1CE9BD96">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lastRenderedPageBreak/>
        <w:t>Het kabinet erkent evenwel dat voor de kenbaarheid van de regeling</w:t>
      </w:r>
      <w:r w:rsidRPr="00376F71" w:rsidR="002804AB">
        <w:rPr>
          <w:rFonts w:eastAsia="Times New Roman" w:cs="Times New Roman"/>
          <w:iCs/>
          <w:color w:val="000000" w:themeColor="text1"/>
        </w:rPr>
        <w:t xml:space="preserve"> wenselijk is</w:t>
      </w:r>
      <w:r w:rsidRPr="00376F71">
        <w:rPr>
          <w:rFonts w:eastAsia="Times New Roman" w:cs="Times New Roman"/>
          <w:iCs/>
          <w:color w:val="000000" w:themeColor="text1"/>
        </w:rPr>
        <w:t xml:space="preserve"> de verhouding tussen artikel 12</w:t>
      </w:r>
      <w:r w:rsidRPr="00376F71" w:rsidR="002804AB">
        <w:rPr>
          <w:rFonts w:eastAsia="Times New Roman" w:cs="Times New Roman"/>
          <w:iCs/>
          <w:color w:val="000000" w:themeColor="text1"/>
        </w:rPr>
        <w:t>, derde lid,</w:t>
      </w:r>
      <w:r w:rsidRPr="00376F71">
        <w:rPr>
          <w:rFonts w:eastAsia="Times New Roman" w:cs="Times New Roman"/>
          <w:iCs/>
          <w:color w:val="000000" w:themeColor="text1"/>
        </w:rPr>
        <w:t xml:space="preserve"> Wet OB 1968 </w:t>
      </w:r>
      <w:r w:rsidRPr="00376F71" w:rsidR="002804AB">
        <w:rPr>
          <w:rFonts w:eastAsia="Times New Roman" w:cs="Times New Roman"/>
          <w:iCs/>
          <w:color w:val="000000" w:themeColor="text1"/>
        </w:rPr>
        <w:t>en het voorgestelde artikel 12, vierde lid, Wet OB 1968 te verduidelijken</w:t>
      </w:r>
      <w:r w:rsidRPr="00376F71">
        <w:rPr>
          <w:rFonts w:eastAsia="Times New Roman" w:cs="Times New Roman"/>
          <w:iCs/>
          <w:color w:val="000000" w:themeColor="text1"/>
        </w:rPr>
        <w:t xml:space="preserve">. Om die reden </w:t>
      </w:r>
      <w:r w:rsidRPr="00376F71" w:rsidR="00F45F1E">
        <w:rPr>
          <w:rFonts w:eastAsia="Times New Roman" w:cs="Times New Roman"/>
          <w:iCs/>
          <w:color w:val="000000" w:themeColor="text1"/>
        </w:rPr>
        <w:t>wordt bij</w:t>
      </w:r>
      <w:r w:rsidRPr="00376F71">
        <w:rPr>
          <w:rFonts w:eastAsia="Times New Roman" w:cs="Times New Roman"/>
          <w:iCs/>
          <w:color w:val="000000" w:themeColor="text1"/>
        </w:rPr>
        <w:t xml:space="preserve"> nota van wijziging </w:t>
      </w:r>
      <w:r w:rsidRPr="00376F71" w:rsidR="00F45F1E">
        <w:rPr>
          <w:rFonts w:eastAsia="Times New Roman" w:cs="Times New Roman"/>
          <w:iCs/>
          <w:color w:val="000000" w:themeColor="text1"/>
        </w:rPr>
        <w:t xml:space="preserve">in </w:t>
      </w:r>
      <w:r w:rsidRPr="00376F71" w:rsidR="002804AB">
        <w:rPr>
          <w:rFonts w:eastAsia="Times New Roman" w:cs="Times New Roman"/>
          <w:iCs/>
          <w:color w:val="000000" w:themeColor="text1"/>
        </w:rPr>
        <w:t xml:space="preserve">het </w:t>
      </w:r>
      <w:r w:rsidRPr="00376F71">
        <w:rPr>
          <w:rFonts w:eastAsia="Times New Roman" w:cs="Times New Roman"/>
          <w:iCs/>
          <w:color w:val="000000" w:themeColor="text1"/>
        </w:rPr>
        <w:t>voorgesteld</w:t>
      </w:r>
      <w:r w:rsidRPr="00376F71" w:rsidR="002804AB">
        <w:rPr>
          <w:rFonts w:eastAsia="Times New Roman" w:cs="Times New Roman"/>
          <w:iCs/>
          <w:color w:val="000000" w:themeColor="text1"/>
        </w:rPr>
        <w:t>e</w:t>
      </w:r>
      <w:r w:rsidRPr="00376F71">
        <w:rPr>
          <w:rFonts w:eastAsia="Times New Roman" w:cs="Times New Roman"/>
          <w:iCs/>
          <w:color w:val="000000" w:themeColor="text1"/>
        </w:rPr>
        <w:t xml:space="preserve"> </w:t>
      </w:r>
      <w:r w:rsidRPr="00376F71" w:rsidR="002804AB">
        <w:rPr>
          <w:rFonts w:eastAsia="Times New Roman" w:cs="Times New Roman"/>
          <w:iCs/>
          <w:color w:val="000000" w:themeColor="text1"/>
        </w:rPr>
        <w:t xml:space="preserve">artikel 12, </w:t>
      </w:r>
      <w:r w:rsidRPr="00376F71">
        <w:rPr>
          <w:rFonts w:eastAsia="Times New Roman" w:cs="Times New Roman"/>
          <w:iCs/>
          <w:color w:val="000000" w:themeColor="text1"/>
        </w:rPr>
        <w:t>vierde lid</w:t>
      </w:r>
      <w:r w:rsidRPr="00376F71" w:rsidR="002804AB">
        <w:rPr>
          <w:rFonts w:eastAsia="Times New Roman" w:cs="Times New Roman"/>
          <w:iCs/>
          <w:color w:val="000000" w:themeColor="text1"/>
        </w:rPr>
        <w:t xml:space="preserve">, Wet OB 1968 </w:t>
      </w:r>
      <w:r w:rsidRPr="00376F71" w:rsidR="00F45F1E">
        <w:rPr>
          <w:rFonts w:eastAsia="Times New Roman" w:cs="Times New Roman"/>
          <w:iCs/>
          <w:color w:val="000000" w:themeColor="text1"/>
        </w:rPr>
        <w:t xml:space="preserve">verduidelijkt dat </w:t>
      </w:r>
      <w:r w:rsidRPr="00376F71">
        <w:rPr>
          <w:rFonts w:eastAsia="Times New Roman" w:cs="Times New Roman"/>
          <w:iCs/>
          <w:color w:val="000000" w:themeColor="text1"/>
        </w:rPr>
        <w:t xml:space="preserve">indien dat lid van toepassing is, </w:t>
      </w:r>
      <w:r w:rsidRPr="00376F71" w:rsidR="00F45F1E">
        <w:rPr>
          <w:rFonts w:eastAsia="Times New Roman" w:cs="Times New Roman"/>
          <w:iCs/>
          <w:color w:val="000000" w:themeColor="text1"/>
        </w:rPr>
        <w:t xml:space="preserve">artikel 12, </w:t>
      </w:r>
      <w:r w:rsidRPr="00376F71">
        <w:rPr>
          <w:rFonts w:eastAsia="Times New Roman" w:cs="Times New Roman"/>
          <w:iCs/>
          <w:color w:val="000000" w:themeColor="text1"/>
        </w:rPr>
        <w:t>derde lid</w:t>
      </w:r>
      <w:r w:rsidRPr="00376F71" w:rsidR="00F45F1E">
        <w:rPr>
          <w:rFonts w:eastAsia="Times New Roman" w:cs="Times New Roman"/>
          <w:iCs/>
          <w:color w:val="000000" w:themeColor="text1"/>
        </w:rPr>
        <w:t>, Wet OB 1968</w:t>
      </w:r>
      <w:r w:rsidRPr="00376F71">
        <w:rPr>
          <w:rFonts w:eastAsia="Times New Roman" w:cs="Times New Roman"/>
          <w:iCs/>
          <w:color w:val="000000" w:themeColor="text1"/>
        </w:rPr>
        <w:t xml:space="preserve"> buiten toepassing blijft</w:t>
      </w:r>
      <w:r w:rsidRPr="00376F71" w:rsidR="008F3B4B">
        <w:rPr>
          <w:rFonts w:eastAsia="Times New Roman" w:cs="Times New Roman"/>
          <w:iCs/>
          <w:color w:val="000000" w:themeColor="text1"/>
        </w:rPr>
        <w:t xml:space="preserve">. </w:t>
      </w:r>
    </w:p>
    <w:p w:rsidRPr="00376F71" w:rsidR="008B6FDC" w:rsidP="00376F71" w:rsidRDefault="008B6FDC" w14:paraId="3827389E" w14:textId="77777777">
      <w:pPr>
        <w:keepNext/>
        <w:keepLines/>
        <w:spacing w:line="360" w:lineRule="auto"/>
        <w:ind w:left="1418"/>
        <w:outlineLvl w:val="0"/>
        <w:rPr>
          <w:b/>
          <w:i/>
          <w:color w:val="000000" w:themeColor="text1"/>
          <w:szCs w:val="28"/>
        </w:rPr>
      </w:pPr>
      <w:bookmarkStart w:name="_Toc231899750" w:id="9"/>
      <w:r w:rsidRPr="00376F71">
        <w:rPr>
          <w:b/>
          <w:i/>
          <w:color w:val="000000" w:themeColor="text1"/>
          <w:szCs w:val="28"/>
        </w:rPr>
        <w:t>5. Gevolgen</w:t>
      </w:r>
      <w:bookmarkEnd w:id="9"/>
    </w:p>
    <w:p w:rsidRPr="00376F71" w:rsidR="008B6FDC" w:rsidP="00376F71" w:rsidRDefault="008B6FDC" w14:paraId="53B3D280" w14:textId="77777777">
      <w:pPr>
        <w:keepNext/>
        <w:keepLines/>
        <w:spacing w:line="360" w:lineRule="auto"/>
        <w:ind w:left="1418"/>
        <w:outlineLvl w:val="0"/>
        <w:rPr>
          <w:b/>
          <w:i/>
          <w:color w:val="000000" w:themeColor="text1"/>
          <w:szCs w:val="28"/>
        </w:rPr>
      </w:pPr>
      <w:bookmarkStart w:name="_Toc231899751" w:id="10"/>
      <w:r w:rsidRPr="00376F71">
        <w:rPr>
          <w:b/>
          <w:i/>
          <w:color w:val="000000" w:themeColor="text1"/>
          <w:szCs w:val="28"/>
        </w:rPr>
        <w:t>5.1. Effecten voor bedrijven en burgers</w:t>
      </w:r>
      <w:bookmarkEnd w:id="10"/>
    </w:p>
    <w:p w:rsidRPr="00376F71" w:rsidR="008B6FDC" w:rsidP="00376F71" w:rsidRDefault="00425DBA" w14:paraId="77D8B899" w14:textId="626DBCB6">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1</w:t>
      </w:r>
      <w:r w:rsidR="002E2325">
        <w:rPr>
          <w:rFonts w:eastAsia="Times New Roman" w:cs="Times New Roman"/>
          <w:i/>
          <w:color w:val="000000" w:themeColor="text1"/>
        </w:rPr>
        <w:t>0</w:t>
      </w:r>
      <w:r w:rsidRPr="00376F71" w:rsidR="008B6FDC">
        <w:rPr>
          <w:rFonts w:eastAsia="Times New Roman" w:cs="Times New Roman"/>
          <w:i/>
          <w:color w:val="000000" w:themeColor="text1"/>
        </w:rPr>
        <w:t xml:space="preserve"> – VVD</w:t>
      </w:r>
    </w:p>
    <w:p w:rsidRPr="00376F71" w:rsidR="008B6FDC" w:rsidP="00376F71" w:rsidRDefault="008B6FDC" w14:paraId="387414CE" w14:textId="328203BC">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De leden van de VVD-fractie lezen dat het kabinet stelt dat het doel “het verminderen van de administratieve lasten die voortvloeien uit btw</w:t>
      </w:r>
      <w:r w:rsidRPr="00376F71">
        <w:rPr>
          <w:rFonts w:ascii="Cambria Math" w:hAnsi="Cambria Math" w:eastAsia="Times New Roman" w:cs="Cambria Math"/>
          <w:i/>
          <w:color w:val="000000" w:themeColor="text1"/>
        </w:rPr>
        <w:t>‑</w:t>
      </w:r>
      <w:r w:rsidRPr="00376F71">
        <w:rPr>
          <w:rFonts w:eastAsia="Times New Roman" w:cs="Times New Roman"/>
          <w:i/>
          <w:color w:val="000000" w:themeColor="text1"/>
        </w:rPr>
        <w:t>registraties in meerdere lidstaten</w:t>
      </w:r>
      <w:r w:rsidRPr="00376F71">
        <w:rPr>
          <w:rFonts w:eastAsia="Times New Roman" w:cs="Verdana"/>
          <w:i/>
          <w:color w:val="000000" w:themeColor="text1"/>
        </w:rPr>
        <w:t>”</w:t>
      </w:r>
      <w:r w:rsidRPr="00376F71">
        <w:rPr>
          <w:rFonts w:eastAsia="Times New Roman" w:cs="Times New Roman"/>
          <w:i/>
          <w:color w:val="000000" w:themeColor="text1"/>
        </w:rPr>
        <w:t xml:space="preserve"> is en dat de lastenverlichting voor ondernemers wordt geraamd op </w:t>
      </w:r>
      <w:r w:rsidRPr="00376F71">
        <w:rPr>
          <w:rFonts w:eastAsia="Times New Roman" w:cs="Verdana"/>
          <w:i/>
          <w:color w:val="000000" w:themeColor="text1"/>
        </w:rPr>
        <w:t>€ </w:t>
      </w:r>
      <w:r w:rsidRPr="00376F71">
        <w:rPr>
          <w:rFonts w:eastAsia="Times New Roman" w:cs="Times New Roman"/>
          <w:i/>
          <w:color w:val="000000" w:themeColor="text1"/>
        </w:rPr>
        <w:t>81 miljoen. Tegelijkertijd worden nieuwe verplichtingen ge</w:t>
      </w:r>
      <w:r w:rsidRPr="00376F71">
        <w:rPr>
          <w:rFonts w:eastAsia="Times New Roman" w:cs="Verdana"/>
          <w:i/>
          <w:color w:val="000000" w:themeColor="text1"/>
        </w:rPr>
        <w:t>ï</w:t>
      </w:r>
      <w:r w:rsidRPr="00376F71">
        <w:rPr>
          <w:rFonts w:eastAsia="Times New Roman" w:cs="Times New Roman"/>
          <w:i/>
          <w:color w:val="000000" w:themeColor="text1"/>
        </w:rPr>
        <w:t>ntroduceerd zoals aanvullende btw</w:t>
      </w:r>
      <w:r w:rsidRPr="00376F71">
        <w:rPr>
          <w:rFonts w:ascii="Cambria Math" w:hAnsi="Cambria Math" w:eastAsia="Times New Roman" w:cs="Cambria Math"/>
          <w:i/>
          <w:color w:val="000000" w:themeColor="text1"/>
        </w:rPr>
        <w:t>‑</w:t>
      </w:r>
      <w:r w:rsidRPr="00376F71">
        <w:rPr>
          <w:rFonts w:eastAsia="Times New Roman" w:cs="Times New Roman"/>
          <w:i/>
          <w:color w:val="000000" w:themeColor="text1"/>
        </w:rPr>
        <w:t xml:space="preserve">meldingen en administratieve eisen binnen de </w:t>
      </w:r>
      <w:r w:rsidRPr="00376F71">
        <w:rPr>
          <w:rFonts w:eastAsia="Times New Roman" w:cs="Verdana"/>
          <w:i/>
          <w:color w:val="000000" w:themeColor="text1"/>
        </w:rPr>
        <w:t>éé</w:t>
      </w:r>
      <w:r w:rsidRPr="00376F71">
        <w:rPr>
          <w:rFonts w:eastAsia="Times New Roman" w:cs="Times New Roman"/>
          <w:i/>
          <w:color w:val="000000" w:themeColor="text1"/>
        </w:rPr>
        <w:t>nloket</w:t>
      </w:r>
      <w:r w:rsidRPr="00376F71">
        <w:rPr>
          <w:rFonts w:ascii="Cambria Math" w:hAnsi="Cambria Math" w:eastAsia="Times New Roman" w:cs="Cambria Math"/>
          <w:i/>
          <w:color w:val="000000" w:themeColor="text1"/>
        </w:rPr>
        <w:t>‑</w:t>
      </w:r>
      <w:r w:rsidRPr="00376F71">
        <w:rPr>
          <w:rFonts w:eastAsia="Times New Roman" w:cs="Times New Roman"/>
          <w:i/>
          <w:color w:val="000000" w:themeColor="text1"/>
        </w:rPr>
        <w:t xml:space="preserve"> en overbrengingsregeling. Kan de regering nader onderbouwen hoe deze lastenverlichting van </w:t>
      </w:r>
      <w:r w:rsidRPr="00376F71">
        <w:rPr>
          <w:rFonts w:eastAsia="Times New Roman" w:cs="Verdana"/>
          <w:i/>
          <w:color w:val="000000" w:themeColor="text1"/>
        </w:rPr>
        <w:t>€ </w:t>
      </w:r>
      <w:r w:rsidRPr="00376F71">
        <w:rPr>
          <w:rFonts w:eastAsia="Times New Roman" w:cs="Times New Roman"/>
          <w:i/>
          <w:color w:val="000000" w:themeColor="text1"/>
        </w:rPr>
        <w:t>81 miljoen is berekend en in hoeverre daarin rekening is gehouden met de extra administratieve verplichtingen die ondernemers krijgen bij de uitbreiding van de éénloketregelingen?</w:t>
      </w:r>
    </w:p>
    <w:p w:rsidRPr="00376F71" w:rsidR="0017013E" w:rsidP="00376F71" w:rsidRDefault="0017013E" w14:paraId="501087AF" w14:textId="295EF8A7">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De inschatting van de lastenverlichting van € 81 miljoen voor Nederlandse ondernemers is gebaseerd op de effectbeoordeling van de Europese Commissie die ten grondslag ligt aan het richtlijnvoorstel.</w:t>
      </w:r>
      <w:r w:rsidRPr="00376F71" w:rsidR="001B6FBA">
        <w:rPr>
          <w:rStyle w:val="Voetnootmarkering"/>
          <w:rFonts w:eastAsia="Times New Roman" w:cs="Times New Roman"/>
          <w:iCs/>
          <w:color w:val="000000" w:themeColor="text1"/>
        </w:rPr>
        <w:footnoteReference w:id="4"/>
      </w:r>
      <w:r w:rsidRPr="00376F71">
        <w:rPr>
          <w:rFonts w:eastAsia="Times New Roman" w:cs="Times New Roman"/>
          <w:iCs/>
          <w:color w:val="000000" w:themeColor="text1"/>
        </w:rPr>
        <w:t xml:space="preserve"> In deze effectbeoordeling zijn zowel de lastenverlichting </w:t>
      </w:r>
      <w:r w:rsidRPr="00376F71" w:rsidR="00BC0E83">
        <w:rPr>
          <w:rFonts w:eastAsia="Times New Roman" w:cs="Times New Roman"/>
          <w:iCs/>
          <w:color w:val="000000" w:themeColor="text1"/>
        </w:rPr>
        <w:t xml:space="preserve">meegenomen </w:t>
      </w:r>
      <w:r w:rsidRPr="00376F71">
        <w:rPr>
          <w:rFonts w:eastAsia="Times New Roman" w:cs="Times New Roman"/>
          <w:iCs/>
          <w:color w:val="000000" w:themeColor="text1"/>
        </w:rPr>
        <w:t>als gevolg van het vervallen van btw-registratie- en aangifteplichten in andere lidstaten als de bijkomende administratieve verplichtingen, waaronder aanvullende btw-meldingen.</w:t>
      </w:r>
    </w:p>
    <w:p w:rsidRPr="00376F71" w:rsidR="0017013E" w:rsidP="00376F71" w:rsidRDefault="0017013E" w14:paraId="0E6F5E10" w14:textId="7B83DDF1">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De totale jaarlijkse lastenverlichting voor bedrijven in de Unie wordt door de Europese Commissie geraamd op circa € 830 miljoen. Op basis van Eurostat-gegevens is vervolgens bepaald welk deel van dit totaal toerekenbaar is aan in Nederland gevestigde ondernemers die grensoverschrijdende activiteiten verrichten. Op basis hiervan wordt het Nederlandse aandeel geraamd op circa 10 procent.</w:t>
      </w:r>
      <w:r w:rsidRPr="00376F71" w:rsidR="006A7F2C">
        <w:rPr>
          <w:rFonts w:eastAsia="Times New Roman" w:cs="Times New Roman"/>
          <w:iCs/>
          <w:color w:val="000000" w:themeColor="text1"/>
        </w:rPr>
        <w:t xml:space="preserve"> Dit leidt tot een geraamde </w:t>
      </w:r>
      <w:r w:rsidRPr="00376F71" w:rsidR="002B76A3">
        <w:rPr>
          <w:rFonts w:eastAsia="Times New Roman" w:cs="Times New Roman"/>
          <w:iCs/>
          <w:color w:val="000000" w:themeColor="text1"/>
        </w:rPr>
        <w:t xml:space="preserve">administratieve </w:t>
      </w:r>
      <w:r w:rsidRPr="00376F71" w:rsidR="006A7F2C">
        <w:rPr>
          <w:rFonts w:eastAsia="Times New Roman" w:cs="Times New Roman"/>
          <w:iCs/>
          <w:color w:val="000000" w:themeColor="text1"/>
        </w:rPr>
        <w:t>verlichting voor Nederland van ongeveer € 81 miljoen.</w:t>
      </w:r>
    </w:p>
    <w:p w:rsidRPr="00376F71" w:rsidR="008B6FDC" w:rsidP="00376F71" w:rsidRDefault="008B6FDC" w14:paraId="71DDB13D" w14:textId="26ED7B52">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1</w:t>
      </w:r>
      <w:r w:rsidR="002E2325">
        <w:rPr>
          <w:rFonts w:eastAsia="Times New Roman" w:cs="Times New Roman"/>
          <w:i/>
          <w:color w:val="000000" w:themeColor="text1"/>
        </w:rPr>
        <w:t>1</w:t>
      </w:r>
      <w:r w:rsidRPr="00376F71">
        <w:rPr>
          <w:rFonts w:eastAsia="Times New Roman" w:cs="Times New Roman"/>
          <w:i/>
          <w:color w:val="000000" w:themeColor="text1"/>
        </w:rPr>
        <w:t xml:space="preserve"> – VVD</w:t>
      </w:r>
    </w:p>
    <w:p w:rsidRPr="00376F71" w:rsidR="008B6FDC" w:rsidP="00376F71" w:rsidRDefault="008B6FDC" w14:paraId="544CCF5A" w14:textId="7383782E">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 xml:space="preserve">De leden van de VVD-fractie lezen dat de éénloketregelingen optioneel blijven en dat ondernemers zelf een afweging kunnen maken of toepassing voor hen gunstig is. Tegelijkertijd leidt het wetsvoorstel ertoe dat bepaalde regelingen, zoals de verleggingsregeling, verplicht worden gesteld. In welke concrete situaties verwacht de regering dat ondernemers er juist níet voor zullen kiezen om de Unieregeling </w:t>
      </w:r>
      <w:r w:rsidRPr="00376F71">
        <w:rPr>
          <w:rFonts w:eastAsia="Times New Roman" w:cs="Times New Roman"/>
          <w:i/>
          <w:color w:val="000000" w:themeColor="text1"/>
        </w:rPr>
        <w:lastRenderedPageBreak/>
        <w:t>toe te passen, en acht de regering het risico aanwezig dat ondernemers door de complexiteit van de keuzes alsnog hogere nalevingskosten krijgen?</w:t>
      </w:r>
    </w:p>
    <w:p w:rsidRPr="00376F71" w:rsidR="006A7F2C" w:rsidP="00376F71" w:rsidRDefault="006A7F2C" w14:paraId="261DF704" w14:textId="72535252">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De toepassing van de Unieregeling is voor ondernemers met name voordelig indien zij prestaties verrichten aan niet-ondernemers in meerdere lidstaten en deze prestaties binnen het toepassingsbereik van de regeling vallen. In een aantal situaties ligt het echter niet voor de hand dat ondernemers voor toepassing van de Unieregeling kiezen.</w:t>
      </w:r>
    </w:p>
    <w:p w:rsidRPr="00376F71" w:rsidR="006A7F2C" w:rsidP="00376F71" w:rsidRDefault="006A7F2C" w14:paraId="29982429" w14:textId="66240766">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Allereerst ligt toepassing niet in de rede voor in Nederland gevestigde ondernemers die uitsluitend binnen Nederland prestaties verrichten. Zij verrichten geen grensoverschrijdende leveringen of diensten waarop de Unieregeling van toepassing kan zijn en ondervinden derhalve geen voordeel van de regeling.</w:t>
      </w:r>
    </w:p>
    <w:p w:rsidRPr="00376F71" w:rsidR="006A7F2C" w:rsidP="00376F71" w:rsidRDefault="006A7F2C" w14:paraId="2804638D" w14:textId="292663CB">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Ten tweede zullen ondernemers die hoofdzakelijk prestaties verrichten aan andere ondernemers (B2B) doorgaans niet voor de Unieregeling kiezen. Deze prestaties vallen in beginsel buiten het toepassingsbereik van de Unieregeling, onder meer omdat in dergelijke gevallen veelal de verleggingsregeling of het nultarief van toepassing is.</w:t>
      </w:r>
    </w:p>
    <w:p w:rsidRPr="00376F71" w:rsidR="006A7F2C" w:rsidP="00376F71" w:rsidRDefault="006A7F2C" w14:paraId="684BA40F" w14:textId="70262121">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Ten derde ligt toepassing van de Unieregeling minder voor de hand indien een ondernemer in meerdere lidstaten te maken heeft met voorbelasting. In die gevallen kan het, afhankelijk van de situatie, efficiënter zijn om lokale btw-registraties te behouden, zodat het recht op aftrek van voorbelasting rechtstreeks in de aangifte in de betreffende lidstaat kan worden uitgeoefend.</w:t>
      </w:r>
    </w:p>
    <w:p w:rsidRPr="00376F71" w:rsidR="006A7F2C" w:rsidP="00376F71" w:rsidRDefault="006A7F2C" w14:paraId="6C762C45" w14:textId="11C02F56">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Ten slotte ligt toepassing niet voor de hand voor ondernemers die uitsluitend prestaties verrichten die onder bepaalde bijzondere regelingen vallen, zoals de margeregeling. Deze prestaties vallen buiten het toepassingsbereik van de Unieregeling, waardoor toepassing daarvan geen vereenvoudiging oplevert en slechts extra administratieve verplichtingen zou meebrengen.</w:t>
      </w:r>
    </w:p>
    <w:p w:rsidRPr="00376F71" w:rsidR="008B6FDC" w:rsidP="00376F71" w:rsidRDefault="008B6FDC" w14:paraId="2BE2937C" w14:textId="7FA0AD29">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1</w:t>
      </w:r>
      <w:r w:rsidR="002E2325">
        <w:rPr>
          <w:rFonts w:eastAsia="Times New Roman" w:cs="Times New Roman"/>
          <w:i/>
          <w:color w:val="000000" w:themeColor="text1"/>
        </w:rPr>
        <w:t>2</w:t>
      </w:r>
      <w:r w:rsidRPr="00376F71">
        <w:rPr>
          <w:rFonts w:eastAsia="Times New Roman" w:cs="Times New Roman"/>
          <w:i/>
          <w:color w:val="000000" w:themeColor="text1"/>
        </w:rPr>
        <w:t xml:space="preserve"> – VVD</w:t>
      </w:r>
      <w:r w:rsidRPr="00376F71" w:rsidR="003B5580">
        <w:rPr>
          <w:rFonts w:eastAsia="Times New Roman" w:cs="Times New Roman"/>
          <w:i/>
          <w:color w:val="000000" w:themeColor="text1"/>
        </w:rPr>
        <w:t xml:space="preserve"> </w:t>
      </w:r>
    </w:p>
    <w:p w:rsidRPr="00376F71" w:rsidR="00954BFB" w:rsidP="00376F71" w:rsidRDefault="008B6FDC" w14:paraId="7C104B73" w14:textId="1FC81C72">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De leden van de VVD-fractie lezen dat vooral ondernemers in sectoren zoals energievoorziening en de bouw baat zullen hebben bij de uitbreiding van de Unieregeling. Tegelijkertijd wordt de samenloop met regelingen voor kleinere ondernemers, zoals de drempel van € 10.000 en de kleineondernemersregeling, aangescherpt. Kan de regering nader toelichten wat de gevolgen van dit wetsvoorstel zijn voor kleine ondernemers en zzp’ers die grensoverschrijdend actief zijn en in hoeverre zij voldoende worden ondersteund bij het maken van de juiste fiscale keuzes?</w:t>
      </w:r>
    </w:p>
    <w:p w:rsidRPr="00376F71" w:rsidR="006A7F2C" w:rsidP="00376F71" w:rsidRDefault="006A7F2C" w14:paraId="42DD423D" w14:textId="712C5557">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Het kabinet </w:t>
      </w:r>
      <w:r w:rsidRPr="00376F71" w:rsidR="00BC0E83">
        <w:rPr>
          <w:rFonts w:eastAsia="Times New Roman" w:cs="Times New Roman"/>
          <w:iCs/>
          <w:color w:val="000000" w:themeColor="text1"/>
        </w:rPr>
        <w:t>meent</w:t>
      </w:r>
      <w:r w:rsidRPr="00376F71">
        <w:rPr>
          <w:rFonts w:eastAsia="Times New Roman" w:cs="Times New Roman"/>
          <w:iCs/>
          <w:color w:val="000000" w:themeColor="text1"/>
        </w:rPr>
        <w:t xml:space="preserve"> dat de uitbreiding van de Unieregeling </w:t>
      </w:r>
      <w:r w:rsidRPr="00376F71" w:rsidR="00BC0E83">
        <w:rPr>
          <w:rFonts w:eastAsia="Times New Roman" w:cs="Times New Roman"/>
          <w:iCs/>
          <w:color w:val="000000" w:themeColor="text1"/>
        </w:rPr>
        <w:t xml:space="preserve">niet </w:t>
      </w:r>
      <w:r w:rsidRPr="00376F71">
        <w:rPr>
          <w:rFonts w:eastAsia="Times New Roman" w:cs="Times New Roman"/>
          <w:iCs/>
          <w:color w:val="000000" w:themeColor="text1"/>
        </w:rPr>
        <w:t xml:space="preserve">leidt tot een verscherping van de samenloop met de kleineondernemersregeling (KOR) of de € 10.000-drempelregeling. De uitsluiting van de € 10.000-drempel in gevallen waarin </w:t>
      </w:r>
      <w:r w:rsidRPr="00376F71">
        <w:rPr>
          <w:rFonts w:eastAsia="Times New Roman" w:cs="Times New Roman"/>
          <w:iCs/>
          <w:color w:val="000000" w:themeColor="text1"/>
        </w:rPr>
        <w:lastRenderedPageBreak/>
        <w:t xml:space="preserve">een ondernemer gebruikmaakt van de Unieregeling </w:t>
      </w:r>
      <w:r w:rsidRPr="00376F71" w:rsidR="00BC0E83">
        <w:rPr>
          <w:rFonts w:eastAsia="Times New Roman" w:cs="Times New Roman"/>
          <w:iCs/>
          <w:color w:val="000000" w:themeColor="text1"/>
        </w:rPr>
        <w:t>ligt voor de hand</w:t>
      </w:r>
      <w:r w:rsidRPr="00376F71">
        <w:rPr>
          <w:rFonts w:eastAsia="Times New Roman" w:cs="Times New Roman"/>
          <w:iCs/>
          <w:color w:val="000000" w:themeColor="text1"/>
        </w:rPr>
        <w:t xml:space="preserve"> aangezien beide regelingen ertoe strekken administratieve lasten te beperken door te voorkomen dat ondernemers zich in andere lidstaten moeten registreren en aldaar aangiften moeten doen.</w:t>
      </w:r>
    </w:p>
    <w:p w:rsidRPr="00376F71" w:rsidR="006A7F2C" w:rsidP="00376F71" w:rsidRDefault="006A7F2C" w14:paraId="566C2A55" w14:textId="4EC4E11A">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De € 10.000-drempelregeling is gebaseerd op het uitgangspunt van heffing in de lidstaat van oorsprong, terwijl de btw-heffing binnen de Unieregeling is gebaseerd op het bestemmingslandbeginsel. Deze systematiek verschilt fundamenteel. </w:t>
      </w:r>
      <w:r w:rsidRPr="00376F71" w:rsidR="00726A6B">
        <w:rPr>
          <w:rFonts w:eastAsia="Times New Roman" w:cs="Times New Roman"/>
          <w:iCs/>
          <w:color w:val="000000" w:themeColor="text1"/>
        </w:rPr>
        <w:t>Voorts is gelijktijdige toepassing van beide regelingen niet beoogd omdat dit ertoe kan leiden dat een ondernemer aan de administratieve verplichtingen van de Unieregeling moet voldoen, terwijl hij op grond van de drempelregeling geen belaste prestaties in een andere lidstaat heeft.</w:t>
      </w:r>
    </w:p>
    <w:p w:rsidRPr="00376F71" w:rsidR="006A7F2C" w:rsidP="00376F71" w:rsidRDefault="006A7F2C" w14:paraId="0A63A2B2" w14:textId="1C0F7112">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Voorts brengt het onderhavige wetsvoorstel geen wijzigingen aan in de verhouding tussen de KOR en de Unieregeling. Ondernemers kunnen beide regelingen in beginsel blijven toepassen, mits aan de voorwaarden van beide regelingen wordt voldaan.</w:t>
      </w:r>
    </w:p>
    <w:p w:rsidRPr="00376F71" w:rsidR="006A7F2C" w:rsidP="00376F71" w:rsidRDefault="006A7F2C" w14:paraId="7A278627" w14:textId="47EAC3BB">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Voor kleine ondernemers die grensoverschrijdend actief zijn, leidt de implementatie van de Richtlijn btw in het digitale tijdperk niet tot nadelige gevolgen. Voor zover zij handelingen verrichten die voorheen niet onder de éénloketregelingen vielen, kunnen zij na implementatie juist gebruikmaken van de Unieregeling indien dit leidt tot een vermindering van administratieve verplichtingen en registratieverplichtingen in andere lidstaten.</w:t>
      </w:r>
    </w:p>
    <w:p w:rsidRPr="00376F71" w:rsidR="00DA585F" w:rsidP="00376F71" w:rsidRDefault="00DA585F" w14:paraId="3A37BF41" w14:textId="60D8E1B6">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Ten aanzien van de vraag in hoeverre kleine ondernemers zullen worden begeleid bij hun keuze voor de éénloketregelingen, merkt het kabinet op dat de Belastingdienst hierover zal communiceren via de reguliere kanalen. De individuele afweging of het voordelig is om al dan niet te opteren voor een bepaalde regeling, behoort echter tot de verantwoordelijkheid van de ondernemer zelf. De ondernemer</w:t>
      </w:r>
      <w:r w:rsidRPr="00376F71" w:rsidR="00232B2E">
        <w:rPr>
          <w:rFonts w:eastAsia="Times New Roman" w:cs="Times New Roman"/>
          <w:iCs/>
          <w:color w:val="000000" w:themeColor="text1"/>
        </w:rPr>
        <w:t>s</w:t>
      </w:r>
      <w:r w:rsidRPr="00376F71">
        <w:rPr>
          <w:rFonts w:eastAsia="Times New Roman" w:cs="Times New Roman"/>
          <w:iCs/>
          <w:color w:val="000000" w:themeColor="text1"/>
        </w:rPr>
        <w:t xml:space="preserve"> dienen zelfstandig te beoordelen in hoeverre de voordelen van deelname aan de regeling opwegen tegen eventuele nadelen, toegespitst op hun specifieke situatie.</w:t>
      </w:r>
    </w:p>
    <w:p w:rsidRPr="00376F71" w:rsidR="00954BFB" w:rsidP="00376F71" w:rsidRDefault="00954BFB" w14:paraId="077C8963" w14:textId="521FFCD3">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1</w:t>
      </w:r>
      <w:r w:rsidR="002E2325">
        <w:rPr>
          <w:rFonts w:eastAsia="Times New Roman" w:cs="Times New Roman"/>
          <w:i/>
          <w:color w:val="000000" w:themeColor="text1"/>
        </w:rPr>
        <w:t>3</w:t>
      </w:r>
      <w:r w:rsidRPr="00376F71">
        <w:rPr>
          <w:rFonts w:eastAsia="Times New Roman" w:cs="Times New Roman"/>
          <w:i/>
          <w:color w:val="000000" w:themeColor="text1"/>
        </w:rPr>
        <w:t xml:space="preserve"> – VVD</w:t>
      </w:r>
    </w:p>
    <w:p w:rsidRPr="00376F71" w:rsidR="00954BFB" w:rsidP="00376F71" w:rsidRDefault="008B6FDC" w14:paraId="536AEB59" w14:textId="4BF4C028">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 xml:space="preserve">Is of wordt overwogen de drempel van € 10.000 te verhogen? </w:t>
      </w:r>
    </w:p>
    <w:p w:rsidRPr="00376F71" w:rsidR="00AB6D73" w:rsidP="00376F71" w:rsidRDefault="00AB6D73" w14:paraId="65316EC3" w14:textId="358B68D4">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Gedurende de onderhandelingen over de Richtlijn btw in het digitale tijdperk is een verhoging van de € 10.000-drempel geen onderdeel van de besprekingen geweest. Een verhoging van deze drempel zou zich overigens minder goed verhouden tot de doelstellingen van de richtlijn, namelijk enerzijds het waarborgen van belastingheffing in de lidstaat van consumptie en anderzijds het beperken van administratieve lasten en het voorkomen van concurrentieverstoringen door middel van een centraal aangiftesysteem.</w:t>
      </w:r>
    </w:p>
    <w:p w:rsidRPr="00376F71" w:rsidR="00954BFB" w:rsidP="00376F71" w:rsidRDefault="00954BFB" w14:paraId="2A192539" w14:textId="661D86F3">
      <w:pPr>
        <w:spacing w:line="360" w:lineRule="auto"/>
        <w:ind w:left="1418"/>
        <w:rPr>
          <w:rFonts w:eastAsia="Times New Roman" w:cs="Times New Roman"/>
          <w:i/>
          <w:color w:val="000000" w:themeColor="text1"/>
        </w:rPr>
      </w:pPr>
      <w:r w:rsidRPr="00376F71">
        <w:rPr>
          <w:rFonts w:eastAsia="Times New Roman" w:cs="Times New Roman"/>
          <w:i/>
          <w:color w:val="000000" w:themeColor="text1"/>
        </w:rPr>
        <w:lastRenderedPageBreak/>
        <w:t>1</w:t>
      </w:r>
      <w:r w:rsidR="002E2325">
        <w:rPr>
          <w:rFonts w:eastAsia="Times New Roman" w:cs="Times New Roman"/>
          <w:i/>
          <w:color w:val="000000" w:themeColor="text1"/>
        </w:rPr>
        <w:t>4</w:t>
      </w:r>
      <w:r w:rsidRPr="00376F71">
        <w:rPr>
          <w:rFonts w:eastAsia="Times New Roman" w:cs="Times New Roman"/>
          <w:i/>
          <w:color w:val="000000" w:themeColor="text1"/>
        </w:rPr>
        <w:t xml:space="preserve"> – VVD</w:t>
      </w:r>
    </w:p>
    <w:p w:rsidRPr="00376F71" w:rsidR="008B6FDC" w:rsidP="00376F71" w:rsidRDefault="008B6FDC" w14:paraId="148204FB" w14:textId="4FDB45FF">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Hoe verhoudt deze drempel zich met drempels die in andere lidstaten worden gehanteerd?</w:t>
      </w:r>
    </w:p>
    <w:p w:rsidRPr="00376F71" w:rsidR="00AB6D73" w:rsidP="00376F71" w:rsidRDefault="00AB6D73" w14:paraId="261ADE91" w14:textId="5C2C8A89">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Lidstaten hebben op dit punt geen nationale beleidsruimte. De drempel van </w:t>
      </w:r>
      <w:r w:rsidRPr="00376F71" w:rsidR="00BC0E83">
        <w:rPr>
          <w:rFonts w:eastAsia="Times New Roman" w:cs="Times New Roman"/>
          <w:iCs/>
          <w:color w:val="000000" w:themeColor="text1"/>
        </w:rPr>
        <w:t>€ </w:t>
      </w:r>
      <w:r w:rsidRPr="00376F71">
        <w:rPr>
          <w:rFonts w:eastAsia="Times New Roman" w:cs="Times New Roman"/>
          <w:iCs/>
          <w:color w:val="000000" w:themeColor="text1"/>
        </w:rPr>
        <w:t>10.000 is uniform van toepassing binnen de lidstaten en volgt rechtstreeks uit de BTW-richtlijn 2006.</w:t>
      </w:r>
    </w:p>
    <w:p w:rsidRPr="00376F71" w:rsidR="008B6FDC" w:rsidP="00376F71" w:rsidRDefault="008B6FDC" w14:paraId="04F93F9A" w14:textId="77777777">
      <w:pPr>
        <w:keepNext/>
        <w:keepLines/>
        <w:spacing w:line="360" w:lineRule="auto"/>
        <w:ind w:left="1418"/>
        <w:outlineLvl w:val="0"/>
        <w:rPr>
          <w:b/>
          <w:i/>
          <w:color w:val="000000" w:themeColor="text1"/>
          <w:szCs w:val="28"/>
        </w:rPr>
      </w:pPr>
      <w:bookmarkStart w:name="_Toc231899752" w:id="11"/>
      <w:r w:rsidRPr="00376F71">
        <w:rPr>
          <w:b/>
          <w:i/>
          <w:color w:val="000000" w:themeColor="text1"/>
          <w:szCs w:val="28"/>
        </w:rPr>
        <w:t>5.2. Doeltreffendheid en doelmatigheid</w:t>
      </w:r>
      <w:bookmarkEnd w:id="11"/>
    </w:p>
    <w:p w:rsidRPr="00376F71" w:rsidR="008B6FDC" w:rsidP="00376F71" w:rsidRDefault="008B6FDC" w14:paraId="1B47B7EC" w14:textId="2E8B3B1B">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1</w:t>
      </w:r>
      <w:r w:rsidR="002E2325">
        <w:rPr>
          <w:rFonts w:eastAsia="Times New Roman" w:cs="Times New Roman"/>
          <w:i/>
          <w:color w:val="000000" w:themeColor="text1"/>
        </w:rPr>
        <w:t>5</w:t>
      </w:r>
      <w:r w:rsidRPr="00376F71">
        <w:rPr>
          <w:rFonts w:eastAsia="Times New Roman" w:cs="Times New Roman"/>
          <w:i/>
          <w:color w:val="000000" w:themeColor="text1"/>
        </w:rPr>
        <w:t xml:space="preserve"> – VVD</w:t>
      </w:r>
    </w:p>
    <w:p w:rsidRPr="00376F71" w:rsidR="008B6FDC" w:rsidP="00376F71" w:rsidRDefault="008B6FDC" w14:paraId="56BE38BC" w14:textId="5C6A924B">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De leden van de VVD-fractie lezen dat de maatregelen bijdragen aan een gelijkwaardiger concurrentiepositie tussen binnenlandse ondernemers en ondernemers uit andere lidstaten. Tegelijkertijd biedt de richtlijn weinig beleidsruimte voor nationale keuzes. Hoe beoordeelt de regering de effecten van dit wetsvoorstel op de concurrentiepositie van Nederlandse ondernemers ten opzichte van ondernemers uit andere lidstaten?</w:t>
      </w:r>
    </w:p>
    <w:p w:rsidRPr="00376F71" w:rsidR="00AB6D73" w:rsidP="00376F71" w:rsidRDefault="00AB6D73" w14:paraId="1B78ECCC" w14:textId="390C5DCB">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Het kabinet verwacht dat de voorgestelde harmonisatie en uitbreiding van de éénloketregelingen, in combinatie met de verplichtstelling van de grensoverschrijdende verleggingsregeling, zal leiden tot een verbetering van de concurrentiepositie van in Nederland gevestigde ondernemers ten opzichte van ondernemers uit andere lidstaten. Doordat de noodzaak tot btw-registraties en aangifteverplichtingen in andere lidstaten in belangrijke mate vervalt, worden bestaande fiscale belemmeringen voor grensoverschrijdende handel verminderd. Daarnaast leidt de verdere harmonisatie van regels binnen de Unie ertoe dat verschillen in nationale uitvoeringspraktijken en administratieve lasten verder worden beperkt, waardoor concurrentieverstoringen worden tegengegaan. De beperkte nationale beleidsruimte die de richtlijn laat, past binnen de benadering om gelijke concurrentieverhoudingen binnen de interne markt zoveel mogelijk te waarborgen.</w:t>
      </w:r>
    </w:p>
    <w:p w:rsidRPr="00376F71" w:rsidR="008B6FDC" w:rsidP="00376F71" w:rsidRDefault="008B6FDC" w14:paraId="5F96192D" w14:textId="77777777">
      <w:pPr>
        <w:keepNext/>
        <w:keepLines/>
        <w:spacing w:line="360" w:lineRule="auto"/>
        <w:ind w:left="1418"/>
        <w:outlineLvl w:val="0"/>
        <w:rPr>
          <w:b/>
          <w:i/>
          <w:color w:val="000000" w:themeColor="text1"/>
          <w:szCs w:val="28"/>
        </w:rPr>
      </w:pPr>
      <w:bookmarkStart w:name="_Toc231899753" w:id="12"/>
      <w:r w:rsidRPr="00376F71">
        <w:rPr>
          <w:b/>
          <w:i/>
          <w:color w:val="000000" w:themeColor="text1"/>
          <w:szCs w:val="28"/>
        </w:rPr>
        <w:t>6. Uitvoeringskosten Belastingdienst</w:t>
      </w:r>
      <w:bookmarkEnd w:id="12"/>
    </w:p>
    <w:p w:rsidRPr="00376F71" w:rsidR="008B6FDC" w:rsidP="00376F71" w:rsidRDefault="008B6FDC" w14:paraId="33EA410F" w14:textId="2E673A6D">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1</w:t>
      </w:r>
      <w:r w:rsidR="002E2325">
        <w:rPr>
          <w:rFonts w:eastAsia="Times New Roman" w:cs="Times New Roman"/>
          <w:i/>
          <w:color w:val="000000" w:themeColor="text1"/>
        </w:rPr>
        <w:t>6</w:t>
      </w:r>
      <w:r w:rsidRPr="00376F71">
        <w:rPr>
          <w:rFonts w:eastAsia="Times New Roman" w:cs="Times New Roman"/>
          <w:i/>
          <w:color w:val="000000" w:themeColor="text1"/>
        </w:rPr>
        <w:t xml:space="preserve"> – D66</w:t>
      </w:r>
    </w:p>
    <w:p w:rsidRPr="00376F71" w:rsidR="008B6FDC" w:rsidP="00376F71" w:rsidRDefault="008B6FDC" w14:paraId="515DC547" w14:textId="060ACB18">
      <w:pPr>
        <w:spacing w:line="360" w:lineRule="auto"/>
        <w:ind w:left="1418"/>
        <w:rPr>
          <w:rFonts w:eastAsia="Times New Roman" w:cs="Times New Roman"/>
          <w:iCs/>
          <w:color w:val="000000" w:themeColor="text1"/>
        </w:rPr>
      </w:pPr>
      <w:r w:rsidRPr="00376F71">
        <w:rPr>
          <w:rFonts w:eastAsia="Times New Roman" w:cs="Times New Roman"/>
          <w:i/>
          <w:color w:val="000000" w:themeColor="text1"/>
        </w:rPr>
        <w:t>De leden van de D66-fractie hebben enkele vragen over de uitvoerbaarheid van het voorstel. Zij lezen dat de implementatie deels afhankelijk is van het nieuwe OB-pakket van de Belastingdienst en dat de uitvoeringstoets in 2027 wordt herijkt. Kan de regering nader toelichten welke risico’s er op dit moment in beeld zijn voor tijdige implementatie? Is de regering ervan overtuigd dat tijdige implementatie gaat lukken?</w:t>
      </w:r>
    </w:p>
    <w:p w:rsidRPr="00376F71" w:rsidR="00106B66" w:rsidP="00376F71" w:rsidRDefault="006F617A" w14:paraId="0BEBF3A3" w14:textId="3AAAFB08">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Verwezen wordt naar het antwoord op vraag 18.</w:t>
      </w:r>
    </w:p>
    <w:p w:rsidR="00ED596F" w:rsidP="00376F71" w:rsidRDefault="00ED596F" w14:paraId="5EC04EBE" w14:textId="77777777">
      <w:pPr>
        <w:spacing w:line="360" w:lineRule="auto"/>
        <w:ind w:left="1418"/>
        <w:rPr>
          <w:rFonts w:eastAsia="Times New Roman" w:cs="Times New Roman"/>
          <w:i/>
          <w:color w:val="000000" w:themeColor="text1"/>
        </w:rPr>
      </w:pPr>
    </w:p>
    <w:p w:rsidRPr="00376F71" w:rsidR="008B6FDC" w:rsidP="00376F71" w:rsidRDefault="008B6FDC" w14:paraId="04F9C1DA" w14:textId="3FC0B3D8">
      <w:pPr>
        <w:spacing w:line="360" w:lineRule="auto"/>
        <w:ind w:left="1418"/>
        <w:rPr>
          <w:rFonts w:eastAsia="Times New Roman" w:cs="Times New Roman"/>
          <w:i/>
          <w:color w:val="000000" w:themeColor="text1"/>
        </w:rPr>
      </w:pPr>
      <w:r w:rsidRPr="00376F71">
        <w:rPr>
          <w:rFonts w:eastAsia="Times New Roman" w:cs="Times New Roman"/>
          <w:i/>
          <w:color w:val="000000" w:themeColor="text1"/>
        </w:rPr>
        <w:lastRenderedPageBreak/>
        <w:t>1</w:t>
      </w:r>
      <w:r w:rsidR="002E2325">
        <w:rPr>
          <w:rFonts w:eastAsia="Times New Roman" w:cs="Times New Roman"/>
          <w:i/>
          <w:color w:val="000000" w:themeColor="text1"/>
        </w:rPr>
        <w:t>7</w:t>
      </w:r>
      <w:r w:rsidRPr="00376F71">
        <w:rPr>
          <w:rFonts w:eastAsia="Times New Roman" w:cs="Times New Roman"/>
          <w:i/>
          <w:color w:val="000000" w:themeColor="text1"/>
        </w:rPr>
        <w:t xml:space="preserve"> – VVD</w:t>
      </w:r>
    </w:p>
    <w:p w:rsidRPr="00554575" w:rsidR="00554575" w:rsidP="00554575" w:rsidRDefault="008B6FDC" w14:paraId="76D029F0" w14:textId="3009CB7B">
      <w:pPr>
        <w:spacing w:line="360" w:lineRule="auto"/>
        <w:ind w:left="1418"/>
        <w:rPr>
          <w:rFonts w:eastAsia="Times New Roman" w:cs="Times New Roman"/>
          <w:iCs/>
          <w:color w:val="000000" w:themeColor="text1"/>
        </w:rPr>
      </w:pPr>
      <w:r w:rsidRPr="00376F71">
        <w:rPr>
          <w:rFonts w:eastAsia="Times New Roman" w:cs="Times New Roman"/>
          <w:i/>
          <w:color w:val="000000" w:themeColor="text1"/>
        </w:rPr>
        <w:t>De leden van de VVD-fractie lezen dat de Belastingdienst de maatregelen uitvoerbaar acht, maar dat de implementatie is opgesplitst in twee delen en deels afhankelijk is van het nieuwe OB</w:t>
      </w:r>
      <w:r w:rsidRPr="00376F71">
        <w:rPr>
          <w:rFonts w:ascii="Cambria Math" w:hAnsi="Cambria Math" w:eastAsia="Times New Roman" w:cs="Cambria Math"/>
          <w:i/>
          <w:color w:val="000000" w:themeColor="text1"/>
        </w:rPr>
        <w:t>‑</w:t>
      </w:r>
      <w:r w:rsidRPr="00376F71">
        <w:rPr>
          <w:rFonts w:eastAsia="Times New Roman" w:cs="Times New Roman"/>
          <w:i/>
          <w:color w:val="000000" w:themeColor="text1"/>
        </w:rPr>
        <w:t xml:space="preserve">pakket/GenTax. Tevens wordt gesproken over een mogelijke </w:t>
      </w:r>
      <w:r w:rsidRPr="00376F71">
        <w:rPr>
          <w:rFonts w:eastAsia="Times New Roman" w:cs="Verdana"/>
          <w:i/>
          <w:color w:val="000000" w:themeColor="text1"/>
        </w:rPr>
        <w:t>“</w:t>
      </w:r>
      <w:r w:rsidRPr="00376F71">
        <w:rPr>
          <w:rFonts w:eastAsia="Times New Roman" w:cs="Times New Roman"/>
          <w:i/>
          <w:color w:val="000000" w:themeColor="text1"/>
        </w:rPr>
        <w:t>terugvalmogelijkheid</w:t>
      </w:r>
      <w:r w:rsidRPr="00376F71">
        <w:rPr>
          <w:rFonts w:eastAsia="Times New Roman" w:cs="Verdana"/>
          <w:i/>
          <w:color w:val="000000" w:themeColor="text1"/>
        </w:rPr>
        <w:t>”</w:t>
      </w:r>
      <w:r w:rsidRPr="00376F71">
        <w:rPr>
          <w:rFonts w:eastAsia="Times New Roman" w:cs="Times New Roman"/>
          <w:i/>
          <w:color w:val="000000" w:themeColor="text1"/>
        </w:rPr>
        <w:t xml:space="preserve"> indien de planning onder druk komt te staan.</w:t>
      </w:r>
      <w:r w:rsidRPr="00376F71" w:rsidR="008D0917">
        <w:rPr>
          <w:rFonts w:eastAsia="Times New Roman" w:cs="Times New Roman"/>
          <w:i/>
          <w:color w:val="000000" w:themeColor="text1"/>
        </w:rPr>
        <w:t xml:space="preserve"> W</w:t>
      </w:r>
      <w:r w:rsidRPr="00376F71">
        <w:rPr>
          <w:rFonts w:eastAsia="Times New Roman" w:cs="Times New Roman"/>
          <w:i/>
          <w:color w:val="000000" w:themeColor="text1"/>
        </w:rPr>
        <w:t>elke risico</w:t>
      </w:r>
      <w:r w:rsidRPr="00376F71">
        <w:rPr>
          <w:rFonts w:eastAsia="Times New Roman" w:cs="Verdana"/>
          <w:i/>
          <w:color w:val="000000" w:themeColor="text1"/>
        </w:rPr>
        <w:t>’</w:t>
      </w:r>
      <w:r w:rsidRPr="00376F71">
        <w:rPr>
          <w:rFonts w:eastAsia="Times New Roman" w:cs="Times New Roman"/>
          <w:i/>
          <w:color w:val="000000" w:themeColor="text1"/>
        </w:rPr>
        <w:t>s ziet de regering concreet voor de tijdige implementatie van dit wetsvoorstel bij de Belastingdienst en wat houdt de genoemde terugvalmogelijkheid precies in voor ondernemers en hun aangifteverplichtingen?</w:t>
      </w:r>
    </w:p>
    <w:p w:rsidR="00554575" w:rsidP="00554575" w:rsidRDefault="00554575" w14:paraId="171B2C6E" w14:textId="15BFA55B">
      <w:pPr>
        <w:spacing w:line="360" w:lineRule="auto"/>
        <w:ind w:left="1418"/>
        <w:rPr>
          <w:rFonts w:eastAsia="Times New Roman" w:cs="Times New Roman"/>
          <w:iCs/>
          <w:color w:val="000000" w:themeColor="text1"/>
        </w:rPr>
      </w:pPr>
      <w:r w:rsidRPr="00554575">
        <w:rPr>
          <w:rFonts w:eastAsia="Times New Roman" w:cs="Times New Roman"/>
          <w:iCs/>
          <w:color w:val="000000" w:themeColor="text1"/>
        </w:rPr>
        <w:t xml:space="preserve">Zoals ook wordt toegelicht in de </w:t>
      </w:r>
      <w:r w:rsidR="007132F0">
        <w:rPr>
          <w:rFonts w:eastAsia="Times New Roman" w:cs="Times New Roman"/>
          <w:iCs/>
          <w:color w:val="000000" w:themeColor="text1"/>
        </w:rPr>
        <w:t>K</w:t>
      </w:r>
      <w:r w:rsidRPr="00554575">
        <w:rPr>
          <w:rFonts w:eastAsia="Times New Roman" w:cs="Times New Roman"/>
          <w:iCs/>
          <w:color w:val="000000" w:themeColor="text1"/>
        </w:rPr>
        <w:t>amerbrief Digitale autonomie bij de Belastingdienst waarmee uw Kamer separaat is geïnformeerd op 11 juni 2026, wordt - behoudens de in de brief toegelichte vertraging rondom de implementatie van de VAT-refund regeling in het nieuwe OB-systeem - op dit moment geen vertraging voorzien rondom de implementatie van de overige regelingen in het OB-pakket/GenTax. Bij de planning van de Wet implementatie Richtlijn btw in het digitale tijdperk - enkele btw-registratie is rekening gehouden met het risico van mogelijke onvoorziene vertraging in het traject van de modernisering van de omzetbelasting. Door het inbouwen van een terugvalmogelijkheid wordt het risico op een niet-tijdige implementatie van de tweede release gemitigeerd.</w:t>
      </w:r>
    </w:p>
    <w:p w:rsidRPr="00376F71" w:rsidR="00C319FC" w:rsidP="00376F71" w:rsidRDefault="00C319FC" w14:paraId="3FB37964" w14:textId="58823AEB">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De haalbaarheid van de planning voor de Wet implementatie Richtlijn btw in het digitale tijdperk </w:t>
      </w:r>
      <w:r w:rsidRPr="00376F71" w:rsidR="006F617A">
        <w:rPr>
          <w:rFonts w:eastAsia="Times New Roman" w:cs="Times New Roman"/>
          <w:iCs/>
          <w:color w:val="000000" w:themeColor="text1"/>
        </w:rPr>
        <w:t xml:space="preserve">- </w:t>
      </w:r>
      <w:r w:rsidRPr="00376F71">
        <w:rPr>
          <w:rFonts w:eastAsia="Times New Roman" w:cs="Times New Roman"/>
          <w:iCs/>
          <w:color w:val="000000" w:themeColor="text1"/>
        </w:rPr>
        <w:t>enkele btw</w:t>
      </w:r>
      <w:r w:rsidRPr="00376F71" w:rsidR="00824B40">
        <w:rPr>
          <w:rFonts w:eastAsia="Times New Roman" w:cs="Times New Roman"/>
          <w:iCs/>
          <w:color w:val="000000" w:themeColor="text1"/>
        </w:rPr>
        <w:t>-</w:t>
      </w:r>
      <w:r w:rsidRPr="00376F71">
        <w:rPr>
          <w:rFonts w:eastAsia="Times New Roman" w:cs="Times New Roman"/>
          <w:iCs/>
          <w:color w:val="000000" w:themeColor="text1"/>
        </w:rPr>
        <w:t>registratie wordt</w:t>
      </w:r>
      <w:r w:rsidRPr="00376F71" w:rsidR="0036356C">
        <w:rPr>
          <w:rFonts w:eastAsia="Times New Roman" w:cs="Times New Roman"/>
          <w:iCs/>
          <w:color w:val="000000" w:themeColor="text1"/>
        </w:rPr>
        <w:t xml:space="preserve"> overeenkomstig de uitvoeringstoets</w:t>
      </w:r>
      <w:r w:rsidRPr="00376F71">
        <w:rPr>
          <w:rFonts w:eastAsia="Times New Roman" w:cs="Times New Roman"/>
          <w:iCs/>
          <w:color w:val="000000" w:themeColor="text1"/>
        </w:rPr>
        <w:t xml:space="preserve"> eind 2026 herijkt. Indien op dat moment</w:t>
      </w:r>
      <w:r w:rsidRPr="00376F71" w:rsidR="00276F1E">
        <w:rPr>
          <w:rFonts w:eastAsia="Times New Roman" w:cs="Times New Roman"/>
          <w:iCs/>
          <w:color w:val="000000" w:themeColor="text1"/>
        </w:rPr>
        <w:t xml:space="preserve"> </w:t>
      </w:r>
      <w:r w:rsidRPr="00376F71">
        <w:rPr>
          <w:rFonts w:eastAsia="Times New Roman" w:cs="Times New Roman"/>
          <w:iCs/>
          <w:color w:val="000000" w:themeColor="text1"/>
        </w:rPr>
        <w:t>onvoldoende zekerheid bestaat over een implementatie van de tweede release per 1 juli 2028 rechtstreeks in het nieuwe OB-pakket (</w:t>
      </w:r>
      <w:r w:rsidRPr="00376F71" w:rsidR="00757A8C">
        <w:rPr>
          <w:rFonts w:eastAsia="Times New Roman" w:cs="Times New Roman"/>
          <w:iCs/>
          <w:color w:val="000000" w:themeColor="text1"/>
        </w:rPr>
        <w:t>zogeheten ‘</w:t>
      </w:r>
      <w:r w:rsidRPr="00376F71">
        <w:rPr>
          <w:rFonts w:eastAsia="Times New Roman" w:cs="Times New Roman"/>
          <w:iCs/>
          <w:color w:val="000000" w:themeColor="text1"/>
        </w:rPr>
        <w:t>Gentax</w:t>
      </w:r>
      <w:r w:rsidRPr="00376F71" w:rsidR="00757A8C">
        <w:rPr>
          <w:rFonts w:eastAsia="Times New Roman" w:cs="Times New Roman"/>
          <w:iCs/>
          <w:color w:val="000000" w:themeColor="text1"/>
        </w:rPr>
        <w:t>’</w:t>
      </w:r>
      <w:r w:rsidRPr="00376F71">
        <w:rPr>
          <w:rFonts w:eastAsia="Times New Roman" w:cs="Times New Roman"/>
          <w:iCs/>
          <w:color w:val="000000" w:themeColor="text1"/>
        </w:rPr>
        <w:t xml:space="preserve">), is er </w:t>
      </w:r>
      <w:r w:rsidRPr="00376F71" w:rsidR="00DA585F">
        <w:rPr>
          <w:rFonts w:eastAsia="Times New Roman" w:cs="Times New Roman"/>
          <w:iCs/>
          <w:color w:val="000000" w:themeColor="text1"/>
        </w:rPr>
        <w:t xml:space="preserve">- </w:t>
      </w:r>
      <w:r w:rsidRPr="00376F71">
        <w:rPr>
          <w:rFonts w:eastAsia="Times New Roman" w:cs="Times New Roman"/>
          <w:iCs/>
          <w:color w:val="000000" w:themeColor="text1"/>
        </w:rPr>
        <w:t>op basis van huidige inzichten</w:t>
      </w:r>
      <w:r w:rsidRPr="00376F71" w:rsidR="00DA585F">
        <w:rPr>
          <w:rFonts w:eastAsia="Times New Roman" w:cs="Times New Roman"/>
          <w:iCs/>
          <w:color w:val="000000" w:themeColor="text1"/>
        </w:rPr>
        <w:t xml:space="preserve"> -</w:t>
      </w:r>
      <w:r w:rsidRPr="00376F71">
        <w:rPr>
          <w:rFonts w:eastAsia="Times New Roman" w:cs="Times New Roman"/>
          <w:iCs/>
          <w:color w:val="000000" w:themeColor="text1"/>
        </w:rPr>
        <w:t xml:space="preserve"> nog voldoende tijd om te kiezen voor een </w:t>
      </w:r>
      <w:r w:rsidRPr="00376F71" w:rsidR="00DA585F">
        <w:rPr>
          <w:rFonts w:eastAsia="Times New Roman" w:cs="Times New Roman"/>
          <w:iCs/>
          <w:color w:val="000000" w:themeColor="text1"/>
        </w:rPr>
        <w:t xml:space="preserve">zogenoemde </w:t>
      </w:r>
      <w:r w:rsidRPr="00376F71">
        <w:rPr>
          <w:rFonts w:eastAsia="Times New Roman" w:cs="Times New Roman"/>
          <w:iCs/>
          <w:color w:val="000000" w:themeColor="text1"/>
        </w:rPr>
        <w:t xml:space="preserve">terugvalmogelijkheid. </w:t>
      </w:r>
      <w:r w:rsidRPr="00376F71" w:rsidR="00DA585F">
        <w:rPr>
          <w:rFonts w:eastAsia="Times New Roman" w:cs="Times New Roman"/>
          <w:iCs/>
          <w:color w:val="000000" w:themeColor="text1"/>
        </w:rPr>
        <w:t>Over deze keuze zal uiterlijk op 1 januari 2027 definitief besloten worden</w:t>
      </w:r>
      <w:r w:rsidRPr="00376F71">
        <w:rPr>
          <w:rFonts w:eastAsia="Times New Roman" w:cs="Times New Roman"/>
          <w:iCs/>
          <w:color w:val="000000" w:themeColor="text1"/>
        </w:rPr>
        <w:t xml:space="preserve">. </w:t>
      </w:r>
    </w:p>
    <w:p w:rsidRPr="00376F71" w:rsidR="00C319FC" w:rsidP="00376F71" w:rsidRDefault="00C319FC" w14:paraId="60EB2586" w14:textId="3B3FE90C">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De terugvalmogelijkheid </w:t>
      </w:r>
      <w:r w:rsidRPr="00376F71" w:rsidR="00DA585F">
        <w:rPr>
          <w:rFonts w:eastAsia="Times New Roman" w:cs="Times New Roman"/>
          <w:iCs/>
          <w:color w:val="000000" w:themeColor="text1"/>
        </w:rPr>
        <w:t>houdt in</w:t>
      </w:r>
      <w:r w:rsidRPr="00376F71">
        <w:rPr>
          <w:rFonts w:eastAsia="Times New Roman" w:cs="Times New Roman"/>
          <w:iCs/>
          <w:color w:val="000000" w:themeColor="text1"/>
        </w:rPr>
        <w:t xml:space="preserve"> dat de maatregelen worden gerealiseerd in de </w:t>
      </w:r>
      <w:r w:rsidRPr="00376F71" w:rsidR="00DA585F">
        <w:rPr>
          <w:rFonts w:eastAsia="Times New Roman" w:cs="Times New Roman"/>
          <w:iCs/>
          <w:color w:val="000000" w:themeColor="text1"/>
        </w:rPr>
        <w:t>bestaande</w:t>
      </w:r>
      <w:r w:rsidRPr="00376F71">
        <w:rPr>
          <w:rFonts w:eastAsia="Times New Roman" w:cs="Times New Roman"/>
          <w:iCs/>
          <w:color w:val="000000" w:themeColor="text1"/>
        </w:rPr>
        <w:t xml:space="preserve"> oplossing voor de éénloketregelingen (</w:t>
      </w:r>
      <w:r w:rsidRPr="00376F71" w:rsidR="00DA585F">
        <w:rPr>
          <w:rFonts w:eastAsia="Times New Roman" w:cs="Times New Roman"/>
          <w:iCs/>
          <w:color w:val="000000" w:themeColor="text1"/>
        </w:rPr>
        <w:t>het zogenoemde</w:t>
      </w:r>
      <w:r w:rsidRPr="00376F71">
        <w:rPr>
          <w:rFonts w:eastAsia="Times New Roman" w:cs="Times New Roman"/>
          <w:iCs/>
          <w:color w:val="000000" w:themeColor="text1"/>
        </w:rPr>
        <w:t xml:space="preserve"> </w:t>
      </w:r>
      <w:r w:rsidRPr="00376F71" w:rsidR="00DA585F">
        <w:rPr>
          <w:rFonts w:eastAsia="Times New Roman" w:cs="Times New Roman"/>
          <w:iCs/>
          <w:color w:val="000000" w:themeColor="text1"/>
        </w:rPr>
        <w:t>‘</w:t>
      </w:r>
      <w:r w:rsidRPr="00376F71">
        <w:rPr>
          <w:rFonts w:eastAsia="Times New Roman" w:cs="Times New Roman"/>
          <w:iCs/>
          <w:color w:val="000000" w:themeColor="text1"/>
        </w:rPr>
        <w:t>Noodspoor</w:t>
      </w:r>
      <w:r w:rsidRPr="00376F71" w:rsidR="00DA585F">
        <w:rPr>
          <w:rFonts w:eastAsia="Times New Roman" w:cs="Times New Roman"/>
          <w:iCs/>
          <w:color w:val="000000" w:themeColor="text1"/>
        </w:rPr>
        <w:t>’</w:t>
      </w:r>
      <w:r w:rsidRPr="00376F71">
        <w:rPr>
          <w:rFonts w:eastAsia="Times New Roman" w:cs="Times New Roman"/>
          <w:iCs/>
          <w:color w:val="000000" w:themeColor="text1"/>
        </w:rPr>
        <w:t>)</w:t>
      </w:r>
      <w:r w:rsidRPr="00376F71" w:rsidR="00DA585F">
        <w:rPr>
          <w:rFonts w:eastAsia="Times New Roman" w:cs="Times New Roman"/>
          <w:iCs/>
          <w:color w:val="000000" w:themeColor="text1"/>
        </w:rPr>
        <w:t>. De voorbereidingen voor deze mogelijkheid worden reeds getroffen</w:t>
      </w:r>
      <w:r w:rsidRPr="00376F71">
        <w:rPr>
          <w:rFonts w:eastAsia="Times New Roman" w:cs="Times New Roman"/>
          <w:iCs/>
          <w:color w:val="000000" w:themeColor="text1"/>
        </w:rPr>
        <w:t>. Voor ondernemer</w:t>
      </w:r>
      <w:r w:rsidRPr="00376F71" w:rsidR="00232B2E">
        <w:rPr>
          <w:rFonts w:eastAsia="Times New Roman" w:cs="Times New Roman"/>
          <w:iCs/>
          <w:color w:val="000000" w:themeColor="text1"/>
        </w:rPr>
        <w:t>s</w:t>
      </w:r>
      <w:r w:rsidRPr="00376F71">
        <w:rPr>
          <w:rFonts w:eastAsia="Times New Roman" w:cs="Times New Roman"/>
          <w:iCs/>
          <w:color w:val="000000" w:themeColor="text1"/>
        </w:rPr>
        <w:t xml:space="preserve"> heeft dit geen </w:t>
      </w:r>
      <w:r w:rsidRPr="00376F71" w:rsidR="00DA585F">
        <w:rPr>
          <w:rFonts w:eastAsia="Times New Roman" w:cs="Times New Roman"/>
          <w:iCs/>
          <w:color w:val="000000" w:themeColor="text1"/>
        </w:rPr>
        <w:t xml:space="preserve">praktische </w:t>
      </w:r>
      <w:r w:rsidRPr="00376F71">
        <w:rPr>
          <w:rFonts w:eastAsia="Times New Roman" w:cs="Times New Roman"/>
          <w:iCs/>
          <w:color w:val="000000" w:themeColor="text1"/>
        </w:rPr>
        <w:t xml:space="preserve">gevolgen. </w:t>
      </w:r>
      <w:r w:rsidRPr="00376F71" w:rsidR="00DA585F">
        <w:rPr>
          <w:rFonts w:eastAsia="Times New Roman" w:cs="Times New Roman"/>
          <w:iCs/>
          <w:color w:val="000000" w:themeColor="text1"/>
        </w:rPr>
        <w:t>De i</w:t>
      </w:r>
      <w:r w:rsidRPr="00376F71">
        <w:rPr>
          <w:rFonts w:eastAsia="Times New Roman" w:cs="Times New Roman"/>
          <w:iCs/>
          <w:color w:val="000000" w:themeColor="text1"/>
        </w:rPr>
        <w:t xml:space="preserve">mplementatie van de </w:t>
      </w:r>
      <w:r w:rsidRPr="00376F71" w:rsidR="00C47E09">
        <w:rPr>
          <w:rFonts w:eastAsia="Times New Roman" w:cs="Times New Roman"/>
          <w:iCs/>
          <w:color w:val="000000" w:themeColor="text1"/>
        </w:rPr>
        <w:t xml:space="preserve">Richtlijn btw in het digitale tijdperk – enkele btw-registratie </w:t>
      </w:r>
      <w:r w:rsidRPr="00376F71" w:rsidR="00DA585F">
        <w:rPr>
          <w:rFonts w:eastAsia="Times New Roman" w:cs="Times New Roman"/>
          <w:iCs/>
          <w:color w:val="000000" w:themeColor="text1"/>
        </w:rPr>
        <w:t>betreft</w:t>
      </w:r>
      <w:r w:rsidRPr="00376F71">
        <w:rPr>
          <w:rFonts w:eastAsia="Times New Roman" w:cs="Times New Roman"/>
          <w:iCs/>
          <w:color w:val="000000" w:themeColor="text1"/>
        </w:rPr>
        <w:t xml:space="preserve"> een uitbreiding op de bestaande éénloketregelingen die al structureel verlopen via de huidige oplossing. In</w:t>
      </w:r>
      <w:r w:rsidRPr="00376F71" w:rsidR="00DA585F">
        <w:rPr>
          <w:rFonts w:eastAsia="Times New Roman" w:cs="Times New Roman"/>
          <w:iCs/>
          <w:color w:val="000000" w:themeColor="text1"/>
        </w:rPr>
        <w:t xml:space="preserve">dien van de terugvalmogelijkheid gebruik moet worden gemaakt, zullen de éénloketregelingen op een later moment alsnog volledig overgaan naar het </w:t>
      </w:r>
      <w:r w:rsidRPr="00376F71" w:rsidR="00757A8C">
        <w:rPr>
          <w:rFonts w:eastAsia="Times New Roman" w:cs="Times New Roman"/>
          <w:iCs/>
          <w:color w:val="000000" w:themeColor="text1"/>
        </w:rPr>
        <w:t>nieuwe OB-pakket</w:t>
      </w:r>
      <w:r w:rsidRPr="00376F71">
        <w:rPr>
          <w:rFonts w:eastAsia="Times New Roman" w:cs="Times New Roman"/>
          <w:iCs/>
          <w:color w:val="000000" w:themeColor="text1"/>
        </w:rPr>
        <w:t xml:space="preserve">.  </w:t>
      </w:r>
    </w:p>
    <w:p w:rsidRPr="00376F71" w:rsidR="008D0917" w:rsidP="00376F71" w:rsidRDefault="008D0917" w14:paraId="5675DCC6" w14:textId="2C2700DD">
      <w:pPr>
        <w:spacing w:line="360" w:lineRule="auto"/>
        <w:ind w:left="1418"/>
        <w:rPr>
          <w:rFonts w:eastAsia="Times New Roman" w:cs="Times New Roman"/>
          <w:iCs/>
          <w:color w:val="000000" w:themeColor="text1"/>
        </w:rPr>
      </w:pPr>
    </w:p>
    <w:p w:rsidR="00ED596F" w:rsidP="00376F71" w:rsidRDefault="00ED596F" w14:paraId="2D1DCA61" w14:textId="77777777">
      <w:pPr>
        <w:spacing w:line="360" w:lineRule="auto"/>
        <w:ind w:left="1418"/>
        <w:rPr>
          <w:rFonts w:eastAsia="Times New Roman" w:cs="Times New Roman"/>
          <w:i/>
          <w:color w:val="000000" w:themeColor="text1"/>
        </w:rPr>
      </w:pPr>
    </w:p>
    <w:p w:rsidR="00ED596F" w:rsidP="00376F71" w:rsidRDefault="00ED596F" w14:paraId="238E1536" w14:textId="77777777">
      <w:pPr>
        <w:spacing w:line="360" w:lineRule="auto"/>
        <w:ind w:left="1418"/>
        <w:rPr>
          <w:rFonts w:eastAsia="Times New Roman" w:cs="Times New Roman"/>
          <w:i/>
          <w:color w:val="000000" w:themeColor="text1"/>
        </w:rPr>
      </w:pPr>
    </w:p>
    <w:p w:rsidR="00ED596F" w:rsidP="00376F71" w:rsidRDefault="00ED596F" w14:paraId="02C9E6A7" w14:textId="77777777">
      <w:pPr>
        <w:spacing w:line="360" w:lineRule="auto"/>
        <w:ind w:left="1418"/>
        <w:rPr>
          <w:rFonts w:eastAsia="Times New Roman" w:cs="Times New Roman"/>
          <w:i/>
          <w:color w:val="000000" w:themeColor="text1"/>
        </w:rPr>
      </w:pPr>
    </w:p>
    <w:p w:rsidRPr="00376F71" w:rsidR="008D0917" w:rsidP="00376F71" w:rsidRDefault="008D0917" w14:paraId="68C92CD6" w14:textId="1CD06BF2">
      <w:pPr>
        <w:spacing w:line="360" w:lineRule="auto"/>
        <w:ind w:left="1418"/>
        <w:rPr>
          <w:rFonts w:eastAsia="Times New Roman" w:cs="Times New Roman"/>
          <w:i/>
          <w:color w:val="000000" w:themeColor="text1"/>
        </w:rPr>
      </w:pPr>
      <w:r w:rsidRPr="00376F71">
        <w:rPr>
          <w:rFonts w:eastAsia="Times New Roman" w:cs="Times New Roman"/>
          <w:i/>
          <w:color w:val="000000" w:themeColor="text1"/>
        </w:rPr>
        <w:lastRenderedPageBreak/>
        <w:t>1</w:t>
      </w:r>
      <w:r w:rsidR="002E2325">
        <w:rPr>
          <w:rFonts w:eastAsia="Times New Roman" w:cs="Times New Roman"/>
          <w:i/>
          <w:color w:val="000000" w:themeColor="text1"/>
        </w:rPr>
        <w:t>8</w:t>
      </w:r>
      <w:r w:rsidRPr="00376F71">
        <w:rPr>
          <w:rFonts w:eastAsia="Times New Roman" w:cs="Times New Roman"/>
          <w:i/>
          <w:color w:val="000000" w:themeColor="text1"/>
        </w:rPr>
        <w:t xml:space="preserve"> – VVD</w:t>
      </w:r>
    </w:p>
    <w:p w:rsidRPr="00376F71" w:rsidR="008B6FDC" w:rsidP="00376F71" w:rsidRDefault="008B6FDC" w14:paraId="68A20304" w14:textId="0847A198">
      <w:pPr>
        <w:spacing w:line="360" w:lineRule="auto"/>
        <w:ind w:left="1418"/>
        <w:rPr>
          <w:rFonts w:eastAsia="Times New Roman" w:cs="Times New Roman"/>
          <w:iCs/>
          <w:color w:val="000000" w:themeColor="text1"/>
        </w:rPr>
      </w:pPr>
      <w:r w:rsidRPr="00376F71">
        <w:rPr>
          <w:rFonts w:eastAsia="Times New Roman" w:cs="Times New Roman"/>
          <w:i/>
          <w:color w:val="000000" w:themeColor="text1"/>
        </w:rPr>
        <w:t>Treedt er verdringing op in het IV-portfolio als van deze terugvalmogelijkheid gebruik moet worden gemaakt?</w:t>
      </w:r>
    </w:p>
    <w:p w:rsidRPr="00376F71" w:rsidR="008D0917" w:rsidP="00376F71" w:rsidRDefault="00757A8C" w14:paraId="3E18A420" w14:textId="3C98D220">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De benodigde inzet (uitgedrukt in IV-dagen) en de doorlooptijd voor de implementatie van de terugvalmogelijkheid zijn reeds in kaart gebracht. Indien</w:t>
      </w:r>
      <w:r w:rsidRPr="00376F71" w:rsidR="00C319FC">
        <w:rPr>
          <w:rFonts w:eastAsia="Times New Roman" w:cs="Times New Roman"/>
          <w:iCs/>
          <w:color w:val="000000" w:themeColor="text1"/>
        </w:rPr>
        <w:t xml:space="preserve"> van deze terugvalmogelijkheid gebruik </w:t>
      </w:r>
      <w:r w:rsidRPr="00376F71">
        <w:rPr>
          <w:rFonts w:eastAsia="Times New Roman" w:cs="Times New Roman"/>
          <w:iCs/>
          <w:color w:val="000000" w:themeColor="text1"/>
        </w:rPr>
        <w:t xml:space="preserve">moet </w:t>
      </w:r>
      <w:r w:rsidRPr="00376F71" w:rsidR="00C319FC">
        <w:rPr>
          <w:rFonts w:eastAsia="Times New Roman" w:cs="Times New Roman"/>
          <w:iCs/>
          <w:color w:val="000000" w:themeColor="text1"/>
        </w:rPr>
        <w:t xml:space="preserve">worden gemaakt, dan </w:t>
      </w:r>
      <w:r w:rsidRPr="00376F71">
        <w:rPr>
          <w:rFonts w:eastAsia="Times New Roman" w:cs="Times New Roman"/>
          <w:iCs/>
          <w:color w:val="000000" w:themeColor="text1"/>
        </w:rPr>
        <w:t xml:space="preserve">leidt dit naar de </w:t>
      </w:r>
      <w:r w:rsidRPr="00376F71" w:rsidR="00C319FC">
        <w:rPr>
          <w:rFonts w:eastAsia="Times New Roman" w:cs="Times New Roman"/>
          <w:iCs/>
          <w:color w:val="000000" w:themeColor="text1"/>
        </w:rPr>
        <w:t>huidige inzichten</w:t>
      </w:r>
      <w:r w:rsidRPr="00376F71">
        <w:rPr>
          <w:rFonts w:eastAsia="Times New Roman" w:cs="Times New Roman"/>
          <w:iCs/>
          <w:color w:val="000000" w:themeColor="text1"/>
        </w:rPr>
        <w:t xml:space="preserve"> niet tot</w:t>
      </w:r>
      <w:r w:rsidRPr="00376F71" w:rsidR="00C319FC">
        <w:rPr>
          <w:rFonts w:eastAsia="Times New Roman" w:cs="Times New Roman"/>
          <w:iCs/>
          <w:color w:val="000000" w:themeColor="text1"/>
        </w:rPr>
        <w:t xml:space="preserve"> verdringing in het </w:t>
      </w:r>
      <w:r w:rsidRPr="00376F71">
        <w:rPr>
          <w:rFonts w:eastAsia="Times New Roman" w:cs="Times New Roman"/>
          <w:iCs/>
          <w:color w:val="000000" w:themeColor="text1"/>
        </w:rPr>
        <w:t>IV-</w:t>
      </w:r>
      <w:r w:rsidRPr="00376F71" w:rsidR="00C319FC">
        <w:rPr>
          <w:rFonts w:eastAsia="Times New Roman" w:cs="Times New Roman"/>
          <w:iCs/>
          <w:color w:val="000000" w:themeColor="text1"/>
        </w:rPr>
        <w:t>portfolio</w:t>
      </w:r>
      <w:r w:rsidRPr="00376F71">
        <w:rPr>
          <w:rFonts w:eastAsia="Times New Roman" w:cs="Times New Roman"/>
          <w:iCs/>
          <w:color w:val="000000" w:themeColor="text1"/>
        </w:rPr>
        <w:t>. Dit komt doordat – bij het stoppen van het Hoofdspoor –</w:t>
      </w:r>
      <w:r w:rsidRPr="00376F71" w:rsidR="008D5449">
        <w:rPr>
          <w:rFonts w:eastAsia="Times New Roman" w:cs="Times New Roman"/>
          <w:iCs/>
          <w:color w:val="000000" w:themeColor="text1"/>
        </w:rPr>
        <w:t xml:space="preserve"> hiervoor </w:t>
      </w:r>
      <w:r w:rsidRPr="00376F71">
        <w:rPr>
          <w:rFonts w:eastAsia="Times New Roman" w:cs="Times New Roman"/>
          <w:iCs/>
          <w:color w:val="000000" w:themeColor="text1"/>
        </w:rPr>
        <w:t xml:space="preserve">IV-capaciteit </w:t>
      </w:r>
      <w:r w:rsidRPr="00376F71" w:rsidR="008D5449">
        <w:rPr>
          <w:rFonts w:eastAsia="Times New Roman" w:cs="Times New Roman"/>
          <w:iCs/>
          <w:color w:val="000000" w:themeColor="text1"/>
        </w:rPr>
        <w:t>is gereserveerd</w:t>
      </w:r>
      <w:r w:rsidRPr="00376F71" w:rsidR="00C319FC">
        <w:rPr>
          <w:rFonts w:eastAsia="Times New Roman" w:cs="Times New Roman"/>
          <w:iCs/>
          <w:color w:val="000000" w:themeColor="text1"/>
        </w:rPr>
        <w:t>.</w:t>
      </w:r>
    </w:p>
    <w:p w:rsidRPr="00376F71" w:rsidR="008B6FDC" w:rsidP="00376F71" w:rsidRDefault="002E2325" w14:paraId="2E4C53C2" w14:textId="41CF4555">
      <w:pPr>
        <w:spacing w:line="360" w:lineRule="auto"/>
        <w:ind w:left="1418"/>
        <w:rPr>
          <w:rFonts w:eastAsia="Times New Roman" w:cs="Times New Roman"/>
          <w:i/>
          <w:color w:val="000000" w:themeColor="text1"/>
        </w:rPr>
      </w:pPr>
      <w:r>
        <w:rPr>
          <w:rFonts w:eastAsia="Times New Roman" w:cs="Times New Roman"/>
          <w:i/>
          <w:color w:val="000000" w:themeColor="text1"/>
        </w:rPr>
        <w:t>19</w:t>
      </w:r>
      <w:r w:rsidRPr="00376F71" w:rsidR="008B6FDC">
        <w:rPr>
          <w:rFonts w:eastAsia="Times New Roman" w:cs="Times New Roman"/>
          <w:i/>
          <w:color w:val="000000" w:themeColor="text1"/>
        </w:rPr>
        <w:t xml:space="preserve"> – CDA</w:t>
      </w:r>
    </w:p>
    <w:p w:rsidRPr="00376F71" w:rsidR="008D0917" w:rsidP="00376F71" w:rsidRDefault="008B6FDC" w14:paraId="09859693" w14:textId="349C0F7B">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Ten aanzien van de uitvoeringstoets hebben de leden van de CDA-fractie enkele vragen. Deze leden merken op dat de implementatie van de regeling voor btw e-commerce enkele jaren geleden al grote problemen in de uitvoering opleverde omdat het niet kon worden geïmplementeerd in de ICT-systemen van de Belastingdienst. Om de implementatiedeadline te halen, werd daarom een handmatig noodspoor ingesteld waar veel extra fte en kosten mee gepaard gingen. Deze leden zien nu in deze uitvoeringstoets weer eenzelfde risico. Het eerste deel wordt uitgevoerd onder het destijds ingestelde noodspoor, terwijl het tweede deel in een systeem moet worden verwerkt dat er nog niet is en waar de Belastingdienst dus ook nog geen ervaring mee heeft. Zij vragen of het kabinet uiteen kan zetten wat de gevolgen voor de uitvoering zijn als blijkt dat planning per 2027 in het OB-Pakket/GenTax niet mogelijk is en hoe een fall-back scenario er dan uit zou kunnen zien.</w:t>
      </w:r>
    </w:p>
    <w:p w:rsidRPr="00376F71" w:rsidR="00126518" w:rsidP="00376F71" w:rsidRDefault="00C319FC" w14:paraId="513AEBF8" w14:textId="26D40497">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Voor de eerste release van de regeling </w:t>
      </w:r>
      <w:r w:rsidRPr="00376F71" w:rsidR="00126518">
        <w:rPr>
          <w:rFonts w:eastAsia="Times New Roman" w:cs="Times New Roman"/>
          <w:iCs/>
          <w:color w:val="000000" w:themeColor="text1"/>
        </w:rPr>
        <w:t>bestaat</w:t>
      </w:r>
      <w:r w:rsidRPr="00376F71">
        <w:rPr>
          <w:rFonts w:eastAsia="Times New Roman" w:cs="Times New Roman"/>
          <w:iCs/>
          <w:color w:val="000000" w:themeColor="text1"/>
        </w:rPr>
        <w:t xml:space="preserve"> geen afhankelijkheid van het</w:t>
      </w:r>
      <w:r w:rsidRPr="00376F71" w:rsidR="00126518">
        <w:rPr>
          <w:rFonts w:eastAsia="Times New Roman" w:cs="Times New Roman"/>
          <w:iCs/>
          <w:color w:val="000000" w:themeColor="text1"/>
        </w:rPr>
        <w:t xml:space="preserve"> nieuwe</w:t>
      </w:r>
      <w:r w:rsidRPr="00376F71">
        <w:rPr>
          <w:rFonts w:eastAsia="Times New Roman" w:cs="Times New Roman"/>
          <w:iCs/>
          <w:color w:val="000000" w:themeColor="text1"/>
        </w:rPr>
        <w:t xml:space="preserve"> OB-Pakket/GenTax. Deze release </w:t>
      </w:r>
      <w:r w:rsidRPr="00376F71" w:rsidR="00126518">
        <w:rPr>
          <w:rFonts w:eastAsia="Times New Roman" w:cs="Times New Roman"/>
          <w:iCs/>
          <w:color w:val="000000" w:themeColor="text1"/>
        </w:rPr>
        <w:t xml:space="preserve">zal binnen de </w:t>
      </w:r>
      <w:r w:rsidRPr="00376F71">
        <w:rPr>
          <w:rFonts w:eastAsia="Times New Roman" w:cs="Times New Roman"/>
          <w:iCs/>
          <w:color w:val="000000" w:themeColor="text1"/>
        </w:rPr>
        <w:t>huidige btw e-commercesystemen</w:t>
      </w:r>
      <w:r w:rsidRPr="00376F71" w:rsidR="0072024A">
        <w:rPr>
          <w:rFonts w:eastAsia="Times New Roman" w:cs="Times New Roman"/>
          <w:iCs/>
          <w:color w:val="000000" w:themeColor="text1"/>
        </w:rPr>
        <w:t xml:space="preserve"> worden</w:t>
      </w:r>
      <w:r w:rsidRPr="00376F71">
        <w:rPr>
          <w:rFonts w:eastAsia="Times New Roman" w:cs="Times New Roman"/>
          <w:iCs/>
          <w:color w:val="000000" w:themeColor="text1"/>
        </w:rPr>
        <w:t xml:space="preserve"> geïmplementeerd. De voorbereidingen hiervoor </w:t>
      </w:r>
      <w:r w:rsidRPr="00376F71" w:rsidR="00126518">
        <w:rPr>
          <w:rFonts w:eastAsia="Times New Roman" w:cs="Times New Roman"/>
          <w:iCs/>
          <w:color w:val="000000" w:themeColor="text1"/>
        </w:rPr>
        <w:t>verlopen volgens planning</w:t>
      </w:r>
      <w:r w:rsidRPr="00376F71">
        <w:rPr>
          <w:rFonts w:eastAsia="Times New Roman" w:cs="Times New Roman"/>
          <w:iCs/>
          <w:color w:val="000000" w:themeColor="text1"/>
        </w:rPr>
        <w:t xml:space="preserve">. </w:t>
      </w:r>
      <w:r w:rsidRPr="00376F71" w:rsidR="00126518">
        <w:rPr>
          <w:rFonts w:eastAsia="Times New Roman" w:cs="Times New Roman"/>
          <w:iCs/>
          <w:color w:val="000000" w:themeColor="text1"/>
        </w:rPr>
        <w:t>Wat betreft de tweede release, per juli 2028, is er wel een afhankelijkheid van de implementatie van het nieuwe OB-pakket/GenTax. Vooralsnog worden er geen knelpunten verwacht met betrekking tot de implementatie van de binnenlandse omzetbelasting in het OB-Pakket/GenTax per juli 2027 en van de éénloketregelingen per juli 2028. Daarbij wordt rekening gehouden met de definitief vast te stellen nieuwe livegangdatum voor VAT-refund</w:t>
      </w:r>
      <w:r w:rsidRPr="00376F71">
        <w:rPr>
          <w:rFonts w:eastAsia="Times New Roman" w:cs="Times New Roman"/>
          <w:iCs/>
          <w:color w:val="000000" w:themeColor="text1"/>
        </w:rPr>
        <w:t>.</w:t>
      </w:r>
    </w:p>
    <w:p w:rsidRPr="00376F71" w:rsidR="00126518" w:rsidP="00376F71" w:rsidRDefault="00126518" w14:paraId="7A56954E" w14:textId="7AB0BCDB">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Indien onverhoopt blijkt dat implementatie in het OB-Pakket/GenTax per genoemde datum niet haalbaar is, is voorzien in een zogenoemde terugvalmogelijkheid. Dat wil zeggen dat de benodigde maatregelen worden gerealiseerd binnen het bestaande noodspoor. De voorbereidingen voor dit scenario zijn reeds gestart, zodat tijdige realisatie mogelijk blijft. Voor de dienstverlening aan ondernemers die gebruik maken van de éénloketregelingen heeft het gebruik van het noodspoor geen gevolgen: het niveau van dienstverlening blijft in dat geval ten minste gelijk aan de huidige situatie.</w:t>
      </w:r>
    </w:p>
    <w:p w:rsidRPr="00376F71" w:rsidR="008D0917" w:rsidP="00376F71" w:rsidRDefault="008D0917" w14:paraId="1E4B43CA" w14:textId="47A3B3B5">
      <w:pPr>
        <w:spacing w:line="360" w:lineRule="auto"/>
        <w:ind w:left="1418"/>
        <w:rPr>
          <w:rFonts w:eastAsia="Times New Roman" w:cs="Times New Roman"/>
          <w:i/>
          <w:color w:val="000000" w:themeColor="text1"/>
        </w:rPr>
      </w:pPr>
      <w:r w:rsidRPr="00376F71">
        <w:rPr>
          <w:rFonts w:eastAsia="Times New Roman" w:cs="Times New Roman"/>
          <w:i/>
          <w:color w:val="000000" w:themeColor="text1"/>
        </w:rPr>
        <w:lastRenderedPageBreak/>
        <w:t>2</w:t>
      </w:r>
      <w:r w:rsidR="002E2325">
        <w:rPr>
          <w:rFonts w:eastAsia="Times New Roman" w:cs="Times New Roman"/>
          <w:i/>
          <w:color w:val="000000" w:themeColor="text1"/>
        </w:rPr>
        <w:t>0</w:t>
      </w:r>
      <w:r w:rsidRPr="00376F71">
        <w:rPr>
          <w:rFonts w:eastAsia="Times New Roman" w:cs="Times New Roman"/>
          <w:i/>
          <w:color w:val="000000" w:themeColor="text1"/>
        </w:rPr>
        <w:t xml:space="preserve"> – CDA</w:t>
      </w:r>
    </w:p>
    <w:p w:rsidRPr="00376F71" w:rsidR="008B6FDC" w:rsidP="00376F71" w:rsidRDefault="008B6FDC" w14:paraId="6ABC7B7D" w14:textId="5D2CE49D">
      <w:pPr>
        <w:spacing w:line="360" w:lineRule="auto"/>
        <w:ind w:left="1418"/>
        <w:rPr>
          <w:rFonts w:eastAsia="Times New Roman" w:cs="Times New Roman"/>
          <w:i/>
          <w:color w:val="000000" w:themeColor="text1"/>
        </w:rPr>
      </w:pPr>
      <w:r w:rsidRPr="00376F71">
        <w:rPr>
          <w:rFonts w:eastAsia="Times New Roman" w:cs="Times New Roman"/>
          <w:i/>
          <w:color w:val="000000" w:themeColor="text1"/>
        </w:rPr>
        <w:t>Ook vragen zij wat daarvan mogelijke personele en budgettaire implicaties zouden zijn.</w:t>
      </w:r>
    </w:p>
    <w:p w:rsidRPr="00376F71" w:rsidR="00126518" w:rsidP="00376F71" w:rsidRDefault="00126518" w14:paraId="7D17750F" w14:textId="55A45194">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 xml:space="preserve">De extra werkzaamheden die voortvloeien uit de implementatie van de Richtlijn btw in het digitale tijdperk – enkele btw-registratie (release 2) binnen het </w:t>
      </w:r>
      <w:r w:rsidRPr="00376F71" w:rsidR="0059546D">
        <w:rPr>
          <w:rFonts w:eastAsia="Times New Roman" w:cs="Times New Roman"/>
          <w:iCs/>
          <w:color w:val="000000" w:themeColor="text1"/>
        </w:rPr>
        <w:t>n</w:t>
      </w:r>
      <w:r w:rsidRPr="00376F71">
        <w:rPr>
          <w:rFonts w:eastAsia="Times New Roman" w:cs="Times New Roman"/>
          <w:iCs/>
          <w:color w:val="000000" w:themeColor="text1"/>
        </w:rPr>
        <w:t>oodspoor zijn reeds gereserveerd binnen het portfolio voor de modernisering van de omzetbelasting. De personele gevolgen voor de uitvoering zijn meegenomen in de uitvoeringstoets. Indien als gevolg van vertraging in de modernisering van de omzetbelasting de Tijdelijke Organisatie e-commerce langer in stand moet blijven, zullen de hiermee samenhangende gevolgen worden betrokken bij de herplanning van het programma Modernisering OB.</w:t>
      </w:r>
    </w:p>
    <w:p w:rsidRPr="00376F71" w:rsidR="008B6FDC" w:rsidP="00376F71" w:rsidRDefault="008B6FDC" w14:paraId="678E9B6B" w14:textId="77777777">
      <w:pPr>
        <w:spacing w:line="360" w:lineRule="auto"/>
        <w:ind w:left="1418"/>
        <w:rPr>
          <w:rFonts w:eastAsia="Times New Roman" w:cs="Times New Roman"/>
          <w:iCs/>
          <w:color w:val="000000" w:themeColor="text1"/>
        </w:rPr>
      </w:pPr>
    </w:p>
    <w:p w:rsidRPr="00376F71" w:rsidR="00C0200F" w:rsidP="00376F71" w:rsidRDefault="00C0200F" w14:paraId="7E1D8C2C" w14:textId="77777777">
      <w:pPr>
        <w:spacing w:line="360" w:lineRule="auto"/>
        <w:ind w:left="1418"/>
        <w:rPr>
          <w:rFonts w:eastAsia="Times New Roman" w:cs="Times New Roman"/>
          <w:iCs/>
          <w:color w:val="000000" w:themeColor="text1"/>
        </w:rPr>
      </w:pPr>
    </w:p>
    <w:p w:rsidRPr="00376F71" w:rsidR="00C0200F" w:rsidP="00376F71" w:rsidRDefault="00C0200F" w14:paraId="238AA49A" w14:textId="77777777">
      <w:pPr>
        <w:spacing w:line="360" w:lineRule="auto"/>
        <w:ind w:left="1418"/>
        <w:rPr>
          <w:rFonts w:eastAsia="Times New Roman" w:cs="Times New Roman"/>
          <w:iCs/>
          <w:color w:val="000000" w:themeColor="text1"/>
        </w:rPr>
      </w:pPr>
    </w:p>
    <w:p w:rsidRPr="000963CD" w:rsidR="00CB5D8E" w:rsidP="00376F71" w:rsidRDefault="00CB5D8E" w14:paraId="076B12E6" w14:textId="2B8588E8">
      <w:pPr>
        <w:spacing w:line="360" w:lineRule="auto"/>
        <w:ind w:left="1418"/>
        <w:rPr>
          <w:rFonts w:eastAsia="Times New Roman" w:cs="Times New Roman"/>
          <w:iCs/>
          <w:color w:val="000000" w:themeColor="text1"/>
        </w:rPr>
      </w:pPr>
      <w:r w:rsidRPr="00376F71">
        <w:rPr>
          <w:rFonts w:eastAsia="Times New Roman" w:cs="Times New Roman"/>
          <w:iCs/>
          <w:color w:val="000000" w:themeColor="text1"/>
        </w:rPr>
        <w:t>De Staatssecretaris van Financiën,</w:t>
      </w:r>
    </w:p>
    <w:sectPr w:rsidRPr="000963CD" w:rsidR="00CB5D8E"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AD00" w14:textId="77777777" w:rsidR="00D86F7D" w:rsidRDefault="00D86F7D" w:rsidP="00710F4A">
      <w:pPr>
        <w:spacing w:after="0" w:line="240" w:lineRule="auto"/>
      </w:pPr>
      <w:r>
        <w:separator/>
      </w:r>
    </w:p>
  </w:endnote>
  <w:endnote w:type="continuationSeparator" w:id="0">
    <w:p w14:paraId="7464110F" w14:textId="77777777" w:rsidR="00D86F7D" w:rsidRDefault="00D86F7D" w:rsidP="0071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861102"/>
      <w:docPartObj>
        <w:docPartGallery w:val="Page Numbers (Bottom of Page)"/>
        <w:docPartUnique/>
      </w:docPartObj>
    </w:sdtPr>
    <w:sdtEndPr/>
    <w:sdtContent>
      <w:p w14:paraId="36E26645" w14:textId="6D9A94A2" w:rsidR="00FC012E" w:rsidRDefault="00FC012E">
        <w:pPr>
          <w:pStyle w:val="Voettekst"/>
          <w:jc w:val="right"/>
        </w:pPr>
        <w:r>
          <w:fldChar w:fldCharType="begin"/>
        </w:r>
        <w:r>
          <w:instrText>PAGE   \* MERGEFORMAT</w:instrText>
        </w:r>
        <w:r>
          <w:fldChar w:fldCharType="separate"/>
        </w:r>
        <w:r>
          <w:t>2</w:t>
        </w:r>
        <w:r>
          <w:fldChar w:fldCharType="end"/>
        </w:r>
      </w:p>
    </w:sdtContent>
  </w:sdt>
  <w:p w14:paraId="32858834" w14:textId="77777777" w:rsidR="00FC012E" w:rsidRDefault="00FC01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9E85" w14:textId="77777777" w:rsidR="00D86F7D" w:rsidRDefault="00D86F7D" w:rsidP="00710F4A">
      <w:pPr>
        <w:spacing w:after="0" w:line="240" w:lineRule="auto"/>
      </w:pPr>
      <w:r>
        <w:separator/>
      </w:r>
    </w:p>
  </w:footnote>
  <w:footnote w:type="continuationSeparator" w:id="0">
    <w:p w14:paraId="6C88FF7A" w14:textId="77777777" w:rsidR="00D86F7D" w:rsidRDefault="00D86F7D" w:rsidP="00710F4A">
      <w:pPr>
        <w:spacing w:after="0" w:line="240" w:lineRule="auto"/>
      </w:pPr>
      <w:r>
        <w:continuationSeparator/>
      </w:r>
    </w:p>
  </w:footnote>
  <w:footnote w:id="1">
    <w:p w14:paraId="73CFEDA6" w14:textId="47567248" w:rsidR="008118A2" w:rsidRDefault="008118A2">
      <w:pPr>
        <w:pStyle w:val="Voetnoottekst"/>
      </w:pPr>
      <w:r w:rsidRPr="00AB4C1C">
        <w:rPr>
          <w:rStyle w:val="Voetnootmarkering"/>
        </w:rPr>
        <w:footnoteRef/>
      </w:r>
      <w:r w:rsidRPr="00AB4C1C">
        <w:t xml:space="preserve"> </w:t>
      </w:r>
      <w:r w:rsidR="00AB4C1C" w:rsidRPr="006F617A">
        <w:t>Werkdocument van de diensten van de Commissie van 8 december 2022, SWD(2022) 393 final;</w:t>
      </w:r>
      <w:r w:rsidR="000118E2">
        <w:t xml:space="preserve"> Voorstel voor een Richtlijn van de Raad tot wijziging van Richtlijn 2006/112/EG wat betreft de btw-regels voor het digitale tijdperk van 8 december 2022, COM(2022) 701 final; </w:t>
      </w:r>
      <w:r w:rsidR="003A505E">
        <w:t>Explanatory notes on VAT e-commerce rules, september 2020</w:t>
      </w:r>
      <w:r w:rsidR="00AB4C1C" w:rsidRPr="006F617A">
        <w:t>.</w:t>
      </w:r>
    </w:p>
  </w:footnote>
  <w:footnote w:id="2">
    <w:p w14:paraId="6D9E51BC" w14:textId="77777777" w:rsidR="005F294C" w:rsidRDefault="005F294C" w:rsidP="005F294C">
      <w:pPr>
        <w:pStyle w:val="Voetnoottekst"/>
      </w:pPr>
      <w:r>
        <w:rPr>
          <w:rStyle w:val="Voetnootmarkering"/>
        </w:rPr>
        <w:footnoteRef/>
      </w:r>
      <w:r>
        <w:t xml:space="preserve"> De margeregeling is een bijzondere regeling voor gebruikte goederen, antiek, kunst- en verzamelvoorwerpen. </w:t>
      </w:r>
      <w:r w:rsidRPr="00811C5E">
        <w:t>Deze regeling beoogt cumulatie van belasting te voorkomen in gevallen waarin goederen na aankoop door bijvoorbeeld een particulier – die de in de aankoopprijs begrepen btw niet in aftrek kan brengen – opnieuw in het handelsverkeer worden gebracht. In situatie waarin een particulier de goederen verkoopt aan een handelaar en deze vervolgens deze goederen wederverkoopt, zou zonder margeregeling bij die wederverkoper btw worden geheven over de volledige verkoopprijs, met inbegrip van de eerder niet in aftrek gebrachte belasting. Ter voorkoming van deze cumulatie voorziet de margeregeling erin dat de wederverkoper – in afwijking van de gewone maatstaf van heffing – btw verschuldigd is over het verschil tussen de verkoopprijs en de aankoopprijs (de marge</w:t>
      </w:r>
      <w:r>
        <w:t>). Om juiste toepassing van de margeregeling te waarborgen geldt het oorsprongslandbeginsel en is voorts bepaald dat lidstaten administratieve verplichtingen kunnen stellen aan de toepassing van de regeling.</w:t>
      </w:r>
    </w:p>
  </w:footnote>
  <w:footnote w:id="3">
    <w:p w14:paraId="29CF3953" w14:textId="11FCA887" w:rsidR="005136BE" w:rsidRDefault="005136BE">
      <w:pPr>
        <w:pStyle w:val="Voetnoottekst"/>
      </w:pPr>
      <w:r>
        <w:rPr>
          <w:rStyle w:val="Voetnootmarkering"/>
        </w:rPr>
        <w:footnoteRef/>
      </w:r>
      <w:r>
        <w:t xml:space="preserve"> De zogeheten “VOES” en vervolgens de “MOSS”.</w:t>
      </w:r>
    </w:p>
  </w:footnote>
  <w:footnote w:id="4">
    <w:p w14:paraId="2B7DAC07" w14:textId="72DD313D" w:rsidR="001B6FBA" w:rsidRDefault="001B6FBA">
      <w:pPr>
        <w:pStyle w:val="Voetnoottekst"/>
      </w:pPr>
      <w:r>
        <w:rPr>
          <w:rStyle w:val="Voetnootmarkering"/>
        </w:rPr>
        <w:footnoteRef/>
      </w:r>
      <w:r>
        <w:t xml:space="preserve"> </w:t>
      </w:r>
      <w:r w:rsidR="00AB4C1C" w:rsidRPr="0043202D">
        <w:t>Werkdocument van de diensten van de Commissie van 8 december 2022, SWD(2022) 393 final)</w:t>
      </w:r>
      <w:r w:rsidR="00AB4C1C">
        <w:t>, hoofdstuk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987"/>
    <w:multiLevelType w:val="hybridMultilevel"/>
    <w:tmpl w:val="F392E30C"/>
    <w:lvl w:ilvl="0" w:tplc="E8A82AFE">
      <w:start w:val="1"/>
      <w:numFmt w:val="bullet"/>
      <w:lvlText w:val=""/>
      <w:lvlJc w:val="left"/>
      <w:pPr>
        <w:ind w:left="1080" w:hanging="360"/>
      </w:pPr>
      <w:rPr>
        <w:rFonts w:ascii="Symbol" w:hAnsi="Symbol"/>
      </w:rPr>
    </w:lvl>
    <w:lvl w:ilvl="1" w:tplc="E04079D4">
      <w:start w:val="1"/>
      <w:numFmt w:val="bullet"/>
      <w:lvlText w:val=""/>
      <w:lvlJc w:val="left"/>
      <w:pPr>
        <w:ind w:left="1080" w:hanging="360"/>
      </w:pPr>
      <w:rPr>
        <w:rFonts w:ascii="Symbol" w:hAnsi="Symbol"/>
      </w:rPr>
    </w:lvl>
    <w:lvl w:ilvl="2" w:tplc="5B4CD39A">
      <w:start w:val="1"/>
      <w:numFmt w:val="bullet"/>
      <w:lvlText w:val=""/>
      <w:lvlJc w:val="left"/>
      <w:pPr>
        <w:ind w:left="1080" w:hanging="360"/>
      </w:pPr>
      <w:rPr>
        <w:rFonts w:ascii="Symbol" w:hAnsi="Symbol"/>
      </w:rPr>
    </w:lvl>
    <w:lvl w:ilvl="3" w:tplc="74DC7CDA">
      <w:start w:val="1"/>
      <w:numFmt w:val="bullet"/>
      <w:lvlText w:val=""/>
      <w:lvlJc w:val="left"/>
      <w:pPr>
        <w:ind w:left="1080" w:hanging="360"/>
      </w:pPr>
      <w:rPr>
        <w:rFonts w:ascii="Symbol" w:hAnsi="Symbol"/>
      </w:rPr>
    </w:lvl>
    <w:lvl w:ilvl="4" w:tplc="5930EEBE">
      <w:start w:val="1"/>
      <w:numFmt w:val="bullet"/>
      <w:lvlText w:val=""/>
      <w:lvlJc w:val="left"/>
      <w:pPr>
        <w:ind w:left="1080" w:hanging="360"/>
      </w:pPr>
      <w:rPr>
        <w:rFonts w:ascii="Symbol" w:hAnsi="Symbol"/>
      </w:rPr>
    </w:lvl>
    <w:lvl w:ilvl="5" w:tplc="70EECCE8">
      <w:start w:val="1"/>
      <w:numFmt w:val="bullet"/>
      <w:lvlText w:val=""/>
      <w:lvlJc w:val="left"/>
      <w:pPr>
        <w:ind w:left="1080" w:hanging="360"/>
      </w:pPr>
      <w:rPr>
        <w:rFonts w:ascii="Symbol" w:hAnsi="Symbol"/>
      </w:rPr>
    </w:lvl>
    <w:lvl w:ilvl="6" w:tplc="7060828E">
      <w:start w:val="1"/>
      <w:numFmt w:val="bullet"/>
      <w:lvlText w:val=""/>
      <w:lvlJc w:val="left"/>
      <w:pPr>
        <w:ind w:left="1080" w:hanging="360"/>
      </w:pPr>
      <w:rPr>
        <w:rFonts w:ascii="Symbol" w:hAnsi="Symbol"/>
      </w:rPr>
    </w:lvl>
    <w:lvl w:ilvl="7" w:tplc="00C28C5C">
      <w:start w:val="1"/>
      <w:numFmt w:val="bullet"/>
      <w:lvlText w:val=""/>
      <w:lvlJc w:val="left"/>
      <w:pPr>
        <w:ind w:left="1080" w:hanging="360"/>
      </w:pPr>
      <w:rPr>
        <w:rFonts w:ascii="Symbol" w:hAnsi="Symbol"/>
      </w:rPr>
    </w:lvl>
    <w:lvl w:ilvl="8" w:tplc="269ED31C">
      <w:start w:val="1"/>
      <w:numFmt w:val="bullet"/>
      <w:lvlText w:val=""/>
      <w:lvlJc w:val="left"/>
      <w:pPr>
        <w:ind w:left="1080" w:hanging="360"/>
      </w:pPr>
      <w:rPr>
        <w:rFonts w:ascii="Symbol" w:hAnsi="Symbol"/>
      </w:rPr>
    </w:lvl>
  </w:abstractNum>
  <w:abstractNum w:abstractNumId="1" w15:restartNumberingAfterBreak="0">
    <w:nsid w:val="08263D84"/>
    <w:multiLevelType w:val="hybridMultilevel"/>
    <w:tmpl w:val="ED207B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A770F7"/>
    <w:multiLevelType w:val="hybridMultilevel"/>
    <w:tmpl w:val="E79837DA"/>
    <w:lvl w:ilvl="0" w:tplc="1916C624">
      <w:start w:val="1"/>
      <w:numFmt w:val="bullet"/>
      <w:lvlText w:val=""/>
      <w:lvlJc w:val="left"/>
      <w:pPr>
        <w:ind w:left="1080" w:hanging="360"/>
      </w:pPr>
      <w:rPr>
        <w:rFonts w:ascii="Symbol" w:hAnsi="Symbol"/>
      </w:rPr>
    </w:lvl>
    <w:lvl w:ilvl="1" w:tplc="DC68FE98">
      <w:start w:val="1"/>
      <w:numFmt w:val="bullet"/>
      <w:lvlText w:val=""/>
      <w:lvlJc w:val="left"/>
      <w:pPr>
        <w:ind w:left="1080" w:hanging="360"/>
      </w:pPr>
      <w:rPr>
        <w:rFonts w:ascii="Symbol" w:hAnsi="Symbol"/>
      </w:rPr>
    </w:lvl>
    <w:lvl w:ilvl="2" w:tplc="A2C03DFC">
      <w:start w:val="1"/>
      <w:numFmt w:val="bullet"/>
      <w:lvlText w:val=""/>
      <w:lvlJc w:val="left"/>
      <w:pPr>
        <w:ind w:left="1080" w:hanging="360"/>
      </w:pPr>
      <w:rPr>
        <w:rFonts w:ascii="Symbol" w:hAnsi="Symbol"/>
      </w:rPr>
    </w:lvl>
    <w:lvl w:ilvl="3" w:tplc="819A81F8">
      <w:start w:val="1"/>
      <w:numFmt w:val="bullet"/>
      <w:lvlText w:val=""/>
      <w:lvlJc w:val="left"/>
      <w:pPr>
        <w:ind w:left="1080" w:hanging="360"/>
      </w:pPr>
      <w:rPr>
        <w:rFonts w:ascii="Symbol" w:hAnsi="Symbol"/>
      </w:rPr>
    </w:lvl>
    <w:lvl w:ilvl="4" w:tplc="85B86E2A">
      <w:start w:val="1"/>
      <w:numFmt w:val="bullet"/>
      <w:lvlText w:val=""/>
      <w:lvlJc w:val="left"/>
      <w:pPr>
        <w:ind w:left="1080" w:hanging="360"/>
      </w:pPr>
      <w:rPr>
        <w:rFonts w:ascii="Symbol" w:hAnsi="Symbol"/>
      </w:rPr>
    </w:lvl>
    <w:lvl w:ilvl="5" w:tplc="D1C88342">
      <w:start w:val="1"/>
      <w:numFmt w:val="bullet"/>
      <w:lvlText w:val=""/>
      <w:lvlJc w:val="left"/>
      <w:pPr>
        <w:ind w:left="1080" w:hanging="360"/>
      </w:pPr>
      <w:rPr>
        <w:rFonts w:ascii="Symbol" w:hAnsi="Symbol"/>
      </w:rPr>
    </w:lvl>
    <w:lvl w:ilvl="6" w:tplc="103049C0">
      <w:start w:val="1"/>
      <w:numFmt w:val="bullet"/>
      <w:lvlText w:val=""/>
      <w:lvlJc w:val="left"/>
      <w:pPr>
        <w:ind w:left="1080" w:hanging="360"/>
      </w:pPr>
      <w:rPr>
        <w:rFonts w:ascii="Symbol" w:hAnsi="Symbol"/>
      </w:rPr>
    </w:lvl>
    <w:lvl w:ilvl="7" w:tplc="98B86334">
      <w:start w:val="1"/>
      <w:numFmt w:val="bullet"/>
      <w:lvlText w:val=""/>
      <w:lvlJc w:val="left"/>
      <w:pPr>
        <w:ind w:left="1080" w:hanging="360"/>
      </w:pPr>
      <w:rPr>
        <w:rFonts w:ascii="Symbol" w:hAnsi="Symbol"/>
      </w:rPr>
    </w:lvl>
    <w:lvl w:ilvl="8" w:tplc="26ECABCA">
      <w:start w:val="1"/>
      <w:numFmt w:val="bullet"/>
      <w:lvlText w:val=""/>
      <w:lvlJc w:val="left"/>
      <w:pPr>
        <w:ind w:left="1080" w:hanging="360"/>
      </w:pPr>
      <w:rPr>
        <w:rFonts w:ascii="Symbol" w:hAnsi="Symbol"/>
      </w:rPr>
    </w:lvl>
  </w:abstractNum>
  <w:abstractNum w:abstractNumId="3" w15:restartNumberingAfterBreak="0">
    <w:nsid w:val="129E6415"/>
    <w:multiLevelType w:val="hybridMultilevel"/>
    <w:tmpl w:val="5C76844C"/>
    <w:lvl w:ilvl="0" w:tplc="6FA6C5CA">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4" w15:restartNumberingAfterBreak="0">
    <w:nsid w:val="306C6A8C"/>
    <w:multiLevelType w:val="hybridMultilevel"/>
    <w:tmpl w:val="D3782C80"/>
    <w:lvl w:ilvl="0" w:tplc="DC9609BC">
      <w:start w:val="3"/>
      <w:numFmt w:val="bullet"/>
      <w:lvlText w:val="-"/>
      <w:lvlJc w:val="left"/>
      <w:pPr>
        <w:ind w:left="1778" w:hanging="360"/>
      </w:pPr>
      <w:rPr>
        <w:rFonts w:ascii="Verdana" w:eastAsia="Times New Roman" w:hAnsi="Verdana" w:cs="Times New Roman"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5" w15:restartNumberingAfterBreak="0">
    <w:nsid w:val="32B577D4"/>
    <w:multiLevelType w:val="hybridMultilevel"/>
    <w:tmpl w:val="94AAE802"/>
    <w:lvl w:ilvl="0" w:tplc="276CAF98">
      <w:start w:val="1"/>
      <w:numFmt w:val="bullet"/>
      <w:lvlText w:val=""/>
      <w:lvlJc w:val="left"/>
      <w:pPr>
        <w:ind w:left="2480" w:hanging="360"/>
      </w:pPr>
      <w:rPr>
        <w:rFonts w:ascii="Symbol" w:hAnsi="Symbol"/>
      </w:rPr>
    </w:lvl>
    <w:lvl w:ilvl="1" w:tplc="F322168A">
      <w:start w:val="1"/>
      <w:numFmt w:val="bullet"/>
      <w:lvlText w:val=""/>
      <w:lvlJc w:val="left"/>
      <w:pPr>
        <w:ind w:left="2480" w:hanging="360"/>
      </w:pPr>
      <w:rPr>
        <w:rFonts w:ascii="Symbol" w:hAnsi="Symbol"/>
      </w:rPr>
    </w:lvl>
    <w:lvl w:ilvl="2" w:tplc="2ABE4662">
      <w:start w:val="1"/>
      <w:numFmt w:val="bullet"/>
      <w:lvlText w:val=""/>
      <w:lvlJc w:val="left"/>
      <w:pPr>
        <w:ind w:left="2480" w:hanging="360"/>
      </w:pPr>
      <w:rPr>
        <w:rFonts w:ascii="Symbol" w:hAnsi="Symbol"/>
      </w:rPr>
    </w:lvl>
    <w:lvl w:ilvl="3" w:tplc="9F10AC10">
      <w:start w:val="1"/>
      <w:numFmt w:val="bullet"/>
      <w:lvlText w:val=""/>
      <w:lvlJc w:val="left"/>
      <w:pPr>
        <w:ind w:left="2480" w:hanging="360"/>
      </w:pPr>
      <w:rPr>
        <w:rFonts w:ascii="Symbol" w:hAnsi="Symbol"/>
      </w:rPr>
    </w:lvl>
    <w:lvl w:ilvl="4" w:tplc="5EFE8DC0">
      <w:start w:val="1"/>
      <w:numFmt w:val="bullet"/>
      <w:lvlText w:val=""/>
      <w:lvlJc w:val="left"/>
      <w:pPr>
        <w:ind w:left="2480" w:hanging="360"/>
      </w:pPr>
      <w:rPr>
        <w:rFonts w:ascii="Symbol" w:hAnsi="Symbol"/>
      </w:rPr>
    </w:lvl>
    <w:lvl w:ilvl="5" w:tplc="A86E01DC">
      <w:start w:val="1"/>
      <w:numFmt w:val="bullet"/>
      <w:lvlText w:val=""/>
      <w:lvlJc w:val="left"/>
      <w:pPr>
        <w:ind w:left="2480" w:hanging="360"/>
      </w:pPr>
      <w:rPr>
        <w:rFonts w:ascii="Symbol" w:hAnsi="Symbol"/>
      </w:rPr>
    </w:lvl>
    <w:lvl w:ilvl="6" w:tplc="9476D92E">
      <w:start w:val="1"/>
      <w:numFmt w:val="bullet"/>
      <w:lvlText w:val=""/>
      <w:lvlJc w:val="left"/>
      <w:pPr>
        <w:ind w:left="2480" w:hanging="360"/>
      </w:pPr>
      <w:rPr>
        <w:rFonts w:ascii="Symbol" w:hAnsi="Symbol"/>
      </w:rPr>
    </w:lvl>
    <w:lvl w:ilvl="7" w:tplc="780C0218">
      <w:start w:val="1"/>
      <w:numFmt w:val="bullet"/>
      <w:lvlText w:val=""/>
      <w:lvlJc w:val="left"/>
      <w:pPr>
        <w:ind w:left="2480" w:hanging="360"/>
      </w:pPr>
      <w:rPr>
        <w:rFonts w:ascii="Symbol" w:hAnsi="Symbol"/>
      </w:rPr>
    </w:lvl>
    <w:lvl w:ilvl="8" w:tplc="9C04BD00">
      <w:start w:val="1"/>
      <w:numFmt w:val="bullet"/>
      <w:lvlText w:val=""/>
      <w:lvlJc w:val="left"/>
      <w:pPr>
        <w:ind w:left="2480" w:hanging="360"/>
      </w:pPr>
      <w:rPr>
        <w:rFonts w:ascii="Symbol" w:hAnsi="Symbol"/>
      </w:rPr>
    </w:lvl>
  </w:abstractNum>
  <w:abstractNum w:abstractNumId="6" w15:restartNumberingAfterBreak="0">
    <w:nsid w:val="34166E62"/>
    <w:multiLevelType w:val="hybridMultilevel"/>
    <w:tmpl w:val="9B76AAE4"/>
    <w:lvl w:ilvl="0" w:tplc="7DA6F046">
      <w:start w:val="1"/>
      <w:numFmt w:val="lowerLetter"/>
      <w:lvlText w:val="%1)"/>
      <w:lvlJc w:val="left"/>
      <w:pPr>
        <w:ind w:left="1800" w:hanging="360"/>
      </w:pPr>
      <w:rPr>
        <w:rFonts w:ascii="Verdana" w:eastAsia="Times New Roman" w:hAnsi="Verdana" w:cs="Times New Roman"/>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 w15:restartNumberingAfterBreak="0">
    <w:nsid w:val="3A1A3532"/>
    <w:multiLevelType w:val="hybridMultilevel"/>
    <w:tmpl w:val="0A1AF77E"/>
    <w:lvl w:ilvl="0" w:tplc="D2849210">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8" w15:restartNumberingAfterBreak="0">
    <w:nsid w:val="6D540EAA"/>
    <w:multiLevelType w:val="hybridMultilevel"/>
    <w:tmpl w:val="2070DE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B41437B"/>
    <w:multiLevelType w:val="hybridMultilevel"/>
    <w:tmpl w:val="205CB778"/>
    <w:lvl w:ilvl="0" w:tplc="2A207C8A">
      <w:start w:val="1"/>
      <w:numFmt w:val="bullet"/>
      <w:lvlText w:val=""/>
      <w:lvlJc w:val="left"/>
      <w:pPr>
        <w:ind w:left="2480" w:hanging="360"/>
      </w:pPr>
      <w:rPr>
        <w:rFonts w:ascii="Symbol" w:hAnsi="Symbol"/>
      </w:rPr>
    </w:lvl>
    <w:lvl w:ilvl="1" w:tplc="283CF882">
      <w:start w:val="1"/>
      <w:numFmt w:val="bullet"/>
      <w:lvlText w:val=""/>
      <w:lvlJc w:val="left"/>
      <w:pPr>
        <w:ind w:left="2480" w:hanging="360"/>
      </w:pPr>
      <w:rPr>
        <w:rFonts w:ascii="Symbol" w:hAnsi="Symbol"/>
      </w:rPr>
    </w:lvl>
    <w:lvl w:ilvl="2" w:tplc="2E34EC74">
      <w:start w:val="1"/>
      <w:numFmt w:val="bullet"/>
      <w:lvlText w:val=""/>
      <w:lvlJc w:val="left"/>
      <w:pPr>
        <w:ind w:left="2480" w:hanging="360"/>
      </w:pPr>
      <w:rPr>
        <w:rFonts w:ascii="Symbol" w:hAnsi="Symbol"/>
      </w:rPr>
    </w:lvl>
    <w:lvl w:ilvl="3" w:tplc="A950E20C">
      <w:start w:val="1"/>
      <w:numFmt w:val="bullet"/>
      <w:lvlText w:val=""/>
      <w:lvlJc w:val="left"/>
      <w:pPr>
        <w:ind w:left="2480" w:hanging="360"/>
      </w:pPr>
      <w:rPr>
        <w:rFonts w:ascii="Symbol" w:hAnsi="Symbol"/>
      </w:rPr>
    </w:lvl>
    <w:lvl w:ilvl="4" w:tplc="8CAC4038">
      <w:start w:val="1"/>
      <w:numFmt w:val="bullet"/>
      <w:lvlText w:val=""/>
      <w:lvlJc w:val="left"/>
      <w:pPr>
        <w:ind w:left="2480" w:hanging="360"/>
      </w:pPr>
      <w:rPr>
        <w:rFonts w:ascii="Symbol" w:hAnsi="Symbol"/>
      </w:rPr>
    </w:lvl>
    <w:lvl w:ilvl="5" w:tplc="FBEC11FE">
      <w:start w:val="1"/>
      <w:numFmt w:val="bullet"/>
      <w:lvlText w:val=""/>
      <w:lvlJc w:val="left"/>
      <w:pPr>
        <w:ind w:left="2480" w:hanging="360"/>
      </w:pPr>
      <w:rPr>
        <w:rFonts w:ascii="Symbol" w:hAnsi="Symbol"/>
      </w:rPr>
    </w:lvl>
    <w:lvl w:ilvl="6" w:tplc="C53E7084">
      <w:start w:val="1"/>
      <w:numFmt w:val="bullet"/>
      <w:lvlText w:val=""/>
      <w:lvlJc w:val="left"/>
      <w:pPr>
        <w:ind w:left="2480" w:hanging="360"/>
      </w:pPr>
      <w:rPr>
        <w:rFonts w:ascii="Symbol" w:hAnsi="Symbol"/>
      </w:rPr>
    </w:lvl>
    <w:lvl w:ilvl="7" w:tplc="D632CA28">
      <w:start w:val="1"/>
      <w:numFmt w:val="bullet"/>
      <w:lvlText w:val=""/>
      <w:lvlJc w:val="left"/>
      <w:pPr>
        <w:ind w:left="2480" w:hanging="360"/>
      </w:pPr>
      <w:rPr>
        <w:rFonts w:ascii="Symbol" w:hAnsi="Symbol"/>
      </w:rPr>
    </w:lvl>
    <w:lvl w:ilvl="8" w:tplc="E12C06EE">
      <w:start w:val="1"/>
      <w:numFmt w:val="bullet"/>
      <w:lvlText w:val=""/>
      <w:lvlJc w:val="left"/>
      <w:pPr>
        <w:ind w:left="2480" w:hanging="360"/>
      </w:pPr>
      <w:rPr>
        <w:rFonts w:ascii="Symbol" w:hAnsi="Symbol"/>
      </w:rPr>
    </w:lvl>
  </w:abstractNum>
  <w:num w:numId="1" w16cid:durableId="2073766992">
    <w:abstractNumId w:val="3"/>
  </w:num>
  <w:num w:numId="2" w16cid:durableId="902912478">
    <w:abstractNumId w:val="7"/>
  </w:num>
  <w:num w:numId="3" w16cid:durableId="363604029">
    <w:abstractNumId w:val="4"/>
  </w:num>
  <w:num w:numId="4" w16cid:durableId="190147869">
    <w:abstractNumId w:val="9"/>
  </w:num>
  <w:num w:numId="5" w16cid:durableId="562182564">
    <w:abstractNumId w:val="1"/>
  </w:num>
  <w:num w:numId="6" w16cid:durableId="825166331">
    <w:abstractNumId w:val="8"/>
  </w:num>
  <w:num w:numId="7" w16cid:durableId="364410447">
    <w:abstractNumId w:val="5"/>
  </w:num>
  <w:num w:numId="8" w16cid:durableId="1978098545">
    <w:abstractNumId w:val="6"/>
  </w:num>
  <w:num w:numId="9" w16cid:durableId="1791625534">
    <w:abstractNumId w:val="2"/>
  </w:num>
  <w:num w:numId="10" w16cid:durableId="110692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4A"/>
    <w:rsid w:val="00000CF8"/>
    <w:rsid w:val="00003155"/>
    <w:rsid w:val="000118E2"/>
    <w:rsid w:val="00020A42"/>
    <w:rsid w:val="00046723"/>
    <w:rsid w:val="000479DF"/>
    <w:rsid w:val="00047C95"/>
    <w:rsid w:val="00051A6F"/>
    <w:rsid w:val="00057F1C"/>
    <w:rsid w:val="000727C8"/>
    <w:rsid w:val="00072D55"/>
    <w:rsid w:val="00082D78"/>
    <w:rsid w:val="00086D44"/>
    <w:rsid w:val="00092ED2"/>
    <w:rsid w:val="00095E7D"/>
    <w:rsid w:val="000963CD"/>
    <w:rsid w:val="000A6FF3"/>
    <w:rsid w:val="000A7F51"/>
    <w:rsid w:val="000A7F52"/>
    <w:rsid w:val="000B209F"/>
    <w:rsid w:val="000C5256"/>
    <w:rsid w:val="000C7363"/>
    <w:rsid w:val="000D379B"/>
    <w:rsid w:val="000E042F"/>
    <w:rsid w:val="000E4FD6"/>
    <w:rsid w:val="000F6538"/>
    <w:rsid w:val="001065D4"/>
    <w:rsid w:val="00106B66"/>
    <w:rsid w:val="00126518"/>
    <w:rsid w:val="0013330C"/>
    <w:rsid w:val="00137044"/>
    <w:rsid w:val="0014119E"/>
    <w:rsid w:val="001527C0"/>
    <w:rsid w:val="00156917"/>
    <w:rsid w:val="00160F2D"/>
    <w:rsid w:val="001618A5"/>
    <w:rsid w:val="0016309A"/>
    <w:rsid w:val="00164B60"/>
    <w:rsid w:val="00167D62"/>
    <w:rsid w:val="0017013E"/>
    <w:rsid w:val="0017579C"/>
    <w:rsid w:val="00175864"/>
    <w:rsid w:val="001803FC"/>
    <w:rsid w:val="001847A4"/>
    <w:rsid w:val="001A529C"/>
    <w:rsid w:val="001A55E0"/>
    <w:rsid w:val="001B30B8"/>
    <w:rsid w:val="001B4031"/>
    <w:rsid w:val="001B6FBA"/>
    <w:rsid w:val="001C2AD5"/>
    <w:rsid w:val="001C31C9"/>
    <w:rsid w:val="001C501B"/>
    <w:rsid w:val="001C6D3C"/>
    <w:rsid w:val="001D234B"/>
    <w:rsid w:val="001D266A"/>
    <w:rsid w:val="001D346A"/>
    <w:rsid w:val="001D78F3"/>
    <w:rsid w:val="001E0DA4"/>
    <w:rsid w:val="001E1A3D"/>
    <w:rsid w:val="001E3971"/>
    <w:rsid w:val="001E6A24"/>
    <w:rsid w:val="001E7456"/>
    <w:rsid w:val="001F211C"/>
    <w:rsid w:val="001F2BA8"/>
    <w:rsid w:val="002040D5"/>
    <w:rsid w:val="00210211"/>
    <w:rsid w:val="0021577E"/>
    <w:rsid w:val="00232B2E"/>
    <w:rsid w:val="00234534"/>
    <w:rsid w:val="00236436"/>
    <w:rsid w:val="002409CF"/>
    <w:rsid w:val="00245C7F"/>
    <w:rsid w:val="00246B4B"/>
    <w:rsid w:val="00252380"/>
    <w:rsid w:val="002557D6"/>
    <w:rsid w:val="0026188C"/>
    <w:rsid w:val="00266B62"/>
    <w:rsid w:val="00276F1E"/>
    <w:rsid w:val="002804AB"/>
    <w:rsid w:val="00284411"/>
    <w:rsid w:val="002A0678"/>
    <w:rsid w:val="002A53E9"/>
    <w:rsid w:val="002B65DA"/>
    <w:rsid w:val="002B76A3"/>
    <w:rsid w:val="002D2734"/>
    <w:rsid w:val="002D3403"/>
    <w:rsid w:val="002E0A0A"/>
    <w:rsid w:val="002E2325"/>
    <w:rsid w:val="002E48F9"/>
    <w:rsid w:val="002F38E1"/>
    <w:rsid w:val="002F548B"/>
    <w:rsid w:val="002F56D0"/>
    <w:rsid w:val="00301960"/>
    <w:rsid w:val="00301BFA"/>
    <w:rsid w:val="003076F2"/>
    <w:rsid w:val="00312537"/>
    <w:rsid w:val="00314F00"/>
    <w:rsid w:val="0032242A"/>
    <w:rsid w:val="00322EDD"/>
    <w:rsid w:val="003259AF"/>
    <w:rsid w:val="00327572"/>
    <w:rsid w:val="00331FB7"/>
    <w:rsid w:val="003325BC"/>
    <w:rsid w:val="003325E9"/>
    <w:rsid w:val="0033510B"/>
    <w:rsid w:val="0035077F"/>
    <w:rsid w:val="003564A4"/>
    <w:rsid w:val="0036356C"/>
    <w:rsid w:val="0037240C"/>
    <w:rsid w:val="00376558"/>
    <w:rsid w:val="00376F71"/>
    <w:rsid w:val="003803DC"/>
    <w:rsid w:val="003861EA"/>
    <w:rsid w:val="00386778"/>
    <w:rsid w:val="003A07A3"/>
    <w:rsid w:val="003A1641"/>
    <w:rsid w:val="003A505E"/>
    <w:rsid w:val="003B0AB1"/>
    <w:rsid w:val="003B5580"/>
    <w:rsid w:val="003B5F21"/>
    <w:rsid w:val="003C30B4"/>
    <w:rsid w:val="003D3B08"/>
    <w:rsid w:val="003D4A47"/>
    <w:rsid w:val="003E64AC"/>
    <w:rsid w:val="003F1BFB"/>
    <w:rsid w:val="003F4836"/>
    <w:rsid w:val="004000E8"/>
    <w:rsid w:val="00402EA7"/>
    <w:rsid w:val="00406021"/>
    <w:rsid w:val="00423023"/>
    <w:rsid w:val="00424AA4"/>
    <w:rsid w:val="00425DBA"/>
    <w:rsid w:val="00431206"/>
    <w:rsid w:val="00434037"/>
    <w:rsid w:val="0045050E"/>
    <w:rsid w:val="00456774"/>
    <w:rsid w:val="00463124"/>
    <w:rsid w:val="004732FF"/>
    <w:rsid w:val="00475DCB"/>
    <w:rsid w:val="00482A44"/>
    <w:rsid w:val="00486676"/>
    <w:rsid w:val="00486AA2"/>
    <w:rsid w:val="004A3146"/>
    <w:rsid w:val="004B7D2D"/>
    <w:rsid w:val="004C4741"/>
    <w:rsid w:val="004D4DE7"/>
    <w:rsid w:val="004D7FED"/>
    <w:rsid w:val="005136BE"/>
    <w:rsid w:val="00515138"/>
    <w:rsid w:val="00515636"/>
    <w:rsid w:val="00517955"/>
    <w:rsid w:val="0052370F"/>
    <w:rsid w:val="00527DFA"/>
    <w:rsid w:val="005370F7"/>
    <w:rsid w:val="00543099"/>
    <w:rsid w:val="0054695F"/>
    <w:rsid w:val="0055404F"/>
    <w:rsid w:val="00554575"/>
    <w:rsid w:val="00554FA0"/>
    <w:rsid w:val="00555670"/>
    <w:rsid w:val="00555840"/>
    <w:rsid w:val="00555B26"/>
    <w:rsid w:val="00561811"/>
    <w:rsid w:val="00572877"/>
    <w:rsid w:val="00577990"/>
    <w:rsid w:val="0059546D"/>
    <w:rsid w:val="00595699"/>
    <w:rsid w:val="005A19E7"/>
    <w:rsid w:val="005B5B77"/>
    <w:rsid w:val="005C7E91"/>
    <w:rsid w:val="005D4A43"/>
    <w:rsid w:val="005E26BD"/>
    <w:rsid w:val="005E3DCF"/>
    <w:rsid w:val="005F294C"/>
    <w:rsid w:val="00607D56"/>
    <w:rsid w:val="00616463"/>
    <w:rsid w:val="00616509"/>
    <w:rsid w:val="0063705F"/>
    <w:rsid w:val="00645DFC"/>
    <w:rsid w:val="0065160C"/>
    <w:rsid w:val="00656662"/>
    <w:rsid w:val="00664C70"/>
    <w:rsid w:val="006718CC"/>
    <w:rsid w:val="00682AD7"/>
    <w:rsid w:val="00683EC2"/>
    <w:rsid w:val="006866B1"/>
    <w:rsid w:val="0068693F"/>
    <w:rsid w:val="00690241"/>
    <w:rsid w:val="00690B5D"/>
    <w:rsid w:val="00697ED8"/>
    <w:rsid w:val="006A10B7"/>
    <w:rsid w:val="006A24D9"/>
    <w:rsid w:val="006A5AF6"/>
    <w:rsid w:val="006A7F2C"/>
    <w:rsid w:val="006B5764"/>
    <w:rsid w:val="006C40CD"/>
    <w:rsid w:val="006C42DF"/>
    <w:rsid w:val="006D6176"/>
    <w:rsid w:val="006E5D63"/>
    <w:rsid w:val="006F1CF7"/>
    <w:rsid w:val="006F4B9A"/>
    <w:rsid w:val="006F617A"/>
    <w:rsid w:val="006F6413"/>
    <w:rsid w:val="00710F4A"/>
    <w:rsid w:val="00712C98"/>
    <w:rsid w:val="007132F0"/>
    <w:rsid w:val="00716532"/>
    <w:rsid w:val="0072024A"/>
    <w:rsid w:val="00721821"/>
    <w:rsid w:val="00726062"/>
    <w:rsid w:val="00726A6B"/>
    <w:rsid w:val="007474D5"/>
    <w:rsid w:val="00757A8C"/>
    <w:rsid w:val="00761B45"/>
    <w:rsid w:val="00765053"/>
    <w:rsid w:val="007805A4"/>
    <w:rsid w:val="00794636"/>
    <w:rsid w:val="00797929"/>
    <w:rsid w:val="007A0B75"/>
    <w:rsid w:val="007B1954"/>
    <w:rsid w:val="007B6B83"/>
    <w:rsid w:val="007B704E"/>
    <w:rsid w:val="007D3D9A"/>
    <w:rsid w:val="007E4064"/>
    <w:rsid w:val="007E5BE8"/>
    <w:rsid w:val="007F0CBE"/>
    <w:rsid w:val="0080318B"/>
    <w:rsid w:val="008118A2"/>
    <w:rsid w:val="00811C5E"/>
    <w:rsid w:val="0081440C"/>
    <w:rsid w:val="00824B40"/>
    <w:rsid w:val="0083193A"/>
    <w:rsid w:val="008331E2"/>
    <w:rsid w:val="008357FA"/>
    <w:rsid w:val="008375CC"/>
    <w:rsid w:val="00840C5A"/>
    <w:rsid w:val="00854A08"/>
    <w:rsid w:val="00856C36"/>
    <w:rsid w:val="008679EF"/>
    <w:rsid w:val="00873080"/>
    <w:rsid w:val="008735E1"/>
    <w:rsid w:val="008745EC"/>
    <w:rsid w:val="008761FA"/>
    <w:rsid w:val="00880D6B"/>
    <w:rsid w:val="00883FED"/>
    <w:rsid w:val="00885239"/>
    <w:rsid w:val="008857F6"/>
    <w:rsid w:val="00890631"/>
    <w:rsid w:val="008930D0"/>
    <w:rsid w:val="008933C9"/>
    <w:rsid w:val="008940B0"/>
    <w:rsid w:val="00896856"/>
    <w:rsid w:val="00897EE7"/>
    <w:rsid w:val="008B0B6C"/>
    <w:rsid w:val="008B6FDC"/>
    <w:rsid w:val="008D0745"/>
    <w:rsid w:val="008D0917"/>
    <w:rsid w:val="008D0A78"/>
    <w:rsid w:val="008D15F9"/>
    <w:rsid w:val="008D3D6B"/>
    <w:rsid w:val="008D5449"/>
    <w:rsid w:val="008D5BA2"/>
    <w:rsid w:val="008E2EA3"/>
    <w:rsid w:val="008F3B4B"/>
    <w:rsid w:val="009010A7"/>
    <w:rsid w:val="00901113"/>
    <w:rsid w:val="0090188F"/>
    <w:rsid w:val="0091490C"/>
    <w:rsid w:val="00917E83"/>
    <w:rsid w:val="00925368"/>
    <w:rsid w:val="00935DF7"/>
    <w:rsid w:val="00936780"/>
    <w:rsid w:val="009405A7"/>
    <w:rsid w:val="00942DAF"/>
    <w:rsid w:val="009433ED"/>
    <w:rsid w:val="00943B85"/>
    <w:rsid w:val="00953BF9"/>
    <w:rsid w:val="00954BFB"/>
    <w:rsid w:val="00954E30"/>
    <w:rsid w:val="00957614"/>
    <w:rsid w:val="00962908"/>
    <w:rsid w:val="0096501E"/>
    <w:rsid w:val="00977C72"/>
    <w:rsid w:val="0098223B"/>
    <w:rsid w:val="00983BF5"/>
    <w:rsid w:val="00991274"/>
    <w:rsid w:val="009A38FD"/>
    <w:rsid w:val="009B0A47"/>
    <w:rsid w:val="009D17E7"/>
    <w:rsid w:val="009E4624"/>
    <w:rsid w:val="009E778D"/>
    <w:rsid w:val="009F4F8F"/>
    <w:rsid w:val="00A071CA"/>
    <w:rsid w:val="00A10E3A"/>
    <w:rsid w:val="00A35774"/>
    <w:rsid w:val="00A35F86"/>
    <w:rsid w:val="00A449A1"/>
    <w:rsid w:val="00A44FF1"/>
    <w:rsid w:val="00A460BD"/>
    <w:rsid w:val="00A507B0"/>
    <w:rsid w:val="00A544BF"/>
    <w:rsid w:val="00A6379B"/>
    <w:rsid w:val="00A901E7"/>
    <w:rsid w:val="00A921C5"/>
    <w:rsid w:val="00A92CFF"/>
    <w:rsid w:val="00A97467"/>
    <w:rsid w:val="00AA06BF"/>
    <w:rsid w:val="00AA2667"/>
    <w:rsid w:val="00AA2DF5"/>
    <w:rsid w:val="00AA4CAC"/>
    <w:rsid w:val="00AA798C"/>
    <w:rsid w:val="00AB4C1C"/>
    <w:rsid w:val="00AB5039"/>
    <w:rsid w:val="00AB544C"/>
    <w:rsid w:val="00AB6D73"/>
    <w:rsid w:val="00AB754C"/>
    <w:rsid w:val="00AC7A9B"/>
    <w:rsid w:val="00AD60BE"/>
    <w:rsid w:val="00AE03EC"/>
    <w:rsid w:val="00AE5D03"/>
    <w:rsid w:val="00AE617E"/>
    <w:rsid w:val="00AF0AB8"/>
    <w:rsid w:val="00AF0E08"/>
    <w:rsid w:val="00AF562D"/>
    <w:rsid w:val="00B05A69"/>
    <w:rsid w:val="00B06701"/>
    <w:rsid w:val="00B2027C"/>
    <w:rsid w:val="00B215CB"/>
    <w:rsid w:val="00B2673A"/>
    <w:rsid w:val="00B30C14"/>
    <w:rsid w:val="00B333BE"/>
    <w:rsid w:val="00B46EE5"/>
    <w:rsid w:val="00B55D21"/>
    <w:rsid w:val="00B56AEC"/>
    <w:rsid w:val="00B57E30"/>
    <w:rsid w:val="00B70791"/>
    <w:rsid w:val="00B708AE"/>
    <w:rsid w:val="00B710DE"/>
    <w:rsid w:val="00B73815"/>
    <w:rsid w:val="00B756D7"/>
    <w:rsid w:val="00B81830"/>
    <w:rsid w:val="00B8373C"/>
    <w:rsid w:val="00B84C3A"/>
    <w:rsid w:val="00B90698"/>
    <w:rsid w:val="00B94A96"/>
    <w:rsid w:val="00BA2CBC"/>
    <w:rsid w:val="00BA69BE"/>
    <w:rsid w:val="00BB624D"/>
    <w:rsid w:val="00BB7686"/>
    <w:rsid w:val="00BC0E83"/>
    <w:rsid w:val="00BC50F3"/>
    <w:rsid w:val="00BD1932"/>
    <w:rsid w:val="00BD2C6A"/>
    <w:rsid w:val="00BE377C"/>
    <w:rsid w:val="00BE46D7"/>
    <w:rsid w:val="00BE569F"/>
    <w:rsid w:val="00BE5815"/>
    <w:rsid w:val="00BF08CE"/>
    <w:rsid w:val="00BF0CF2"/>
    <w:rsid w:val="00C0200F"/>
    <w:rsid w:val="00C07464"/>
    <w:rsid w:val="00C24695"/>
    <w:rsid w:val="00C25196"/>
    <w:rsid w:val="00C26D64"/>
    <w:rsid w:val="00C30A4B"/>
    <w:rsid w:val="00C319FC"/>
    <w:rsid w:val="00C367C2"/>
    <w:rsid w:val="00C44974"/>
    <w:rsid w:val="00C45FB5"/>
    <w:rsid w:val="00C47E09"/>
    <w:rsid w:val="00C55A3A"/>
    <w:rsid w:val="00C60281"/>
    <w:rsid w:val="00C654F1"/>
    <w:rsid w:val="00C71C0C"/>
    <w:rsid w:val="00C7445B"/>
    <w:rsid w:val="00C75746"/>
    <w:rsid w:val="00C80AB6"/>
    <w:rsid w:val="00C81FE2"/>
    <w:rsid w:val="00C9161A"/>
    <w:rsid w:val="00CA0101"/>
    <w:rsid w:val="00CA7D1D"/>
    <w:rsid w:val="00CB0A4B"/>
    <w:rsid w:val="00CB1250"/>
    <w:rsid w:val="00CB3AF0"/>
    <w:rsid w:val="00CB52C4"/>
    <w:rsid w:val="00CB5D8E"/>
    <w:rsid w:val="00CD6978"/>
    <w:rsid w:val="00CD70AA"/>
    <w:rsid w:val="00CE637C"/>
    <w:rsid w:val="00D123C0"/>
    <w:rsid w:val="00D127A4"/>
    <w:rsid w:val="00D21451"/>
    <w:rsid w:val="00D230C4"/>
    <w:rsid w:val="00D4270C"/>
    <w:rsid w:val="00D4306B"/>
    <w:rsid w:val="00D53311"/>
    <w:rsid w:val="00D543A4"/>
    <w:rsid w:val="00D5716C"/>
    <w:rsid w:val="00D5727F"/>
    <w:rsid w:val="00D6466D"/>
    <w:rsid w:val="00D701E9"/>
    <w:rsid w:val="00D72544"/>
    <w:rsid w:val="00D73EE2"/>
    <w:rsid w:val="00D77413"/>
    <w:rsid w:val="00D775C6"/>
    <w:rsid w:val="00D86F7D"/>
    <w:rsid w:val="00DA14F9"/>
    <w:rsid w:val="00DA438C"/>
    <w:rsid w:val="00DA5576"/>
    <w:rsid w:val="00DA585F"/>
    <w:rsid w:val="00DA6032"/>
    <w:rsid w:val="00DB2FF0"/>
    <w:rsid w:val="00DB5472"/>
    <w:rsid w:val="00DB78D1"/>
    <w:rsid w:val="00DC25B8"/>
    <w:rsid w:val="00DC5AFF"/>
    <w:rsid w:val="00DD0DB6"/>
    <w:rsid w:val="00DE2BD2"/>
    <w:rsid w:val="00DF2FB2"/>
    <w:rsid w:val="00E05B18"/>
    <w:rsid w:val="00E108AC"/>
    <w:rsid w:val="00E15819"/>
    <w:rsid w:val="00E30AA6"/>
    <w:rsid w:val="00E31A2A"/>
    <w:rsid w:val="00E426F9"/>
    <w:rsid w:val="00E4606D"/>
    <w:rsid w:val="00E56062"/>
    <w:rsid w:val="00E742E7"/>
    <w:rsid w:val="00E927E8"/>
    <w:rsid w:val="00EA45EC"/>
    <w:rsid w:val="00EA6102"/>
    <w:rsid w:val="00EA6FBB"/>
    <w:rsid w:val="00EC1849"/>
    <w:rsid w:val="00EC2B2E"/>
    <w:rsid w:val="00EC4E04"/>
    <w:rsid w:val="00EC79F8"/>
    <w:rsid w:val="00ED36EE"/>
    <w:rsid w:val="00ED4A2E"/>
    <w:rsid w:val="00ED596F"/>
    <w:rsid w:val="00EE32A7"/>
    <w:rsid w:val="00F055A4"/>
    <w:rsid w:val="00F11397"/>
    <w:rsid w:val="00F11402"/>
    <w:rsid w:val="00F16545"/>
    <w:rsid w:val="00F30FE5"/>
    <w:rsid w:val="00F34DEA"/>
    <w:rsid w:val="00F37BBC"/>
    <w:rsid w:val="00F40ACD"/>
    <w:rsid w:val="00F4119E"/>
    <w:rsid w:val="00F43CE1"/>
    <w:rsid w:val="00F45F1E"/>
    <w:rsid w:val="00F50E51"/>
    <w:rsid w:val="00F6360B"/>
    <w:rsid w:val="00F673ED"/>
    <w:rsid w:val="00F8016B"/>
    <w:rsid w:val="00F805E3"/>
    <w:rsid w:val="00F8682D"/>
    <w:rsid w:val="00F86C9E"/>
    <w:rsid w:val="00F94DAE"/>
    <w:rsid w:val="00FA1180"/>
    <w:rsid w:val="00FA6390"/>
    <w:rsid w:val="00FB207E"/>
    <w:rsid w:val="00FB61E5"/>
    <w:rsid w:val="00FC012E"/>
    <w:rsid w:val="00FC1CF5"/>
    <w:rsid w:val="00FC65A5"/>
    <w:rsid w:val="00FF0E7B"/>
    <w:rsid w:val="00FF45AD"/>
    <w:rsid w:val="00FF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9AD5C"/>
  <w15:chartTrackingRefBased/>
  <w15:docId w15:val="{94982172-29C3-4EE3-A5D3-97C815DC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710F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0F4A"/>
    <w:rPr>
      <w:rFonts w:asciiTheme="majorHAnsi" w:eastAsiaTheme="majorEastAsia" w:hAnsiTheme="majorHAnsi" w:cstheme="majorBidi"/>
      <w:color w:val="2E74B5" w:themeColor="accent1" w:themeShade="BF"/>
      <w:sz w:val="32"/>
      <w:szCs w:val="32"/>
      <w:lang w:val="nl-NL"/>
    </w:rPr>
  </w:style>
  <w:style w:type="paragraph" w:styleId="Kopvaninhoudsopgave">
    <w:name w:val="TOC Heading"/>
    <w:basedOn w:val="Kop1"/>
    <w:next w:val="Standaard"/>
    <w:uiPriority w:val="39"/>
    <w:unhideWhenUsed/>
    <w:qFormat/>
    <w:rsid w:val="00710F4A"/>
    <w:pPr>
      <w:outlineLvl w:val="9"/>
    </w:pPr>
    <w:rPr>
      <w:lang w:eastAsia="nl-NL"/>
    </w:rPr>
  </w:style>
  <w:style w:type="character" w:styleId="Verwijzingopmerking">
    <w:name w:val="annotation reference"/>
    <w:basedOn w:val="Standaardalinea-lettertype"/>
    <w:unhideWhenUsed/>
    <w:rsid w:val="00543099"/>
    <w:rPr>
      <w:sz w:val="16"/>
      <w:szCs w:val="16"/>
    </w:rPr>
  </w:style>
  <w:style w:type="paragraph" w:styleId="Tekstopmerking">
    <w:name w:val="annotation text"/>
    <w:basedOn w:val="Standaard"/>
    <w:link w:val="TekstopmerkingChar"/>
    <w:uiPriority w:val="99"/>
    <w:unhideWhenUsed/>
    <w:rsid w:val="00543099"/>
    <w:pPr>
      <w:spacing w:after="0" w:line="240" w:lineRule="auto"/>
      <w:ind w:left="1418"/>
    </w:pPr>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543099"/>
    <w:rPr>
      <w:rFonts w:eastAsia="Times New Roman" w:cs="Times New Roman"/>
      <w:sz w:val="20"/>
      <w:szCs w:val="20"/>
      <w:lang w:val="nl-NL" w:eastAsia="nl-NL"/>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unhideWhenUsed/>
    <w:rsid w:val="00543099"/>
    <w:pPr>
      <w:spacing w:after="0" w:line="240" w:lineRule="auto"/>
      <w:ind w:left="1418"/>
    </w:pPr>
    <w:rPr>
      <w:rFonts w:eastAsia="Times New Roman" w:cs="Times New Roman"/>
      <w:sz w:val="13"/>
      <w:szCs w:val="20"/>
      <w:lang w:eastAsia="nl-NL"/>
    </w:rPr>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543099"/>
    <w:rPr>
      <w:rFonts w:eastAsia="Times New Roman" w:cs="Times New Roman"/>
      <w:sz w:val="13"/>
      <w:szCs w:val="20"/>
      <w:lang w:val="nl-NL"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rsid w:val="00543099"/>
    <w:rPr>
      <w:vertAlign w:val="superscript"/>
    </w:rPr>
  </w:style>
  <w:style w:type="table" w:styleId="Tabelraster">
    <w:name w:val="Table Grid"/>
    <w:basedOn w:val="Standaardtabel"/>
    <w:uiPriority w:val="59"/>
    <w:rsid w:val="00543099"/>
    <w:pPr>
      <w:spacing w:after="0" w:line="240" w:lineRule="auto"/>
    </w:pPr>
    <w:rPr>
      <w:rFonts w:eastAsia="Verdana" w:cs="Times New Roman"/>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543099"/>
    <w:pPr>
      <w:spacing w:after="0" w:line="360" w:lineRule="auto"/>
      <w:ind w:left="720"/>
      <w:contextualSpacing/>
    </w:pPr>
    <w:rPr>
      <w:rFonts w:eastAsia="Times New Roman" w:cs="Times New Roman"/>
      <w:szCs w:val="20"/>
      <w:lang w:eastAsia="nl-NL"/>
    </w:rPr>
  </w:style>
  <w:style w:type="character" w:styleId="Hyperlink">
    <w:name w:val="Hyperlink"/>
    <w:basedOn w:val="Standaardalinea-lettertype"/>
    <w:uiPriority w:val="99"/>
    <w:unhideWhenUsed/>
    <w:rsid w:val="00543099"/>
    <w:rPr>
      <w:color w:val="0563C1"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rsid w:val="00543099"/>
    <w:rPr>
      <w:rFonts w:eastAsia="Times New Roman" w:cs="Times New Roman"/>
      <w:szCs w:val="20"/>
      <w:lang w:val="nl-NL" w:eastAsia="nl-NL"/>
    </w:rPr>
  </w:style>
  <w:style w:type="paragraph" w:styleId="Inhopg1">
    <w:name w:val="toc 1"/>
    <w:basedOn w:val="Standaard"/>
    <w:next w:val="Standaard"/>
    <w:autoRedefine/>
    <w:uiPriority w:val="39"/>
    <w:unhideWhenUsed/>
    <w:rsid w:val="00543099"/>
    <w:pPr>
      <w:spacing w:after="100"/>
    </w:pPr>
  </w:style>
  <w:style w:type="paragraph" w:styleId="Koptekst">
    <w:name w:val="header"/>
    <w:basedOn w:val="Standaard"/>
    <w:link w:val="KoptekstChar"/>
    <w:uiPriority w:val="99"/>
    <w:unhideWhenUsed/>
    <w:rsid w:val="00FC01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012E"/>
    <w:rPr>
      <w:lang w:val="nl-NL"/>
    </w:rPr>
  </w:style>
  <w:style w:type="paragraph" w:styleId="Voettekst">
    <w:name w:val="footer"/>
    <w:basedOn w:val="Standaard"/>
    <w:link w:val="VoettekstChar"/>
    <w:uiPriority w:val="99"/>
    <w:unhideWhenUsed/>
    <w:rsid w:val="00FC01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012E"/>
    <w:rPr>
      <w:lang w:val="nl-NL"/>
    </w:rPr>
  </w:style>
  <w:style w:type="paragraph" w:styleId="Bijschrift">
    <w:name w:val="caption"/>
    <w:basedOn w:val="Standaard"/>
    <w:next w:val="Standaard"/>
    <w:uiPriority w:val="35"/>
    <w:unhideWhenUsed/>
    <w:qFormat/>
    <w:rsid w:val="00A460BD"/>
    <w:pPr>
      <w:spacing w:after="200" w:line="240" w:lineRule="auto"/>
    </w:pPr>
    <w:rPr>
      <w:i/>
      <w:iCs/>
      <w:color w:val="44546A" w:themeColor="text2"/>
      <w:szCs w:val="18"/>
    </w:rPr>
  </w:style>
  <w:style w:type="paragraph" w:styleId="Onderwerpvanopmerking">
    <w:name w:val="annotation subject"/>
    <w:basedOn w:val="Tekstopmerking"/>
    <w:next w:val="Tekstopmerking"/>
    <w:link w:val="OnderwerpvanopmerkingChar"/>
    <w:uiPriority w:val="99"/>
    <w:semiHidden/>
    <w:unhideWhenUsed/>
    <w:rsid w:val="00AA4CAC"/>
    <w:pPr>
      <w:spacing w:after="160"/>
      <w:ind w:left="0"/>
    </w:pPr>
    <w:rPr>
      <w:rFonts w:eastAsia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AA4CAC"/>
    <w:rPr>
      <w:rFonts w:eastAsia="Times New Roman" w:cs="Times New Roman"/>
      <w:b/>
      <w:bCs/>
      <w:sz w:val="20"/>
      <w:szCs w:val="20"/>
      <w:lang w:val="nl-NL" w:eastAsia="nl-NL"/>
    </w:rPr>
  </w:style>
  <w:style w:type="paragraph" w:styleId="Revisie">
    <w:name w:val="Revision"/>
    <w:hidden/>
    <w:uiPriority w:val="99"/>
    <w:semiHidden/>
    <w:rsid w:val="006A10B7"/>
    <w:pPr>
      <w:spacing w:after="0" w:line="240" w:lineRule="auto"/>
    </w:pPr>
    <w:rPr>
      <w:lang w:val="nl-NL"/>
    </w:rPr>
  </w:style>
  <w:style w:type="character" w:styleId="Onopgelostemelding">
    <w:name w:val="Unresolved Mention"/>
    <w:basedOn w:val="Standaardalinea-lettertype"/>
    <w:uiPriority w:val="99"/>
    <w:semiHidden/>
    <w:unhideWhenUsed/>
    <w:rsid w:val="00204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463">
      <w:bodyDiv w:val="1"/>
      <w:marLeft w:val="0"/>
      <w:marRight w:val="0"/>
      <w:marTop w:val="0"/>
      <w:marBottom w:val="0"/>
      <w:divBdr>
        <w:top w:val="none" w:sz="0" w:space="0" w:color="auto"/>
        <w:left w:val="none" w:sz="0" w:space="0" w:color="auto"/>
        <w:bottom w:val="none" w:sz="0" w:space="0" w:color="auto"/>
        <w:right w:val="none" w:sz="0" w:space="0" w:color="auto"/>
      </w:divBdr>
    </w:div>
    <w:div w:id="8719048">
      <w:bodyDiv w:val="1"/>
      <w:marLeft w:val="0"/>
      <w:marRight w:val="0"/>
      <w:marTop w:val="0"/>
      <w:marBottom w:val="0"/>
      <w:divBdr>
        <w:top w:val="none" w:sz="0" w:space="0" w:color="auto"/>
        <w:left w:val="none" w:sz="0" w:space="0" w:color="auto"/>
        <w:bottom w:val="none" w:sz="0" w:space="0" w:color="auto"/>
        <w:right w:val="none" w:sz="0" w:space="0" w:color="auto"/>
      </w:divBdr>
    </w:div>
    <w:div w:id="22217749">
      <w:bodyDiv w:val="1"/>
      <w:marLeft w:val="0"/>
      <w:marRight w:val="0"/>
      <w:marTop w:val="0"/>
      <w:marBottom w:val="0"/>
      <w:divBdr>
        <w:top w:val="none" w:sz="0" w:space="0" w:color="auto"/>
        <w:left w:val="none" w:sz="0" w:space="0" w:color="auto"/>
        <w:bottom w:val="none" w:sz="0" w:space="0" w:color="auto"/>
        <w:right w:val="none" w:sz="0" w:space="0" w:color="auto"/>
      </w:divBdr>
    </w:div>
    <w:div w:id="44184948">
      <w:bodyDiv w:val="1"/>
      <w:marLeft w:val="0"/>
      <w:marRight w:val="0"/>
      <w:marTop w:val="0"/>
      <w:marBottom w:val="0"/>
      <w:divBdr>
        <w:top w:val="none" w:sz="0" w:space="0" w:color="auto"/>
        <w:left w:val="none" w:sz="0" w:space="0" w:color="auto"/>
        <w:bottom w:val="none" w:sz="0" w:space="0" w:color="auto"/>
        <w:right w:val="none" w:sz="0" w:space="0" w:color="auto"/>
      </w:divBdr>
    </w:div>
    <w:div w:id="55321326">
      <w:bodyDiv w:val="1"/>
      <w:marLeft w:val="0"/>
      <w:marRight w:val="0"/>
      <w:marTop w:val="0"/>
      <w:marBottom w:val="0"/>
      <w:divBdr>
        <w:top w:val="none" w:sz="0" w:space="0" w:color="auto"/>
        <w:left w:val="none" w:sz="0" w:space="0" w:color="auto"/>
        <w:bottom w:val="none" w:sz="0" w:space="0" w:color="auto"/>
        <w:right w:val="none" w:sz="0" w:space="0" w:color="auto"/>
      </w:divBdr>
    </w:div>
    <w:div w:id="56976524">
      <w:bodyDiv w:val="1"/>
      <w:marLeft w:val="0"/>
      <w:marRight w:val="0"/>
      <w:marTop w:val="0"/>
      <w:marBottom w:val="0"/>
      <w:divBdr>
        <w:top w:val="none" w:sz="0" w:space="0" w:color="auto"/>
        <w:left w:val="none" w:sz="0" w:space="0" w:color="auto"/>
        <w:bottom w:val="none" w:sz="0" w:space="0" w:color="auto"/>
        <w:right w:val="none" w:sz="0" w:space="0" w:color="auto"/>
      </w:divBdr>
      <w:divsChild>
        <w:div w:id="1733886336">
          <w:marLeft w:val="0"/>
          <w:marRight w:val="0"/>
          <w:marTop w:val="0"/>
          <w:marBottom w:val="0"/>
          <w:divBdr>
            <w:top w:val="single" w:sz="2" w:space="0" w:color="4E4E4E"/>
            <w:left w:val="single" w:sz="2" w:space="0" w:color="4E4E4E"/>
            <w:bottom w:val="single" w:sz="2" w:space="0" w:color="4E4E4E"/>
            <w:right w:val="single" w:sz="2" w:space="0" w:color="4E4E4E"/>
          </w:divBdr>
        </w:div>
      </w:divsChild>
    </w:div>
    <w:div w:id="73938210">
      <w:bodyDiv w:val="1"/>
      <w:marLeft w:val="0"/>
      <w:marRight w:val="0"/>
      <w:marTop w:val="0"/>
      <w:marBottom w:val="0"/>
      <w:divBdr>
        <w:top w:val="none" w:sz="0" w:space="0" w:color="auto"/>
        <w:left w:val="none" w:sz="0" w:space="0" w:color="auto"/>
        <w:bottom w:val="none" w:sz="0" w:space="0" w:color="auto"/>
        <w:right w:val="none" w:sz="0" w:space="0" w:color="auto"/>
      </w:divBdr>
    </w:div>
    <w:div w:id="128015937">
      <w:bodyDiv w:val="1"/>
      <w:marLeft w:val="0"/>
      <w:marRight w:val="0"/>
      <w:marTop w:val="0"/>
      <w:marBottom w:val="0"/>
      <w:divBdr>
        <w:top w:val="none" w:sz="0" w:space="0" w:color="auto"/>
        <w:left w:val="none" w:sz="0" w:space="0" w:color="auto"/>
        <w:bottom w:val="none" w:sz="0" w:space="0" w:color="auto"/>
        <w:right w:val="none" w:sz="0" w:space="0" w:color="auto"/>
      </w:divBdr>
    </w:div>
    <w:div w:id="135732693">
      <w:bodyDiv w:val="1"/>
      <w:marLeft w:val="0"/>
      <w:marRight w:val="0"/>
      <w:marTop w:val="0"/>
      <w:marBottom w:val="0"/>
      <w:divBdr>
        <w:top w:val="none" w:sz="0" w:space="0" w:color="auto"/>
        <w:left w:val="none" w:sz="0" w:space="0" w:color="auto"/>
        <w:bottom w:val="none" w:sz="0" w:space="0" w:color="auto"/>
        <w:right w:val="none" w:sz="0" w:space="0" w:color="auto"/>
      </w:divBdr>
    </w:div>
    <w:div w:id="149444554">
      <w:bodyDiv w:val="1"/>
      <w:marLeft w:val="0"/>
      <w:marRight w:val="0"/>
      <w:marTop w:val="0"/>
      <w:marBottom w:val="0"/>
      <w:divBdr>
        <w:top w:val="none" w:sz="0" w:space="0" w:color="auto"/>
        <w:left w:val="none" w:sz="0" w:space="0" w:color="auto"/>
        <w:bottom w:val="none" w:sz="0" w:space="0" w:color="auto"/>
        <w:right w:val="none" w:sz="0" w:space="0" w:color="auto"/>
      </w:divBdr>
    </w:div>
    <w:div w:id="217130727">
      <w:bodyDiv w:val="1"/>
      <w:marLeft w:val="0"/>
      <w:marRight w:val="0"/>
      <w:marTop w:val="0"/>
      <w:marBottom w:val="0"/>
      <w:divBdr>
        <w:top w:val="none" w:sz="0" w:space="0" w:color="auto"/>
        <w:left w:val="none" w:sz="0" w:space="0" w:color="auto"/>
        <w:bottom w:val="none" w:sz="0" w:space="0" w:color="auto"/>
        <w:right w:val="none" w:sz="0" w:space="0" w:color="auto"/>
      </w:divBdr>
    </w:div>
    <w:div w:id="256452146">
      <w:bodyDiv w:val="1"/>
      <w:marLeft w:val="0"/>
      <w:marRight w:val="0"/>
      <w:marTop w:val="0"/>
      <w:marBottom w:val="0"/>
      <w:divBdr>
        <w:top w:val="none" w:sz="0" w:space="0" w:color="auto"/>
        <w:left w:val="none" w:sz="0" w:space="0" w:color="auto"/>
        <w:bottom w:val="none" w:sz="0" w:space="0" w:color="auto"/>
        <w:right w:val="none" w:sz="0" w:space="0" w:color="auto"/>
      </w:divBdr>
    </w:div>
    <w:div w:id="289554739">
      <w:bodyDiv w:val="1"/>
      <w:marLeft w:val="0"/>
      <w:marRight w:val="0"/>
      <w:marTop w:val="0"/>
      <w:marBottom w:val="0"/>
      <w:divBdr>
        <w:top w:val="none" w:sz="0" w:space="0" w:color="auto"/>
        <w:left w:val="none" w:sz="0" w:space="0" w:color="auto"/>
        <w:bottom w:val="none" w:sz="0" w:space="0" w:color="auto"/>
        <w:right w:val="none" w:sz="0" w:space="0" w:color="auto"/>
      </w:divBdr>
    </w:div>
    <w:div w:id="300186575">
      <w:bodyDiv w:val="1"/>
      <w:marLeft w:val="0"/>
      <w:marRight w:val="0"/>
      <w:marTop w:val="0"/>
      <w:marBottom w:val="0"/>
      <w:divBdr>
        <w:top w:val="none" w:sz="0" w:space="0" w:color="auto"/>
        <w:left w:val="none" w:sz="0" w:space="0" w:color="auto"/>
        <w:bottom w:val="none" w:sz="0" w:space="0" w:color="auto"/>
        <w:right w:val="none" w:sz="0" w:space="0" w:color="auto"/>
      </w:divBdr>
    </w:div>
    <w:div w:id="305818952">
      <w:bodyDiv w:val="1"/>
      <w:marLeft w:val="0"/>
      <w:marRight w:val="0"/>
      <w:marTop w:val="0"/>
      <w:marBottom w:val="0"/>
      <w:divBdr>
        <w:top w:val="none" w:sz="0" w:space="0" w:color="auto"/>
        <w:left w:val="none" w:sz="0" w:space="0" w:color="auto"/>
        <w:bottom w:val="none" w:sz="0" w:space="0" w:color="auto"/>
        <w:right w:val="none" w:sz="0" w:space="0" w:color="auto"/>
      </w:divBdr>
    </w:div>
    <w:div w:id="324674906">
      <w:bodyDiv w:val="1"/>
      <w:marLeft w:val="0"/>
      <w:marRight w:val="0"/>
      <w:marTop w:val="0"/>
      <w:marBottom w:val="0"/>
      <w:divBdr>
        <w:top w:val="none" w:sz="0" w:space="0" w:color="auto"/>
        <w:left w:val="none" w:sz="0" w:space="0" w:color="auto"/>
        <w:bottom w:val="none" w:sz="0" w:space="0" w:color="auto"/>
        <w:right w:val="none" w:sz="0" w:space="0" w:color="auto"/>
      </w:divBdr>
    </w:div>
    <w:div w:id="369308636">
      <w:bodyDiv w:val="1"/>
      <w:marLeft w:val="0"/>
      <w:marRight w:val="0"/>
      <w:marTop w:val="0"/>
      <w:marBottom w:val="0"/>
      <w:divBdr>
        <w:top w:val="none" w:sz="0" w:space="0" w:color="auto"/>
        <w:left w:val="none" w:sz="0" w:space="0" w:color="auto"/>
        <w:bottom w:val="none" w:sz="0" w:space="0" w:color="auto"/>
        <w:right w:val="none" w:sz="0" w:space="0" w:color="auto"/>
      </w:divBdr>
    </w:div>
    <w:div w:id="370307887">
      <w:bodyDiv w:val="1"/>
      <w:marLeft w:val="0"/>
      <w:marRight w:val="0"/>
      <w:marTop w:val="0"/>
      <w:marBottom w:val="0"/>
      <w:divBdr>
        <w:top w:val="none" w:sz="0" w:space="0" w:color="auto"/>
        <w:left w:val="none" w:sz="0" w:space="0" w:color="auto"/>
        <w:bottom w:val="none" w:sz="0" w:space="0" w:color="auto"/>
        <w:right w:val="none" w:sz="0" w:space="0" w:color="auto"/>
      </w:divBdr>
    </w:div>
    <w:div w:id="401485757">
      <w:bodyDiv w:val="1"/>
      <w:marLeft w:val="0"/>
      <w:marRight w:val="0"/>
      <w:marTop w:val="0"/>
      <w:marBottom w:val="0"/>
      <w:divBdr>
        <w:top w:val="none" w:sz="0" w:space="0" w:color="auto"/>
        <w:left w:val="none" w:sz="0" w:space="0" w:color="auto"/>
        <w:bottom w:val="none" w:sz="0" w:space="0" w:color="auto"/>
        <w:right w:val="none" w:sz="0" w:space="0" w:color="auto"/>
      </w:divBdr>
    </w:div>
    <w:div w:id="573786670">
      <w:bodyDiv w:val="1"/>
      <w:marLeft w:val="0"/>
      <w:marRight w:val="0"/>
      <w:marTop w:val="0"/>
      <w:marBottom w:val="0"/>
      <w:divBdr>
        <w:top w:val="none" w:sz="0" w:space="0" w:color="auto"/>
        <w:left w:val="none" w:sz="0" w:space="0" w:color="auto"/>
        <w:bottom w:val="none" w:sz="0" w:space="0" w:color="auto"/>
        <w:right w:val="none" w:sz="0" w:space="0" w:color="auto"/>
      </w:divBdr>
    </w:div>
    <w:div w:id="607735140">
      <w:bodyDiv w:val="1"/>
      <w:marLeft w:val="0"/>
      <w:marRight w:val="0"/>
      <w:marTop w:val="0"/>
      <w:marBottom w:val="0"/>
      <w:divBdr>
        <w:top w:val="none" w:sz="0" w:space="0" w:color="auto"/>
        <w:left w:val="none" w:sz="0" w:space="0" w:color="auto"/>
        <w:bottom w:val="none" w:sz="0" w:space="0" w:color="auto"/>
        <w:right w:val="none" w:sz="0" w:space="0" w:color="auto"/>
      </w:divBdr>
    </w:div>
    <w:div w:id="618879225">
      <w:bodyDiv w:val="1"/>
      <w:marLeft w:val="0"/>
      <w:marRight w:val="0"/>
      <w:marTop w:val="0"/>
      <w:marBottom w:val="0"/>
      <w:divBdr>
        <w:top w:val="none" w:sz="0" w:space="0" w:color="auto"/>
        <w:left w:val="none" w:sz="0" w:space="0" w:color="auto"/>
        <w:bottom w:val="none" w:sz="0" w:space="0" w:color="auto"/>
        <w:right w:val="none" w:sz="0" w:space="0" w:color="auto"/>
      </w:divBdr>
    </w:div>
    <w:div w:id="620764407">
      <w:bodyDiv w:val="1"/>
      <w:marLeft w:val="0"/>
      <w:marRight w:val="0"/>
      <w:marTop w:val="0"/>
      <w:marBottom w:val="0"/>
      <w:divBdr>
        <w:top w:val="none" w:sz="0" w:space="0" w:color="auto"/>
        <w:left w:val="none" w:sz="0" w:space="0" w:color="auto"/>
        <w:bottom w:val="none" w:sz="0" w:space="0" w:color="auto"/>
        <w:right w:val="none" w:sz="0" w:space="0" w:color="auto"/>
      </w:divBdr>
    </w:div>
    <w:div w:id="667055622">
      <w:bodyDiv w:val="1"/>
      <w:marLeft w:val="0"/>
      <w:marRight w:val="0"/>
      <w:marTop w:val="0"/>
      <w:marBottom w:val="0"/>
      <w:divBdr>
        <w:top w:val="none" w:sz="0" w:space="0" w:color="auto"/>
        <w:left w:val="none" w:sz="0" w:space="0" w:color="auto"/>
        <w:bottom w:val="none" w:sz="0" w:space="0" w:color="auto"/>
        <w:right w:val="none" w:sz="0" w:space="0" w:color="auto"/>
      </w:divBdr>
    </w:div>
    <w:div w:id="718473841">
      <w:bodyDiv w:val="1"/>
      <w:marLeft w:val="0"/>
      <w:marRight w:val="0"/>
      <w:marTop w:val="0"/>
      <w:marBottom w:val="0"/>
      <w:divBdr>
        <w:top w:val="none" w:sz="0" w:space="0" w:color="auto"/>
        <w:left w:val="none" w:sz="0" w:space="0" w:color="auto"/>
        <w:bottom w:val="none" w:sz="0" w:space="0" w:color="auto"/>
        <w:right w:val="none" w:sz="0" w:space="0" w:color="auto"/>
      </w:divBdr>
    </w:div>
    <w:div w:id="733820881">
      <w:bodyDiv w:val="1"/>
      <w:marLeft w:val="0"/>
      <w:marRight w:val="0"/>
      <w:marTop w:val="0"/>
      <w:marBottom w:val="0"/>
      <w:divBdr>
        <w:top w:val="none" w:sz="0" w:space="0" w:color="auto"/>
        <w:left w:val="none" w:sz="0" w:space="0" w:color="auto"/>
        <w:bottom w:val="none" w:sz="0" w:space="0" w:color="auto"/>
        <w:right w:val="none" w:sz="0" w:space="0" w:color="auto"/>
      </w:divBdr>
    </w:div>
    <w:div w:id="758452463">
      <w:bodyDiv w:val="1"/>
      <w:marLeft w:val="0"/>
      <w:marRight w:val="0"/>
      <w:marTop w:val="0"/>
      <w:marBottom w:val="0"/>
      <w:divBdr>
        <w:top w:val="none" w:sz="0" w:space="0" w:color="auto"/>
        <w:left w:val="none" w:sz="0" w:space="0" w:color="auto"/>
        <w:bottom w:val="none" w:sz="0" w:space="0" w:color="auto"/>
        <w:right w:val="none" w:sz="0" w:space="0" w:color="auto"/>
      </w:divBdr>
    </w:div>
    <w:div w:id="759108248">
      <w:bodyDiv w:val="1"/>
      <w:marLeft w:val="0"/>
      <w:marRight w:val="0"/>
      <w:marTop w:val="0"/>
      <w:marBottom w:val="0"/>
      <w:divBdr>
        <w:top w:val="none" w:sz="0" w:space="0" w:color="auto"/>
        <w:left w:val="none" w:sz="0" w:space="0" w:color="auto"/>
        <w:bottom w:val="none" w:sz="0" w:space="0" w:color="auto"/>
        <w:right w:val="none" w:sz="0" w:space="0" w:color="auto"/>
      </w:divBdr>
    </w:div>
    <w:div w:id="832374661">
      <w:bodyDiv w:val="1"/>
      <w:marLeft w:val="0"/>
      <w:marRight w:val="0"/>
      <w:marTop w:val="0"/>
      <w:marBottom w:val="0"/>
      <w:divBdr>
        <w:top w:val="none" w:sz="0" w:space="0" w:color="auto"/>
        <w:left w:val="none" w:sz="0" w:space="0" w:color="auto"/>
        <w:bottom w:val="none" w:sz="0" w:space="0" w:color="auto"/>
        <w:right w:val="none" w:sz="0" w:space="0" w:color="auto"/>
      </w:divBdr>
    </w:div>
    <w:div w:id="844366817">
      <w:bodyDiv w:val="1"/>
      <w:marLeft w:val="0"/>
      <w:marRight w:val="0"/>
      <w:marTop w:val="0"/>
      <w:marBottom w:val="0"/>
      <w:divBdr>
        <w:top w:val="none" w:sz="0" w:space="0" w:color="auto"/>
        <w:left w:val="none" w:sz="0" w:space="0" w:color="auto"/>
        <w:bottom w:val="none" w:sz="0" w:space="0" w:color="auto"/>
        <w:right w:val="none" w:sz="0" w:space="0" w:color="auto"/>
      </w:divBdr>
    </w:div>
    <w:div w:id="848829667">
      <w:bodyDiv w:val="1"/>
      <w:marLeft w:val="0"/>
      <w:marRight w:val="0"/>
      <w:marTop w:val="0"/>
      <w:marBottom w:val="0"/>
      <w:divBdr>
        <w:top w:val="none" w:sz="0" w:space="0" w:color="auto"/>
        <w:left w:val="none" w:sz="0" w:space="0" w:color="auto"/>
        <w:bottom w:val="none" w:sz="0" w:space="0" w:color="auto"/>
        <w:right w:val="none" w:sz="0" w:space="0" w:color="auto"/>
      </w:divBdr>
    </w:div>
    <w:div w:id="855114936">
      <w:bodyDiv w:val="1"/>
      <w:marLeft w:val="0"/>
      <w:marRight w:val="0"/>
      <w:marTop w:val="0"/>
      <w:marBottom w:val="0"/>
      <w:divBdr>
        <w:top w:val="none" w:sz="0" w:space="0" w:color="auto"/>
        <w:left w:val="none" w:sz="0" w:space="0" w:color="auto"/>
        <w:bottom w:val="none" w:sz="0" w:space="0" w:color="auto"/>
        <w:right w:val="none" w:sz="0" w:space="0" w:color="auto"/>
      </w:divBdr>
    </w:div>
    <w:div w:id="884827846">
      <w:bodyDiv w:val="1"/>
      <w:marLeft w:val="0"/>
      <w:marRight w:val="0"/>
      <w:marTop w:val="0"/>
      <w:marBottom w:val="0"/>
      <w:divBdr>
        <w:top w:val="none" w:sz="0" w:space="0" w:color="auto"/>
        <w:left w:val="none" w:sz="0" w:space="0" w:color="auto"/>
        <w:bottom w:val="none" w:sz="0" w:space="0" w:color="auto"/>
        <w:right w:val="none" w:sz="0" w:space="0" w:color="auto"/>
      </w:divBdr>
    </w:div>
    <w:div w:id="1036584656">
      <w:bodyDiv w:val="1"/>
      <w:marLeft w:val="0"/>
      <w:marRight w:val="0"/>
      <w:marTop w:val="0"/>
      <w:marBottom w:val="0"/>
      <w:divBdr>
        <w:top w:val="none" w:sz="0" w:space="0" w:color="auto"/>
        <w:left w:val="none" w:sz="0" w:space="0" w:color="auto"/>
        <w:bottom w:val="none" w:sz="0" w:space="0" w:color="auto"/>
        <w:right w:val="none" w:sz="0" w:space="0" w:color="auto"/>
      </w:divBdr>
    </w:div>
    <w:div w:id="1090544329">
      <w:bodyDiv w:val="1"/>
      <w:marLeft w:val="0"/>
      <w:marRight w:val="0"/>
      <w:marTop w:val="0"/>
      <w:marBottom w:val="0"/>
      <w:divBdr>
        <w:top w:val="none" w:sz="0" w:space="0" w:color="auto"/>
        <w:left w:val="none" w:sz="0" w:space="0" w:color="auto"/>
        <w:bottom w:val="none" w:sz="0" w:space="0" w:color="auto"/>
        <w:right w:val="none" w:sz="0" w:space="0" w:color="auto"/>
      </w:divBdr>
      <w:divsChild>
        <w:div w:id="678048079">
          <w:marLeft w:val="0"/>
          <w:marRight w:val="0"/>
          <w:marTop w:val="0"/>
          <w:marBottom w:val="0"/>
          <w:divBdr>
            <w:top w:val="single" w:sz="2" w:space="0" w:color="4E4E4E"/>
            <w:left w:val="single" w:sz="2" w:space="0" w:color="4E4E4E"/>
            <w:bottom w:val="single" w:sz="2" w:space="0" w:color="4E4E4E"/>
            <w:right w:val="single" w:sz="2" w:space="0" w:color="4E4E4E"/>
          </w:divBdr>
        </w:div>
      </w:divsChild>
    </w:div>
    <w:div w:id="1173373805">
      <w:bodyDiv w:val="1"/>
      <w:marLeft w:val="0"/>
      <w:marRight w:val="0"/>
      <w:marTop w:val="0"/>
      <w:marBottom w:val="0"/>
      <w:divBdr>
        <w:top w:val="none" w:sz="0" w:space="0" w:color="auto"/>
        <w:left w:val="none" w:sz="0" w:space="0" w:color="auto"/>
        <w:bottom w:val="none" w:sz="0" w:space="0" w:color="auto"/>
        <w:right w:val="none" w:sz="0" w:space="0" w:color="auto"/>
      </w:divBdr>
    </w:div>
    <w:div w:id="1192838780">
      <w:bodyDiv w:val="1"/>
      <w:marLeft w:val="0"/>
      <w:marRight w:val="0"/>
      <w:marTop w:val="0"/>
      <w:marBottom w:val="0"/>
      <w:divBdr>
        <w:top w:val="none" w:sz="0" w:space="0" w:color="auto"/>
        <w:left w:val="none" w:sz="0" w:space="0" w:color="auto"/>
        <w:bottom w:val="none" w:sz="0" w:space="0" w:color="auto"/>
        <w:right w:val="none" w:sz="0" w:space="0" w:color="auto"/>
      </w:divBdr>
    </w:div>
    <w:div w:id="1210146512">
      <w:bodyDiv w:val="1"/>
      <w:marLeft w:val="0"/>
      <w:marRight w:val="0"/>
      <w:marTop w:val="0"/>
      <w:marBottom w:val="0"/>
      <w:divBdr>
        <w:top w:val="none" w:sz="0" w:space="0" w:color="auto"/>
        <w:left w:val="none" w:sz="0" w:space="0" w:color="auto"/>
        <w:bottom w:val="none" w:sz="0" w:space="0" w:color="auto"/>
        <w:right w:val="none" w:sz="0" w:space="0" w:color="auto"/>
      </w:divBdr>
    </w:div>
    <w:div w:id="1213074100">
      <w:bodyDiv w:val="1"/>
      <w:marLeft w:val="0"/>
      <w:marRight w:val="0"/>
      <w:marTop w:val="0"/>
      <w:marBottom w:val="0"/>
      <w:divBdr>
        <w:top w:val="none" w:sz="0" w:space="0" w:color="auto"/>
        <w:left w:val="none" w:sz="0" w:space="0" w:color="auto"/>
        <w:bottom w:val="none" w:sz="0" w:space="0" w:color="auto"/>
        <w:right w:val="none" w:sz="0" w:space="0" w:color="auto"/>
      </w:divBdr>
    </w:div>
    <w:div w:id="1278219101">
      <w:bodyDiv w:val="1"/>
      <w:marLeft w:val="0"/>
      <w:marRight w:val="0"/>
      <w:marTop w:val="0"/>
      <w:marBottom w:val="0"/>
      <w:divBdr>
        <w:top w:val="none" w:sz="0" w:space="0" w:color="auto"/>
        <w:left w:val="none" w:sz="0" w:space="0" w:color="auto"/>
        <w:bottom w:val="none" w:sz="0" w:space="0" w:color="auto"/>
        <w:right w:val="none" w:sz="0" w:space="0" w:color="auto"/>
      </w:divBdr>
    </w:div>
    <w:div w:id="1326977058">
      <w:bodyDiv w:val="1"/>
      <w:marLeft w:val="0"/>
      <w:marRight w:val="0"/>
      <w:marTop w:val="0"/>
      <w:marBottom w:val="0"/>
      <w:divBdr>
        <w:top w:val="none" w:sz="0" w:space="0" w:color="auto"/>
        <w:left w:val="none" w:sz="0" w:space="0" w:color="auto"/>
        <w:bottom w:val="none" w:sz="0" w:space="0" w:color="auto"/>
        <w:right w:val="none" w:sz="0" w:space="0" w:color="auto"/>
      </w:divBdr>
    </w:div>
    <w:div w:id="1369792644">
      <w:bodyDiv w:val="1"/>
      <w:marLeft w:val="0"/>
      <w:marRight w:val="0"/>
      <w:marTop w:val="0"/>
      <w:marBottom w:val="0"/>
      <w:divBdr>
        <w:top w:val="none" w:sz="0" w:space="0" w:color="auto"/>
        <w:left w:val="none" w:sz="0" w:space="0" w:color="auto"/>
        <w:bottom w:val="none" w:sz="0" w:space="0" w:color="auto"/>
        <w:right w:val="none" w:sz="0" w:space="0" w:color="auto"/>
      </w:divBdr>
    </w:div>
    <w:div w:id="1376153508">
      <w:bodyDiv w:val="1"/>
      <w:marLeft w:val="0"/>
      <w:marRight w:val="0"/>
      <w:marTop w:val="0"/>
      <w:marBottom w:val="0"/>
      <w:divBdr>
        <w:top w:val="none" w:sz="0" w:space="0" w:color="auto"/>
        <w:left w:val="none" w:sz="0" w:space="0" w:color="auto"/>
        <w:bottom w:val="none" w:sz="0" w:space="0" w:color="auto"/>
        <w:right w:val="none" w:sz="0" w:space="0" w:color="auto"/>
      </w:divBdr>
    </w:div>
    <w:div w:id="1377854946">
      <w:bodyDiv w:val="1"/>
      <w:marLeft w:val="0"/>
      <w:marRight w:val="0"/>
      <w:marTop w:val="0"/>
      <w:marBottom w:val="0"/>
      <w:divBdr>
        <w:top w:val="none" w:sz="0" w:space="0" w:color="auto"/>
        <w:left w:val="none" w:sz="0" w:space="0" w:color="auto"/>
        <w:bottom w:val="none" w:sz="0" w:space="0" w:color="auto"/>
        <w:right w:val="none" w:sz="0" w:space="0" w:color="auto"/>
      </w:divBdr>
    </w:div>
    <w:div w:id="1406226528">
      <w:bodyDiv w:val="1"/>
      <w:marLeft w:val="0"/>
      <w:marRight w:val="0"/>
      <w:marTop w:val="0"/>
      <w:marBottom w:val="0"/>
      <w:divBdr>
        <w:top w:val="none" w:sz="0" w:space="0" w:color="auto"/>
        <w:left w:val="none" w:sz="0" w:space="0" w:color="auto"/>
        <w:bottom w:val="none" w:sz="0" w:space="0" w:color="auto"/>
        <w:right w:val="none" w:sz="0" w:space="0" w:color="auto"/>
      </w:divBdr>
    </w:div>
    <w:div w:id="1546715174">
      <w:bodyDiv w:val="1"/>
      <w:marLeft w:val="0"/>
      <w:marRight w:val="0"/>
      <w:marTop w:val="0"/>
      <w:marBottom w:val="0"/>
      <w:divBdr>
        <w:top w:val="none" w:sz="0" w:space="0" w:color="auto"/>
        <w:left w:val="none" w:sz="0" w:space="0" w:color="auto"/>
        <w:bottom w:val="none" w:sz="0" w:space="0" w:color="auto"/>
        <w:right w:val="none" w:sz="0" w:space="0" w:color="auto"/>
      </w:divBdr>
    </w:div>
    <w:div w:id="1560896612">
      <w:bodyDiv w:val="1"/>
      <w:marLeft w:val="0"/>
      <w:marRight w:val="0"/>
      <w:marTop w:val="0"/>
      <w:marBottom w:val="0"/>
      <w:divBdr>
        <w:top w:val="none" w:sz="0" w:space="0" w:color="auto"/>
        <w:left w:val="none" w:sz="0" w:space="0" w:color="auto"/>
        <w:bottom w:val="none" w:sz="0" w:space="0" w:color="auto"/>
        <w:right w:val="none" w:sz="0" w:space="0" w:color="auto"/>
      </w:divBdr>
    </w:div>
    <w:div w:id="1570574591">
      <w:bodyDiv w:val="1"/>
      <w:marLeft w:val="0"/>
      <w:marRight w:val="0"/>
      <w:marTop w:val="0"/>
      <w:marBottom w:val="0"/>
      <w:divBdr>
        <w:top w:val="none" w:sz="0" w:space="0" w:color="auto"/>
        <w:left w:val="none" w:sz="0" w:space="0" w:color="auto"/>
        <w:bottom w:val="none" w:sz="0" w:space="0" w:color="auto"/>
        <w:right w:val="none" w:sz="0" w:space="0" w:color="auto"/>
      </w:divBdr>
    </w:div>
    <w:div w:id="1572227805">
      <w:bodyDiv w:val="1"/>
      <w:marLeft w:val="0"/>
      <w:marRight w:val="0"/>
      <w:marTop w:val="0"/>
      <w:marBottom w:val="0"/>
      <w:divBdr>
        <w:top w:val="none" w:sz="0" w:space="0" w:color="auto"/>
        <w:left w:val="none" w:sz="0" w:space="0" w:color="auto"/>
        <w:bottom w:val="none" w:sz="0" w:space="0" w:color="auto"/>
        <w:right w:val="none" w:sz="0" w:space="0" w:color="auto"/>
      </w:divBdr>
    </w:div>
    <w:div w:id="1572428989">
      <w:bodyDiv w:val="1"/>
      <w:marLeft w:val="0"/>
      <w:marRight w:val="0"/>
      <w:marTop w:val="0"/>
      <w:marBottom w:val="0"/>
      <w:divBdr>
        <w:top w:val="none" w:sz="0" w:space="0" w:color="auto"/>
        <w:left w:val="none" w:sz="0" w:space="0" w:color="auto"/>
        <w:bottom w:val="none" w:sz="0" w:space="0" w:color="auto"/>
        <w:right w:val="none" w:sz="0" w:space="0" w:color="auto"/>
      </w:divBdr>
    </w:div>
    <w:div w:id="1576014538">
      <w:bodyDiv w:val="1"/>
      <w:marLeft w:val="0"/>
      <w:marRight w:val="0"/>
      <w:marTop w:val="0"/>
      <w:marBottom w:val="0"/>
      <w:divBdr>
        <w:top w:val="none" w:sz="0" w:space="0" w:color="auto"/>
        <w:left w:val="none" w:sz="0" w:space="0" w:color="auto"/>
        <w:bottom w:val="none" w:sz="0" w:space="0" w:color="auto"/>
        <w:right w:val="none" w:sz="0" w:space="0" w:color="auto"/>
      </w:divBdr>
    </w:div>
    <w:div w:id="1590239426">
      <w:bodyDiv w:val="1"/>
      <w:marLeft w:val="0"/>
      <w:marRight w:val="0"/>
      <w:marTop w:val="0"/>
      <w:marBottom w:val="0"/>
      <w:divBdr>
        <w:top w:val="none" w:sz="0" w:space="0" w:color="auto"/>
        <w:left w:val="none" w:sz="0" w:space="0" w:color="auto"/>
        <w:bottom w:val="none" w:sz="0" w:space="0" w:color="auto"/>
        <w:right w:val="none" w:sz="0" w:space="0" w:color="auto"/>
      </w:divBdr>
    </w:div>
    <w:div w:id="1594900889">
      <w:bodyDiv w:val="1"/>
      <w:marLeft w:val="0"/>
      <w:marRight w:val="0"/>
      <w:marTop w:val="0"/>
      <w:marBottom w:val="0"/>
      <w:divBdr>
        <w:top w:val="none" w:sz="0" w:space="0" w:color="auto"/>
        <w:left w:val="none" w:sz="0" w:space="0" w:color="auto"/>
        <w:bottom w:val="none" w:sz="0" w:space="0" w:color="auto"/>
        <w:right w:val="none" w:sz="0" w:space="0" w:color="auto"/>
      </w:divBdr>
    </w:div>
    <w:div w:id="1629314693">
      <w:bodyDiv w:val="1"/>
      <w:marLeft w:val="0"/>
      <w:marRight w:val="0"/>
      <w:marTop w:val="0"/>
      <w:marBottom w:val="0"/>
      <w:divBdr>
        <w:top w:val="none" w:sz="0" w:space="0" w:color="auto"/>
        <w:left w:val="none" w:sz="0" w:space="0" w:color="auto"/>
        <w:bottom w:val="none" w:sz="0" w:space="0" w:color="auto"/>
        <w:right w:val="none" w:sz="0" w:space="0" w:color="auto"/>
      </w:divBdr>
    </w:div>
    <w:div w:id="1645235297">
      <w:bodyDiv w:val="1"/>
      <w:marLeft w:val="0"/>
      <w:marRight w:val="0"/>
      <w:marTop w:val="0"/>
      <w:marBottom w:val="0"/>
      <w:divBdr>
        <w:top w:val="none" w:sz="0" w:space="0" w:color="auto"/>
        <w:left w:val="none" w:sz="0" w:space="0" w:color="auto"/>
        <w:bottom w:val="none" w:sz="0" w:space="0" w:color="auto"/>
        <w:right w:val="none" w:sz="0" w:space="0" w:color="auto"/>
      </w:divBdr>
    </w:div>
    <w:div w:id="1649433871">
      <w:bodyDiv w:val="1"/>
      <w:marLeft w:val="0"/>
      <w:marRight w:val="0"/>
      <w:marTop w:val="0"/>
      <w:marBottom w:val="0"/>
      <w:divBdr>
        <w:top w:val="none" w:sz="0" w:space="0" w:color="auto"/>
        <w:left w:val="none" w:sz="0" w:space="0" w:color="auto"/>
        <w:bottom w:val="none" w:sz="0" w:space="0" w:color="auto"/>
        <w:right w:val="none" w:sz="0" w:space="0" w:color="auto"/>
      </w:divBdr>
    </w:div>
    <w:div w:id="1658026261">
      <w:bodyDiv w:val="1"/>
      <w:marLeft w:val="0"/>
      <w:marRight w:val="0"/>
      <w:marTop w:val="0"/>
      <w:marBottom w:val="0"/>
      <w:divBdr>
        <w:top w:val="none" w:sz="0" w:space="0" w:color="auto"/>
        <w:left w:val="none" w:sz="0" w:space="0" w:color="auto"/>
        <w:bottom w:val="none" w:sz="0" w:space="0" w:color="auto"/>
        <w:right w:val="none" w:sz="0" w:space="0" w:color="auto"/>
      </w:divBdr>
    </w:div>
    <w:div w:id="1736664573">
      <w:bodyDiv w:val="1"/>
      <w:marLeft w:val="0"/>
      <w:marRight w:val="0"/>
      <w:marTop w:val="0"/>
      <w:marBottom w:val="0"/>
      <w:divBdr>
        <w:top w:val="none" w:sz="0" w:space="0" w:color="auto"/>
        <w:left w:val="none" w:sz="0" w:space="0" w:color="auto"/>
        <w:bottom w:val="none" w:sz="0" w:space="0" w:color="auto"/>
        <w:right w:val="none" w:sz="0" w:space="0" w:color="auto"/>
      </w:divBdr>
    </w:div>
    <w:div w:id="1777402660">
      <w:bodyDiv w:val="1"/>
      <w:marLeft w:val="0"/>
      <w:marRight w:val="0"/>
      <w:marTop w:val="0"/>
      <w:marBottom w:val="0"/>
      <w:divBdr>
        <w:top w:val="none" w:sz="0" w:space="0" w:color="auto"/>
        <w:left w:val="none" w:sz="0" w:space="0" w:color="auto"/>
        <w:bottom w:val="none" w:sz="0" w:space="0" w:color="auto"/>
        <w:right w:val="none" w:sz="0" w:space="0" w:color="auto"/>
      </w:divBdr>
    </w:div>
    <w:div w:id="1833133928">
      <w:bodyDiv w:val="1"/>
      <w:marLeft w:val="0"/>
      <w:marRight w:val="0"/>
      <w:marTop w:val="0"/>
      <w:marBottom w:val="0"/>
      <w:divBdr>
        <w:top w:val="none" w:sz="0" w:space="0" w:color="auto"/>
        <w:left w:val="none" w:sz="0" w:space="0" w:color="auto"/>
        <w:bottom w:val="none" w:sz="0" w:space="0" w:color="auto"/>
        <w:right w:val="none" w:sz="0" w:space="0" w:color="auto"/>
      </w:divBdr>
    </w:div>
    <w:div w:id="1882935410">
      <w:bodyDiv w:val="1"/>
      <w:marLeft w:val="0"/>
      <w:marRight w:val="0"/>
      <w:marTop w:val="0"/>
      <w:marBottom w:val="0"/>
      <w:divBdr>
        <w:top w:val="none" w:sz="0" w:space="0" w:color="auto"/>
        <w:left w:val="none" w:sz="0" w:space="0" w:color="auto"/>
        <w:bottom w:val="none" w:sz="0" w:space="0" w:color="auto"/>
        <w:right w:val="none" w:sz="0" w:space="0" w:color="auto"/>
      </w:divBdr>
    </w:div>
    <w:div w:id="1915314450">
      <w:bodyDiv w:val="1"/>
      <w:marLeft w:val="0"/>
      <w:marRight w:val="0"/>
      <w:marTop w:val="0"/>
      <w:marBottom w:val="0"/>
      <w:divBdr>
        <w:top w:val="none" w:sz="0" w:space="0" w:color="auto"/>
        <w:left w:val="none" w:sz="0" w:space="0" w:color="auto"/>
        <w:bottom w:val="none" w:sz="0" w:space="0" w:color="auto"/>
        <w:right w:val="none" w:sz="0" w:space="0" w:color="auto"/>
      </w:divBdr>
    </w:div>
    <w:div w:id="1941638461">
      <w:bodyDiv w:val="1"/>
      <w:marLeft w:val="0"/>
      <w:marRight w:val="0"/>
      <w:marTop w:val="0"/>
      <w:marBottom w:val="0"/>
      <w:divBdr>
        <w:top w:val="none" w:sz="0" w:space="0" w:color="auto"/>
        <w:left w:val="none" w:sz="0" w:space="0" w:color="auto"/>
        <w:bottom w:val="none" w:sz="0" w:space="0" w:color="auto"/>
        <w:right w:val="none" w:sz="0" w:space="0" w:color="auto"/>
      </w:divBdr>
    </w:div>
    <w:div w:id="2022124259">
      <w:bodyDiv w:val="1"/>
      <w:marLeft w:val="0"/>
      <w:marRight w:val="0"/>
      <w:marTop w:val="0"/>
      <w:marBottom w:val="0"/>
      <w:divBdr>
        <w:top w:val="none" w:sz="0" w:space="0" w:color="auto"/>
        <w:left w:val="none" w:sz="0" w:space="0" w:color="auto"/>
        <w:bottom w:val="none" w:sz="0" w:space="0" w:color="auto"/>
        <w:right w:val="none" w:sz="0" w:space="0" w:color="auto"/>
      </w:divBdr>
    </w:div>
    <w:div w:id="2047100892">
      <w:bodyDiv w:val="1"/>
      <w:marLeft w:val="0"/>
      <w:marRight w:val="0"/>
      <w:marTop w:val="0"/>
      <w:marBottom w:val="0"/>
      <w:divBdr>
        <w:top w:val="none" w:sz="0" w:space="0" w:color="auto"/>
        <w:left w:val="none" w:sz="0" w:space="0" w:color="auto"/>
        <w:bottom w:val="none" w:sz="0" w:space="0" w:color="auto"/>
        <w:right w:val="none" w:sz="0" w:space="0" w:color="auto"/>
      </w:divBdr>
    </w:div>
    <w:div w:id="2065828471">
      <w:bodyDiv w:val="1"/>
      <w:marLeft w:val="0"/>
      <w:marRight w:val="0"/>
      <w:marTop w:val="0"/>
      <w:marBottom w:val="0"/>
      <w:divBdr>
        <w:top w:val="none" w:sz="0" w:space="0" w:color="auto"/>
        <w:left w:val="none" w:sz="0" w:space="0" w:color="auto"/>
        <w:bottom w:val="none" w:sz="0" w:space="0" w:color="auto"/>
        <w:right w:val="none" w:sz="0" w:space="0" w:color="auto"/>
      </w:divBdr>
    </w:div>
    <w:div w:id="2067411891">
      <w:bodyDiv w:val="1"/>
      <w:marLeft w:val="0"/>
      <w:marRight w:val="0"/>
      <w:marTop w:val="0"/>
      <w:marBottom w:val="0"/>
      <w:divBdr>
        <w:top w:val="none" w:sz="0" w:space="0" w:color="auto"/>
        <w:left w:val="none" w:sz="0" w:space="0" w:color="auto"/>
        <w:bottom w:val="none" w:sz="0" w:space="0" w:color="auto"/>
        <w:right w:val="none" w:sz="0" w:space="0" w:color="auto"/>
      </w:divBdr>
    </w:div>
    <w:div w:id="2098208400">
      <w:bodyDiv w:val="1"/>
      <w:marLeft w:val="0"/>
      <w:marRight w:val="0"/>
      <w:marTop w:val="0"/>
      <w:marBottom w:val="0"/>
      <w:divBdr>
        <w:top w:val="none" w:sz="0" w:space="0" w:color="auto"/>
        <w:left w:val="none" w:sz="0" w:space="0" w:color="auto"/>
        <w:bottom w:val="none" w:sz="0" w:space="0" w:color="auto"/>
        <w:right w:val="none" w:sz="0" w:space="0" w:color="auto"/>
      </w:divBdr>
    </w:div>
    <w:div w:id="212561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5702</ap:Words>
  <ap:Characters>31362</ap:Characters>
  <ap:DocSecurity>0</ap:DocSecurity>
  <ap:Lines>261</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2026-07-02T14:28:00.0000000Z</dcterms:created>
  <dcterms:modified xsi:type="dcterms:W3CDTF">2026-07-02T14:28:00.0000000Z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2023-04-28T07:07:10Z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e3859428-08e0-452c-bd48-2eaa5bda6ef9</vt:lpwstr>
  </property>
  <property fmtid="{D5CDD505-2E9C-101B-9397-08002B2CF9AE}" pid="8" name="MSIP_Label_f4b587cc-5349-4506-9b19-2242ab88a0ee_ContentBits">
    <vt:lpwstr>0</vt:lpwstr>
  </property>
</Properties>
</file>