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60CAC" w:rsidTr="00060CAC" w14:paraId="77DA99DD" w14:textId="77777777">
        <w:sdt>
          <w:sdtPr>
            <w:tag w:val="bmZaakNummerAdvies"/>
            <w:id w:val="1203446512"/>
            <w:lock w:val="sdtLocked"/>
            <w:placeholder>
              <w:docPart w:val="DefaultPlaceholder_-1854013440"/>
            </w:placeholder>
          </w:sdtPr>
          <w:sdtEndPr/>
          <w:sdtContent>
            <w:tc>
              <w:tcPr>
                <w:tcW w:w="4251" w:type="dxa"/>
              </w:tcPr>
              <w:p w:rsidR="00060CAC" w:rsidRDefault="00060CAC" w14:paraId="4E5B1C9A" w14:textId="0FB51612">
                <w:r>
                  <w:t>No. W16.26.00069/II/K</w:t>
                </w:r>
              </w:p>
            </w:tc>
          </w:sdtContent>
        </w:sdt>
        <w:sdt>
          <w:sdtPr>
            <w:tag w:val="bmDatumAdvies"/>
            <w:id w:val="-425494685"/>
            <w:lock w:val="sdtLocked"/>
            <w:placeholder>
              <w:docPart w:val="DefaultPlaceholder_-1854013440"/>
            </w:placeholder>
          </w:sdtPr>
          <w:sdtEndPr/>
          <w:sdtContent>
            <w:tc>
              <w:tcPr>
                <w:tcW w:w="4252" w:type="dxa"/>
              </w:tcPr>
              <w:p w:rsidR="00060CAC" w:rsidRDefault="00060CAC" w14:paraId="18650E19" w14:textId="7D1A7615">
                <w:r>
                  <w:t>'s-Gravenhage, 6 mei 2026</w:t>
                </w:r>
              </w:p>
            </w:tc>
          </w:sdtContent>
        </w:sdt>
      </w:tr>
    </w:tbl>
    <w:p w:rsidR="00060CAC" w:rsidRDefault="00060CAC" w14:paraId="61F69CF5" w14:textId="77777777"/>
    <w:p w:rsidR="00060CAC" w:rsidRDefault="00060CAC" w14:paraId="3B3AAF86" w14:textId="77777777"/>
    <w:p w:rsidR="001978DD" w:rsidRDefault="00DB63B9" w14:paraId="3D0FFC4E" w14:textId="33DF0D3C">
      <w:sdt>
        <w:sdtPr>
          <w:tag w:val="bmAanhef"/>
          <w:id w:val="-1657138710"/>
          <w:lock w:val="sdtLocked"/>
          <w:placeholder>
            <w:docPart w:val="DefaultPlaceholder_-1854013440"/>
          </w:placeholder>
        </w:sdtPr>
        <w:sdtEndPr/>
        <w:sdtContent>
          <w:r w:rsidR="00060CAC">
            <w:rPr>
              <w:color w:val="000000"/>
            </w:rPr>
            <w:t>Bij Kabinetsmissive van 16 maart 2026, no.2026000582, heeft Uwe Majesteit, op voordracht van de Staatssecretaris Rechtsbescherming en Gevangeniswezen, bij de Afdeling advisering van de Raad van State van het Koninkrijk ter overweging aanhangig gemaakt het voorstel van wet tot intrekking van de Rijkswet van 10 februari 2017, houdende wijziging van de Rijkswet op het Nederlanderschap in verband met het intrekken van het Nederlanderschap in het belang van de nationale veiligheid (Stb. 2017, 5) en tot wijziging van de Wet op de inlichtingen- en veiligheidsdiensten 2017, met memorie van toelichting.</w:t>
          </w:r>
        </w:sdtContent>
      </w:sdt>
    </w:p>
    <w:p w:rsidR="001978DD" w:rsidRDefault="001978DD" w14:paraId="3D0FFC4F" w14:textId="77777777"/>
    <w:sdt>
      <w:sdtPr>
        <w:rPr>
          <w:b/>
          <w:bCs/>
        </w:rPr>
        <w:tag w:val="bmVrijeTekst1"/>
        <w:id w:val="1098675987"/>
        <w:lock w:val="sdtLocked"/>
        <w:placeholder>
          <w:docPart w:val="DefaultPlaceholder_-1854013440"/>
        </w:placeholder>
      </w:sdtPr>
      <w:sdtEndPr>
        <w:rPr>
          <w:b w:val="0"/>
          <w:bCs w:val="0"/>
        </w:rPr>
      </w:sdtEndPr>
      <w:sdtContent>
        <w:p w:rsidRPr="005C651C" w:rsidR="00B66FAA" w:rsidRDefault="00B66FAA" w14:paraId="2B481CEA" w14:textId="626B5EA2">
          <w:pPr>
            <w:rPr>
              <w:b/>
              <w:bCs/>
            </w:rPr>
          </w:pPr>
          <w:r w:rsidRPr="005C651C">
            <w:rPr>
              <w:b/>
              <w:bCs/>
            </w:rPr>
            <w:t>Samenvatting</w:t>
          </w:r>
        </w:p>
        <w:p w:rsidR="00B66FAA" w:rsidRDefault="00B66FAA" w14:paraId="594BEE80" w14:textId="77777777"/>
        <w:p w:rsidRPr="00060CAC" w:rsidR="00B66FAA" w:rsidRDefault="00E21F02" w14:paraId="75526307" w14:textId="166DEF42">
          <w:pPr>
            <w:rPr>
              <w:i/>
              <w:iCs/>
            </w:rPr>
          </w:pPr>
          <w:r w:rsidRPr="00060CAC">
            <w:rPr>
              <w:i/>
              <w:iCs/>
            </w:rPr>
            <w:t xml:space="preserve">Inhoud </w:t>
          </w:r>
          <w:r w:rsidRPr="00060CAC" w:rsidR="00EB36A3">
            <w:rPr>
              <w:i/>
              <w:iCs/>
            </w:rPr>
            <w:t>van het wetsvoorstel</w:t>
          </w:r>
        </w:p>
        <w:p w:rsidR="00E21F02" w:rsidRDefault="00E21F02" w14:paraId="5B413EB8" w14:textId="713D6775">
          <w:r>
            <w:t>Wanneer een meerderjarige Nederlander zich in het buitenland aansluit bij een terroristische organisatie, kan</w:t>
          </w:r>
          <w:r w:rsidR="00A95530">
            <w:t xml:space="preserve"> de minister van Justitie en Veiligheid</w:t>
          </w:r>
          <w:r>
            <w:t xml:space="preserve"> </w:t>
          </w:r>
          <w:r w:rsidR="00A95530">
            <w:t xml:space="preserve">zijn Nederlanderschap intrekken. Deze bevoegdheid is </w:t>
          </w:r>
          <w:r w:rsidR="001A3988">
            <w:t xml:space="preserve">met een tijdelijke wet </w:t>
          </w:r>
          <w:r w:rsidR="00A95530">
            <w:t>ingevoerd in 2017</w:t>
          </w:r>
          <w:r w:rsidR="001A3988">
            <w:t>,</w:t>
          </w:r>
          <w:r w:rsidR="00A95530">
            <w:t xml:space="preserve"> met als doel</w:t>
          </w:r>
          <w:r w:rsidR="005E3592">
            <w:t xml:space="preserve"> om </w:t>
          </w:r>
          <w:r w:rsidR="00391190">
            <w:t>deze</w:t>
          </w:r>
          <w:r w:rsidR="00F038FA">
            <w:t xml:space="preserve"> </w:t>
          </w:r>
          <w:r w:rsidR="005E3592">
            <w:t xml:space="preserve">personen </w:t>
          </w:r>
          <w:r w:rsidR="00391190">
            <w:t>uit</w:t>
          </w:r>
          <w:r w:rsidR="00F038FA">
            <w:t xml:space="preserve"> het Koninkrijk</w:t>
          </w:r>
          <w:r w:rsidR="00391190">
            <w:t xml:space="preserve"> te weren en zo</w:t>
          </w:r>
          <w:r w:rsidR="00A95530">
            <w:t xml:space="preserve"> </w:t>
          </w:r>
          <w:r w:rsidR="007C6CD2">
            <w:t>de nationale veiligheid te beschermen.</w:t>
          </w:r>
          <w:r w:rsidR="00273C5A">
            <w:t xml:space="preserve"> Om te voorkomen dat de bevoegdheid op 1 </w:t>
          </w:r>
          <w:r w:rsidR="00D46F86">
            <w:t>maart </w:t>
          </w:r>
          <w:r w:rsidR="005F64BE">
            <w:t xml:space="preserve">2027 vervalt, </w:t>
          </w:r>
          <w:r w:rsidR="00E80D43">
            <w:t xml:space="preserve">regelt </w:t>
          </w:r>
          <w:r w:rsidR="005F64BE">
            <w:t xml:space="preserve">het wetsvoorstel </w:t>
          </w:r>
          <w:r w:rsidR="00555F84">
            <w:t>dat deze behouden blijft.</w:t>
          </w:r>
        </w:p>
        <w:p w:rsidR="00EB36A3" w:rsidRDefault="00EB36A3" w14:paraId="739AA4F8" w14:textId="77777777"/>
        <w:p w:rsidRPr="00060CAC" w:rsidR="00EB36A3" w:rsidRDefault="00EB36A3" w14:paraId="3C9FA4BF" w14:textId="5BB6F8E0">
          <w:pPr>
            <w:rPr>
              <w:i/>
              <w:iCs/>
            </w:rPr>
          </w:pPr>
          <w:r w:rsidRPr="00060CAC">
            <w:rPr>
              <w:i/>
              <w:iCs/>
            </w:rPr>
            <w:t>Noodzaak</w:t>
          </w:r>
          <w:r w:rsidRPr="00060CAC" w:rsidR="00F762DE">
            <w:rPr>
              <w:i/>
              <w:iCs/>
            </w:rPr>
            <w:t xml:space="preserve"> niet voldoende </w:t>
          </w:r>
          <w:r w:rsidR="00924C01">
            <w:rPr>
              <w:i/>
              <w:iCs/>
            </w:rPr>
            <w:t>gemotiveer</w:t>
          </w:r>
          <w:r w:rsidRPr="00060CAC" w:rsidR="00F762DE">
            <w:rPr>
              <w:i/>
              <w:iCs/>
            </w:rPr>
            <w:t>d</w:t>
          </w:r>
        </w:p>
        <w:p w:rsidR="00B15812" w:rsidRDefault="00E10F0A" w14:paraId="12E7DC46" w14:textId="5D4A6333">
          <w:r>
            <w:t xml:space="preserve">De Afdeling advisering van de Raad van State van het Koninkrijk merkt op dat </w:t>
          </w:r>
          <w:r w:rsidR="00284CE8">
            <w:t>intrekking van</w:t>
          </w:r>
          <w:r w:rsidR="00C62F7C">
            <w:t xml:space="preserve"> het Nederlanderschap</w:t>
          </w:r>
          <w:r w:rsidR="00284CE8">
            <w:t xml:space="preserve"> verstrekkende gevolgen heeft, die</w:t>
          </w:r>
          <w:r w:rsidR="00D343AC">
            <w:t xml:space="preserve"> in beginsel onomkeerba</w:t>
          </w:r>
          <w:r w:rsidR="00284CE8">
            <w:t>a</w:t>
          </w:r>
          <w:r w:rsidR="00D343AC">
            <w:t xml:space="preserve">r </w:t>
          </w:r>
          <w:r w:rsidR="00284CE8">
            <w:t>zijn</w:t>
          </w:r>
          <w:r w:rsidR="00D343AC">
            <w:t>.</w:t>
          </w:r>
          <w:r w:rsidR="00284CE8">
            <w:t xml:space="preserve"> </w:t>
          </w:r>
          <w:r w:rsidR="00695897">
            <w:t>Wanneer de regering de intrekkingsbevoegdheid permanent wil maken, moet</w:t>
          </w:r>
          <w:r w:rsidR="00F32053">
            <w:t>en</w:t>
          </w:r>
          <w:r w:rsidR="00695897">
            <w:t xml:space="preserve"> daarvoor zwaarwegende argumenten bestaan.</w:t>
          </w:r>
        </w:p>
        <w:p w:rsidR="00B15812" w:rsidRDefault="00B15812" w14:paraId="690578D2" w14:textId="77777777"/>
        <w:p w:rsidR="00F762DE" w:rsidRDefault="00E76B5F" w14:paraId="38A18A4A" w14:textId="15768F81">
          <w:r>
            <w:t xml:space="preserve">De Afdeling merkt op dat uit de toelichting bij het wetsvoorstel </w:t>
          </w:r>
          <w:r w:rsidR="00BD72A6">
            <w:t>niet blijkt waarom het noodzakelijk is de intrekkingsbevoegdheid te behouden.</w:t>
          </w:r>
          <w:r w:rsidR="002661DE">
            <w:t xml:space="preserve"> Zo is niet duidelijk waarom </w:t>
          </w:r>
          <w:r w:rsidR="009A05A0">
            <w:t xml:space="preserve">de nationale veiligheid niet al voldoende kan worden beschermd met </w:t>
          </w:r>
          <w:r w:rsidR="002661DE">
            <w:t>andere maatregelen, zoals die uit het strafrecht</w:t>
          </w:r>
          <w:r w:rsidR="00BF24DB">
            <w:t>.</w:t>
          </w:r>
          <w:r w:rsidR="00BD72A6">
            <w:t xml:space="preserve"> </w:t>
          </w:r>
          <w:r w:rsidR="00E27024">
            <w:t>Ook is niet duidelijk w</w:t>
          </w:r>
          <w:r w:rsidR="00F946EE">
            <w:t>elke toegevoegde waarde de intrekkingsbevoegdheid heeft voor Aruba, Curaçao en Sint Maarten, waar</w:t>
          </w:r>
          <w:r w:rsidR="00431A8F">
            <w:t>op</w:t>
          </w:r>
          <w:r w:rsidR="00F946EE">
            <w:t xml:space="preserve"> </w:t>
          </w:r>
          <w:r w:rsidR="00C83659">
            <w:t xml:space="preserve">het </w:t>
          </w:r>
          <w:r w:rsidR="00D94840">
            <w:t>wet</w:t>
          </w:r>
          <w:r w:rsidR="00C83659">
            <w:t>svoorstel</w:t>
          </w:r>
          <w:r w:rsidR="00D94840">
            <w:t xml:space="preserve"> </w:t>
          </w:r>
          <w:r w:rsidR="008D624D">
            <w:t xml:space="preserve">ook van toepassing </w:t>
          </w:r>
          <w:r w:rsidR="00431A8F">
            <w:t xml:space="preserve">is. </w:t>
          </w:r>
          <w:r w:rsidR="00D95488">
            <w:t xml:space="preserve">De Afdeling </w:t>
          </w:r>
          <w:r w:rsidR="00F01B37">
            <w:t xml:space="preserve">adviseert </w:t>
          </w:r>
          <w:r w:rsidR="002661DE">
            <w:t>de</w:t>
          </w:r>
          <w:r w:rsidR="00D95488">
            <w:t xml:space="preserve"> noodzaak van de intrekkingsbevoegdheid alsnog dragend te motiveren, of anders van</w:t>
          </w:r>
          <w:r w:rsidR="00A56C6F">
            <w:t xml:space="preserve"> het voorstel tot</w:t>
          </w:r>
          <w:r w:rsidR="00D95488">
            <w:t xml:space="preserve"> </w:t>
          </w:r>
          <w:r w:rsidR="001137D8">
            <w:t xml:space="preserve">het </w:t>
          </w:r>
          <w:r w:rsidR="00A56C6F">
            <w:t>permanent</w:t>
          </w:r>
          <w:r w:rsidR="001137D8">
            <w:t xml:space="preserve"> maken van de bevoegdheid </w:t>
          </w:r>
          <w:r w:rsidR="00A56C6F">
            <w:t>af te zien.</w:t>
          </w:r>
        </w:p>
        <w:p w:rsidR="00A56C6F" w:rsidRDefault="00A56C6F" w14:paraId="1B28E039" w14:textId="77777777"/>
        <w:p w:rsidRPr="00060CAC" w:rsidR="00A56C6F" w:rsidRDefault="001137D8" w14:paraId="35533D90" w14:textId="793875C7">
          <w:pPr>
            <w:rPr>
              <w:i/>
              <w:iCs/>
            </w:rPr>
          </w:pPr>
          <w:r w:rsidRPr="00060CAC">
            <w:rPr>
              <w:i/>
              <w:iCs/>
            </w:rPr>
            <w:t>Tijdelijk verlengen</w:t>
          </w:r>
        </w:p>
        <w:p w:rsidR="00A56C6F" w:rsidRDefault="003F4B08" w14:paraId="0BB7F62C" w14:textId="656D8D65">
          <w:r>
            <w:t>W</w:t>
          </w:r>
          <w:r w:rsidRPr="007C0D05" w:rsidR="007C0D05">
            <w:t xml:space="preserve">anneer het niet mogelijk blijkt om de noodzaak van </w:t>
          </w:r>
          <w:r w:rsidR="001760ED">
            <w:t>de</w:t>
          </w:r>
          <w:r w:rsidRPr="007C0D05" w:rsidR="007C0D05">
            <w:t xml:space="preserve"> intrekkingsbevoegdheid alsnog </w:t>
          </w:r>
          <w:r>
            <w:t xml:space="preserve">toereikend </w:t>
          </w:r>
          <w:r w:rsidRPr="007C0D05" w:rsidR="007C0D05">
            <w:t>te motiveren</w:t>
          </w:r>
          <w:r>
            <w:t xml:space="preserve">, </w:t>
          </w:r>
          <w:r w:rsidR="00BD7FCC">
            <w:t xml:space="preserve">kan de </w:t>
          </w:r>
          <w:r w:rsidRPr="00BD7FCC" w:rsidR="00BD7FCC">
            <w:t>regering er</w:t>
          </w:r>
          <w:r w:rsidR="00BD7FCC">
            <w:t xml:space="preserve"> ook voor</w:t>
          </w:r>
          <w:r w:rsidRPr="00BD7FCC" w:rsidR="00BD7FCC">
            <w:t xml:space="preserve"> kiezen de intrekkingsbevoegdheid met vijf jaar te verlengen</w:t>
          </w:r>
          <w:r w:rsidR="00BD7FCC">
            <w:t xml:space="preserve">. </w:t>
          </w:r>
          <w:r w:rsidRPr="001E5797" w:rsidR="001E5797">
            <w:t>De regering zou gedurende deze verlenging nader kunnen onderzoeken wat de toegevoegde waarde is van de intrekkingsbevoegdheid</w:t>
          </w:r>
          <w:r w:rsidR="001E5797">
            <w:t xml:space="preserve">. </w:t>
          </w:r>
          <w:r w:rsidR="00B6036B">
            <w:t>De Afdeling</w:t>
          </w:r>
          <w:r w:rsidR="007E7A86">
            <w:t xml:space="preserve"> </w:t>
          </w:r>
          <w:r w:rsidR="00B6036B">
            <w:t xml:space="preserve">adviseert deze optie </w:t>
          </w:r>
          <w:r w:rsidR="00716F42">
            <w:t>te betre</w:t>
          </w:r>
          <w:r w:rsidR="00F1650B">
            <w:t>k</w:t>
          </w:r>
          <w:r w:rsidR="00716F42">
            <w:t xml:space="preserve">ken </w:t>
          </w:r>
          <w:r w:rsidR="001879F0">
            <w:t xml:space="preserve">in de afweging over het al dan </w:t>
          </w:r>
          <w:r w:rsidR="00716F42">
            <w:t xml:space="preserve">niet </w:t>
          </w:r>
          <w:r w:rsidR="001879F0">
            <w:t>voort</w:t>
          </w:r>
          <w:r w:rsidR="004F6557">
            <w:t>zetten</w:t>
          </w:r>
          <w:r w:rsidR="00716F42">
            <w:t xml:space="preserve"> van de intrekkingsbevoegdheid.</w:t>
          </w:r>
          <w:r w:rsidR="0026430B">
            <w:t xml:space="preserve"> </w:t>
          </w:r>
        </w:p>
        <w:p w:rsidR="0026430B" w:rsidRDefault="0026430B" w14:paraId="1E9F0113" w14:textId="77777777"/>
        <w:p w:rsidR="00060CAC" w:rsidRDefault="00060CAC" w14:paraId="21CEBA98" w14:textId="77777777">
          <w:pPr>
            <w:rPr>
              <w:i/>
              <w:iCs/>
            </w:rPr>
          </w:pPr>
          <w:r>
            <w:rPr>
              <w:i/>
              <w:iCs/>
            </w:rPr>
            <w:br w:type="page"/>
          </w:r>
        </w:p>
        <w:p w:rsidRPr="00060CAC" w:rsidR="0026430B" w:rsidRDefault="0026430B" w14:paraId="75885BD2" w14:textId="204F6B29">
          <w:pPr>
            <w:rPr>
              <w:i/>
              <w:iCs/>
            </w:rPr>
          </w:pPr>
          <w:r w:rsidRPr="00060CAC">
            <w:rPr>
              <w:i/>
              <w:iCs/>
            </w:rPr>
            <w:lastRenderedPageBreak/>
            <w:t>Conclusie</w:t>
          </w:r>
        </w:p>
        <w:p w:rsidRPr="0026430B" w:rsidR="0026430B" w:rsidRDefault="00E71550" w14:paraId="6E6ADC46" w14:textId="145E7375">
          <w:r>
            <w:t>De Afdeling adviseert h</w:t>
          </w:r>
          <w:r w:rsidR="00FA1DB3">
            <w:t>et wetsvoorstel niet in te dienen bij de Tweede</w:t>
          </w:r>
          <w:r w:rsidR="0085561F">
            <w:t> </w:t>
          </w:r>
          <w:r w:rsidR="00FA1DB3">
            <w:t>Kamer</w:t>
          </w:r>
          <w:r w:rsidR="00E42463">
            <w:t xml:space="preserve"> der Staten</w:t>
          </w:r>
          <w:r w:rsidR="0085561F">
            <w:t>-</w:t>
          </w:r>
          <w:r w:rsidR="00E42463">
            <w:t>Generaal, de Staten van Aruba, die van Curaçao en die van Sint</w:t>
          </w:r>
          <w:r w:rsidR="007565D5">
            <w:t> </w:t>
          </w:r>
          <w:r w:rsidR="00E42463">
            <w:t>Maarten</w:t>
          </w:r>
          <w:r w:rsidR="00FA1DB3">
            <w:t>, tenzij het is aangepast.</w:t>
          </w:r>
        </w:p>
        <w:p w:rsidR="00B66FAA" w:rsidRDefault="00B66FAA" w14:paraId="22CB8E4B" w14:textId="77777777"/>
        <w:p w:rsidR="001978DD" w:rsidRDefault="008A697B" w14:paraId="3D0FFC50" w14:textId="60866418">
          <w:r>
            <w:t>1.</w:t>
          </w:r>
          <w:r>
            <w:tab/>
          </w:r>
          <w:r w:rsidRPr="003A4DE6">
            <w:rPr>
              <w:u w:val="single"/>
            </w:rPr>
            <w:t>Inhoud en achtergrond</w:t>
          </w:r>
        </w:p>
        <w:p w:rsidR="008A697B" w:rsidRDefault="008A697B" w14:paraId="3710CC4B" w14:textId="77777777"/>
        <w:p w:rsidR="00C558C4" w:rsidRDefault="00CD6BF4" w14:paraId="7367B8F1" w14:textId="7DC1AA7E">
          <w:r>
            <w:t xml:space="preserve">Wanneer een </w:t>
          </w:r>
          <w:r w:rsidR="004C2E64">
            <w:t xml:space="preserve">meerderjarige </w:t>
          </w:r>
          <w:r>
            <w:t xml:space="preserve">Nederlander </w:t>
          </w:r>
          <w:r w:rsidR="00D743CE">
            <w:t>zich</w:t>
          </w:r>
          <w:r w:rsidR="007327A3">
            <w:t xml:space="preserve"> in het buitenland aansluit bij</w:t>
          </w:r>
          <w:r w:rsidR="00154552">
            <w:t>, kort gezegd,</w:t>
          </w:r>
          <w:r w:rsidR="007327A3">
            <w:t xml:space="preserve"> een</w:t>
          </w:r>
          <w:r w:rsidR="00154552">
            <w:t xml:space="preserve"> terroristische</w:t>
          </w:r>
          <w:r w:rsidR="007327A3">
            <w:t xml:space="preserve"> organisatie</w:t>
          </w:r>
          <w:r>
            <w:t xml:space="preserve">, </w:t>
          </w:r>
          <w:r w:rsidR="00FF694F">
            <w:t>kan</w:t>
          </w:r>
          <w:r w:rsidR="00AD738A">
            <w:t xml:space="preserve"> de minister van Justitie en Veiligheid </w:t>
          </w:r>
          <w:r w:rsidR="004520BE">
            <w:t xml:space="preserve">met gebruik van </w:t>
          </w:r>
          <w:r w:rsidR="00751763">
            <w:t xml:space="preserve">een bevoegdheid in de Rijkswet op het Nederlanderschap (hierna: RWN) </w:t>
          </w:r>
          <w:r w:rsidR="00C701BD">
            <w:t>diens</w:t>
          </w:r>
          <w:r>
            <w:t xml:space="preserve"> Nederlanderschap intrekken.</w:t>
          </w:r>
          <w:r w:rsidR="001D2F63">
            <w:rPr>
              <w:rStyle w:val="Voetnootmarkering"/>
            </w:rPr>
            <w:footnoteReference w:id="1"/>
          </w:r>
          <w:r w:rsidR="00145613">
            <w:t xml:space="preserve"> Een strafrechtelijke veroordeling is </w:t>
          </w:r>
          <w:r w:rsidR="004C2E64">
            <w:t>daar</w:t>
          </w:r>
          <w:r w:rsidR="00145613">
            <w:t>voor niet vereist.</w:t>
          </w:r>
          <w:r w:rsidR="00204833">
            <w:t xml:space="preserve"> </w:t>
          </w:r>
          <w:r w:rsidR="00C558C4">
            <w:t xml:space="preserve">Wel </w:t>
          </w:r>
          <w:r w:rsidR="008F69CA">
            <w:t>moet</w:t>
          </w:r>
          <w:r w:rsidR="0057192B">
            <w:t xml:space="preserve"> de minister voorafgaand aan het gebruik van de intrekkingsbevoegdheid een belangenafweging verrichten</w:t>
          </w:r>
          <w:r w:rsidR="00FF694F">
            <w:t>.</w:t>
          </w:r>
          <w:r w:rsidR="0012203F">
            <w:rPr>
              <w:rStyle w:val="Voetnootmarkering"/>
            </w:rPr>
            <w:footnoteReference w:id="2"/>
          </w:r>
          <w:r w:rsidR="0057192B">
            <w:t xml:space="preserve"> </w:t>
          </w:r>
          <w:r w:rsidR="00FF694F">
            <w:t>Ook</w:t>
          </w:r>
          <w:r w:rsidR="001B5680">
            <w:t xml:space="preserve"> mag </w:t>
          </w:r>
          <w:r w:rsidR="0012203F">
            <w:t>de intrekking</w:t>
          </w:r>
          <w:r w:rsidR="001B5680">
            <w:t xml:space="preserve"> van het Nederlanderschap niet </w:t>
          </w:r>
          <w:r w:rsidR="0012203F">
            <w:t>leiden tot staatloosheid</w:t>
          </w:r>
          <w:r w:rsidR="00C90EDB">
            <w:t>.</w:t>
          </w:r>
          <w:r w:rsidR="002C2AB7">
            <w:rPr>
              <w:rStyle w:val="Voetnootmarkering"/>
            </w:rPr>
            <w:footnoteReference w:id="3"/>
          </w:r>
          <w:r w:rsidR="0096038B">
            <w:t xml:space="preserve"> Internationale verdragen staan in dat geval aan intrekking in de weg.</w:t>
          </w:r>
          <w:r w:rsidR="0096038B">
            <w:rPr>
              <w:rStyle w:val="Voetnootmarkering"/>
            </w:rPr>
            <w:footnoteReference w:id="4"/>
          </w:r>
          <w:r w:rsidR="0096038B">
            <w:t xml:space="preserve"> Alleen personen met minstens één andere nationaliteit dan de Nederlandse komen dus in aanmerking voor toepassing van de intrekkingsbevoegdheid.</w:t>
          </w:r>
          <w:r w:rsidR="000A032E">
            <w:rPr>
              <w:rStyle w:val="Voetnootmarkering"/>
            </w:rPr>
            <w:footnoteReference w:id="5"/>
          </w:r>
        </w:p>
        <w:p w:rsidR="00C558C4" w:rsidRDefault="00C558C4" w14:paraId="24C53E3E" w14:textId="77777777"/>
        <w:p w:rsidR="002C5B2A" w:rsidRDefault="00A75C0D" w14:paraId="3DABB4B9" w14:textId="42B42391">
          <w:r>
            <w:t>D</w:t>
          </w:r>
          <w:r w:rsidR="00204833">
            <w:t xml:space="preserve">oel van de </w:t>
          </w:r>
          <w:r w:rsidR="00404537">
            <w:t>intrekkings</w:t>
          </w:r>
          <w:r w:rsidR="00204833">
            <w:t xml:space="preserve">bevoegdheid is om </w:t>
          </w:r>
          <w:r w:rsidR="004948C1">
            <w:t xml:space="preserve">te voorkomen dat </w:t>
          </w:r>
          <w:r w:rsidR="00204833">
            <w:t>personen</w:t>
          </w:r>
          <w:r w:rsidR="00404537">
            <w:t xml:space="preserve"> die zich in het buitenland bij een terroristische organisatie hebben aange</w:t>
          </w:r>
          <w:r w:rsidR="00653C48">
            <w:t>sloten,</w:t>
          </w:r>
          <w:r w:rsidR="00204833">
            <w:t xml:space="preserve"> </w:t>
          </w:r>
          <w:r w:rsidR="007E2840">
            <w:t xml:space="preserve">legaal kunnen </w:t>
          </w:r>
          <w:r w:rsidR="00204833">
            <w:t>terugkeren naar Nederland.</w:t>
          </w:r>
          <w:r w:rsidR="0042681A">
            <w:t xml:space="preserve"> De regering achtte dit bij de invoering van de</w:t>
          </w:r>
          <w:r w:rsidR="00A1513A">
            <w:t>ze</w:t>
          </w:r>
          <w:r w:rsidR="0042681A">
            <w:t xml:space="preserve"> bevoegdheid in 2017 noodzakelijk</w:t>
          </w:r>
          <w:r w:rsidR="00027417">
            <w:t xml:space="preserve"> in het belang van de nationale veiligheid, omdat er sprake was van een toegenomen dreiging van het internationaal jihadistisch geïnspireerd terrorisme.</w:t>
          </w:r>
          <w:r w:rsidR="00BD345F">
            <w:t xml:space="preserve"> Met dit doel wordt </w:t>
          </w:r>
          <w:r w:rsidR="007E2840">
            <w:t xml:space="preserve">aan </w:t>
          </w:r>
          <w:r w:rsidR="001C30AC">
            <w:t>de betrokken personen</w:t>
          </w:r>
          <w:r w:rsidR="007E2840">
            <w:t xml:space="preserve"> ook een </w:t>
          </w:r>
          <w:proofErr w:type="spellStart"/>
          <w:r w:rsidR="007E2840">
            <w:t>ongewenstverklaring</w:t>
          </w:r>
          <w:proofErr w:type="spellEnd"/>
          <w:r w:rsidR="007E2840">
            <w:t xml:space="preserve"> of inreisverbod opgelegd.</w:t>
          </w:r>
        </w:p>
        <w:p w:rsidR="00204833" w:rsidRDefault="00204833" w14:paraId="4CFC8466" w14:textId="77777777"/>
        <w:p w:rsidR="0066148D" w:rsidP="005476BB" w:rsidRDefault="00CD6BF4" w14:paraId="01BDEF62" w14:textId="4CE60420">
          <w:r>
            <w:t>De bevoegdheid</w:t>
          </w:r>
          <w:r w:rsidR="008F70DB">
            <w:t xml:space="preserve"> </w:t>
          </w:r>
          <w:r w:rsidR="009C13CC">
            <w:t xml:space="preserve">is in </w:t>
          </w:r>
          <w:r w:rsidR="00A455A5">
            <w:t>2017</w:t>
          </w:r>
          <w:r w:rsidR="009C13CC">
            <w:t xml:space="preserve"> neergelegd in een tijdelijke wet</w:t>
          </w:r>
          <w:r w:rsidR="00FA7052">
            <w:t xml:space="preserve">, </w:t>
          </w:r>
          <w:r w:rsidR="00484B35">
            <w:t xml:space="preserve">met </w:t>
          </w:r>
          <w:r w:rsidR="004D495B">
            <w:t xml:space="preserve">1 </w:t>
          </w:r>
          <w:r w:rsidR="00484B35">
            <w:t>maart 2022 als vervaldatum</w:t>
          </w:r>
          <w:r w:rsidR="00FA6C55">
            <w:t>.</w:t>
          </w:r>
          <w:r w:rsidR="00484B35">
            <w:t xml:space="preserve"> </w:t>
          </w:r>
          <w:r w:rsidR="00FB78B7">
            <w:t>H</w:t>
          </w:r>
          <w:r w:rsidR="00C6350E">
            <w:t xml:space="preserve">et WODC </w:t>
          </w:r>
          <w:r w:rsidR="00FB78B7">
            <w:t>heeft</w:t>
          </w:r>
          <w:r w:rsidR="00C6350E">
            <w:t xml:space="preserve"> </w:t>
          </w:r>
          <w:r w:rsidR="00CE5779">
            <w:t xml:space="preserve">de wet </w:t>
          </w:r>
          <w:r w:rsidR="00C6350E">
            <w:t>in 2020</w:t>
          </w:r>
          <w:r w:rsidR="002D0518">
            <w:t xml:space="preserve"> </w:t>
          </w:r>
          <w:r w:rsidR="009C15B3">
            <w:t>geëvalueerd</w:t>
          </w:r>
          <w:r w:rsidR="00774383">
            <w:t xml:space="preserve"> en daarbij onderzocht </w:t>
          </w:r>
          <w:r w:rsidR="00CE5779">
            <w:t>of de invoering van artikel 14</w:t>
          </w:r>
          <w:r w:rsidR="00820DDF">
            <w:t>, vierde</w:t>
          </w:r>
          <w:r w:rsidR="00CE5779">
            <w:t xml:space="preserve"> lid</w:t>
          </w:r>
          <w:r w:rsidR="00820DDF">
            <w:t>,</w:t>
          </w:r>
          <w:r w:rsidR="00CE5779">
            <w:t xml:space="preserve"> </w:t>
          </w:r>
          <w:r w:rsidR="00774383">
            <w:t>van d</w:t>
          </w:r>
          <w:r w:rsidR="00486C27">
            <w:t>e RWN</w:t>
          </w:r>
          <w:r w:rsidR="00774383">
            <w:t xml:space="preserve"> </w:t>
          </w:r>
          <w:r w:rsidR="00CE5779">
            <w:t>de legale</w:t>
          </w:r>
          <w:r w:rsidR="008F4539">
            <w:t xml:space="preserve"> </w:t>
          </w:r>
          <w:r w:rsidR="00CE5779">
            <w:t xml:space="preserve">terugkeer van Nederlandse leden van buitenlandse, jihadistische organisaties naar Nederland heeft weten te verhinderen door intrekking van het Nederlanderschap van deze </w:t>
          </w:r>
          <w:r w:rsidR="00CE5779">
            <w:lastRenderedPageBreak/>
            <w:t>personen.</w:t>
          </w:r>
          <w:r w:rsidR="00FB78B7">
            <w:rPr>
              <w:rStyle w:val="Voetnootmarkering"/>
            </w:rPr>
            <w:footnoteReference w:id="6"/>
          </w:r>
          <w:r w:rsidR="008D6191">
            <w:t xml:space="preserve"> </w:t>
          </w:r>
          <w:r w:rsidR="009C13CC">
            <w:t>De geldigheidsduur van de</w:t>
          </w:r>
          <w:r w:rsidR="005B26DB">
            <w:t xml:space="preserve"> tijdelijke</w:t>
          </w:r>
          <w:r w:rsidR="009C13CC">
            <w:t xml:space="preserve"> wet is </w:t>
          </w:r>
          <w:r w:rsidR="0066148D">
            <w:t xml:space="preserve">vervolgens </w:t>
          </w:r>
          <w:r w:rsidR="009C13CC">
            <w:t>i</w:t>
          </w:r>
          <w:r w:rsidR="004D31E5">
            <w:t>n 2022</w:t>
          </w:r>
          <w:r w:rsidR="008F70DB">
            <w:t xml:space="preserve"> </w:t>
          </w:r>
          <w:r w:rsidR="004D31E5">
            <w:t>verlengd tot</w:t>
          </w:r>
          <w:r w:rsidR="00A455A5">
            <w:t xml:space="preserve"> 1</w:t>
          </w:r>
          <w:r w:rsidR="00C7777B">
            <w:t> </w:t>
          </w:r>
          <w:r w:rsidR="00D46F86">
            <w:t>maart </w:t>
          </w:r>
          <w:r w:rsidR="00A455A5">
            <w:t>2027.</w:t>
          </w:r>
          <w:r w:rsidR="00D950C8">
            <w:rPr>
              <w:rStyle w:val="Voetnootmarkering"/>
            </w:rPr>
            <w:footnoteReference w:id="7"/>
          </w:r>
        </w:p>
        <w:p w:rsidR="00415938" w:rsidP="005476BB" w:rsidRDefault="00415938" w14:paraId="6DC39D87" w14:textId="77777777"/>
        <w:p w:rsidR="004D31E5" w:rsidP="005476BB" w:rsidRDefault="00B84E5E" w14:paraId="11D63B7C" w14:textId="733667E1">
          <w:r>
            <w:t>Met het voorliggende wetsvoorstel beoogt de regering de intrekkingsbevoegdheid permanent te maken.</w:t>
          </w:r>
        </w:p>
        <w:p w:rsidR="00FD078C" w:rsidRDefault="00FD078C" w14:paraId="5BB890FD" w14:textId="77777777"/>
        <w:p w:rsidR="009903E9" w:rsidRDefault="009903E9" w14:paraId="46F13EFB" w14:textId="39DE1D2B">
          <w:r>
            <w:t>2.</w:t>
          </w:r>
          <w:r>
            <w:tab/>
          </w:r>
          <w:r w:rsidRPr="00204C22" w:rsidR="00071F36">
            <w:rPr>
              <w:u w:val="single"/>
            </w:rPr>
            <w:t>Noodzaak van de intrekkingsbevoegdheid</w:t>
          </w:r>
        </w:p>
        <w:p w:rsidR="009903E9" w:rsidRDefault="009903E9" w14:paraId="48C18B71" w14:textId="77777777"/>
        <w:p w:rsidR="00BC0626" w:rsidRDefault="00CA2BB2" w14:paraId="60CE59CC" w14:textId="093C0B31">
          <w:r>
            <w:t>Intrekking van het Nederlanderschap is een vergaande bevoegdheid,</w:t>
          </w:r>
          <w:r w:rsidR="00193925">
            <w:t xml:space="preserve"> </w:t>
          </w:r>
          <w:r w:rsidR="00250C81">
            <w:t xml:space="preserve">met </w:t>
          </w:r>
          <w:r w:rsidR="00551949">
            <w:t>in beginsel</w:t>
          </w:r>
          <w:r>
            <w:t xml:space="preserve"> </w:t>
          </w:r>
          <w:r w:rsidR="00204C22">
            <w:t>onomkeerbar</w:t>
          </w:r>
          <w:r w:rsidR="00250C81">
            <w:t>e gevolgen</w:t>
          </w:r>
          <w:r w:rsidR="00204C22">
            <w:t>.</w:t>
          </w:r>
          <w:r w:rsidR="00EA0028">
            <w:rPr>
              <w:rStyle w:val="Voetnootmarkering"/>
            </w:rPr>
            <w:footnoteReference w:id="8"/>
          </w:r>
          <w:r w:rsidR="005226D1">
            <w:t xml:space="preserve"> </w:t>
          </w:r>
          <w:r w:rsidR="0071663A">
            <w:t>Voor een dergelijke ingrijpende maatregel moeten bijzonder zwaarwegende argumenten bestaan.</w:t>
          </w:r>
          <w:r w:rsidR="006E52C1">
            <w:t xml:space="preserve"> Niet alleen op het niveau van de</w:t>
          </w:r>
          <w:r w:rsidR="004F098B">
            <w:t xml:space="preserve"> toepassing ervan op</w:t>
          </w:r>
          <w:r w:rsidR="006E52C1">
            <w:t xml:space="preserve"> individue</w:t>
          </w:r>
          <w:r w:rsidR="004F098B">
            <w:t>e</w:t>
          </w:r>
          <w:r w:rsidR="006E52C1">
            <w:t xml:space="preserve">l </w:t>
          </w:r>
          <w:r w:rsidR="004F098B">
            <w:t>niveau</w:t>
          </w:r>
          <w:r w:rsidR="006E52C1">
            <w:t>, maar ook op het niveau van de regeling als zodanig.</w:t>
          </w:r>
        </w:p>
        <w:p w:rsidR="00BC0626" w:rsidRDefault="00BC0626" w14:paraId="1D0A129B" w14:textId="77777777"/>
        <w:p w:rsidR="0051508F" w:rsidRDefault="005226D1" w14:paraId="2FEF98E3" w14:textId="77777777">
          <w:r>
            <w:t>Dit geldt te meer nu het gaat om een bestuursrechtelijke bevoegdheid</w:t>
          </w:r>
          <w:r w:rsidR="00355636">
            <w:t xml:space="preserve">, die zonder tussenkomst </w:t>
          </w:r>
          <w:r w:rsidR="003821DE">
            <w:t xml:space="preserve">vooraf </w:t>
          </w:r>
          <w:r w:rsidR="00355636">
            <w:t>van de rechter kan worden benut</w:t>
          </w:r>
          <w:r w:rsidR="00803845">
            <w:t>, en</w:t>
          </w:r>
          <w:r w:rsidR="00E15732">
            <w:t xml:space="preserve"> het de minister zelf is die bepaalt welke organisaties zijn aan te merken als </w:t>
          </w:r>
          <w:r w:rsidR="00EC7C10">
            <w:t xml:space="preserve">een </w:t>
          </w:r>
          <w:r w:rsidR="00E15732">
            <w:t>terroristische organisatie</w:t>
          </w:r>
          <w:r>
            <w:t>.</w:t>
          </w:r>
          <w:r w:rsidR="002261D4">
            <w:rPr>
              <w:rStyle w:val="Voetnootmarkering"/>
            </w:rPr>
            <w:footnoteReference w:id="9"/>
          </w:r>
          <w:r w:rsidR="00D62DCF">
            <w:t xml:space="preserve"> </w:t>
          </w:r>
          <w:r w:rsidR="004C0E56">
            <w:t>W</w:t>
          </w:r>
          <w:r w:rsidR="005473CB">
            <w:t xml:space="preserve">eliswaar </w:t>
          </w:r>
          <w:r w:rsidR="006014D0">
            <w:t xml:space="preserve">is voorzien in </w:t>
          </w:r>
          <w:r w:rsidR="000726B8">
            <w:t xml:space="preserve">de mogelijkheid van beroep en hoger beroep bij de bestuursrechter. </w:t>
          </w:r>
        </w:p>
        <w:p w:rsidR="0051508F" w:rsidRDefault="0051508F" w14:paraId="42FDD402" w14:textId="77777777"/>
        <w:p w:rsidR="001B11E8" w:rsidRDefault="00D01007" w14:paraId="21B8A78B" w14:textId="77777777">
          <w:r>
            <w:t xml:space="preserve">De toelichting </w:t>
          </w:r>
          <w:r w:rsidR="00825542">
            <w:t>benadrukt</w:t>
          </w:r>
          <w:r>
            <w:t xml:space="preserve"> </w:t>
          </w:r>
          <w:r w:rsidR="006713B8">
            <w:t xml:space="preserve">ook </w:t>
          </w:r>
          <w:r>
            <w:t>het belang van rechterlijke toetsing</w:t>
          </w:r>
          <w:r w:rsidR="006713B8">
            <w:t xml:space="preserve"> achteraf</w:t>
          </w:r>
          <w:r>
            <w:t xml:space="preserve">. </w:t>
          </w:r>
          <w:r w:rsidR="00825542">
            <w:t xml:space="preserve">Om </w:t>
          </w:r>
          <w:r w:rsidR="008E6322">
            <w:t xml:space="preserve">deze </w:t>
          </w:r>
          <w:r w:rsidR="004415D1">
            <w:t>toetsing</w:t>
          </w:r>
          <w:r w:rsidR="008E6322">
            <w:t xml:space="preserve"> te kunnen </w:t>
          </w:r>
          <w:r w:rsidR="004415D1">
            <w:t>effectueren</w:t>
          </w:r>
          <w:r w:rsidR="008E6322">
            <w:t xml:space="preserve"> voorziet </w:t>
          </w:r>
          <w:r w:rsidR="00FC02DE">
            <w:t xml:space="preserve">de RWN </w:t>
          </w:r>
          <w:r w:rsidRPr="00FC02DE" w:rsidR="00FC02DE">
            <w:t xml:space="preserve">in een ambtshalve toetsing van het besluit wanneer </w:t>
          </w:r>
          <w:r w:rsidR="00FC5C7D">
            <w:t xml:space="preserve">daartegen </w:t>
          </w:r>
          <w:r w:rsidRPr="00FC02DE" w:rsidR="00FC02DE">
            <w:t>niet tijdig beroep wordt ingesteld</w:t>
          </w:r>
          <w:r w:rsidR="006713B8">
            <w:t xml:space="preserve"> door de belanghebbende</w:t>
          </w:r>
          <w:r w:rsidRPr="00FC02DE" w:rsidR="00FC02DE">
            <w:t>. De minister moet in dat geval ambtshalve de bestuursrechter van het intrekkingsbesluit in kennis stellen</w:t>
          </w:r>
          <w:r w:rsidR="00FC5C7D">
            <w:t>.</w:t>
          </w:r>
          <w:r w:rsidR="00615AE8">
            <w:rPr>
              <w:rStyle w:val="Voetnootmarkering"/>
            </w:rPr>
            <w:footnoteReference w:id="10"/>
          </w:r>
          <w:r w:rsidR="00FC5C7D">
            <w:t xml:space="preserve"> </w:t>
          </w:r>
          <w:r w:rsidR="00C2297F">
            <w:t>In bijstand door een advocaat wordt voorzien.</w:t>
          </w:r>
          <w:r w:rsidR="00615AE8">
            <w:t xml:space="preserve"> </w:t>
          </w:r>
        </w:p>
        <w:p w:rsidR="001B11E8" w:rsidRDefault="001B11E8" w14:paraId="51E92028" w14:textId="77777777"/>
        <w:p w:rsidR="005226D1" w:rsidRDefault="00C2297F" w14:paraId="689DC0FB" w14:textId="2F3924EE">
          <w:r>
            <w:t>Deze van de reguliere rechtsbesch</w:t>
          </w:r>
          <w:r w:rsidR="00525F20">
            <w:t xml:space="preserve">erming in het </w:t>
          </w:r>
          <w:proofErr w:type="spellStart"/>
          <w:r w:rsidR="00525F20">
            <w:t>bestuurs</w:t>
          </w:r>
          <w:proofErr w:type="spellEnd"/>
          <w:r w:rsidR="000E799C">
            <w:t>(proces)</w:t>
          </w:r>
          <w:r w:rsidR="00525F20">
            <w:t xml:space="preserve">recht sterk afwijkende procedure </w:t>
          </w:r>
          <w:r w:rsidR="006C4768">
            <w:t xml:space="preserve">lijkt noodzakelijk om </w:t>
          </w:r>
          <w:r w:rsidR="006713B8">
            <w:t>effectieve</w:t>
          </w:r>
          <w:r w:rsidR="006C4768">
            <w:t xml:space="preserve"> rechtsbescherming te kunnen bieden. Tegelijk illustreert deze </w:t>
          </w:r>
          <w:r w:rsidR="00462CC1">
            <w:t>afwijkende route naar de bestuursrechter d</w:t>
          </w:r>
          <w:r w:rsidR="0094202C">
            <w:t xml:space="preserve">at </w:t>
          </w:r>
          <w:r w:rsidR="00462CC1">
            <w:t xml:space="preserve">het hier gaat </w:t>
          </w:r>
          <w:r w:rsidR="006430CA">
            <w:t xml:space="preserve">om </w:t>
          </w:r>
          <w:r w:rsidR="0094202C">
            <w:t>een verstrekkende bevoegdheid</w:t>
          </w:r>
          <w:r w:rsidR="00FF779F">
            <w:t>, die</w:t>
          </w:r>
          <w:r w:rsidR="0094202C">
            <w:t xml:space="preserve"> zich moei</w:t>
          </w:r>
          <w:r w:rsidR="00A20C12">
            <w:t xml:space="preserve">lijk </w:t>
          </w:r>
          <w:r w:rsidR="0094202C">
            <w:t xml:space="preserve">verhoudt tot het normaal toepasselijke </w:t>
          </w:r>
          <w:proofErr w:type="spellStart"/>
          <w:r w:rsidR="0094202C">
            <w:t>bestuurs</w:t>
          </w:r>
          <w:proofErr w:type="spellEnd"/>
          <w:r w:rsidR="00FF779F">
            <w:t>(proces)</w:t>
          </w:r>
          <w:r w:rsidR="0094202C">
            <w:t>rechtelijke kader</w:t>
          </w:r>
          <w:r w:rsidR="006430CA">
            <w:t>.</w:t>
          </w:r>
        </w:p>
        <w:p w:rsidR="0071663A" w:rsidRDefault="0071663A" w14:paraId="1F6E9521" w14:textId="77777777"/>
        <w:p w:rsidR="005A2255" w:rsidRDefault="00357A4C" w14:paraId="07498D35" w14:textId="43103BA2">
          <w:r>
            <w:t>2.</w:t>
          </w:r>
          <w:r w:rsidR="00AF038C">
            <w:t>1</w:t>
          </w:r>
          <w:r w:rsidR="004C4933">
            <w:t>.</w:t>
          </w:r>
          <w:r>
            <w:tab/>
          </w:r>
          <w:r>
            <w:rPr>
              <w:i/>
              <w:iCs/>
            </w:rPr>
            <w:t>Motivering noodzaak in huidige wetsvoorstel</w:t>
          </w:r>
          <w:r w:rsidR="004D2E46">
            <w:rPr>
              <w:i/>
              <w:iCs/>
            </w:rPr>
            <w:br/>
          </w:r>
          <w:r w:rsidR="00E26A59">
            <w:t xml:space="preserve">Met het wetsvoorstel beoogt de regering de bevoegdheid tot intrekking van het </w:t>
          </w:r>
          <w:r w:rsidR="00E26A59">
            <w:lastRenderedPageBreak/>
            <w:t>Nederlanderschap permanent te maken</w:t>
          </w:r>
          <w:r w:rsidR="00882E43">
            <w:t xml:space="preserve">, omdat deze bevoegdheid noodzakelijk is </w:t>
          </w:r>
          <w:r w:rsidR="00DB6BC8">
            <w:t>om</w:t>
          </w:r>
          <w:r w:rsidR="00882E43">
            <w:t xml:space="preserve"> de nationale veiligheid</w:t>
          </w:r>
          <w:r w:rsidR="00DB6BC8">
            <w:t xml:space="preserve"> te beschermen</w:t>
          </w:r>
          <w:r w:rsidR="00E26A59">
            <w:t>.</w:t>
          </w:r>
        </w:p>
        <w:p w:rsidR="00BC7F4A" w:rsidRDefault="00BC7F4A" w14:paraId="3C99EDBF" w14:textId="77777777"/>
        <w:p w:rsidR="00ED0CC4" w:rsidRDefault="00606A48" w14:paraId="632D28B5" w14:textId="790CF277">
          <w:r>
            <w:t>Zij</w:t>
          </w:r>
          <w:r w:rsidR="00E40FEB">
            <w:t xml:space="preserve"> wijst </w:t>
          </w:r>
          <w:r>
            <w:t xml:space="preserve">hiertoe </w:t>
          </w:r>
          <w:r w:rsidR="005A2255">
            <w:t xml:space="preserve">in de eerste plaats </w:t>
          </w:r>
          <w:r>
            <w:t>op</w:t>
          </w:r>
          <w:r w:rsidR="002E046C">
            <w:t xml:space="preserve"> </w:t>
          </w:r>
          <w:r w:rsidR="00E40FEB">
            <w:t>he</w:t>
          </w:r>
          <w:r w:rsidR="008E3ECC">
            <w:t>t meest recente</w:t>
          </w:r>
          <w:r w:rsidR="00E40FEB">
            <w:t xml:space="preserve"> </w:t>
          </w:r>
          <w:r w:rsidR="002E046C">
            <w:t>dreigingsbeeld</w:t>
          </w:r>
          <w:r w:rsidR="0052719A">
            <w:t xml:space="preserve"> van de NCTV</w:t>
          </w:r>
          <w:r>
            <w:t xml:space="preserve"> </w:t>
          </w:r>
          <w:r w:rsidR="008E3ECC">
            <w:t>uit december 2025</w:t>
          </w:r>
          <w:r>
            <w:t xml:space="preserve">. Daaruit blijkt dat </w:t>
          </w:r>
          <w:r w:rsidR="00EF54E8">
            <w:t>het dreigingsniveau</w:t>
          </w:r>
          <w:r w:rsidR="00740F67">
            <w:t xml:space="preserve"> ‘substantieel’</w:t>
          </w:r>
          <w:r w:rsidR="009C06D8">
            <w:t xml:space="preserve"> is</w:t>
          </w:r>
          <w:r w:rsidR="00EF54E8">
            <w:t xml:space="preserve"> (niveau 4 van 5)</w:t>
          </w:r>
          <w:r w:rsidR="009C06D8">
            <w:t>, oftewel dat</w:t>
          </w:r>
          <w:r w:rsidR="00EF54E8">
            <w:t xml:space="preserve"> er</w:t>
          </w:r>
          <w:r w:rsidR="00E46E92">
            <w:t xml:space="preserve"> een ‘reële kans’ is dat een aanslag plaatsvindt.</w:t>
          </w:r>
          <w:r w:rsidR="001A5533">
            <w:rPr>
              <w:rStyle w:val="Voetnootmarkering"/>
            </w:rPr>
            <w:footnoteReference w:id="11"/>
          </w:r>
          <w:r w:rsidR="006E4932">
            <w:t xml:space="preserve"> </w:t>
          </w:r>
          <w:r w:rsidR="005465A6">
            <w:t>Weliswaar is</w:t>
          </w:r>
          <w:r w:rsidR="006E4932">
            <w:t xml:space="preserve"> het aantal uitreizigers naar </w:t>
          </w:r>
          <w:r w:rsidR="001044CC">
            <w:t xml:space="preserve">terroristische groeperingen in het buitenland </w:t>
          </w:r>
          <w:r w:rsidR="005465A6">
            <w:t>op dit moment</w:t>
          </w:r>
          <w:r w:rsidR="001044CC">
            <w:t xml:space="preserve"> beperkt, </w:t>
          </w:r>
          <w:r w:rsidR="005465A6">
            <w:t>maar het is wel</w:t>
          </w:r>
          <w:r w:rsidR="001044CC">
            <w:t xml:space="preserve"> toegenomen in vergelijking met de afgelopen vijf jaar.</w:t>
          </w:r>
          <w:r w:rsidR="001044CC">
            <w:rPr>
              <w:rStyle w:val="Voetnootmarkering"/>
            </w:rPr>
            <w:footnoteReference w:id="12"/>
          </w:r>
          <w:r w:rsidR="008D132D">
            <w:t xml:space="preserve"> Bovendien wordt binnen de jihadis</w:t>
          </w:r>
          <w:r w:rsidR="00205049">
            <w:t>tische</w:t>
          </w:r>
          <w:r w:rsidR="008D132D">
            <w:t xml:space="preserve"> beweging vaker dan voorheen de wens uitgesproken om uit te reizen</w:t>
          </w:r>
          <w:r w:rsidR="00205049">
            <w:t>, en</w:t>
          </w:r>
          <w:r w:rsidR="007D654F">
            <w:t xml:space="preserve"> kan</w:t>
          </w:r>
          <w:r w:rsidR="009F57BE">
            <w:t xml:space="preserve"> de dreiging snel fluctueren</w:t>
          </w:r>
          <w:r w:rsidR="00205049">
            <w:t>. Het</w:t>
          </w:r>
          <w:r w:rsidR="007D654F">
            <w:t xml:space="preserve"> </w:t>
          </w:r>
          <w:r w:rsidR="00996178">
            <w:t>is</w:t>
          </w:r>
          <w:r w:rsidR="00A7463A">
            <w:t xml:space="preserve"> volgens de regering</w:t>
          </w:r>
          <w:r w:rsidR="00996178">
            <w:t xml:space="preserve"> </w:t>
          </w:r>
          <w:r w:rsidR="00793432">
            <w:t xml:space="preserve">daarom </w:t>
          </w:r>
          <w:r w:rsidR="00996178">
            <w:t xml:space="preserve">niet uit te sluiten dat de intrekkingsbevoegdheid in de toekomst weer </w:t>
          </w:r>
          <w:r w:rsidR="00AB6CC2">
            <w:t>vaker zal moeten worden benut</w:t>
          </w:r>
          <w:r w:rsidR="00996178">
            <w:t>.</w:t>
          </w:r>
        </w:p>
        <w:p w:rsidR="00ED0CC4" w:rsidRDefault="00ED0CC4" w14:paraId="5521D645" w14:textId="77777777"/>
        <w:p w:rsidR="0075085A" w:rsidRDefault="0075085A" w14:paraId="1CA6CDE9" w14:textId="71773F5B">
          <w:r>
            <w:t>De</w:t>
          </w:r>
          <w:r w:rsidR="00BA5920">
            <w:t xml:space="preserve"> regering licht in het verlengde hiervan </w:t>
          </w:r>
          <w:r w:rsidR="00AA2F40">
            <w:t xml:space="preserve">in de tweede plaats </w:t>
          </w:r>
          <w:r w:rsidR="00BA5920">
            <w:t>toe dat</w:t>
          </w:r>
          <w:r w:rsidR="00FD4549">
            <w:t xml:space="preserve"> de</w:t>
          </w:r>
          <w:r w:rsidR="00BB6D3F">
            <w:t xml:space="preserve"> intrekkingsbevoegdheid</w:t>
          </w:r>
          <w:r w:rsidR="00FD4549">
            <w:t xml:space="preserve"> onderdeel uitmaakt van een breed pakket aan interventiemogelijkheden en maatregelen om terrorisme te bestrijden.</w:t>
          </w:r>
          <w:r w:rsidR="00D11C82">
            <w:t xml:space="preserve"> Dit pakket </w:t>
          </w:r>
          <w:r w:rsidR="00F8076B">
            <w:t>vertaalt zich naar vier hoofddoelen</w:t>
          </w:r>
          <w:r w:rsidR="005E75D0">
            <w:t xml:space="preserve"> of pijlers</w:t>
          </w:r>
          <w:r w:rsidR="00F8076B">
            <w:t xml:space="preserve">: verwerven van informatie, voorkomen van aanslagen, voorbereiden op terroristisch geweld, en vervolgen van daders. De </w:t>
          </w:r>
          <w:r w:rsidR="00111516">
            <w:t xml:space="preserve">bevoegdheid om het Nederlanderschap in te trekken valt onder </w:t>
          </w:r>
          <w:r w:rsidR="005E75D0">
            <w:t>de pijler</w:t>
          </w:r>
          <w:r w:rsidR="00111516">
            <w:t xml:space="preserve"> ‘voorkomen’.</w:t>
          </w:r>
          <w:r w:rsidR="00111516">
            <w:rPr>
              <w:rStyle w:val="Voetnootmarkering"/>
            </w:rPr>
            <w:footnoteReference w:id="13"/>
          </w:r>
        </w:p>
        <w:p w:rsidR="0075085A" w:rsidRDefault="0075085A" w14:paraId="26B24A0D" w14:textId="77777777"/>
        <w:p w:rsidR="00A20C12" w:rsidRDefault="004B50B9" w14:paraId="6B72B302" w14:textId="77777777">
          <w:r>
            <w:t xml:space="preserve">Ten </w:t>
          </w:r>
          <w:r w:rsidR="00860781">
            <w:t>derde</w:t>
          </w:r>
          <w:r>
            <w:t xml:space="preserve"> wijst de regering op </w:t>
          </w:r>
          <w:r w:rsidR="00AD6D05">
            <w:t>de evaluatie van de intrekkingsbevoegdheid uit</w:t>
          </w:r>
          <w:r>
            <w:t xml:space="preserve"> 2020</w:t>
          </w:r>
          <w:r w:rsidR="00AD6D05">
            <w:t>.</w:t>
          </w:r>
          <w:r w:rsidR="00AF43EB">
            <w:rPr>
              <w:rStyle w:val="Voetnootmarkering"/>
            </w:rPr>
            <w:footnoteReference w:id="14"/>
          </w:r>
          <w:r w:rsidR="00AD6D05">
            <w:t xml:space="preserve"> Het WODC concludeerde daarin dat het niet mogelijk is om vast te stellen in hoeveel gevallen de intrekking van het Nederlanderschap </w:t>
          </w:r>
          <w:r w:rsidR="0043121D">
            <w:t>heeft voorkomen dat een uitreiziger terugkeerde naar Nederland</w:t>
          </w:r>
          <w:r w:rsidR="002B7221">
            <w:t>. T</w:t>
          </w:r>
          <w:r w:rsidR="00F0782F">
            <w:t xml:space="preserve">egelijkertijd </w:t>
          </w:r>
          <w:r w:rsidR="002B7221">
            <w:t xml:space="preserve">stelde het WODC </w:t>
          </w:r>
          <w:r w:rsidR="00F0782F">
            <w:t xml:space="preserve">wel vast dat geen van de personen </w:t>
          </w:r>
          <w:r w:rsidR="00F515E8">
            <w:t>van wie het Nederlanderschap is ingetrokken, op legale wijze is teruggekeerd</w:t>
          </w:r>
          <w:r w:rsidR="005E1044">
            <w:t>.</w:t>
          </w:r>
          <w:r w:rsidR="009F1D1A">
            <w:t xml:space="preserve"> </w:t>
          </w:r>
          <w:r w:rsidR="005E1044">
            <w:t>E</w:t>
          </w:r>
          <w:r w:rsidR="009F1D1A">
            <w:t xml:space="preserve">r </w:t>
          </w:r>
          <w:r w:rsidR="005E1044">
            <w:t xml:space="preserve">waren </w:t>
          </w:r>
          <w:r w:rsidR="009F1D1A">
            <w:t>geen aanwijzingen dat deze personen op illegale wijze zouden zijn teruggekeerd.</w:t>
          </w:r>
          <w:r w:rsidR="00185ED3">
            <w:t xml:space="preserve"> </w:t>
          </w:r>
        </w:p>
        <w:p w:rsidR="00A20C12" w:rsidRDefault="00A20C12" w14:paraId="7E5F0F3F" w14:textId="77777777"/>
        <w:p w:rsidR="00BE57C6" w:rsidRDefault="00185ED3" w14:paraId="2E868FC6" w14:textId="56971DCC">
          <w:r>
            <w:t xml:space="preserve">De regering acht dit, net als </w:t>
          </w:r>
          <w:r w:rsidR="000F6578">
            <w:t>in 2020, een positieve conclusie</w:t>
          </w:r>
          <w:r w:rsidR="00D37037">
            <w:t>. D</w:t>
          </w:r>
          <w:r w:rsidR="000F6578">
            <w:t>aaruit kan worden afgeleid dat</w:t>
          </w:r>
          <w:r w:rsidR="00CB28C6">
            <w:t xml:space="preserve"> het doel van de intrekkingsbevoegdheid, het voorkomen van terugkeer, is bereikt</w:t>
          </w:r>
          <w:r w:rsidR="00D5410B">
            <w:t xml:space="preserve">, aldus de </w:t>
          </w:r>
          <w:r w:rsidR="00DF0180">
            <w:t>regering</w:t>
          </w:r>
          <w:r w:rsidR="00615789">
            <w:t>.</w:t>
          </w:r>
          <w:r w:rsidR="00B77D14">
            <w:rPr>
              <w:rStyle w:val="Voetnootmarkering"/>
            </w:rPr>
            <w:footnoteReference w:id="15"/>
          </w:r>
          <w:r w:rsidR="00036D62">
            <w:t xml:space="preserve"> </w:t>
          </w:r>
          <w:r w:rsidR="006A4BCE">
            <w:t xml:space="preserve">Een nieuwe evaluatie door het WODC is niet uitgevoerd, omdat dit volgens het WODC geen nieuwe resultaten zou </w:t>
          </w:r>
          <w:r w:rsidR="00ED3355">
            <w:t xml:space="preserve">kunnen </w:t>
          </w:r>
          <w:r w:rsidR="006A4BCE">
            <w:t xml:space="preserve">opleveren ten opzichte van </w:t>
          </w:r>
          <w:r w:rsidR="0093416F">
            <w:t xml:space="preserve">het onderzoek uit </w:t>
          </w:r>
          <w:r w:rsidR="006A4BCE">
            <w:t>202</w:t>
          </w:r>
          <w:r w:rsidR="00ED3355">
            <w:t>0</w:t>
          </w:r>
          <w:r w:rsidR="006A4BCE">
            <w:t>.</w:t>
          </w:r>
          <w:r w:rsidR="0051297D">
            <w:rPr>
              <w:rStyle w:val="Voetnootmarkering"/>
            </w:rPr>
            <w:footnoteReference w:id="16"/>
          </w:r>
        </w:p>
        <w:p w:rsidR="005904B9" w:rsidRDefault="005904B9" w14:paraId="54BD1D25" w14:textId="1F46D97A"/>
        <w:p w:rsidR="00173F5E" w:rsidRDefault="00173F5E" w14:paraId="01BD1847" w14:textId="35F1C9BD">
          <w:r>
            <w:lastRenderedPageBreak/>
            <w:t>2.</w:t>
          </w:r>
          <w:r w:rsidR="00AF038C">
            <w:t>2</w:t>
          </w:r>
          <w:r w:rsidR="00424915">
            <w:t>.</w:t>
          </w:r>
          <w:r>
            <w:tab/>
          </w:r>
          <w:r w:rsidRPr="00032CD4">
            <w:rPr>
              <w:i/>
              <w:iCs/>
            </w:rPr>
            <w:t>Beoordeling</w:t>
          </w:r>
        </w:p>
        <w:p w:rsidR="003832A3" w:rsidRDefault="00E942A7" w14:paraId="046D1D80" w14:textId="4FF5EB38">
          <w:r>
            <w:t xml:space="preserve">De Afdeling </w:t>
          </w:r>
          <w:r w:rsidR="00EC02FD">
            <w:t xml:space="preserve">merkt op dat </w:t>
          </w:r>
          <w:r w:rsidR="00F707D8">
            <w:t xml:space="preserve">de </w:t>
          </w:r>
          <w:r w:rsidR="001B5DD3">
            <w:t xml:space="preserve">in de toelichting gegeven </w:t>
          </w:r>
          <w:r w:rsidR="00F707D8">
            <w:t>motivering van</w:t>
          </w:r>
          <w:r w:rsidR="0058208B">
            <w:t xml:space="preserve"> de </w:t>
          </w:r>
          <w:r w:rsidR="00F707D8">
            <w:t xml:space="preserve">noodzaak </w:t>
          </w:r>
          <w:r w:rsidR="001B5DD3">
            <w:t xml:space="preserve">van het permanent maken van de intrekkingsbevoegdheid </w:t>
          </w:r>
          <w:r w:rsidR="00F707D8">
            <w:t xml:space="preserve">niet </w:t>
          </w:r>
          <w:r w:rsidR="00BA440B">
            <w:t xml:space="preserve">toereikend </w:t>
          </w:r>
          <w:r w:rsidR="00EC02FD">
            <w:t>is</w:t>
          </w:r>
          <w:r w:rsidR="00F707D8">
            <w:t>.</w:t>
          </w:r>
        </w:p>
        <w:p w:rsidR="003832A3" w:rsidRDefault="003832A3" w14:paraId="527B7BD4" w14:textId="77777777"/>
        <w:p w:rsidRPr="00255019" w:rsidR="00513F9F" w:rsidRDefault="00F1226A" w14:paraId="028B8071" w14:textId="714F4F4E">
          <w:pPr>
            <w:rPr>
              <w:i/>
              <w:iCs/>
            </w:rPr>
          </w:pPr>
          <w:r>
            <w:t>i.</w:t>
          </w:r>
          <w:r>
            <w:tab/>
          </w:r>
          <w:r w:rsidR="00513F9F">
            <w:rPr>
              <w:i/>
              <w:iCs/>
            </w:rPr>
            <w:t>Dreigingsbeeld</w:t>
          </w:r>
        </w:p>
        <w:p w:rsidR="003C1C75" w:rsidRDefault="00D84848" w14:paraId="454EBE81" w14:textId="75870625">
          <w:r>
            <w:t xml:space="preserve">Zij merkt </w:t>
          </w:r>
          <w:r w:rsidR="00175486">
            <w:t>allereerst</w:t>
          </w:r>
          <w:r>
            <w:t xml:space="preserve"> op dat een stijging van het dreigingsniveau op zichzelf niet motiveert waarom </w:t>
          </w:r>
          <w:r w:rsidR="00EA229A">
            <w:t>specifiek de intrekkingsbevoegdheid noodzakelijk is</w:t>
          </w:r>
          <w:r w:rsidR="00A316EC">
            <w:t xml:space="preserve"> om </w:t>
          </w:r>
          <w:r w:rsidR="006B007E">
            <w:t>de dreiging te bestrijden</w:t>
          </w:r>
          <w:r w:rsidR="00EA229A">
            <w:t>.</w:t>
          </w:r>
          <w:r w:rsidR="00AD3AC3">
            <w:t xml:space="preserve"> Zoals de Afdeling opmerkte </w:t>
          </w:r>
          <w:r w:rsidR="00460CA5">
            <w:t>in haar advies over de verlenging van de intrekkingsbevoegdheid, is niet uit te sluiten dat intrekking van het Nederlanderschap juist averechtse effecten heeft voor de nationale veiligheid.</w:t>
          </w:r>
          <w:r w:rsidR="000950B7">
            <w:t xml:space="preserve"> Zo is het lastiger om inlichtingen te verzamelen over vreemdelingen dan over Nederlanders,</w:t>
          </w:r>
          <w:r w:rsidR="00337402">
            <w:rPr>
              <w:rStyle w:val="Voetnootmarkering"/>
            </w:rPr>
            <w:footnoteReference w:id="17"/>
          </w:r>
          <w:r w:rsidR="000950B7">
            <w:t xml:space="preserve"> en kunnen maatregelen om hen te deradicaliseren niet langer worden toegepast. </w:t>
          </w:r>
          <w:r w:rsidR="00613216">
            <w:t>H</w:t>
          </w:r>
          <w:r w:rsidR="000950B7">
            <w:t xml:space="preserve">et </w:t>
          </w:r>
          <w:r w:rsidR="00613216">
            <w:t xml:space="preserve">is daarnaast </w:t>
          </w:r>
          <w:r w:rsidR="000950B7">
            <w:t>niet ondenkbaar dat personen die niet kunnen terugkeren naar Nederland, minder snel geneigd zullen zijn zich uit een terroristische organisatie terug te trekken.</w:t>
          </w:r>
          <w:r w:rsidR="000950B7">
            <w:rPr>
              <w:rStyle w:val="Voetnootmarkering"/>
            </w:rPr>
            <w:footnoteReference w:id="18"/>
          </w:r>
        </w:p>
        <w:p w:rsidR="003C1C75" w:rsidRDefault="003C1C75" w14:paraId="647DAF88" w14:textId="77777777"/>
        <w:p w:rsidR="00B349BD" w:rsidRDefault="003C1C75" w14:paraId="11118B1F" w14:textId="2C6CF31D">
          <w:r>
            <w:t xml:space="preserve">Voor zover ervan kan worden </w:t>
          </w:r>
          <w:r w:rsidR="007D38BB">
            <w:t>uit</w:t>
          </w:r>
          <w:r>
            <w:t xml:space="preserve">gegaan dat de intrekkingsbevoegdheid een positief effect heeft op de nationale veiligheid, </w:t>
          </w:r>
          <w:r w:rsidR="00440A7C">
            <w:t>rijst de vraag of</w:t>
          </w:r>
          <w:r w:rsidR="000F6006">
            <w:t xml:space="preserve"> </w:t>
          </w:r>
          <w:r w:rsidR="00F276AE">
            <w:t>met</w:t>
          </w:r>
          <w:r w:rsidR="000F6006">
            <w:t xml:space="preserve"> andere maatregelen, zoals die uit het strafrecht, </w:t>
          </w:r>
          <w:r w:rsidR="00440A7C">
            <w:t xml:space="preserve">niet </w:t>
          </w:r>
          <w:r w:rsidR="000F6006">
            <w:t xml:space="preserve">evenzeer </w:t>
          </w:r>
          <w:r w:rsidR="00F276AE">
            <w:t>effectieve resultaten kunnen worden behaald</w:t>
          </w:r>
          <w:r w:rsidR="000F6006">
            <w:t>.</w:t>
          </w:r>
        </w:p>
        <w:p w:rsidRPr="005E7ABB" w:rsidR="005E7ABB" w:rsidRDefault="005E7ABB" w14:paraId="0D120FA1" w14:textId="77777777"/>
        <w:p w:rsidRPr="00255019" w:rsidR="00513F9F" w:rsidRDefault="00417CFF" w14:paraId="4DB540FA" w14:textId="0586EDBD">
          <w:pPr>
            <w:rPr>
              <w:i/>
              <w:iCs/>
            </w:rPr>
          </w:pPr>
          <w:r>
            <w:t>ii.</w:t>
          </w:r>
          <w:r>
            <w:tab/>
          </w:r>
          <w:r w:rsidR="001538C9">
            <w:rPr>
              <w:i/>
              <w:iCs/>
            </w:rPr>
            <w:t>Breed instrumentarium</w:t>
          </w:r>
        </w:p>
        <w:p w:rsidR="00BA440B" w:rsidRDefault="00144B30" w14:paraId="08797F82" w14:textId="77777777">
          <w:r>
            <w:t>D</w:t>
          </w:r>
          <w:r w:rsidR="002E03CB">
            <w:t>eze</w:t>
          </w:r>
          <w:r>
            <w:t xml:space="preserve"> </w:t>
          </w:r>
          <w:r w:rsidR="002E03CB">
            <w:t>vraag rijst ook bij</w:t>
          </w:r>
          <w:r>
            <w:t xml:space="preserve"> h</w:t>
          </w:r>
          <w:r w:rsidR="00B349BD">
            <w:t xml:space="preserve">et tweede argument van de regering, </w:t>
          </w:r>
          <w:r w:rsidR="005836D0">
            <w:t xml:space="preserve">namelijk </w:t>
          </w:r>
          <w:r w:rsidR="00B349BD">
            <w:t xml:space="preserve">dat de intrekkingsbevoegdheid </w:t>
          </w:r>
          <w:r w:rsidR="00D2739C">
            <w:t xml:space="preserve">onderdeel uitmaakt van een breder instrumentarium en daarbinnen </w:t>
          </w:r>
          <w:r w:rsidR="00687D51">
            <w:t xml:space="preserve">is gericht op </w:t>
          </w:r>
          <w:r w:rsidR="00D2739C">
            <w:t>de pijler ‘</w:t>
          </w:r>
          <w:r w:rsidR="004118BB">
            <w:t>voorkomen</w:t>
          </w:r>
          <w:r w:rsidR="00D2739C">
            <w:t>’</w:t>
          </w:r>
          <w:r w:rsidR="00B349BD">
            <w:t xml:space="preserve">. </w:t>
          </w:r>
          <w:r w:rsidR="004D0477">
            <w:t>O</w:t>
          </w:r>
          <w:r w:rsidR="00D2739C">
            <w:t xml:space="preserve">ok andere maatregelen zijn </w:t>
          </w:r>
          <w:r w:rsidR="004D0477">
            <w:t xml:space="preserve">namelijk </w:t>
          </w:r>
          <w:r w:rsidR="00D2739C">
            <w:t>gericht op het voorkomen van terroristisch geweld.</w:t>
          </w:r>
          <w:r w:rsidR="0044090F">
            <w:t xml:space="preserve"> Zo </w:t>
          </w:r>
          <w:r w:rsidR="00D81A32">
            <w:t>be</w:t>
          </w:r>
          <w:r w:rsidR="00234213">
            <w:t>vat</w:t>
          </w:r>
          <w:r w:rsidR="0044090F">
            <w:t xml:space="preserve"> </w:t>
          </w:r>
          <w:r w:rsidR="0052768E">
            <w:t>het</w:t>
          </w:r>
          <w:r w:rsidR="0044090F">
            <w:t xml:space="preserve"> strafrechtelijk instrumentarium </w:t>
          </w:r>
          <w:r w:rsidR="00234213">
            <w:t>meerdere maatregelen die met dit doel zijn ingevoerd</w:t>
          </w:r>
          <w:r w:rsidR="00055D03">
            <w:t>.</w:t>
          </w:r>
          <w:r w:rsidR="00055D03">
            <w:rPr>
              <w:rStyle w:val="Voetnootmarkering"/>
            </w:rPr>
            <w:footnoteReference w:id="19"/>
          </w:r>
          <w:r w:rsidR="00D2739C">
            <w:t xml:space="preserve"> </w:t>
          </w:r>
        </w:p>
        <w:p w:rsidR="00BA440B" w:rsidRDefault="00BA440B" w14:paraId="4512FC86" w14:textId="77777777"/>
        <w:p w:rsidR="00687D51" w:rsidRDefault="00D2739C" w14:paraId="19899AE1" w14:textId="13ABE8E9">
          <w:r>
            <w:t xml:space="preserve">Een voorbeeld </w:t>
          </w:r>
          <w:r w:rsidR="004D0477">
            <w:t xml:space="preserve">is </w:t>
          </w:r>
          <w:r w:rsidR="006A22BC">
            <w:t xml:space="preserve">de mogelijkheid iemand strafrechtelijk te vervolgen voor </w:t>
          </w:r>
          <w:r w:rsidR="008B43AE">
            <w:t>deelname aan een terroristische organisat</w:t>
          </w:r>
          <w:r w:rsidR="00A10F70">
            <w:t>ie.</w:t>
          </w:r>
          <w:r w:rsidR="00195194">
            <w:t xml:space="preserve"> Wanneer dit leidt tot een veroordeling, </w:t>
          </w:r>
          <w:r w:rsidR="001653C3">
            <w:t>biedt dit een zelfstandige grondslag voor intrekking van het Nederlanderschap.</w:t>
          </w:r>
          <w:r w:rsidR="00D526C9">
            <w:rPr>
              <w:rStyle w:val="Voetnootmarkering"/>
            </w:rPr>
            <w:footnoteReference w:id="20"/>
          </w:r>
          <w:r w:rsidR="006474A5">
            <w:t xml:space="preserve"> </w:t>
          </w:r>
          <w:r w:rsidR="00055D03">
            <w:t>Ook</w:t>
          </w:r>
          <w:r w:rsidR="00400A31">
            <w:t xml:space="preserve"> </w:t>
          </w:r>
          <w:r w:rsidR="00D73DF6">
            <w:t xml:space="preserve">kan worden gedacht aan </w:t>
          </w:r>
          <w:r w:rsidR="00C87DB2">
            <w:t xml:space="preserve">niet-strafrechtelijke </w:t>
          </w:r>
          <w:r w:rsidR="00DB115C">
            <w:lastRenderedPageBreak/>
            <w:t>maatregelen</w:t>
          </w:r>
          <w:r w:rsidR="00C87DB2">
            <w:t>, bijvoorbeeld</w:t>
          </w:r>
          <w:r w:rsidR="00DB115C">
            <w:t xml:space="preserve"> </w:t>
          </w:r>
          <w:r w:rsidR="00632E51">
            <w:t xml:space="preserve">een aanpak </w:t>
          </w:r>
          <w:r w:rsidR="004E34AA">
            <w:t xml:space="preserve">die </w:t>
          </w:r>
          <w:r w:rsidR="00632E51">
            <w:t xml:space="preserve">is </w:t>
          </w:r>
          <w:r w:rsidR="004E34AA">
            <w:t>gericht</w:t>
          </w:r>
          <w:r w:rsidR="00DB115C">
            <w:t xml:space="preserve"> op </w:t>
          </w:r>
          <w:proofErr w:type="spellStart"/>
          <w:r w:rsidR="00D73DF6">
            <w:t>deradicalisering</w:t>
          </w:r>
          <w:proofErr w:type="spellEnd"/>
          <w:r w:rsidR="00DB115C">
            <w:t xml:space="preserve">. </w:t>
          </w:r>
          <w:r w:rsidR="004E34AA">
            <w:t xml:space="preserve">De toelichting bij het wetsvoorstel gaat niet in op </w:t>
          </w:r>
          <w:r w:rsidR="00C404FD">
            <w:t>de vraag waarom</w:t>
          </w:r>
          <w:r w:rsidR="002C74A5">
            <w:t xml:space="preserve"> het </w:t>
          </w:r>
          <w:r w:rsidR="001E1B1D">
            <w:t>des</w:t>
          </w:r>
          <w:r w:rsidR="002C74A5">
            <w:t xml:space="preserve">ondanks ter voorkoming van terroristisch geweld noodzakelijk is om de </w:t>
          </w:r>
          <w:r w:rsidR="00996433">
            <w:t>voorliggende intrekkingsbevoegdheid permanent te maken.</w:t>
          </w:r>
        </w:p>
        <w:p w:rsidR="00687D51" w:rsidRDefault="00687D51" w14:paraId="3342789B" w14:textId="77777777"/>
        <w:p w:rsidRPr="00255019" w:rsidR="001538C9" w:rsidRDefault="00417CFF" w14:paraId="2DE68962" w14:textId="7540F733">
          <w:pPr>
            <w:rPr>
              <w:i/>
              <w:iCs/>
            </w:rPr>
          </w:pPr>
          <w:r>
            <w:t>iii.</w:t>
          </w:r>
          <w:r>
            <w:tab/>
          </w:r>
          <w:r w:rsidR="001538C9">
            <w:rPr>
              <w:i/>
              <w:iCs/>
            </w:rPr>
            <w:t>Evaluatie</w:t>
          </w:r>
        </w:p>
        <w:p w:rsidR="00420F16" w:rsidRDefault="00420F16" w14:paraId="50B8DD20" w14:textId="5E8040F1">
          <w:r>
            <w:t>Wat</w:t>
          </w:r>
          <w:r w:rsidR="00220848">
            <w:t>,</w:t>
          </w:r>
          <w:r>
            <w:t xml:space="preserve"> ten derde</w:t>
          </w:r>
          <w:r w:rsidR="00220848">
            <w:t>,</w:t>
          </w:r>
          <w:r>
            <w:t xml:space="preserve"> </w:t>
          </w:r>
          <w:r w:rsidR="00341B64">
            <w:t>de evaluatie</w:t>
          </w:r>
          <w:r w:rsidR="0031341D">
            <w:t xml:space="preserve"> uit 2020</w:t>
          </w:r>
          <w:r>
            <w:t xml:space="preserve"> betreft, </w:t>
          </w:r>
          <w:r w:rsidR="00D355B8">
            <w:t>merkt de Afdeling op dat</w:t>
          </w:r>
          <w:r w:rsidR="00183DB8">
            <w:t xml:space="preserve"> </w:t>
          </w:r>
          <w:r w:rsidR="00D355B8">
            <w:t xml:space="preserve">daaruit geen conclusies kunnen worden getrokken over </w:t>
          </w:r>
          <w:r w:rsidR="00341B64">
            <w:t>het</w:t>
          </w:r>
          <w:r w:rsidR="00852D08">
            <w:t xml:space="preserve"> </w:t>
          </w:r>
          <w:r w:rsidR="00341B64">
            <w:t xml:space="preserve">bestaan van een </w:t>
          </w:r>
          <w:r w:rsidR="00852D08">
            <w:t xml:space="preserve">causaal verband tussen de intrekking van het Nederlanderschap en </w:t>
          </w:r>
          <w:r w:rsidR="00341B64">
            <w:t>de mate waarin</w:t>
          </w:r>
          <w:r w:rsidR="00D82B83">
            <w:t xml:space="preserve"> uitreizigers terugkeren naar Nederland.</w:t>
          </w:r>
          <w:r w:rsidR="00CD02CE">
            <w:t xml:space="preserve"> </w:t>
          </w:r>
          <w:r w:rsidR="002226DC">
            <w:t xml:space="preserve">Dat dit verband </w:t>
          </w:r>
          <w:r w:rsidR="00ED4266">
            <w:t xml:space="preserve">volgens de regering </w:t>
          </w:r>
          <w:r w:rsidR="00A75C1D">
            <w:t xml:space="preserve">niettemin </w:t>
          </w:r>
          <w:r w:rsidR="002226DC">
            <w:t xml:space="preserve">bestaat, is </w:t>
          </w:r>
          <w:r w:rsidR="005C2828">
            <w:t xml:space="preserve">dan ook </w:t>
          </w:r>
          <w:r w:rsidR="002226DC">
            <w:t xml:space="preserve">een </w:t>
          </w:r>
          <w:r w:rsidR="00C528D6">
            <w:t xml:space="preserve">niet door het onderzoek gevalideerde </w:t>
          </w:r>
          <w:r w:rsidR="002226DC">
            <w:t>aanname</w:t>
          </w:r>
          <w:r w:rsidR="00983C52">
            <w:t>.</w:t>
          </w:r>
        </w:p>
        <w:p w:rsidR="00420F16" w:rsidRDefault="00420F16" w14:paraId="0CC926BF" w14:textId="77777777"/>
        <w:p w:rsidR="00AD1489" w:rsidRDefault="00622A47" w14:paraId="63ED3D16" w14:textId="77777777">
          <w:r>
            <w:t xml:space="preserve">Dat het geen zin heeft een nieuw WODC-onderzoek te laten verrichten naar de effecten van de intrekkingsbevoegdheid in de praktijk, laat </w:t>
          </w:r>
          <w:r w:rsidR="0000459E">
            <w:t xml:space="preserve">ten slotte </w:t>
          </w:r>
          <w:r w:rsidR="00A36FFE">
            <w:t xml:space="preserve">onverlet dat de meerwaarde van die bevoegdheid </w:t>
          </w:r>
          <w:r w:rsidR="00505B5C">
            <w:t xml:space="preserve">wel </w:t>
          </w:r>
          <w:r w:rsidR="00A36FFE">
            <w:t>op andere manieren zou kunnen worden onderzocht.</w:t>
          </w:r>
          <w:r w:rsidR="0052786C">
            <w:t xml:space="preserve"> </w:t>
          </w:r>
          <w:r w:rsidR="005A00CA">
            <w:t>Te denken valt</w:t>
          </w:r>
          <w:r w:rsidR="0092642F">
            <w:t xml:space="preserve"> aan een analyse </w:t>
          </w:r>
          <w:r w:rsidR="00770BA4">
            <w:t>van de concrete toepassing van de intrekkingsbevoegdheid</w:t>
          </w:r>
          <w:r w:rsidR="005A00CA">
            <w:t>, waarbij specifiek wordt ingegaan op</w:t>
          </w:r>
          <w:r w:rsidR="001454FD">
            <w:t xml:space="preserve"> de</w:t>
          </w:r>
          <w:r w:rsidR="00D95653">
            <w:t xml:space="preserve"> vraag hoe </w:t>
          </w:r>
          <w:r w:rsidR="004B75B6">
            <w:t xml:space="preserve">die bevoegdheid zich verhoudt tot </w:t>
          </w:r>
          <w:r w:rsidR="003A61A9">
            <w:t>andere maatregelen</w:t>
          </w:r>
          <w:r w:rsidR="007E2354">
            <w:t xml:space="preserve"> </w:t>
          </w:r>
          <w:r w:rsidR="003D4BE0">
            <w:t>tegen</w:t>
          </w:r>
          <w:r w:rsidR="008D0CC2">
            <w:t xml:space="preserve"> terroristisch geweld</w:t>
          </w:r>
          <w:r w:rsidR="00770BA4">
            <w:t>.</w:t>
          </w:r>
        </w:p>
        <w:p w:rsidR="00B453C9" w:rsidRDefault="00B453C9" w14:paraId="2EF416E4" w14:textId="77777777"/>
        <w:p w:rsidR="00B55380" w:rsidRDefault="0011422F" w14:paraId="295BBEF2" w14:textId="4100AD6F">
          <w:r>
            <w:t>Over het feitelijk gebruik</w:t>
          </w:r>
          <w:r w:rsidR="0052786C">
            <w:t xml:space="preserve"> </w:t>
          </w:r>
          <w:r w:rsidR="008679D7">
            <w:t xml:space="preserve">van </w:t>
          </w:r>
          <w:r w:rsidR="0052786C">
            <w:t xml:space="preserve">de intrekkingsbevoegdheid </w:t>
          </w:r>
          <w:r w:rsidR="008679D7">
            <w:t xml:space="preserve">is in </w:t>
          </w:r>
          <w:r w:rsidR="0052786C">
            <w:t xml:space="preserve">de toelichting bij het wetsvoorstel </w:t>
          </w:r>
          <w:r w:rsidR="008679D7">
            <w:t xml:space="preserve">het volgende </w:t>
          </w:r>
          <w:r w:rsidR="00B917C0">
            <w:t xml:space="preserve">vermeld. De bevoegdheid is </w:t>
          </w:r>
          <w:r w:rsidR="0052786C">
            <w:t>in 25 gevallen gebruikt</w:t>
          </w:r>
          <w:r w:rsidR="003A18B8">
            <w:t xml:space="preserve">, </w:t>
          </w:r>
          <w:r w:rsidR="0026612A">
            <w:t>waarvan</w:t>
          </w:r>
          <w:r w:rsidR="00395ADF">
            <w:t xml:space="preserve"> vooralsnog</w:t>
          </w:r>
          <w:r w:rsidR="003A18B8">
            <w:t xml:space="preserve"> </w:t>
          </w:r>
          <w:r w:rsidR="00044671">
            <w:t>1</w:t>
          </w:r>
          <w:r w:rsidR="00395ADF">
            <w:t>6</w:t>
          </w:r>
          <w:r w:rsidR="00044671">
            <w:t xml:space="preserve"> </w:t>
          </w:r>
          <w:r w:rsidR="00D30C76">
            <w:t>intrekkingsbesluiten</w:t>
          </w:r>
          <w:r w:rsidR="00044671">
            <w:t xml:space="preserve"> </w:t>
          </w:r>
          <w:r w:rsidR="00830327">
            <w:t xml:space="preserve">definitief </w:t>
          </w:r>
          <w:r w:rsidR="00044671">
            <w:t>in stand zijn gebleven</w:t>
          </w:r>
          <w:r w:rsidR="00CC1A0E">
            <w:t>.</w:t>
          </w:r>
          <w:r w:rsidR="00780FC1">
            <w:rPr>
              <w:rStyle w:val="Voetnootmarkering"/>
            </w:rPr>
            <w:footnoteReference w:id="21"/>
          </w:r>
          <w:r w:rsidR="00CC1A0E">
            <w:t xml:space="preserve"> </w:t>
          </w:r>
          <w:r w:rsidR="00751239">
            <w:t xml:space="preserve">Ten tijde van de verlenging van de intrekkingsbevoegdheid bedroeg </w:t>
          </w:r>
          <w:r w:rsidR="00044671">
            <w:t>het</w:t>
          </w:r>
          <w:r w:rsidR="00751239">
            <w:t xml:space="preserve"> aantal</w:t>
          </w:r>
          <w:r w:rsidR="00830327">
            <w:t xml:space="preserve"> definitieve</w:t>
          </w:r>
          <w:r w:rsidR="00751239">
            <w:t xml:space="preserve"> </w:t>
          </w:r>
          <w:r w:rsidR="00044671">
            <w:t xml:space="preserve">intrekkingen </w:t>
          </w:r>
          <w:r w:rsidR="00751239">
            <w:t xml:space="preserve">nog </w:t>
          </w:r>
          <w:r w:rsidR="00044671">
            <w:t>17</w:t>
          </w:r>
          <w:r w:rsidR="00751239">
            <w:t>.</w:t>
          </w:r>
          <w:r w:rsidR="00677042">
            <w:rPr>
              <w:rStyle w:val="Voetnootmarkering"/>
            </w:rPr>
            <w:footnoteReference w:id="22"/>
          </w:r>
          <w:r w:rsidR="00751239">
            <w:t xml:space="preserve"> </w:t>
          </w:r>
          <w:r w:rsidR="00780FC1">
            <w:t>Per saldo is het aantal intrekkingen van het Nederlanderschap</w:t>
          </w:r>
          <w:r w:rsidR="009C13A4">
            <w:t xml:space="preserve"> gedurende de periode van verlenging </w:t>
          </w:r>
          <w:r w:rsidR="00780FC1">
            <w:t>dus met</w:t>
          </w:r>
          <w:r w:rsidR="00B55380">
            <w:t xml:space="preserve"> één </w:t>
          </w:r>
          <w:r w:rsidR="00780FC1">
            <w:t>gedaald</w:t>
          </w:r>
          <w:r w:rsidR="00B55380">
            <w:t>.</w:t>
          </w:r>
        </w:p>
        <w:p w:rsidR="00457D41" w:rsidRDefault="00457D41" w14:paraId="2DE7C2BD" w14:textId="0D1FF203"/>
        <w:p w:rsidR="001B441F" w:rsidRDefault="007F6E4A" w14:paraId="097DFBD5" w14:textId="07AB9C37">
          <w:r>
            <w:t>De toelichting vermeldt in algemene zin w</w:t>
          </w:r>
          <w:r w:rsidR="00F34F02">
            <w:t>elke redenen hieraan ten grondslag liggen</w:t>
          </w:r>
          <w:r w:rsidR="003729CC">
            <w:t xml:space="preserve">. </w:t>
          </w:r>
          <w:r w:rsidR="00F34F02">
            <w:t>Het heeft er</w:t>
          </w:r>
          <w:r w:rsidR="00D77C52">
            <w:t xml:space="preserve"> volgens de regering </w:t>
          </w:r>
          <w:r w:rsidR="00F34F02">
            <w:t xml:space="preserve">mee te maken dat van betrokkenen niet kon worden aangetoond dat zij </w:t>
          </w:r>
          <w:r w:rsidR="00767667">
            <w:t>op of na 11 maart 2017 waren aangesloten bij een terroristische organisatie.</w:t>
          </w:r>
          <w:r>
            <w:t xml:space="preserve"> </w:t>
          </w:r>
          <w:r w:rsidR="00E7414E">
            <w:t xml:space="preserve">Wat de toelichting evenwel niet vermeldt, is </w:t>
          </w:r>
          <w:r w:rsidR="008941F2">
            <w:t xml:space="preserve">welke consequenties </w:t>
          </w:r>
          <w:r w:rsidR="00574E17">
            <w:t xml:space="preserve">het wegvallen van </w:t>
          </w:r>
          <w:r w:rsidR="001E01A1">
            <w:t>negen</w:t>
          </w:r>
          <w:r w:rsidR="00574E17">
            <w:t xml:space="preserve"> intrekkingsbesluiten heeft voor de nationale veiligheid.</w:t>
          </w:r>
          <w:r w:rsidR="003F77BB">
            <w:t xml:space="preserve"> </w:t>
          </w:r>
          <w:r w:rsidR="002E7DA7">
            <w:t>M</w:t>
          </w:r>
          <w:r w:rsidR="009C6668">
            <w:t>et andere woorden</w:t>
          </w:r>
          <w:r w:rsidR="002E7DA7">
            <w:t>:</w:t>
          </w:r>
          <w:r w:rsidR="00045737">
            <w:t xml:space="preserve"> </w:t>
          </w:r>
          <w:r w:rsidR="002E7DA7">
            <w:t xml:space="preserve">uit de toelichting blijkt niet </w:t>
          </w:r>
          <w:r w:rsidR="00045737">
            <w:t>of</w:t>
          </w:r>
          <w:r w:rsidR="003F77BB">
            <w:t xml:space="preserve"> de</w:t>
          </w:r>
          <w:r w:rsidR="00F25D2D">
            <w:t xml:space="preserve"> </w:t>
          </w:r>
          <w:r w:rsidR="003F77BB">
            <w:t>dreiging</w:t>
          </w:r>
          <w:r w:rsidR="001B441F">
            <w:t xml:space="preserve"> die van de desbetreffende personen uitging,</w:t>
          </w:r>
          <w:r w:rsidR="003F77BB">
            <w:t xml:space="preserve"> </w:t>
          </w:r>
          <w:r w:rsidR="003A0A46">
            <w:t>kon worden</w:t>
          </w:r>
          <w:r w:rsidR="00F25D2D">
            <w:t xml:space="preserve"> opgevangen met andere maatregelen</w:t>
          </w:r>
          <w:r w:rsidR="009A470E">
            <w:t>.</w:t>
          </w:r>
        </w:p>
        <w:p w:rsidR="001B441F" w:rsidRDefault="001B441F" w14:paraId="3DB731C4" w14:textId="77777777"/>
        <w:p w:rsidR="005904B9" w:rsidRDefault="003729CC" w14:paraId="04F78D6E" w14:textId="2DF729FB">
          <w:r>
            <w:t xml:space="preserve">Ook wordt niet toegelicht </w:t>
          </w:r>
          <w:r w:rsidR="000241BA">
            <w:t xml:space="preserve">hoe het gebruik van de intrekkingsbevoegdheid in de praktijk wordt ervaren. Zo </w:t>
          </w:r>
          <w:r w:rsidR="004221BA">
            <w:t>geeft de toelichting niet aan</w:t>
          </w:r>
          <w:r w:rsidR="000241BA">
            <w:t xml:space="preserve"> welke afwegingen in de praktijk een rol hebben gespeeld bij het al dan niet intrekken van het </w:t>
          </w:r>
          <w:r w:rsidR="000241BA">
            <w:lastRenderedPageBreak/>
            <w:t>Nederlanderschap</w:t>
          </w:r>
          <w:r w:rsidR="00EF5A5C">
            <w:t>,</w:t>
          </w:r>
          <w:r w:rsidR="0098417A">
            <w:rPr>
              <w:rStyle w:val="Voetnootmarkering"/>
            </w:rPr>
            <w:footnoteReference w:id="23"/>
          </w:r>
          <w:r w:rsidR="00EF5A5C">
            <w:t xml:space="preserve"> en </w:t>
          </w:r>
          <w:r w:rsidR="00BF5EE3">
            <w:t xml:space="preserve">meer specifiek </w:t>
          </w:r>
          <w:r w:rsidR="00EF5A5C">
            <w:t>waarom andere maatregelen</w:t>
          </w:r>
          <w:r w:rsidR="00B46F93">
            <w:t xml:space="preserve"> – </w:t>
          </w:r>
          <w:r w:rsidR="00BE648F">
            <w:t xml:space="preserve">in het bijzonder van </w:t>
          </w:r>
          <w:r w:rsidR="00B46F93">
            <w:t>strafrechtelijke</w:t>
          </w:r>
          <w:r w:rsidR="00BE648F">
            <w:t xml:space="preserve"> aard</w:t>
          </w:r>
          <w:r w:rsidR="00B46F93">
            <w:t xml:space="preserve"> – </w:t>
          </w:r>
          <w:r w:rsidR="00EF5A5C">
            <w:t>in die gevallen geen</w:t>
          </w:r>
          <w:r w:rsidR="009F06B4">
            <w:t>, of juist wel,</w:t>
          </w:r>
          <w:r w:rsidR="00EF5A5C">
            <w:t xml:space="preserve"> uitkomst boden</w:t>
          </w:r>
          <w:r w:rsidR="000241BA">
            <w:t>.</w:t>
          </w:r>
          <w:r w:rsidR="00CC041B">
            <w:t xml:space="preserve"> Een dergelijke toelichting is wel wenselijk</w:t>
          </w:r>
          <w:r w:rsidR="00C823EA">
            <w:t xml:space="preserve">, opdat de </w:t>
          </w:r>
          <w:r w:rsidR="00284332">
            <w:t xml:space="preserve">toegevoegde waarde </w:t>
          </w:r>
          <w:r w:rsidR="00C823EA">
            <w:t>van een permanente intrekkingsbevoegdheid op goed geïnformeerde basis kan worden beoordeeld.</w:t>
          </w:r>
        </w:p>
        <w:p w:rsidR="00F3125C" w:rsidRDefault="00F3125C" w14:paraId="04AE7471" w14:textId="77777777"/>
        <w:p w:rsidR="00F3125C" w:rsidRDefault="00F3125C" w14:paraId="0E378A71" w14:textId="466A0C57">
          <w:r>
            <w:t>De Afdeling merkt daarbij op dat het verbod op staatloosheid mogelijk veel uitreizigers buiten de reikwijdte van de intrekkingsbevoegdheid doet vallen. Het ligt voor de hand dat de regering voor de desbetreffende personen heeft voorzien in andere maatregelen ter bescherming van de nationale veiligheid.</w:t>
          </w:r>
        </w:p>
        <w:p w:rsidR="0054620F" w:rsidRDefault="0054620F" w14:paraId="1584791A" w14:textId="423F12FE"/>
        <w:p w:rsidR="008041F1" w:rsidRDefault="006674ED" w14:paraId="6B4BF22E" w14:textId="381EBE00">
          <w:r>
            <w:t xml:space="preserve">Verder </w:t>
          </w:r>
          <w:r w:rsidR="00FE46E9">
            <w:t xml:space="preserve">merkt de Afdeling op dat de intrekkingsbevoegdheid </w:t>
          </w:r>
          <w:r w:rsidR="00D11A16">
            <w:t>geldt voor het gehele grondgebied van het Koninkrijk, dus inclusief de landen Aruba, Curaçao en Sint Maarten.</w:t>
          </w:r>
          <w:r w:rsidR="000E10B8">
            <w:t xml:space="preserve"> Zoals ook opgemerkt ten tijde van de verlenging, </w:t>
          </w:r>
          <w:r w:rsidR="00F34A56">
            <w:t>ver</w:t>
          </w:r>
          <w:r w:rsidR="000E10B8">
            <w:t>dient</w:t>
          </w:r>
          <w:r w:rsidR="00F34A56">
            <w:t xml:space="preserve"> </w:t>
          </w:r>
          <w:r w:rsidR="008D021B">
            <w:t>de toegevoegde waarde</w:t>
          </w:r>
          <w:r w:rsidR="00F34A56">
            <w:t xml:space="preserve"> van de </w:t>
          </w:r>
          <w:r w:rsidR="008D021B">
            <w:t>intrekkings</w:t>
          </w:r>
          <w:r w:rsidR="00F34A56">
            <w:t xml:space="preserve">bevoegdheid </w:t>
          </w:r>
          <w:r w:rsidR="008D021B">
            <w:t>voor</w:t>
          </w:r>
          <w:r w:rsidR="00F34A56">
            <w:t xml:space="preserve"> die landen een afzonderlijke </w:t>
          </w:r>
          <w:r w:rsidR="002D2709">
            <w:t>motivering</w:t>
          </w:r>
          <w:r w:rsidR="00F34A56">
            <w:t>.</w:t>
          </w:r>
          <w:r w:rsidR="00910009">
            <w:rPr>
              <w:rStyle w:val="Voetnootmarkering"/>
            </w:rPr>
            <w:footnoteReference w:id="24"/>
          </w:r>
          <w:r w:rsidR="00910009">
            <w:t xml:space="preserve"> De toelichting bij het huidige wetsvoorstel gaat daar evenwel niet op in.</w:t>
          </w:r>
        </w:p>
        <w:p w:rsidR="00AB20C2" w:rsidRDefault="00AB20C2" w14:paraId="4490B7F3" w14:textId="77777777"/>
        <w:p w:rsidR="002074E7" w:rsidP="00AB20C2" w:rsidRDefault="00AB20C2" w14:paraId="18BF70A1" w14:textId="520A5516">
          <w:r w:rsidRPr="00AB20C2">
            <w:t xml:space="preserve">De Afdeling merkt </w:t>
          </w:r>
          <w:r w:rsidR="00A57722">
            <w:t xml:space="preserve">in </w:t>
          </w:r>
          <w:r w:rsidR="009C3273">
            <w:t>meer algemen</w:t>
          </w:r>
          <w:r w:rsidR="000010D0">
            <w:t>e zin</w:t>
          </w:r>
          <w:r w:rsidR="009C3273">
            <w:t xml:space="preserve"> nog </w:t>
          </w:r>
          <w:r w:rsidRPr="00AB20C2">
            <w:t xml:space="preserve">het volgende op. De intrekkingsbevoegdheid wordt in de toelichting overwegend als een geïsoleerd instrument besproken. Een meer overkoepelende beschouwing over de noodzaak en wenselijkheid van </w:t>
          </w:r>
          <w:proofErr w:type="spellStart"/>
          <w:r w:rsidR="00053D0A">
            <w:t>contra</w:t>
          </w:r>
          <w:r w:rsidRPr="00AB20C2">
            <w:t>terrorismebevoegdheden</w:t>
          </w:r>
          <w:proofErr w:type="spellEnd"/>
          <w:r w:rsidRPr="00AB20C2">
            <w:t xml:space="preserve">, inclusief een plaatsbepaling van het voorstel daarbinnen, ontbreekt echter. </w:t>
          </w:r>
          <w:r w:rsidR="009716F0">
            <w:t>Z</w:t>
          </w:r>
          <w:r w:rsidRPr="00AB20C2">
            <w:t>icht op het bredere verband van álle maatregelen ter voorkoming van terrorisme</w:t>
          </w:r>
          <w:r w:rsidR="009716F0">
            <w:t xml:space="preserve"> wordt </w:t>
          </w:r>
          <w:r w:rsidR="00AA6769">
            <w:t>aldus onvoldoende geboden</w:t>
          </w:r>
          <w:r w:rsidRPr="00AB20C2">
            <w:t>.</w:t>
          </w:r>
        </w:p>
        <w:p w:rsidR="002074E7" w:rsidP="00AB20C2" w:rsidRDefault="002074E7" w14:paraId="37DED2CA" w14:textId="77777777"/>
        <w:p w:rsidRPr="00AB20C2" w:rsidR="00AB20C2" w:rsidP="00AB20C2" w:rsidRDefault="005103E6" w14:paraId="7847118B" w14:textId="716F1E0E">
          <w:r>
            <w:t xml:space="preserve">In algemene zin moet </w:t>
          </w:r>
          <w:r w:rsidRPr="00AB20C2" w:rsidR="00AB20C2">
            <w:t>worden voorkomen dat bestuursbevoegdheden geleidelijk aan</w:t>
          </w:r>
          <w:r>
            <w:t>, stap voor stap,</w:t>
          </w:r>
          <w:r w:rsidRPr="00AB20C2" w:rsidR="00AB20C2">
            <w:t xml:space="preserve"> steeds verder worden uitgebreid, zonder dat </w:t>
          </w:r>
          <w:r w:rsidR="006B644B">
            <w:t xml:space="preserve">er </w:t>
          </w:r>
          <w:r w:rsidR="002F5F55">
            <w:t>afdoende zicht b</w:t>
          </w:r>
          <w:r w:rsidR="00121AC0">
            <w:t>lijft op het totaalbeeld</w:t>
          </w:r>
          <w:r w:rsidRPr="00AB20C2" w:rsidR="00AB20C2">
            <w:t>. In 2023 heeft het WODC een rapport over dit bredere verband gepubliceerd.</w:t>
          </w:r>
          <w:r w:rsidRPr="00AB20C2" w:rsidR="00AB20C2">
            <w:rPr>
              <w:vertAlign w:val="superscript"/>
            </w:rPr>
            <w:footnoteReference w:id="25"/>
          </w:r>
          <w:r w:rsidRPr="00AB20C2" w:rsidR="00AB20C2">
            <w:t xml:space="preserve"> De toelichting bij het wetsvoorstel gaat daar niet op in.</w:t>
          </w:r>
        </w:p>
        <w:p w:rsidR="00CD06FB" w:rsidRDefault="00CD06FB" w14:paraId="0DE6C058" w14:textId="77777777"/>
        <w:p w:rsidR="00CD06FB" w:rsidRDefault="00CD06FB" w14:paraId="03A303DB" w14:textId="468FBDF9">
          <w:r>
            <w:t xml:space="preserve">De Afdeling adviseert </w:t>
          </w:r>
          <w:r w:rsidR="005F3696">
            <w:t xml:space="preserve">in het licht van </w:t>
          </w:r>
          <w:r w:rsidR="005B3FD8">
            <w:t xml:space="preserve">al </w:t>
          </w:r>
          <w:r w:rsidR="005F3696">
            <w:t xml:space="preserve">het </w:t>
          </w:r>
          <w:r w:rsidR="005B3FD8">
            <w:t>voorgaande</w:t>
          </w:r>
          <w:r w:rsidR="005F3696">
            <w:t xml:space="preserve"> </w:t>
          </w:r>
          <w:r>
            <w:t>de noodzaak van permanentmaking van de intrekkingsbevoegdheid</w:t>
          </w:r>
          <w:r w:rsidR="00B3682E">
            <w:t xml:space="preserve"> alsnog</w:t>
          </w:r>
          <w:r>
            <w:t xml:space="preserve"> dragend te motiveren</w:t>
          </w:r>
          <w:r w:rsidR="00994D1F">
            <w:t xml:space="preserve">, </w:t>
          </w:r>
          <w:r w:rsidR="00B3682E">
            <w:t xml:space="preserve">dan wel van </w:t>
          </w:r>
          <w:r w:rsidR="00C564E7">
            <w:t>deze permanentmaking</w:t>
          </w:r>
          <w:r w:rsidR="00B3682E">
            <w:t xml:space="preserve"> af te zien.</w:t>
          </w:r>
          <w:r w:rsidR="00121AC0">
            <w:t xml:space="preserve"> Daarnaast </w:t>
          </w:r>
          <w:r w:rsidR="00170BC0">
            <w:t>adviseert</w:t>
          </w:r>
          <w:r w:rsidR="00121AC0">
            <w:t xml:space="preserve"> de </w:t>
          </w:r>
          <w:r w:rsidR="00170BC0">
            <w:t>Afdeling</w:t>
          </w:r>
          <w:r w:rsidR="00121AC0">
            <w:t xml:space="preserve"> </w:t>
          </w:r>
          <w:r w:rsidR="005F6BE1">
            <w:t>in</w:t>
          </w:r>
          <w:r w:rsidR="009D3BC3">
            <w:t xml:space="preserve"> </w:t>
          </w:r>
          <w:r w:rsidR="005F6BE1">
            <w:t xml:space="preserve">de </w:t>
          </w:r>
          <w:r w:rsidR="009D3BC3">
            <w:t>toelichting</w:t>
          </w:r>
          <w:r w:rsidR="005F6BE1">
            <w:t xml:space="preserve"> te verduidelijken op welke wijze </w:t>
          </w:r>
          <w:r w:rsidR="009D3BC3">
            <w:t xml:space="preserve">de regering </w:t>
          </w:r>
          <w:r w:rsidR="002D7BF6">
            <w:t xml:space="preserve">nader inzicht wil gaan bieden in de samenhang van de </w:t>
          </w:r>
          <w:proofErr w:type="spellStart"/>
          <w:r w:rsidR="002D7BF6">
            <w:t>contraterrorismewetgeving</w:t>
          </w:r>
          <w:proofErr w:type="spellEnd"/>
          <w:r w:rsidR="002D7BF6">
            <w:t>.</w:t>
          </w:r>
        </w:p>
        <w:p w:rsidR="009B79E5" w:rsidRDefault="009B79E5" w14:paraId="542963CA" w14:textId="77777777"/>
        <w:p w:rsidR="003D14E9" w:rsidRDefault="009B79E5" w14:paraId="745FA82F" w14:textId="5FD49A23">
          <w:r>
            <w:t>3</w:t>
          </w:r>
          <w:r w:rsidR="003D14E9">
            <w:t>.</w:t>
          </w:r>
          <w:r w:rsidR="003D14E9">
            <w:tab/>
          </w:r>
          <w:r w:rsidR="00920EE2">
            <w:rPr>
              <w:u w:val="single"/>
            </w:rPr>
            <w:t>Horizonbepaling</w:t>
          </w:r>
        </w:p>
        <w:p w:rsidR="003A4DE6" w:rsidRDefault="003A4DE6" w14:paraId="1AF215AD" w14:textId="77777777"/>
        <w:p w:rsidR="003A4DE6" w:rsidRDefault="00A15DA4" w14:paraId="400AD0C8" w14:textId="1A9D8E44">
          <w:r>
            <w:t>Het parlement was bij de invoering van de intrekkingsbevoegdheid in 2017 en ook bij de verlenging daarvan in 2022 niet overtuigd van de noodzaak om daaraan een permanent karakter te geven. Het tijdelijke karakter van de bevoegdheid is het gevolg van amendering door de Tweede Kamer. Het idee achter de horizonbepaling was dat de wenselijkheid van de regeling na vijf, later tien jaar, zou moeten worden heroverwogen.</w:t>
          </w:r>
          <w:r>
            <w:rPr>
              <w:rStyle w:val="Voetnootmarkering"/>
            </w:rPr>
            <w:footnoteReference w:id="26"/>
          </w:r>
        </w:p>
        <w:p w:rsidR="004D2486" w:rsidRDefault="004D2486" w14:paraId="1965A960" w14:textId="77777777"/>
        <w:p w:rsidR="004D52BD" w:rsidRDefault="00E0409A" w14:paraId="3DBAFF23" w14:textId="054C7D9C">
          <w:r w:rsidRPr="00E0409A">
            <w:t>Wanneer het niet mogelijk blijkt om de noodzaak van een permanente intrekkingsbevoegdheid alsnog toereikend te motiveren, kan de regering er ook voor kiezen de intrekkingsbevoegdheid door een horizonbepaling opnieuw met vijf jaar te verlengen.</w:t>
          </w:r>
          <w:r w:rsidR="00AD073F">
            <w:t xml:space="preserve"> </w:t>
          </w:r>
          <w:r w:rsidRPr="00AD073F" w:rsidR="00AD073F">
            <w:t>De regering zou gedurende deze verlenging nader kunnen onderzoeken wat de toegevoegde waarde is van de intrekkingsbevoegdheid</w:t>
          </w:r>
          <w:r w:rsidR="00942808">
            <w:t xml:space="preserve">. Daarbij kan </w:t>
          </w:r>
          <w:r w:rsidR="0095792E">
            <w:t xml:space="preserve">nader inzicht worden geboden </w:t>
          </w:r>
          <w:r w:rsidR="003E1678">
            <w:t xml:space="preserve">in </w:t>
          </w:r>
          <w:r w:rsidR="0095792E">
            <w:t xml:space="preserve">de </w:t>
          </w:r>
          <w:r w:rsidR="003E1678">
            <w:t xml:space="preserve">samenhang </w:t>
          </w:r>
          <w:r w:rsidR="0095792E">
            <w:t xml:space="preserve">van </w:t>
          </w:r>
          <w:proofErr w:type="spellStart"/>
          <w:r w:rsidR="0095792E">
            <w:t>contr</w:t>
          </w:r>
          <w:r w:rsidR="008C0F32">
            <w:t>aterrorismewetgeving</w:t>
          </w:r>
          <w:proofErr w:type="spellEnd"/>
          <w:r w:rsidR="008C0F32">
            <w:t>.</w:t>
          </w:r>
          <w:r w:rsidR="002314F2">
            <w:t xml:space="preserve"> </w:t>
          </w:r>
        </w:p>
        <w:p w:rsidR="004D2486" w:rsidRDefault="004D2486" w14:paraId="569FFA81" w14:textId="25563151"/>
        <w:p w:rsidR="0053593D" w:rsidRDefault="0053593D" w14:paraId="568839BE" w14:textId="57599639">
          <w:r w:rsidRPr="0053593D">
            <w:t xml:space="preserve">De Afdeling adviseert de optie </w:t>
          </w:r>
          <w:r>
            <w:t>van een horiz</w:t>
          </w:r>
          <w:r w:rsidR="00F1650B">
            <w:t xml:space="preserve">onbepaling </w:t>
          </w:r>
          <w:r w:rsidRPr="0053593D">
            <w:t>te betrek</w:t>
          </w:r>
          <w:r w:rsidR="00F1650B">
            <w:t>k</w:t>
          </w:r>
          <w:r w:rsidRPr="0053593D">
            <w:t>en in de te maken afweging over het al dan niet voort laten leven van de intrekkingsbevoegdheid</w:t>
          </w:r>
          <w:r w:rsidR="00F1650B">
            <w:t>.</w:t>
          </w:r>
        </w:p>
      </w:sdtContent>
    </w:sdt>
    <w:p w:rsidR="0036307B" w:rsidRDefault="0036307B" w14:paraId="7A8CE854" w14:textId="77777777"/>
    <w:p w:rsidR="00581AB2" w:rsidRDefault="00581AB2" w14:paraId="1B37D7F5" w14:textId="77777777"/>
    <w:sdt>
      <w:sdtPr>
        <w:tag w:val="bmDictum"/>
        <w:id w:val="1539859674"/>
        <w:lock w:val="sdtLocked"/>
        <w:placeholder>
          <w:docPart w:val="DefaultPlaceholder_-1854013440"/>
        </w:placeholder>
      </w:sdtPr>
      <w:sdtEndPr/>
      <w:sdtContent>
        <w:p w:rsidR="0036307B" w:rsidRDefault="0036307B" w14:paraId="14A84CF1" w14:textId="339E4AB0">
          <w:r>
            <w:t xml:space="preserve">De Afdeling advisering van de Raad van State van het Koninkrijk heeft een aantal </w:t>
          </w:r>
          <w:r w:rsidR="00CC393C">
            <w:t xml:space="preserve">bezwaren </w:t>
          </w:r>
          <w:r>
            <w:t xml:space="preserve">bij het voorstel van rijkswet en adviseert de regering om het voorstel van rijkswet niet in te dienen bij de Tweede Kamer der Staten-Generaal, de Staten van Aruba, die van Curaçao en aan die van Sint Maarten, tenzij het is aangepast. </w:t>
          </w:r>
          <w:r>
            <w:br/>
          </w:r>
          <w:r>
            <w:br/>
          </w:r>
          <w:r>
            <w:br/>
            <w:t>De vice-president van de Raad van State van het Koninkrijk,</w:t>
          </w:r>
          <w:r>
            <w:br/>
          </w:r>
        </w:p>
      </w:sdtContent>
    </w:sdt>
    <w:sectPr w:rsidR="0036307B" w:rsidSect="00060CAC">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8C5F" w14:textId="77777777" w:rsidR="00E646A6" w:rsidRDefault="00E646A6">
      <w:r>
        <w:separator/>
      </w:r>
    </w:p>
  </w:endnote>
  <w:endnote w:type="continuationSeparator" w:id="0">
    <w:p w14:paraId="5652E465" w14:textId="77777777" w:rsidR="00E646A6" w:rsidRDefault="00E6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6735E" w14:paraId="3D0FFC58" w14:textId="77777777" w:rsidTr="00D90098">
      <w:tc>
        <w:tcPr>
          <w:tcW w:w="4815" w:type="dxa"/>
        </w:tcPr>
        <w:p w14:paraId="3D0FFC56" w14:textId="77777777" w:rsidR="00D90098" w:rsidRDefault="00D90098" w:rsidP="00D90098">
          <w:pPr>
            <w:pStyle w:val="Voettekst"/>
          </w:pPr>
        </w:p>
      </w:tc>
      <w:tc>
        <w:tcPr>
          <w:tcW w:w="4247" w:type="dxa"/>
        </w:tcPr>
        <w:p w14:paraId="3D0FFC57" w14:textId="77777777" w:rsidR="00D90098" w:rsidRDefault="00D90098" w:rsidP="00D90098">
          <w:pPr>
            <w:pStyle w:val="Voettekst"/>
            <w:jc w:val="right"/>
          </w:pPr>
        </w:p>
      </w:tc>
    </w:tr>
  </w:tbl>
  <w:p w14:paraId="3D0FFC59"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4F64" w14:textId="1DB48653" w:rsidR="00060CAC" w:rsidRPr="00060CAC" w:rsidRDefault="00060CAC">
    <w:pPr>
      <w:pStyle w:val="Voettekst"/>
      <w:rPr>
        <w:rFonts w:ascii="Bembo" w:hAnsi="Bembo"/>
        <w:sz w:val="32"/>
      </w:rPr>
    </w:pPr>
    <w:r w:rsidRPr="00060CAC">
      <w:rPr>
        <w:rFonts w:ascii="Bembo" w:hAnsi="Bembo"/>
        <w:sz w:val="32"/>
      </w:rPr>
      <w:t>AAN DE KONING</w:t>
    </w:r>
  </w:p>
  <w:p w14:paraId="2BD618CB" w14:textId="77777777" w:rsidR="00060CAC" w:rsidRDefault="00060C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B1A1" w14:textId="77777777" w:rsidR="00E646A6" w:rsidRDefault="00E646A6">
      <w:r>
        <w:separator/>
      </w:r>
    </w:p>
  </w:footnote>
  <w:footnote w:type="continuationSeparator" w:id="0">
    <w:p w14:paraId="725C28BA" w14:textId="77777777" w:rsidR="00E646A6" w:rsidRDefault="00E646A6">
      <w:r>
        <w:continuationSeparator/>
      </w:r>
    </w:p>
  </w:footnote>
  <w:footnote w:id="1">
    <w:p w14:paraId="2FFA6E30" w14:textId="05D2952E" w:rsidR="001D2F63" w:rsidRDefault="001D2F63">
      <w:pPr>
        <w:pStyle w:val="Voetnoottekst"/>
      </w:pPr>
      <w:r>
        <w:rPr>
          <w:rStyle w:val="Voetnootmarkering"/>
        </w:rPr>
        <w:footnoteRef/>
      </w:r>
      <w:r>
        <w:t xml:space="preserve"> </w:t>
      </w:r>
      <w:r w:rsidR="00E86774">
        <w:t>Artikel 14, vierde lid, R</w:t>
      </w:r>
      <w:r w:rsidR="00751763">
        <w:t>WN</w:t>
      </w:r>
      <w:r w:rsidR="00E86774">
        <w:t xml:space="preserve">. </w:t>
      </w:r>
    </w:p>
  </w:footnote>
  <w:footnote w:id="2">
    <w:p w14:paraId="157987DF" w14:textId="66ECEF04" w:rsidR="0012203F" w:rsidRDefault="0012203F">
      <w:pPr>
        <w:pStyle w:val="Voetnoottekst"/>
      </w:pPr>
      <w:r>
        <w:rPr>
          <w:rStyle w:val="Voetnootmarkering"/>
        </w:rPr>
        <w:footnoteRef/>
      </w:r>
      <w:r>
        <w:t xml:space="preserve"> </w:t>
      </w:r>
      <w:r w:rsidR="00404537">
        <w:t>De vereiste belangenafweging is uitgewerkt in a</w:t>
      </w:r>
      <w:r>
        <w:t xml:space="preserve">rtikel 68c </w:t>
      </w:r>
      <w:r w:rsidR="00404537">
        <w:t>Besluit verkrijging en verlies Nederlanderschap.</w:t>
      </w:r>
    </w:p>
  </w:footnote>
  <w:footnote w:id="3">
    <w:p w14:paraId="06215504" w14:textId="702355FF" w:rsidR="002C2AB7" w:rsidRDefault="002C2AB7">
      <w:pPr>
        <w:pStyle w:val="Voetnoottekst"/>
      </w:pPr>
      <w:r>
        <w:rPr>
          <w:rStyle w:val="Voetnootmarkering"/>
        </w:rPr>
        <w:footnoteRef/>
      </w:r>
      <w:r>
        <w:t xml:space="preserve"> Artikel 14, </w:t>
      </w:r>
      <w:r w:rsidR="002A5B25">
        <w:t xml:space="preserve">achtste lid, </w:t>
      </w:r>
      <w:r w:rsidR="00751763">
        <w:t>RWN</w:t>
      </w:r>
      <w:r w:rsidR="002A5B25">
        <w:t>.</w:t>
      </w:r>
    </w:p>
  </w:footnote>
  <w:footnote w:id="4">
    <w:p w14:paraId="607E04B2" w14:textId="77777777" w:rsidR="0096038B" w:rsidRDefault="0096038B" w:rsidP="0096038B">
      <w:pPr>
        <w:pStyle w:val="Voetnoottekst"/>
      </w:pPr>
      <w:r>
        <w:rPr>
          <w:rStyle w:val="Voetnootmarkering"/>
        </w:rPr>
        <w:footnoteRef/>
      </w:r>
      <w:r>
        <w:t xml:space="preserve"> Artikel 7, derde lid, Europees verdrag inzake nationaliteit; artikel 8, eerste en tweede lid, Verdrag tot beperking der staatloosheid.</w:t>
      </w:r>
    </w:p>
  </w:footnote>
  <w:footnote w:id="5">
    <w:p w14:paraId="269BAA49" w14:textId="611A501B" w:rsidR="000A032E" w:rsidRDefault="000A032E">
      <w:pPr>
        <w:pStyle w:val="Voetnoottekst"/>
      </w:pPr>
      <w:r>
        <w:rPr>
          <w:rStyle w:val="Voetnootmarkering"/>
        </w:rPr>
        <w:footnoteRef/>
      </w:r>
      <w:r>
        <w:t xml:space="preserve"> </w:t>
      </w:r>
      <w:r w:rsidR="006E6F15">
        <w:t>Dit verschil in behandeling is</w:t>
      </w:r>
      <w:r w:rsidR="00114A7B">
        <w:t xml:space="preserve"> gerechtvaardigd</w:t>
      </w:r>
      <w:r w:rsidR="006E6F15">
        <w:t xml:space="preserve"> volgens vaste rechtspraak van de Afdeling bestuursrechtspraak. </w:t>
      </w:r>
      <w:r w:rsidR="00422858">
        <w:t>Bij</w:t>
      </w:r>
      <w:r w:rsidR="00987A77">
        <w:t xml:space="preserve"> uitspraak van</w:t>
      </w:r>
      <w:r w:rsidR="0088259C">
        <w:t xml:space="preserve"> 24 maart 2025, ECLI:NL:RBAMS:2025:1849</w:t>
      </w:r>
      <w:r w:rsidR="00987A77">
        <w:t>,</w:t>
      </w:r>
      <w:r w:rsidR="00B26A48">
        <w:t xml:space="preserve"> heeft de rechtbank Den Haag, zittingsplaats Amsterdam, evenwel geoordeeld dat sprake is van directe discriminatie, die niet kan worden gerechtvaardigd.</w:t>
      </w:r>
      <w:r w:rsidR="00987A77">
        <w:t xml:space="preserve"> </w:t>
      </w:r>
      <w:r w:rsidR="004270B7">
        <w:t>Zoals vermeld in</w:t>
      </w:r>
      <w:r w:rsidR="0088259C">
        <w:t xml:space="preserve"> </w:t>
      </w:r>
      <w:r w:rsidR="004270B7">
        <w:t>de toelichting bij het wetsvoorstel,</w:t>
      </w:r>
      <w:r w:rsidR="006E6F15">
        <w:t xml:space="preserve"> </w:t>
      </w:r>
      <w:r w:rsidR="004624FF">
        <w:t xml:space="preserve">voetnoot bij </w:t>
      </w:r>
      <w:r w:rsidR="006E6F15">
        <w:t>paragraaf 2.4</w:t>
      </w:r>
      <w:r w:rsidR="004270B7">
        <w:t>,</w:t>
      </w:r>
      <w:r w:rsidR="00422858">
        <w:t xml:space="preserve"> </w:t>
      </w:r>
      <w:r w:rsidR="004270B7">
        <w:t xml:space="preserve">is het hoger beroep tegen </w:t>
      </w:r>
      <w:r w:rsidR="004624FF">
        <w:t>die uitspraak momenteel aanhangig bij de Afdeling bestuursrechtspraak</w:t>
      </w:r>
      <w:r w:rsidR="006E6F15">
        <w:t>.</w:t>
      </w:r>
    </w:p>
  </w:footnote>
  <w:footnote w:id="6">
    <w:p w14:paraId="6F499207" w14:textId="6257FEE0" w:rsidR="00FB78B7" w:rsidRDefault="00FB78B7" w:rsidP="00106C08">
      <w:pPr>
        <w:pStyle w:val="Voetnoottekst"/>
      </w:pPr>
      <w:r>
        <w:rPr>
          <w:rStyle w:val="Voetnootmarkering"/>
        </w:rPr>
        <w:footnoteRef/>
      </w:r>
      <w:r>
        <w:t xml:space="preserve"> Deze wetsevaluatie na drie jaar is het gevolg </w:t>
      </w:r>
      <w:r w:rsidRPr="00FB78B7">
        <w:t>van een toezegging van de minister van Veiligheid en Justitie aan de Eerste Kamer</w:t>
      </w:r>
      <w:r>
        <w:t>.</w:t>
      </w:r>
      <w:r w:rsidRPr="00FB78B7">
        <w:t xml:space="preserve"> </w:t>
      </w:r>
      <w:r w:rsidR="00106C08">
        <w:t xml:space="preserve">De </w:t>
      </w:r>
      <w:r w:rsidR="004D495B">
        <w:t xml:space="preserve">evaluatie was bedoeld </w:t>
      </w:r>
      <w:r w:rsidR="00106C08" w:rsidRPr="00106C08">
        <w:t>om vast te stellen of de bepaling na de vervaldatum z</w:t>
      </w:r>
      <w:r w:rsidR="0066148D">
        <w:t>ou</w:t>
      </w:r>
      <w:r w:rsidR="00106C08" w:rsidRPr="00106C08">
        <w:t xml:space="preserve"> worden gehandhaafd, al dan niet</w:t>
      </w:r>
      <w:r w:rsidR="0066148D">
        <w:t xml:space="preserve"> in gewijzigde vorm.</w:t>
      </w:r>
      <w:r w:rsidR="00106C08" w:rsidRPr="00106C08">
        <w:t xml:space="preserve"> </w:t>
      </w:r>
    </w:p>
  </w:footnote>
  <w:footnote w:id="7">
    <w:p w14:paraId="7730D4B3" w14:textId="470BD856" w:rsidR="00D950C8" w:rsidRDefault="00D950C8">
      <w:pPr>
        <w:pStyle w:val="Voetnoottekst"/>
      </w:pPr>
      <w:r>
        <w:rPr>
          <w:rStyle w:val="Voetnootmarkering"/>
        </w:rPr>
        <w:footnoteRef/>
      </w:r>
      <w:r>
        <w:t xml:space="preserve"> </w:t>
      </w:r>
      <w:r w:rsidR="00522556">
        <w:t xml:space="preserve">Stb. 2017, 52; Stb. </w:t>
      </w:r>
      <w:r w:rsidR="00A05EA8">
        <w:t>2022, 84.</w:t>
      </w:r>
    </w:p>
  </w:footnote>
  <w:footnote w:id="8">
    <w:p w14:paraId="0B4EB51D" w14:textId="78D398A9" w:rsidR="00EA0028" w:rsidRDefault="00EA0028">
      <w:pPr>
        <w:pStyle w:val="Voetnoottekst"/>
      </w:pPr>
      <w:r>
        <w:rPr>
          <w:rStyle w:val="Voetnootmarkering"/>
        </w:rPr>
        <w:footnoteRef/>
      </w:r>
      <w:r>
        <w:t xml:space="preserve"> </w:t>
      </w:r>
      <w:r w:rsidR="00AE240A">
        <w:t>Uitgangspunt is dat de persoon wiens Nederlanderschap is ingetrokken op basis van aansluiting bij een terroristische organisatie, het Nederlanderschap niet kan herkrijgen. Zie a</w:t>
      </w:r>
      <w:r>
        <w:t>rtikel 14, vijfde lid, R</w:t>
      </w:r>
      <w:r w:rsidR="004415D1">
        <w:t>WN</w:t>
      </w:r>
      <w:r>
        <w:t>.</w:t>
      </w:r>
    </w:p>
  </w:footnote>
  <w:footnote w:id="9">
    <w:p w14:paraId="6196D667" w14:textId="5B844676" w:rsidR="002261D4" w:rsidRDefault="002261D4">
      <w:pPr>
        <w:pStyle w:val="Voetnoottekst"/>
      </w:pPr>
      <w:r>
        <w:rPr>
          <w:rStyle w:val="Voetnootmarkering"/>
        </w:rPr>
        <w:footnoteRef/>
      </w:r>
      <w:r>
        <w:t xml:space="preserve"> </w:t>
      </w:r>
      <w:r w:rsidRPr="002261D4">
        <w:t>Besluit vaststelling lijst organisaties die bedreiging vormen voor nationale veiligheid</w:t>
      </w:r>
      <w:r>
        <w:t>.</w:t>
      </w:r>
      <w:r w:rsidR="00C12773">
        <w:t xml:space="preserve"> De lijst wordt </w:t>
      </w:r>
      <w:r w:rsidR="00D82276">
        <w:t xml:space="preserve">vastgesteld </w:t>
      </w:r>
      <w:r w:rsidR="00AF6FA1">
        <w:t>“</w:t>
      </w:r>
      <w:r w:rsidR="00D82276" w:rsidRPr="00D82276">
        <w:t>in overeenstemming met het gevoelen van de Rijksministerraad</w:t>
      </w:r>
      <w:r w:rsidR="00AF6FA1">
        <w:t>”, aldus artikel 14, vierde lid, van de R</w:t>
      </w:r>
      <w:r w:rsidR="004415D1">
        <w:t>WN</w:t>
      </w:r>
      <w:r w:rsidR="00AF6FA1">
        <w:t>.</w:t>
      </w:r>
      <w:r w:rsidR="00CF6C7C">
        <w:t xml:space="preserve"> </w:t>
      </w:r>
    </w:p>
  </w:footnote>
  <w:footnote w:id="10">
    <w:p w14:paraId="2D6E3A9C" w14:textId="77777777" w:rsidR="00615AE8" w:rsidRDefault="00615AE8" w:rsidP="00615AE8">
      <w:pPr>
        <w:pStyle w:val="Voetnoottekst"/>
      </w:pPr>
      <w:r>
        <w:rPr>
          <w:rStyle w:val="Voetnootmarkering"/>
        </w:rPr>
        <w:footnoteRef/>
      </w:r>
      <w:r>
        <w:t xml:space="preserve"> Artikel 22a, derde lid, RWN.</w:t>
      </w:r>
    </w:p>
  </w:footnote>
  <w:footnote w:id="11">
    <w:p w14:paraId="68978D37" w14:textId="1072BD11" w:rsidR="001A5533" w:rsidRDefault="001A5533">
      <w:pPr>
        <w:pStyle w:val="Voetnoottekst"/>
      </w:pPr>
      <w:r>
        <w:rPr>
          <w:rStyle w:val="Voetnootmarkering"/>
        </w:rPr>
        <w:footnoteRef/>
      </w:r>
      <w:r>
        <w:t xml:space="preserve"> </w:t>
      </w:r>
      <w:r w:rsidR="00BD400F">
        <w:t>NCTV, Dreigingsbeeld Terrorisme Nederland, december 2025.</w:t>
      </w:r>
      <w:r w:rsidR="00F84284">
        <w:t xml:space="preserve"> </w:t>
      </w:r>
      <w:r w:rsidR="006420DC">
        <w:t>Dit is een hoger dreigingsniveau dan t</w:t>
      </w:r>
      <w:r w:rsidR="00F84284">
        <w:t>en tijde van de verlenging van de intrekkingsbevoegdheid</w:t>
      </w:r>
      <w:r w:rsidR="006420DC">
        <w:t>. Toen</w:t>
      </w:r>
      <w:r w:rsidR="00F84284">
        <w:t xml:space="preserve"> </w:t>
      </w:r>
      <w:r w:rsidR="00195083">
        <w:t>was het dreigingsbeeld</w:t>
      </w:r>
      <w:r w:rsidR="006672F2">
        <w:t xml:space="preserve"> </w:t>
      </w:r>
      <w:r w:rsidR="00195083">
        <w:t>‘aanzienlijk’, niveau 3 van 5.</w:t>
      </w:r>
      <w:r w:rsidR="002C545F">
        <w:t xml:space="preserve"> Zie NCTV, Dreigingsbeeld Terrorisme Nederland, december 2019.</w:t>
      </w:r>
    </w:p>
  </w:footnote>
  <w:footnote w:id="12">
    <w:p w14:paraId="4759FDFF" w14:textId="0FC1F7A9" w:rsidR="001044CC" w:rsidRDefault="001044CC">
      <w:pPr>
        <w:pStyle w:val="Voetnoottekst"/>
      </w:pPr>
      <w:r>
        <w:rPr>
          <w:rStyle w:val="Voetnootmarkering"/>
        </w:rPr>
        <w:footnoteRef/>
      </w:r>
      <w:r>
        <w:t xml:space="preserve"> Toelichting bij het wetsvoorstel, paragraaf 3.1.</w:t>
      </w:r>
    </w:p>
  </w:footnote>
  <w:footnote w:id="13">
    <w:p w14:paraId="6D45CF69" w14:textId="2C6DAD2E" w:rsidR="00111516" w:rsidRDefault="00111516">
      <w:pPr>
        <w:pStyle w:val="Voetnoottekst"/>
      </w:pPr>
      <w:r>
        <w:rPr>
          <w:rStyle w:val="Voetnootmarkering"/>
        </w:rPr>
        <w:footnoteRef/>
      </w:r>
      <w:r>
        <w:t xml:space="preserve"> Toelichting bij het wetsvoorstel, paragraaf 3.2.</w:t>
      </w:r>
    </w:p>
  </w:footnote>
  <w:footnote w:id="14">
    <w:p w14:paraId="2145335B" w14:textId="3B74C543" w:rsidR="00AF43EB" w:rsidRDefault="00AF43EB">
      <w:pPr>
        <w:pStyle w:val="Voetnoottekst"/>
      </w:pPr>
      <w:r>
        <w:rPr>
          <w:rStyle w:val="Voetnootmarkering"/>
        </w:rPr>
        <w:footnoteRef/>
      </w:r>
      <w:r>
        <w:t xml:space="preserve"> Toelichting bij het wetsvoorstel, paragraaf 3.3; WODC, ‘Evaluatie wijziging van de Rijkswet op het Nederlanderschap in het belang van de nationale veiligheid’, </w:t>
      </w:r>
      <w:r w:rsidR="00B81E05">
        <w:t>Groningen</w:t>
      </w:r>
      <w:r w:rsidR="00A461A2">
        <w:t> </w:t>
      </w:r>
      <w:r>
        <w:t>2020.</w:t>
      </w:r>
    </w:p>
  </w:footnote>
  <w:footnote w:id="15">
    <w:p w14:paraId="6AE0146F" w14:textId="542F6A17" w:rsidR="00B77D14" w:rsidRDefault="00B77D14">
      <w:pPr>
        <w:pStyle w:val="Voetnoottekst"/>
      </w:pPr>
      <w:r>
        <w:rPr>
          <w:rStyle w:val="Voetnootmarkering"/>
        </w:rPr>
        <w:footnoteRef/>
      </w:r>
      <w:r>
        <w:t xml:space="preserve"> Toelichting bij het wetsvoorstel, paragraaf 3.3, onder verwijzing naar Kamerstukken II 2020/21, </w:t>
      </w:r>
      <w:r w:rsidR="00266F89">
        <w:t>29754, nr. 585.</w:t>
      </w:r>
    </w:p>
  </w:footnote>
  <w:footnote w:id="16">
    <w:p w14:paraId="333AE6D0" w14:textId="60457BF6" w:rsidR="0051297D" w:rsidRDefault="0051297D">
      <w:pPr>
        <w:pStyle w:val="Voetnoottekst"/>
      </w:pPr>
      <w:r>
        <w:rPr>
          <w:rStyle w:val="Voetnootmarkering"/>
        </w:rPr>
        <w:footnoteRef/>
      </w:r>
      <w:r>
        <w:t xml:space="preserve"> Toelichting bij het wetsvoorstel, paragraaf 3.3.</w:t>
      </w:r>
    </w:p>
  </w:footnote>
  <w:footnote w:id="17">
    <w:p w14:paraId="44B30DDB" w14:textId="2A528A34" w:rsidR="00337402" w:rsidRDefault="00337402">
      <w:pPr>
        <w:pStyle w:val="Voetnoottekst"/>
      </w:pPr>
      <w:r>
        <w:rPr>
          <w:rStyle w:val="Voetnootmarkering"/>
        </w:rPr>
        <w:footnoteRef/>
      </w:r>
      <w:r>
        <w:t xml:space="preserve"> </w:t>
      </w:r>
      <w:r w:rsidR="0049682D">
        <w:t>Vgl. WODC, ‘Inzicht in samenhang. Een evaluatie van de Nederlandse contraterrorismewetgeving’, 2023, p. 15-16.</w:t>
      </w:r>
    </w:p>
  </w:footnote>
  <w:footnote w:id="18">
    <w:p w14:paraId="6033B96C" w14:textId="581B64F8" w:rsidR="000950B7" w:rsidRDefault="000950B7" w:rsidP="000950B7">
      <w:pPr>
        <w:pStyle w:val="Voetnoottekst"/>
      </w:pPr>
      <w:r>
        <w:rPr>
          <w:rStyle w:val="Voetnootmarkering"/>
        </w:rPr>
        <w:footnoteRef/>
      </w:r>
      <w:r>
        <w:t xml:space="preserve"> </w:t>
      </w:r>
      <w:r w:rsidR="00FC4FB3">
        <w:t>Zie ook het a</w:t>
      </w:r>
      <w:r>
        <w:t>dvies van de Afdeling advisering van de Raad van State van het Koninkrijk van 17 november 2015, (W03.15.0191/II/K), Kamerstukken II 2015/16, 34356 (R2064), nr. 4, punt 2.b.</w:t>
      </w:r>
    </w:p>
  </w:footnote>
  <w:footnote w:id="19">
    <w:p w14:paraId="4AE9D07A" w14:textId="77777777" w:rsidR="00055D03" w:rsidRDefault="00055D03" w:rsidP="00055D03">
      <w:pPr>
        <w:pStyle w:val="Voetnoottekst"/>
      </w:pPr>
      <w:r>
        <w:rPr>
          <w:rStyle w:val="Voetnootmarkering"/>
        </w:rPr>
        <w:footnoteRef/>
      </w:r>
      <w:r>
        <w:t xml:space="preserve"> Vgl. advies van de Afdeling advisering van de Raad van State van het Koninkrijk van 11 augustus 2021, (W16.21.0138/II/K), Kamerstukken II 2021/22, 35934 (R2158), nr. 4, punt 2.b.</w:t>
      </w:r>
    </w:p>
  </w:footnote>
  <w:footnote w:id="20">
    <w:p w14:paraId="61922B66" w14:textId="77777777" w:rsidR="00D526C9" w:rsidRDefault="00D526C9" w:rsidP="00D526C9">
      <w:pPr>
        <w:pStyle w:val="Voetnoottekst"/>
      </w:pPr>
      <w:r>
        <w:rPr>
          <w:rStyle w:val="Voetnootmarkering"/>
        </w:rPr>
        <w:footnoteRef/>
      </w:r>
      <w:r>
        <w:t xml:space="preserve"> Advies van de Afdeling advisering van de Raad van State van het Koninkrijk van 17 november 2015, (W03.15.0191/II/K), Kamerstukken II 2015/16, 34356 (R2064), nr. 4, punt 2.a. Voor de extraterritoriale rechtsmacht op dit punt, zie artikel 4, tweede lid, Besluit internationale verplichtingen extraterritoriale rechtsmacht jo. artikelen 83 en 140a Wetboek van Strafrecht. Artikel 14, tweede lid, onderdeel b, RWN biedt een zelfstandige grondslag voor intrekking van het Nederlanderschap.</w:t>
      </w:r>
    </w:p>
  </w:footnote>
  <w:footnote w:id="21">
    <w:p w14:paraId="5E1DA092" w14:textId="29844B01" w:rsidR="00780FC1" w:rsidRDefault="00780FC1" w:rsidP="00780FC1">
      <w:pPr>
        <w:pStyle w:val="Voetnoottekst"/>
      </w:pPr>
      <w:r>
        <w:rPr>
          <w:rStyle w:val="Voetnootmarkering"/>
        </w:rPr>
        <w:footnoteRef/>
      </w:r>
      <w:r>
        <w:t xml:space="preserve"> Toelichting bij het wetsvoorstel, paragraaf 2.3.</w:t>
      </w:r>
      <w:r w:rsidR="00F268F5">
        <w:t xml:space="preserve"> </w:t>
      </w:r>
      <w:r w:rsidR="0036311B">
        <w:t xml:space="preserve">Vijftien intrekkingen zijn definitief en </w:t>
      </w:r>
      <w:r w:rsidR="009F4EAD">
        <w:t>één intrekking</w:t>
      </w:r>
      <w:r w:rsidR="00CE1C62">
        <w:t xml:space="preserve"> bevindt zich in de</w:t>
      </w:r>
      <w:r w:rsidR="009F4EAD">
        <w:t xml:space="preserve"> beroeps</w:t>
      </w:r>
      <w:r w:rsidR="00CE1C62">
        <w:t>fase</w:t>
      </w:r>
      <w:r w:rsidR="009F4EAD">
        <w:t xml:space="preserve"> bij de recht</w:t>
      </w:r>
      <w:r w:rsidR="0036311B">
        <w:t>bank</w:t>
      </w:r>
      <w:r w:rsidR="009F4EAD">
        <w:t>.</w:t>
      </w:r>
    </w:p>
  </w:footnote>
  <w:footnote w:id="22">
    <w:p w14:paraId="51604E47" w14:textId="126F9BE8" w:rsidR="00677042" w:rsidRDefault="00677042">
      <w:pPr>
        <w:pStyle w:val="Voetnoottekst"/>
      </w:pPr>
      <w:r>
        <w:rPr>
          <w:rStyle w:val="Voetnootmarkering"/>
        </w:rPr>
        <w:footnoteRef/>
      </w:r>
      <w:r>
        <w:t xml:space="preserve"> Kamerstukken II </w:t>
      </w:r>
      <w:r w:rsidR="00B648DF">
        <w:t xml:space="preserve">2021/22, </w:t>
      </w:r>
      <w:r w:rsidR="00C87663">
        <w:t>35934 (R</w:t>
      </w:r>
      <w:r w:rsidR="00C500BC">
        <w:t xml:space="preserve">2158), nr. 3, </w:t>
      </w:r>
      <w:r w:rsidR="009A30E9">
        <w:t>p</w:t>
      </w:r>
      <w:r w:rsidR="0002649E">
        <w:t>aragraaf</w:t>
      </w:r>
      <w:r w:rsidR="009A30E9">
        <w:t xml:space="preserve"> 3.1.</w:t>
      </w:r>
    </w:p>
  </w:footnote>
  <w:footnote w:id="23">
    <w:p w14:paraId="2B8CC7AD" w14:textId="3C88A4AD" w:rsidR="0098417A" w:rsidRDefault="0098417A">
      <w:pPr>
        <w:pStyle w:val="Voetnoottekst"/>
      </w:pPr>
      <w:r>
        <w:rPr>
          <w:rStyle w:val="Voetnootmarkering"/>
        </w:rPr>
        <w:footnoteRef/>
      </w:r>
      <w:r>
        <w:t xml:space="preserve"> </w:t>
      </w:r>
      <w:r w:rsidR="005C14F8">
        <w:t>Zie hierover</w:t>
      </w:r>
      <w:r>
        <w:t xml:space="preserve"> WODC, ‘Evaluatie wijziging van de Rijkswet op het Nederlanderschap in het belang van de nationale veiligheid’, Groningen 2020, paragraaf 5.</w:t>
      </w:r>
    </w:p>
  </w:footnote>
  <w:footnote w:id="24">
    <w:p w14:paraId="32B0D359" w14:textId="39E9BC34" w:rsidR="00910009" w:rsidRDefault="00910009">
      <w:pPr>
        <w:pStyle w:val="Voetnoottekst"/>
      </w:pPr>
      <w:r>
        <w:rPr>
          <w:rStyle w:val="Voetnootmarkering"/>
        </w:rPr>
        <w:footnoteRef/>
      </w:r>
      <w:r>
        <w:t xml:space="preserve"> Advies van de Afdeling advisering van de Raad van State van het Koninkrijk van 11 augustus 2021, (W16.21.0138/II/K), Kamerstukken II 2021/22, 35934 (R2158), nr. 4, punt </w:t>
      </w:r>
      <w:r w:rsidR="0004691C">
        <w:t>5.</w:t>
      </w:r>
    </w:p>
  </w:footnote>
  <w:footnote w:id="25">
    <w:p w14:paraId="5978F0C3" w14:textId="77777777" w:rsidR="00AB20C2" w:rsidRDefault="00AB20C2" w:rsidP="00AB20C2">
      <w:pPr>
        <w:pStyle w:val="Voetnoottekst"/>
      </w:pPr>
      <w:r>
        <w:rPr>
          <w:rStyle w:val="Voetnootmarkering"/>
        </w:rPr>
        <w:footnoteRef/>
      </w:r>
      <w:r>
        <w:t xml:space="preserve"> WODC, ‘Inzicht in samenhang. Een evaluatie van de Nederlandse contraterrorismewetgeving’, 2023.</w:t>
      </w:r>
    </w:p>
  </w:footnote>
  <w:footnote w:id="26">
    <w:p w14:paraId="1E58EAB2" w14:textId="77777777" w:rsidR="00A15DA4" w:rsidRDefault="00A15DA4" w:rsidP="00A15DA4">
      <w:pPr>
        <w:pStyle w:val="Voetnoottekst"/>
      </w:pPr>
      <w:r>
        <w:rPr>
          <w:rStyle w:val="Voetnootmarkering"/>
        </w:rPr>
        <w:footnoteRef/>
      </w:r>
      <w:r>
        <w:t xml:space="preserve"> Kamerstukken II 2015/15, 34356 (R2064), nr. 24; Kamerstukken II 2021/22, 35934 (R2158),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FC54" w14:textId="77777777" w:rsidR="00FA7BCD" w:rsidRDefault="00AB375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FC5A" w14:textId="77777777" w:rsidR="00DA0CDA" w:rsidRDefault="00AB375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D0FFC5B" w14:textId="77777777" w:rsidR="00993C75" w:rsidRDefault="00AB375E">
    <w:pPr>
      <w:pStyle w:val="Koptekst"/>
    </w:pPr>
    <w:r>
      <w:rPr>
        <w:noProof/>
      </w:rPr>
      <w:drawing>
        <wp:anchor distT="0" distB="0" distL="114300" distR="114300" simplePos="0" relativeHeight="251658240" behindDoc="1" locked="0" layoutInCell="1" allowOverlap="1" wp14:anchorId="3D0FFC66" wp14:editId="3D0FFC6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5E"/>
    <w:rsid w:val="00000831"/>
    <w:rsid w:val="000010D0"/>
    <w:rsid w:val="000024A9"/>
    <w:rsid w:val="0000459E"/>
    <w:rsid w:val="0000673F"/>
    <w:rsid w:val="00012E89"/>
    <w:rsid w:val="000143B1"/>
    <w:rsid w:val="00014836"/>
    <w:rsid w:val="00017C54"/>
    <w:rsid w:val="00022773"/>
    <w:rsid w:val="00022A5C"/>
    <w:rsid w:val="0002370B"/>
    <w:rsid w:val="000241BA"/>
    <w:rsid w:val="0002536D"/>
    <w:rsid w:val="0002649E"/>
    <w:rsid w:val="00027417"/>
    <w:rsid w:val="00032CD4"/>
    <w:rsid w:val="00035B46"/>
    <w:rsid w:val="00036D62"/>
    <w:rsid w:val="000374EC"/>
    <w:rsid w:val="000408A4"/>
    <w:rsid w:val="00043786"/>
    <w:rsid w:val="00043C80"/>
    <w:rsid w:val="00044671"/>
    <w:rsid w:val="00044DFF"/>
    <w:rsid w:val="00045052"/>
    <w:rsid w:val="00045737"/>
    <w:rsid w:val="0004691C"/>
    <w:rsid w:val="0004744B"/>
    <w:rsid w:val="0005078B"/>
    <w:rsid w:val="00051097"/>
    <w:rsid w:val="000527C5"/>
    <w:rsid w:val="00053D0A"/>
    <w:rsid w:val="00054C9B"/>
    <w:rsid w:val="00055D03"/>
    <w:rsid w:val="00056509"/>
    <w:rsid w:val="00060CAC"/>
    <w:rsid w:val="000614BE"/>
    <w:rsid w:val="00063E1E"/>
    <w:rsid w:val="00071F36"/>
    <w:rsid w:val="000726B8"/>
    <w:rsid w:val="00075058"/>
    <w:rsid w:val="0007578E"/>
    <w:rsid w:val="00075A3E"/>
    <w:rsid w:val="00077300"/>
    <w:rsid w:val="00077E00"/>
    <w:rsid w:val="00081266"/>
    <w:rsid w:val="00082616"/>
    <w:rsid w:val="00083857"/>
    <w:rsid w:val="00084899"/>
    <w:rsid w:val="00087A4D"/>
    <w:rsid w:val="00092D8D"/>
    <w:rsid w:val="000935FA"/>
    <w:rsid w:val="00094EF6"/>
    <w:rsid w:val="000950B7"/>
    <w:rsid w:val="00095BCC"/>
    <w:rsid w:val="00097ABA"/>
    <w:rsid w:val="000A032E"/>
    <w:rsid w:val="000A1E6E"/>
    <w:rsid w:val="000A39F4"/>
    <w:rsid w:val="000A4C74"/>
    <w:rsid w:val="000A5294"/>
    <w:rsid w:val="000A5576"/>
    <w:rsid w:val="000A5B60"/>
    <w:rsid w:val="000B12A2"/>
    <w:rsid w:val="000B14CA"/>
    <w:rsid w:val="000B15DB"/>
    <w:rsid w:val="000B1E15"/>
    <w:rsid w:val="000B27A2"/>
    <w:rsid w:val="000B406D"/>
    <w:rsid w:val="000B6F02"/>
    <w:rsid w:val="000C1F96"/>
    <w:rsid w:val="000C2179"/>
    <w:rsid w:val="000C2D2C"/>
    <w:rsid w:val="000C51D2"/>
    <w:rsid w:val="000C5CF3"/>
    <w:rsid w:val="000C6551"/>
    <w:rsid w:val="000C67C6"/>
    <w:rsid w:val="000C74A2"/>
    <w:rsid w:val="000D0B0F"/>
    <w:rsid w:val="000D0B47"/>
    <w:rsid w:val="000D10FE"/>
    <w:rsid w:val="000D1DC2"/>
    <w:rsid w:val="000D3760"/>
    <w:rsid w:val="000D4AB3"/>
    <w:rsid w:val="000D6D38"/>
    <w:rsid w:val="000D6FB7"/>
    <w:rsid w:val="000E10B8"/>
    <w:rsid w:val="000E31C4"/>
    <w:rsid w:val="000E4F1C"/>
    <w:rsid w:val="000E5690"/>
    <w:rsid w:val="000E6850"/>
    <w:rsid w:val="000E799C"/>
    <w:rsid w:val="000E7EF4"/>
    <w:rsid w:val="000F01DD"/>
    <w:rsid w:val="000F06D4"/>
    <w:rsid w:val="000F320F"/>
    <w:rsid w:val="000F41D8"/>
    <w:rsid w:val="000F4FD6"/>
    <w:rsid w:val="000F6006"/>
    <w:rsid w:val="000F6578"/>
    <w:rsid w:val="000F784C"/>
    <w:rsid w:val="000F7DDC"/>
    <w:rsid w:val="00101A75"/>
    <w:rsid w:val="00101B01"/>
    <w:rsid w:val="0010213C"/>
    <w:rsid w:val="00103C65"/>
    <w:rsid w:val="001044CC"/>
    <w:rsid w:val="00105469"/>
    <w:rsid w:val="00106C08"/>
    <w:rsid w:val="00111516"/>
    <w:rsid w:val="001137D8"/>
    <w:rsid w:val="00113959"/>
    <w:rsid w:val="00113CFA"/>
    <w:rsid w:val="0011422F"/>
    <w:rsid w:val="00114A7B"/>
    <w:rsid w:val="0011627C"/>
    <w:rsid w:val="00121AC0"/>
    <w:rsid w:val="0012203F"/>
    <w:rsid w:val="00123955"/>
    <w:rsid w:val="0012402B"/>
    <w:rsid w:val="001251F3"/>
    <w:rsid w:val="00130EEA"/>
    <w:rsid w:val="001337B3"/>
    <w:rsid w:val="00135789"/>
    <w:rsid w:val="00136417"/>
    <w:rsid w:val="0014065E"/>
    <w:rsid w:val="00140B8E"/>
    <w:rsid w:val="00140C8A"/>
    <w:rsid w:val="00141F5A"/>
    <w:rsid w:val="00142C07"/>
    <w:rsid w:val="00142D2D"/>
    <w:rsid w:val="00144B30"/>
    <w:rsid w:val="00144F56"/>
    <w:rsid w:val="001450D7"/>
    <w:rsid w:val="00145232"/>
    <w:rsid w:val="001454FD"/>
    <w:rsid w:val="00145613"/>
    <w:rsid w:val="00145F9D"/>
    <w:rsid w:val="0015071C"/>
    <w:rsid w:val="001507E1"/>
    <w:rsid w:val="001538C9"/>
    <w:rsid w:val="00153DAB"/>
    <w:rsid w:val="00154552"/>
    <w:rsid w:val="00154736"/>
    <w:rsid w:val="00161A60"/>
    <w:rsid w:val="00164B68"/>
    <w:rsid w:val="001653C3"/>
    <w:rsid w:val="00165D47"/>
    <w:rsid w:val="00166338"/>
    <w:rsid w:val="001664D7"/>
    <w:rsid w:val="00167840"/>
    <w:rsid w:val="00170BC0"/>
    <w:rsid w:val="00171CFA"/>
    <w:rsid w:val="00173884"/>
    <w:rsid w:val="00173F5E"/>
    <w:rsid w:val="001741C8"/>
    <w:rsid w:val="00175486"/>
    <w:rsid w:val="00175604"/>
    <w:rsid w:val="001760ED"/>
    <w:rsid w:val="0018127C"/>
    <w:rsid w:val="0018249B"/>
    <w:rsid w:val="00182C99"/>
    <w:rsid w:val="00183CA5"/>
    <w:rsid w:val="00183DB8"/>
    <w:rsid w:val="00185A08"/>
    <w:rsid w:val="00185ED3"/>
    <w:rsid w:val="001879F0"/>
    <w:rsid w:val="0019126F"/>
    <w:rsid w:val="00192706"/>
    <w:rsid w:val="00192D00"/>
    <w:rsid w:val="00193925"/>
    <w:rsid w:val="00193BAD"/>
    <w:rsid w:val="00194133"/>
    <w:rsid w:val="00195083"/>
    <w:rsid w:val="00195194"/>
    <w:rsid w:val="001978DD"/>
    <w:rsid w:val="00197A27"/>
    <w:rsid w:val="00197BA5"/>
    <w:rsid w:val="001A024C"/>
    <w:rsid w:val="001A12B0"/>
    <w:rsid w:val="001A192D"/>
    <w:rsid w:val="001A1D19"/>
    <w:rsid w:val="001A3988"/>
    <w:rsid w:val="001A3A12"/>
    <w:rsid w:val="001A4595"/>
    <w:rsid w:val="001A5533"/>
    <w:rsid w:val="001A6CCE"/>
    <w:rsid w:val="001A7ACC"/>
    <w:rsid w:val="001A7B14"/>
    <w:rsid w:val="001B01E0"/>
    <w:rsid w:val="001B11E8"/>
    <w:rsid w:val="001B2039"/>
    <w:rsid w:val="001B295A"/>
    <w:rsid w:val="001B441F"/>
    <w:rsid w:val="001B5680"/>
    <w:rsid w:val="001B5DD3"/>
    <w:rsid w:val="001B75BD"/>
    <w:rsid w:val="001B787D"/>
    <w:rsid w:val="001B7B61"/>
    <w:rsid w:val="001C30AC"/>
    <w:rsid w:val="001C3496"/>
    <w:rsid w:val="001C3C14"/>
    <w:rsid w:val="001C452B"/>
    <w:rsid w:val="001C529E"/>
    <w:rsid w:val="001C5D1B"/>
    <w:rsid w:val="001C6DD3"/>
    <w:rsid w:val="001C735B"/>
    <w:rsid w:val="001D2F63"/>
    <w:rsid w:val="001D30B6"/>
    <w:rsid w:val="001D459A"/>
    <w:rsid w:val="001D4C04"/>
    <w:rsid w:val="001D6D20"/>
    <w:rsid w:val="001E01A1"/>
    <w:rsid w:val="001E1B1D"/>
    <w:rsid w:val="001E4F8A"/>
    <w:rsid w:val="001E5124"/>
    <w:rsid w:val="001E5797"/>
    <w:rsid w:val="001E61C1"/>
    <w:rsid w:val="001F3493"/>
    <w:rsid w:val="001F526B"/>
    <w:rsid w:val="001F6DA6"/>
    <w:rsid w:val="001F746E"/>
    <w:rsid w:val="001F7DF3"/>
    <w:rsid w:val="00204833"/>
    <w:rsid w:val="00204C22"/>
    <w:rsid w:val="00204C68"/>
    <w:rsid w:val="00205049"/>
    <w:rsid w:val="00206056"/>
    <w:rsid w:val="002069AA"/>
    <w:rsid w:val="002074E7"/>
    <w:rsid w:val="00210B7D"/>
    <w:rsid w:val="00210D7F"/>
    <w:rsid w:val="0021343D"/>
    <w:rsid w:val="00214279"/>
    <w:rsid w:val="00215FBE"/>
    <w:rsid w:val="0021690A"/>
    <w:rsid w:val="00220848"/>
    <w:rsid w:val="002226DC"/>
    <w:rsid w:val="00223D85"/>
    <w:rsid w:val="00225313"/>
    <w:rsid w:val="002261D4"/>
    <w:rsid w:val="002262D3"/>
    <w:rsid w:val="002263D2"/>
    <w:rsid w:val="0022681A"/>
    <w:rsid w:val="0023069B"/>
    <w:rsid w:val="002314F2"/>
    <w:rsid w:val="00231AB7"/>
    <w:rsid w:val="00234213"/>
    <w:rsid w:val="002365A0"/>
    <w:rsid w:val="002422B4"/>
    <w:rsid w:val="00242C8B"/>
    <w:rsid w:val="002439C1"/>
    <w:rsid w:val="002458DC"/>
    <w:rsid w:val="00246494"/>
    <w:rsid w:val="00250189"/>
    <w:rsid w:val="00250C81"/>
    <w:rsid w:val="00251D82"/>
    <w:rsid w:val="00254E1E"/>
    <w:rsid w:val="00255019"/>
    <w:rsid w:val="002553AE"/>
    <w:rsid w:val="00255CF3"/>
    <w:rsid w:val="002575DF"/>
    <w:rsid w:val="0026138D"/>
    <w:rsid w:val="002621DF"/>
    <w:rsid w:val="00262AB3"/>
    <w:rsid w:val="002633F2"/>
    <w:rsid w:val="0026430B"/>
    <w:rsid w:val="0026612A"/>
    <w:rsid w:val="002661DE"/>
    <w:rsid w:val="00266F73"/>
    <w:rsid w:val="00266F89"/>
    <w:rsid w:val="00271D0C"/>
    <w:rsid w:val="00273C5A"/>
    <w:rsid w:val="00276350"/>
    <w:rsid w:val="00277262"/>
    <w:rsid w:val="002777EB"/>
    <w:rsid w:val="00281F80"/>
    <w:rsid w:val="00281FA0"/>
    <w:rsid w:val="0028334D"/>
    <w:rsid w:val="0028395A"/>
    <w:rsid w:val="00283BA0"/>
    <w:rsid w:val="00284332"/>
    <w:rsid w:val="00284CE8"/>
    <w:rsid w:val="00284D74"/>
    <w:rsid w:val="002850EB"/>
    <w:rsid w:val="00287644"/>
    <w:rsid w:val="00287F01"/>
    <w:rsid w:val="002900B1"/>
    <w:rsid w:val="00290E09"/>
    <w:rsid w:val="00291EFB"/>
    <w:rsid w:val="00292B62"/>
    <w:rsid w:val="00293BC4"/>
    <w:rsid w:val="00295383"/>
    <w:rsid w:val="00295ED1"/>
    <w:rsid w:val="00296439"/>
    <w:rsid w:val="00297465"/>
    <w:rsid w:val="00297C7E"/>
    <w:rsid w:val="002A0D1B"/>
    <w:rsid w:val="002A3A20"/>
    <w:rsid w:val="002A5B25"/>
    <w:rsid w:val="002A76CC"/>
    <w:rsid w:val="002B30F0"/>
    <w:rsid w:val="002B5BB0"/>
    <w:rsid w:val="002B65AD"/>
    <w:rsid w:val="002B7221"/>
    <w:rsid w:val="002C1DC0"/>
    <w:rsid w:val="002C2AB7"/>
    <w:rsid w:val="002C410D"/>
    <w:rsid w:val="002C4DB6"/>
    <w:rsid w:val="002C545F"/>
    <w:rsid w:val="002C56DD"/>
    <w:rsid w:val="002C5B2A"/>
    <w:rsid w:val="002C6DF0"/>
    <w:rsid w:val="002C74A5"/>
    <w:rsid w:val="002D0518"/>
    <w:rsid w:val="002D0A3F"/>
    <w:rsid w:val="002D1CBF"/>
    <w:rsid w:val="002D2709"/>
    <w:rsid w:val="002D3118"/>
    <w:rsid w:val="002D6C03"/>
    <w:rsid w:val="002D7BF6"/>
    <w:rsid w:val="002E03CB"/>
    <w:rsid w:val="002E046C"/>
    <w:rsid w:val="002E0A90"/>
    <w:rsid w:val="002E1321"/>
    <w:rsid w:val="002E1AB2"/>
    <w:rsid w:val="002E1CB3"/>
    <w:rsid w:val="002E4BD2"/>
    <w:rsid w:val="002E4E93"/>
    <w:rsid w:val="002E7DA7"/>
    <w:rsid w:val="002F077E"/>
    <w:rsid w:val="002F1626"/>
    <w:rsid w:val="002F5111"/>
    <w:rsid w:val="002F5911"/>
    <w:rsid w:val="002F5F55"/>
    <w:rsid w:val="002F6D16"/>
    <w:rsid w:val="002F7AA3"/>
    <w:rsid w:val="003040F0"/>
    <w:rsid w:val="00305184"/>
    <w:rsid w:val="00305430"/>
    <w:rsid w:val="00311C1C"/>
    <w:rsid w:val="00311D43"/>
    <w:rsid w:val="003123E1"/>
    <w:rsid w:val="0031341D"/>
    <w:rsid w:val="00313EAB"/>
    <w:rsid w:val="00314549"/>
    <w:rsid w:val="00315BD2"/>
    <w:rsid w:val="00316C56"/>
    <w:rsid w:val="00317121"/>
    <w:rsid w:val="003179CA"/>
    <w:rsid w:val="00322D1A"/>
    <w:rsid w:val="00323FAC"/>
    <w:rsid w:val="0032552F"/>
    <w:rsid w:val="00327F50"/>
    <w:rsid w:val="00332662"/>
    <w:rsid w:val="003340A2"/>
    <w:rsid w:val="0033532E"/>
    <w:rsid w:val="00337402"/>
    <w:rsid w:val="00337763"/>
    <w:rsid w:val="003406A4"/>
    <w:rsid w:val="00340C8F"/>
    <w:rsid w:val="0034172E"/>
    <w:rsid w:val="00341B64"/>
    <w:rsid w:val="00342985"/>
    <w:rsid w:val="00345399"/>
    <w:rsid w:val="00345D47"/>
    <w:rsid w:val="003503BF"/>
    <w:rsid w:val="003519E5"/>
    <w:rsid w:val="0035347D"/>
    <w:rsid w:val="003536F8"/>
    <w:rsid w:val="0035492D"/>
    <w:rsid w:val="00355135"/>
    <w:rsid w:val="00355636"/>
    <w:rsid w:val="00356F06"/>
    <w:rsid w:val="00357A4C"/>
    <w:rsid w:val="0036009E"/>
    <w:rsid w:val="0036068D"/>
    <w:rsid w:val="00361D1C"/>
    <w:rsid w:val="0036307B"/>
    <w:rsid w:val="0036311B"/>
    <w:rsid w:val="00364364"/>
    <w:rsid w:val="00364369"/>
    <w:rsid w:val="0036463E"/>
    <w:rsid w:val="003661A8"/>
    <w:rsid w:val="00370360"/>
    <w:rsid w:val="00370BF7"/>
    <w:rsid w:val="003729CC"/>
    <w:rsid w:val="00372E2E"/>
    <w:rsid w:val="0037608D"/>
    <w:rsid w:val="003765F6"/>
    <w:rsid w:val="003770AD"/>
    <w:rsid w:val="003821DE"/>
    <w:rsid w:val="003832A3"/>
    <w:rsid w:val="0038685D"/>
    <w:rsid w:val="0039025D"/>
    <w:rsid w:val="003902E5"/>
    <w:rsid w:val="00390D46"/>
    <w:rsid w:val="00390F56"/>
    <w:rsid w:val="00391190"/>
    <w:rsid w:val="00395ADF"/>
    <w:rsid w:val="00396626"/>
    <w:rsid w:val="0039795D"/>
    <w:rsid w:val="00397E23"/>
    <w:rsid w:val="003A0A46"/>
    <w:rsid w:val="003A18B8"/>
    <w:rsid w:val="003A4ABC"/>
    <w:rsid w:val="003A4DE6"/>
    <w:rsid w:val="003A61A9"/>
    <w:rsid w:val="003B0367"/>
    <w:rsid w:val="003B0AF4"/>
    <w:rsid w:val="003B155D"/>
    <w:rsid w:val="003B650C"/>
    <w:rsid w:val="003B6AA3"/>
    <w:rsid w:val="003C1C75"/>
    <w:rsid w:val="003C409B"/>
    <w:rsid w:val="003C6416"/>
    <w:rsid w:val="003C707C"/>
    <w:rsid w:val="003C7DB6"/>
    <w:rsid w:val="003D0256"/>
    <w:rsid w:val="003D14E9"/>
    <w:rsid w:val="003D30FA"/>
    <w:rsid w:val="003D35BA"/>
    <w:rsid w:val="003D4BE0"/>
    <w:rsid w:val="003D4D19"/>
    <w:rsid w:val="003E04E8"/>
    <w:rsid w:val="003E1518"/>
    <w:rsid w:val="003E1678"/>
    <w:rsid w:val="003E1F6C"/>
    <w:rsid w:val="003E3845"/>
    <w:rsid w:val="003E6647"/>
    <w:rsid w:val="003E6940"/>
    <w:rsid w:val="003F0B13"/>
    <w:rsid w:val="003F0CAF"/>
    <w:rsid w:val="003F0F07"/>
    <w:rsid w:val="003F1744"/>
    <w:rsid w:val="003F4386"/>
    <w:rsid w:val="003F4B08"/>
    <w:rsid w:val="003F5321"/>
    <w:rsid w:val="003F77BB"/>
    <w:rsid w:val="00400A31"/>
    <w:rsid w:val="0040145D"/>
    <w:rsid w:val="00401E9E"/>
    <w:rsid w:val="004023B9"/>
    <w:rsid w:val="0040288E"/>
    <w:rsid w:val="00404537"/>
    <w:rsid w:val="00404843"/>
    <w:rsid w:val="00407D4D"/>
    <w:rsid w:val="004118BB"/>
    <w:rsid w:val="0041278E"/>
    <w:rsid w:val="00412D48"/>
    <w:rsid w:val="004150D7"/>
    <w:rsid w:val="00415938"/>
    <w:rsid w:val="00417CFF"/>
    <w:rsid w:val="004205E1"/>
    <w:rsid w:val="00420F16"/>
    <w:rsid w:val="004210D2"/>
    <w:rsid w:val="00421D36"/>
    <w:rsid w:val="004221BA"/>
    <w:rsid w:val="0042270C"/>
    <w:rsid w:val="00422858"/>
    <w:rsid w:val="004238B1"/>
    <w:rsid w:val="00423C60"/>
    <w:rsid w:val="00424915"/>
    <w:rsid w:val="0042570C"/>
    <w:rsid w:val="004259BB"/>
    <w:rsid w:val="0042681A"/>
    <w:rsid w:val="004270B7"/>
    <w:rsid w:val="00427ECE"/>
    <w:rsid w:val="0043033D"/>
    <w:rsid w:val="0043121D"/>
    <w:rsid w:val="00431A8F"/>
    <w:rsid w:val="004333A3"/>
    <w:rsid w:val="00433B97"/>
    <w:rsid w:val="00435287"/>
    <w:rsid w:val="004361CC"/>
    <w:rsid w:val="004376C6"/>
    <w:rsid w:val="0044090F"/>
    <w:rsid w:val="00440A7C"/>
    <w:rsid w:val="004415D1"/>
    <w:rsid w:val="004421C2"/>
    <w:rsid w:val="004432C5"/>
    <w:rsid w:val="004438D7"/>
    <w:rsid w:val="004457C3"/>
    <w:rsid w:val="0044583E"/>
    <w:rsid w:val="00446E0F"/>
    <w:rsid w:val="00447876"/>
    <w:rsid w:val="00447CA8"/>
    <w:rsid w:val="004520BE"/>
    <w:rsid w:val="00453B00"/>
    <w:rsid w:val="00454A20"/>
    <w:rsid w:val="00455F06"/>
    <w:rsid w:val="00456E89"/>
    <w:rsid w:val="00457C87"/>
    <w:rsid w:val="00457D41"/>
    <w:rsid w:val="00460171"/>
    <w:rsid w:val="00460CA5"/>
    <w:rsid w:val="0046198B"/>
    <w:rsid w:val="004624FF"/>
    <w:rsid w:val="004627AA"/>
    <w:rsid w:val="00462CC1"/>
    <w:rsid w:val="0046432B"/>
    <w:rsid w:val="004652C9"/>
    <w:rsid w:val="00467698"/>
    <w:rsid w:val="0047193A"/>
    <w:rsid w:val="0047196D"/>
    <w:rsid w:val="00471D06"/>
    <w:rsid w:val="0047223E"/>
    <w:rsid w:val="004743DF"/>
    <w:rsid w:val="00474906"/>
    <w:rsid w:val="00475AF2"/>
    <w:rsid w:val="00476013"/>
    <w:rsid w:val="0048086B"/>
    <w:rsid w:val="00481398"/>
    <w:rsid w:val="00481F5E"/>
    <w:rsid w:val="004846A1"/>
    <w:rsid w:val="00484B35"/>
    <w:rsid w:val="00485C4E"/>
    <w:rsid w:val="0048699F"/>
    <w:rsid w:val="00486C27"/>
    <w:rsid w:val="00487DD3"/>
    <w:rsid w:val="00490B8E"/>
    <w:rsid w:val="0049218E"/>
    <w:rsid w:val="004930C4"/>
    <w:rsid w:val="004948C1"/>
    <w:rsid w:val="00494A79"/>
    <w:rsid w:val="004950D5"/>
    <w:rsid w:val="0049682D"/>
    <w:rsid w:val="004979C9"/>
    <w:rsid w:val="004A0853"/>
    <w:rsid w:val="004A4A0F"/>
    <w:rsid w:val="004A4E2C"/>
    <w:rsid w:val="004A6C18"/>
    <w:rsid w:val="004B1A58"/>
    <w:rsid w:val="004B2152"/>
    <w:rsid w:val="004B3D59"/>
    <w:rsid w:val="004B4355"/>
    <w:rsid w:val="004B4709"/>
    <w:rsid w:val="004B5019"/>
    <w:rsid w:val="004B50B9"/>
    <w:rsid w:val="004B655C"/>
    <w:rsid w:val="004B75B6"/>
    <w:rsid w:val="004B7AE5"/>
    <w:rsid w:val="004C0628"/>
    <w:rsid w:val="004C0BA8"/>
    <w:rsid w:val="004C0E56"/>
    <w:rsid w:val="004C2E64"/>
    <w:rsid w:val="004C4933"/>
    <w:rsid w:val="004C4DFE"/>
    <w:rsid w:val="004C523D"/>
    <w:rsid w:val="004C59B3"/>
    <w:rsid w:val="004C74A9"/>
    <w:rsid w:val="004D0477"/>
    <w:rsid w:val="004D0D26"/>
    <w:rsid w:val="004D2486"/>
    <w:rsid w:val="004D2E46"/>
    <w:rsid w:val="004D2E4C"/>
    <w:rsid w:val="004D31E5"/>
    <w:rsid w:val="004D3393"/>
    <w:rsid w:val="004D42EE"/>
    <w:rsid w:val="004D495B"/>
    <w:rsid w:val="004D4BFF"/>
    <w:rsid w:val="004D52BD"/>
    <w:rsid w:val="004D6512"/>
    <w:rsid w:val="004E06F9"/>
    <w:rsid w:val="004E34AA"/>
    <w:rsid w:val="004E35C1"/>
    <w:rsid w:val="004E436E"/>
    <w:rsid w:val="004E49F5"/>
    <w:rsid w:val="004E62A9"/>
    <w:rsid w:val="004F098B"/>
    <w:rsid w:val="004F19EF"/>
    <w:rsid w:val="004F220B"/>
    <w:rsid w:val="004F4657"/>
    <w:rsid w:val="004F5212"/>
    <w:rsid w:val="004F6557"/>
    <w:rsid w:val="004F66DC"/>
    <w:rsid w:val="004F702E"/>
    <w:rsid w:val="005006A6"/>
    <w:rsid w:val="00501E8B"/>
    <w:rsid w:val="00502D3B"/>
    <w:rsid w:val="00503D33"/>
    <w:rsid w:val="00504502"/>
    <w:rsid w:val="00504750"/>
    <w:rsid w:val="00505B5C"/>
    <w:rsid w:val="00507246"/>
    <w:rsid w:val="0050738D"/>
    <w:rsid w:val="005103E6"/>
    <w:rsid w:val="00512203"/>
    <w:rsid w:val="00512824"/>
    <w:rsid w:val="0051297D"/>
    <w:rsid w:val="00513F9F"/>
    <w:rsid w:val="0051508F"/>
    <w:rsid w:val="00517C54"/>
    <w:rsid w:val="00517CA9"/>
    <w:rsid w:val="00520D11"/>
    <w:rsid w:val="00522556"/>
    <w:rsid w:val="005226D1"/>
    <w:rsid w:val="005228F5"/>
    <w:rsid w:val="00525F20"/>
    <w:rsid w:val="005267F0"/>
    <w:rsid w:val="00526C9A"/>
    <w:rsid w:val="0052719A"/>
    <w:rsid w:val="0052768E"/>
    <w:rsid w:val="0052786C"/>
    <w:rsid w:val="005310BE"/>
    <w:rsid w:val="00531146"/>
    <w:rsid w:val="00531EF8"/>
    <w:rsid w:val="00533821"/>
    <w:rsid w:val="00534A1D"/>
    <w:rsid w:val="0053593D"/>
    <w:rsid w:val="005374AF"/>
    <w:rsid w:val="00543395"/>
    <w:rsid w:val="0054444D"/>
    <w:rsid w:val="0054620F"/>
    <w:rsid w:val="005465A6"/>
    <w:rsid w:val="005473CB"/>
    <w:rsid w:val="0054756F"/>
    <w:rsid w:val="005476BB"/>
    <w:rsid w:val="00550333"/>
    <w:rsid w:val="005504F2"/>
    <w:rsid w:val="00551949"/>
    <w:rsid w:val="00555F84"/>
    <w:rsid w:val="00560F6D"/>
    <w:rsid w:val="00561740"/>
    <w:rsid w:val="00561F77"/>
    <w:rsid w:val="005642AE"/>
    <w:rsid w:val="00566A1F"/>
    <w:rsid w:val="00567573"/>
    <w:rsid w:val="005700E5"/>
    <w:rsid w:val="0057192B"/>
    <w:rsid w:val="00574269"/>
    <w:rsid w:val="0057456B"/>
    <w:rsid w:val="00574E17"/>
    <w:rsid w:val="00574E5A"/>
    <w:rsid w:val="00575FB1"/>
    <w:rsid w:val="00577ED5"/>
    <w:rsid w:val="00580CBE"/>
    <w:rsid w:val="005817EA"/>
    <w:rsid w:val="00581AB2"/>
    <w:rsid w:val="00581F1C"/>
    <w:rsid w:val="0058208B"/>
    <w:rsid w:val="00582350"/>
    <w:rsid w:val="00582DBE"/>
    <w:rsid w:val="00583350"/>
    <w:rsid w:val="005836D0"/>
    <w:rsid w:val="005869BE"/>
    <w:rsid w:val="0058732B"/>
    <w:rsid w:val="00587352"/>
    <w:rsid w:val="00587719"/>
    <w:rsid w:val="005904B9"/>
    <w:rsid w:val="0059651D"/>
    <w:rsid w:val="00597803"/>
    <w:rsid w:val="00597ACA"/>
    <w:rsid w:val="005A00CA"/>
    <w:rsid w:val="005A0295"/>
    <w:rsid w:val="005A2255"/>
    <w:rsid w:val="005A2DCA"/>
    <w:rsid w:val="005A2F69"/>
    <w:rsid w:val="005A3B16"/>
    <w:rsid w:val="005A5E1D"/>
    <w:rsid w:val="005A5E9D"/>
    <w:rsid w:val="005A7024"/>
    <w:rsid w:val="005A75BB"/>
    <w:rsid w:val="005B26DB"/>
    <w:rsid w:val="005B3FD8"/>
    <w:rsid w:val="005C14F8"/>
    <w:rsid w:val="005C2828"/>
    <w:rsid w:val="005C3D91"/>
    <w:rsid w:val="005C4222"/>
    <w:rsid w:val="005C45BC"/>
    <w:rsid w:val="005C4637"/>
    <w:rsid w:val="005C5473"/>
    <w:rsid w:val="005C651C"/>
    <w:rsid w:val="005C736C"/>
    <w:rsid w:val="005D1647"/>
    <w:rsid w:val="005D3D93"/>
    <w:rsid w:val="005E1044"/>
    <w:rsid w:val="005E313B"/>
    <w:rsid w:val="005E3592"/>
    <w:rsid w:val="005E3E1C"/>
    <w:rsid w:val="005E4D3E"/>
    <w:rsid w:val="005E7205"/>
    <w:rsid w:val="005E75D0"/>
    <w:rsid w:val="005E7ABB"/>
    <w:rsid w:val="005E7B22"/>
    <w:rsid w:val="005E7D02"/>
    <w:rsid w:val="005F04BD"/>
    <w:rsid w:val="005F246C"/>
    <w:rsid w:val="005F2FDC"/>
    <w:rsid w:val="005F31A5"/>
    <w:rsid w:val="005F3696"/>
    <w:rsid w:val="005F3A36"/>
    <w:rsid w:val="005F5C5E"/>
    <w:rsid w:val="005F64BE"/>
    <w:rsid w:val="005F6BE1"/>
    <w:rsid w:val="005F703F"/>
    <w:rsid w:val="005F71B6"/>
    <w:rsid w:val="005F7DC9"/>
    <w:rsid w:val="00600430"/>
    <w:rsid w:val="006014D0"/>
    <w:rsid w:val="00601B19"/>
    <w:rsid w:val="00603F28"/>
    <w:rsid w:val="00604DDE"/>
    <w:rsid w:val="00606A48"/>
    <w:rsid w:val="006076A6"/>
    <w:rsid w:val="00607D10"/>
    <w:rsid w:val="00611AF9"/>
    <w:rsid w:val="00612AF0"/>
    <w:rsid w:val="00613216"/>
    <w:rsid w:val="006134F1"/>
    <w:rsid w:val="00613CCD"/>
    <w:rsid w:val="00615789"/>
    <w:rsid w:val="00615AE8"/>
    <w:rsid w:val="0061779D"/>
    <w:rsid w:val="0062049C"/>
    <w:rsid w:val="0062089D"/>
    <w:rsid w:val="00622A47"/>
    <w:rsid w:val="00630111"/>
    <w:rsid w:val="00630D1E"/>
    <w:rsid w:val="00631ADE"/>
    <w:rsid w:val="006325E0"/>
    <w:rsid w:val="0063295C"/>
    <w:rsid w:val="00632E51"/>
    <w:rsid w:val="0063431B"/>
    <w:rsid w:val="00635E6E"/>
    <w:rsid w:val="006420DC"/>
    <w:rsid w:val="006430CA"/>
    <w:rsid w:val="006431B3"/>
    <w:rsid w:val="00644057"/>
    <w:rsid w:val="006448A9"/>
    <w:rsid w:val="006468CA"/>
    <w:rsid w:val="006469E9"/>
    <w:rsid w:val="00646B00"/>
    <w:rsid w:val="00646B2D"/>
    <w:rsid w:val="00647461"/>
    <w:rsid w:val="006474A5"/>
    <w:rsid w:val="00651D3A"/>
    <w:rsid w:val="00653517"/>
    <w:rsid w:val="00653C48"/>
    <w:rsid w:val="006554D5"/>
    <w:rsid w:val="00656F5F"/>
    <w:rsid w:val="00657694"/>
    <w:rsid w:val="00657A22"/>
    <w:rsid w:val="0066148D"/>
    <w:rsid w:val="00663189"/>
    <w:rsid w:val="006642BD"/>
    <w:rsid w:val="006655BD"/>
    <w:rsid w:val="00665B56"/>
    <w:rsid w:val="006672F2"/>
    <w:rsid w:val="006674ED"/>
    <w:rsid w:val="00670417"/>
    <w:rsid w:val="00670D05"/>
    <w:rsid w:val="006713B8"/>
    <w:rsid w:val="006720D3"/>
    <w:rsid w:val="00675148"/>
    <w:rsid w:val="00677042"/>
    <w:rsid w:val="00677100"/>
    <w:rsid w:val="00677878"/>
    <w:rsid w:val="00680D41"/>
    <w:rsid w:val="006819B8"/>
    <w:rsid w:val="0068277B"/>
    <w:rsid w:val="00687D51"/>
    <w:rsid w:val="00693EB7"/>
    <w:rsid w:val="00695897"/>
    <w:rsid w:val="006A01BD"/>
    <w:rsid w:val="006A22BC"/>
    <w:rsid w:val="006A28B4"/>
    <w:rsid w:val="006A4BCE"/>
    <w:rsid w:val="006A59E3"/>
    <w:rsid w:val="006A5D98"/>
    <w:rsid w:val="006A613D"/>
    <w:rsid w:val="006B007E"/>
    <w:rsid w:val="006B1ACB"/>
    <w:rsid w:val="006B26BF"/>
    <w:rsid w:val="006B3341"/>
    <w:rsid w:val="006B5688"/>
    <w:rsid w:val="006B644B"/>
    <w:rsid w:val="006B6D9D"/>
    <w:rsid w:val="006C0016"/>
    <w:rsid w:val="006C0797"/>
    <w:rsid w:val="006C2700"/>
    <w:rsid w:val="006C28D2"/>
    <w:rsid w:val="006C368D"/>
    <w:rsid w:val="006C4768"/>
    <w:rsid w:val="006C6926"/>
    <w:rsid w:val="006D1D8E"/>
    <w:rsid w:val="006D4C94"/>
    <w:rsid w:val="006D5151"/>
    <w:rsid w:val="006D6E80"/>
    <w:rsid w:val="006D7036"/>
    <w:rsid w:val="006E0643"/>
    <w:rsid w:val="006E2D31"/>
    <w:rsid w:val="006E4932"/>
    <w:rsid w:val="006E4A1F"/>
    <w:rsid w:val="006E4BE5"/>
    <w:rsid w:val="006E52C1"/>
    <w:rsid w:val="006E6F15"/>
    <w:rsid w:val="006F5BB4"/>
    <w:rsid w:val="006F7B6E"/>
    <w:rsid w:val="007035E7"/>
    <w:rsid w:val="00705742"/>
    <w:rsid w:val="00705F21"/>
    <w:rsid w:val="007074DD"/>
    <w:rsid w:val="00707D24"/>
    <w:rsid w:val="00710403"/>
    <w:rsid w:val="00710984"/>
    <w:rsid w:val="00713A25"/>
    <w:rsid w:val="00714455"/>
    <w:rsid w:val="00715857"/>
    <w:rsid w:val="00715C66"/>
    <w:rsid w:val="007162A8"/>
    <w:rsid w:val="0071663A"/>
    <w:rsid w:val="00716F42"/>
    <w:rsid w:val="00717BDD"/>
    <w:rsid w:val="00725E09"/>
    <w:rsid w:val="00725F86"/>
    <w:rsid w:val="007274BF"/>
    <w:rsid w:val="00730148"/>
    <w:rsid w:val="00731A68"/>
    <w:rsid w:val="007327A3"/>
    <w:rsid w:val="007348B7"/>
    <w:rsid w:val="00740F67"/>
    <w:rsid w:val="007418A6"/>
    <w:rsid w:val="0074328C"/>
    <w:rsid w:val="00745131"/>
    <w:rsid w:val="00745857"/>
    <w:rsid w:val="00746C20"/>
    <w:rsid w:val="007479B4"/>
    <w:rsid w:val="0075085A"/>
    <w:rsid w:val="00751239"/>
    <w:rsid w:val="00751763"/>
    <w:rsid w:val="0075232E"/>
    <w:rsid w:val="00752C80"/>
    <w:rsid w:val="00753E30"/>
    <w:rsid w:val="007565D5"/>
    <w:rsid w:val="00757338"/>
    <w:rsid w:val="00763DA2"/>
    <w:rsid w:val="00764AC4"/>
    <w:rsid w:val="00766795"/>
    <w:rsid w:val="00766C12"/>
    <w:rsid w:val="00767667"/>
    <w:rsid w:val="00767704"/>
    <w:rsid w:val="00770BA4"/>
    <w:rsid w:val="00770D6E"/>
    <w:rsid w:val="00772277"/>
    <w:rsid w:val="00773AEA"/>
    <w:rsid w:val="00774383"/>
    <w:rsid w:val="00776365"/>
    <w:rsid w:val="00777211"/>
    <w:rsid w:val="00780FC1"/>
    <w:rsid w:val="0078157A"/>
    <w:rsid w:val="00783565"/>
    <w:rsid w:val="00784C2E"/>
    <w:rsid w:val="00784CF2"/>
    <w:rsid w:val="0078525C"/>
    <w:rsid w:val="007878F5"/>
    <w:rsid w:val="007918D1"/>
    <w:rsid w:val="00791D41"/>
    <w:rsid w:val="007928DE"/>
    <w:rsid w:val="00792AD7"/>
    <w:rsid w:val="00792B11"/>
    <w:rsid w:val="00793259"/>
    <w:rsid w:val="00793432"/>
    <w:rsid w:val="007936BA"/>
    <w:rsid w:val="00793B69"/>
    <w:rsid w:val="00796EF1"/>
    <w:rsid w:val="007A0C7B"/>
    <w:rsid w:val="007A10F4"/>
    <w:rsid w:val="007A66C1"/>
    <w:rsid w:val="007B1A3F"/>
    <w:rsid w:val="007B3583"/>
    <w:rsid w:val="007B4FD7"/>
    <w:rsid w:val="007B569C"/>
    <w:rsid w:val="007B5E6D"/>
    <w:rsid w:val="007B77E8"/>
    <w:rsid w:val="007C009D"/>
    <w:rsid w:val="007C0890"/>
    <w:rsid w:val="007C0D05"/>
    <w:rsid w:val="007C24E9"/>
    <w:rsid w:val="007C277E"/>
    <w:rsid w:val="007C5362"/>
    <w:rsid w:val="007C6CD2"/>
    <w:rsid w:val="007C7A2E"/>
    <w:rsid w:val="007D1D7E"/>
    <w:rsid w:val="007D30D5"/>
    <w:rsid w:val="007D38BB"/>
    <w:rsid w:val="007D5E65"/>
    <w:rsid w:val="007D654F"/>
    <w:rsid w:val="007D6D76"/>
    <w:rsid w:val="007D70C9"/>
    <w:rsid w:val="007E2354"/>
    <w:rsid w:val="007E2840"/>
    <w:rsid w:val="007E30A1"/>
    <w:rsid w:val="007E78A6"/>
    <w:rsid w:val="007E7A86"/>
    <w:rsid w:val="007F0B8E"/>
    <w:rsid w:val="007F11D8"/>
    <w:rsid w:val="007F1AAB"/>
    <w:rsid w:val="007F2A00"/>
    <w:rsid w:val="007F3529"/>
    <w:rsid w:val="007F53AC"/>
    <w:rsid w:val="007F6E4A"/>
    <w:rsid w:val="007F7664"/>
    <w:rsid w:val="007F7812"/>
    <w:rsid w:val="0080292B"/>
    <w:rsid w:val="00802EB7"/>
    <w:rsid w:val="00803104"/>
    <w:rsid w:val="00803845"/>
    <w:rsid w:val="008041F1"/>
    <w:rsid w:val="00805732"/>
    <w:rsid w:val="00805867"/>
    <w:rsid w:val="0080670F"/>
    <w:rsid w:val="008069C4"/>
    <w:rsid w:val="00807700"/>
    <w:rsid w:val="008109CC"/>
    <w:rsid w:val="008110DB"/>
    <w:rsid w:val="0081275C"/>
    <w:rsid w:val="00813429"/>
    <w:rsid w:val="00816219"/>
    <w:rsid w:val="00820DDF"/>
    <w:rsid w:val="00823668"/>
    <w:rsid w:val="00825542"/>
    <w:rsid w:val="0082601D"/>
    <w:rsid w:val="008269E7"/>
    <w:rsid w:val="00827D63"/>
    <w:rsid w:val="00830327"/>
    <w:rsid w:val="0083130A"/>
    <w:rsid w:val="00831DC5"/>
    <w:rsid w:val="00831DD5"/>
    <w:rsid w:val="008322FB"/>
    <w:rsid w:val="00834B47"/>
    <w:rsid w:val="00835434"/>
    <w:rsid w:val="00835E62"/>
    <w:rsid w:val="00835F82"/>
    <w:rsid w:val="00836CC0"/>
    <w:rsid w:val="00836E32"/>
    <w:rsid w:val="00837362"/>
    <w:rsid w:val="0083770D"/>
    <w:rsid w:val="00841195"/>
    <w:rsid w:val="00843FCF"/>
    <w:rsid w:val="00845751"/>
    <w:rsid w:val="00845926"/>
    <w:rsid w:val="0084651E"/>
    <w:rsid w:val="00847CD5"/>
    <w:rsid w:val="00850159"/>
    <w:rsid w:val="00850351"/>
    <w:rsid w:val="00851717"/>
    <w:rsid w:val="00852D08"/>
    <w:rsid w:val="008539FE"/>
    <w:rsid w:val="0085561F"/>
    <w:rsid w:val="00855DE9"/>
    <w:rsid w:val="00856DDF"/>
    <w:rsid w:val="008574F4"/>
    <w:rsid w:val="00860781"/>
    <w:rsid w:val="00862D28"/>
    <w:rsid w:val="00863BC3"/>
    <w:rsid w:val="008644CA"/>
    <w:rsid w:val="00866C94"/>
    <w:rsid w:val="008675FD"/>
    <w:rsid w:val="008679D7"/>
    <w:rsid w:val="00872CA7"/>
    <w:rsid w:val="00873C55"/>
    <w:rsid w:val="008820F9"/>
    <w:rsid w:val="0088217E"/>
    <w:rsid w:val="0088259C"/>
    <w:rsid w:val="00882CA9"/>
    <w:rsid w:val="00882E43"/>
    <w:rsid w:val="00883011"/>
    <w:rsid w:val="0088679C"/>
    <w:rsid w:val="00891299"/>
    <w:rsid w:val="008919A1"/>
    <w:rsid w:val="00893562"/>
    <w:rsid w:val="008941F2"/>
    <w:rsid w:val="00894E52"/>
    <w:rsid w:val="008A00E3"/>
    <w:rsid w:val="008A2E8A"/>
    <w:rsid w:val="008A34C1"/>
    <w:rsid w:val="008A4682"/>
    <w:rsid w:val="008A697B"/>
    <w:rsid w:val="008B0F74"/>
    <w:rsid w:val="008B2E43"/>
    <w:rsid w:val="008B43AE"/>
    <w:rsid w:val="008B580B"/>
    <w:rsid w:val="008B6263"/>
    <w:rsid w:val="008B7F99"/>
    <w:rsid w:val="008C0F32"/>
    <w:rsid w:val="008C1D9E"/>
    <w:rsid w:val="008C1F46"/>
    <w:rsid w:val="008D021B"/>
    <w:rsid w:val="008D0CC2"/>
    <w:rsid w:val="008D132D"/>
    <w:rsid w:val="008D187F"/>
    <w:rsid w:val="008D18C8"/>
    <w:rsid w:val="008D3664"/>
    <w:rsid w:val="008D4A96"/>
    <w:rsid w:val="008D6191"/>
    <w:rsid w:val="008D624D"/>
    <w:rsid w:val="008D68D6"/>
    <w:rsid w:val="008E07F6"/>
    <w:rsid w:val="008E1F5F"/>
    <w:rsid w:val="008E1FBD"/>
    <w:rsid w:val="008E2A74"/>
    <w:rsid w:val="008E2FE2"/>
    <w:rsid w:val="008E3ECC"/>
    <w:rsid w:val="008E51EF"/>
    <w:rsid w:val="008E6322"/>
    <w:rsid w:val="008F299B"/>
    <w:rsid w:val="008F3636"/>
    <w:rsid w:val="008F4539"/>
    <w:rsid w:val="008F4800"/>
    <w:rsid w:val="008F69CA"/>
    <w:rsid w:val="008F70DB"/>
    <w:rsid w:val="008F727A"/>
    <w:rsid w:val="008F7DFF"/>
    <w:rsid w:val="009028BC"/>
    <w:rsid w:val="00902D94"/>
    <w:rsid w:val="0090321F"/>
    <w:rsid w:val="00906172"/>
    <w:rsid w:val="00907A5D"/>
    <w:rsid w:val="00910009"/>
    <w:rsid w:val="009113A8"/>
    <w:rsid w:val="009116D0"/>
    <w:rsid w:val="00911DDD"/>
    <w:rsid w:val="00913A40"/>
    <w:rsid w:val="00915514"/>
    <w:rsid w:val="009165BB"/>
    <w:rsid w:val="0091689D"/>
    <w:rsid w:val="00917E37"/>
    <w:rsid w:val="00920862"/>
    <w:rsid w:val="00920EE2"/>
    <w:rsid w:val="00920FEA"/>
    <w:rsid w:val="00921253"/>
    <w:rsid w:val="0092164B"/>
    <w:rsid w:val="00922C1C"/>
    <w:rsid w:val="00922FE7"/>
    <w:rsid w:val="00924128"/>
    <w:rsid w:val="00924C01"/>
    <w:rsid w:val="0092642F"/>
    <w:rsid w:val="00927238"/>
    <w:rsid w:val="00930A55"/>
    <w:rsid w:val="00931022"/>
    <w:rsid w:val="009310D3"/>
    <w:rsid w:val="0093416F"/>
    <w:rsid w:val="00934EF9"/>
    <w:rsid w:val="00935BF4"/>
    <w:rsid w:val="0094202C"/>
    <w:rsid w:val="00942808"/>
    <w:rsid w:val="00943DE9"/>
    <w:rsid w:val="00947907"/>
    <w:rsid w:val="009500DD"/>
    <w:rsid w:val="009514D7"/>
    <w:rsid w:val="00954ADA"/>
    <w:rsid w:val="00955736"/>
    <w:rsid w:val="0095792E"/>
    <w:rsid w:val="0096038B"/>
    <w:rsid w:val="009716F0"/>
    <w:rsid w:val="00971A32"/>
    <w:rsid w:val="00973854"/>
    <w:rsid w:val="00983C52"/>
    <w:rsid w:val="0098417A"/>
    <w:rsid w:val="00985BDF"/>
    <w:rsid w:val="00985DFD"/>
    <w:rsid w:val="0098762D"/>
    <w:rsid w:val="00987A77"/>
    <w:rsid w:val="0099009E"/>
    <w:rsid w:val="009902BF"/>
    <w:rsid w:val="009903E9"/>
    <w:rsid w:val="009913B5"/>
    <w:rsid w:val="00991F2E"/>
    <w:rsid w:val="00993C75"/>
    <w:rsid w:val="00994D1F"/>
    <w:rsid w:val="00996178"/>
    <w:rsid w:val="00996433"/>
    <w:rsid w:val="00996AF2"/>
    <w:rsid w:val="00996DA8"/>
    <w:rsid w:val="009970B2"/>
    <w:rsid w:val="00997647"/>
    <w:rsid w:val="009A05A0"/>
    <w:rsid w:val="009A0C3B"/>
    <w:rsid w:val="009A1794"/>
    <w:rsid w:val="009A2CA7"/>
    <w:rsid w:val="009A30E9"/>
    <w:rsid w:val="009A3888"/>
    <w:rsid w:val="009A470E"/>
    <w:rsid w:val="009A4818"/>
    <w:rsid w:val="009B0C8E"/>
    <w:rsid w:val="009B248C"/>
    <w:rsid w:val="009B5E78"/>
    <w:rsid w:val="009B772A"/>
    <w:rsid w:val="009B79E5"/>
    <w:rsid w:val="009C06D8"/>
    <w:rsid w:val="009C13A4"/>
    <w:rsid w:val="009C13CC"/>
    <w:rsid w:val="009C15B3"/>
    <w:rsid w:val="009C1797"/>
    <w:rsid w:val="009C2D6A"/>
    <w:rsid w:val="009C309D"/>
    <w:rsid w:val="009C3273"/>
    <w:rsid w:val="009C6668"/>
    <w:rsid w:val="009C68BA"/>
    <w:rsid w:val="009C7160"/>
    <w:rsid w:val="009C76D5"/>
    <w:rsid w:val="009C7A7A"/>
    <w:rsid w:val="009D0BBA"/>
    <w:rsid w:val="009D151A"/>
    <w:rsid w:val="009D1E7E"/>
    <w:rsid w:val="009D268E"/>
    <w:rsid w:val="009D2C7A"/>
    <w:rsid w:val="009D32ED"/>
    <w:rsid w:val="009D34F9"/>
    <w:rsid w:val="009D3BC3"/>
    <w:rsid w:val="009D625A"/>
    <w:rsid w:val="009D6C30"/>
    <w:rsid w:val="009E2314"/>
    <w:rsid w:val="009E3303"/>
    <w:rsid w:val="009E45A3"/>
    <w:rsid w:val="009F06B4"/>
    <w:rsid w:val="009F164C"/>
    <w:rsid w:val="009F1D1A"/>
    <w:rsid w:val="009F24B3"/>
    <w:rsid w:val="009F40F9"/>
    <w:rsid w:val="009F4EAD"/>
    <w:rsid w:val="009F53EA"/>
    <w:rsid w:val="009F57BE"/>
    <w:rsid w:val="009F653C"/>
    <w:rsid w:val="009F68E0"/>
    <w:rsid w:val="00A031DE"/>
    <w:rsid w:val="00A033AF"/>
    <w:rsid w:val="00A057D6"/>
    <w:rsid w:val="00A05EA8"/>
    <w:rsid w:val="00A07374"/>
    <w:rsid w:val="00A10F16"/>
    <w:rsid w:val="00A10F70"/>
    <w:rsid w:val="00A1165E"/>
    <w:rsid w:val="00A12B1F"/>
    <w:rsid w:val="00A12F12"/>
    <w:rsid w:val="00A1513A"/>
    <w:rsid w:val="00A15DA4"/>
    <w:rsid w:val="00A1760B"/>
    <w:rsid w:val="00A20C12"/>
    <w:rsid w:val="00A20F0D"/>
    <w:rsid w:val="00A239D4"/>
    <w:rsid w:val="00A26050"/>
    <w:rsid w:val="00A2674B"/>
    <w:rsid w:val="00A27E6F"/>
    <w:rsid w:val="00A316EC"/>
    <w:rsid w:val="00A317B2"/>
    <w:rsid w:val="00A3309E"/>
    <w:rsid w:val="00A34966"/>
    <w:rsid w:val="00A36532"/>
    <w:rsid w:val="00A36FFE"/>
    <w:rsid w:val="00A378F3"/>
    <w:rsid w:val="00A41AB0"/>
    <w:rsid w:val="00A43133"/>
    <w:rsid w:val="00A432F4"/>
    <w:rsid w:val="00A44B01"/>
    <w:rsid w:val="00A44CD3"/>
    <w:rsid w:val="00A455A5"/>
    <w:rsid w:val="00A45B31"/>
    <w:rsid w:val="00A461A2"/>
    <w:rsid w:val="00A520A9"/>
    <w:rsid w:val="00A52834"/>
    <w:rsid w:val="00A531FE"/>
    <w:rsid w:val="00A56C6F"/>
    <w:rsid w:val="00A56CE2"/>
    <w:rsid w:val="00A57722"/>
    <w:rsid w:val="00A5794C"/>
    <w:rsid w:val="00A61787"/>
    <w:rsid w:val="00A62C19"/>
    <w:rsid w:val="00A6356B"/>
    <w:rsid w:val="00A63AFF"/>
    <w:rsid w:val="00A65D72"/>
    <w:rsid w:val="00A71854"/>
    <w:rsid w:val="00A7204A"/>
    <w:rsid w:val="00A72319"/>
    <w:rsid w:val="00A7232F"/>
    <w:rsid w:val="00A7463A"/>
    <w:rsid w:val="00A747EE"/>
    <w:rsid w:val="00A74E93"/>
    <w:rsid w:val="00A75C0D"/>
    <w:rsid w:val="00A75C1D"/>
    <w:rsid w:val="00A75F8F"/>
    <w:rsid w:val="00A763AD"/>
    <w:rsid w:val="00A7750D"/>
    <w:rsid w:val="00A820EE"/>
    <w:rsid w:val="00A82345"/>
    <w:rsid w:val="00A860DE"/>
    <w:rsid w:val="00A865D5"/>
    <w:rsid w:val="00A911B0"/>
    <w:rsid w:val="00A9144A"/>
    <w:rsid w:val="00A94094"/>
    <w:rsid w:val="00A95530"/>
    <w:rsid w:val="00A969DD"/>
    <w:rsid w:val="00AA0E63"/>
    <w:rsid w:val="00AA1C3E"/>
    <w:rsid w:val="00AA1D55"/>
    <w:rsid w:val="00AA2BA7"/>
    <w:rsid w:val="00AA2F40"/>
    <w:rsid w:val="00AA4595"/>
    <w:rsid w:val="00AA45A7"/>
    <w:rsid w:val="00AA6160"/>
    <w:rsid w:val="00AA63A5"/>
    <w:rsid w:val="00AA6769"/>
    <w:rsid w:val="00AA6AB8"/>
    <w:rsid w:val="00AA755A"/>
    <w:rsid w:val="00AB10E6"/>
    <w:rsid w:val="00AB1F57"/>
    <w:rsid w:val="00AB20C2"/>
    <w:rsid w:val="00AB225F"/>
    <w:rsid w:val="00AB2B72"/>
    <w:rsid w:val="00AB2F2C"/>
    <w:rsid w:val="00AB375E"/>
    <w:rsid w:val="00AB4F2F"/>
    <w:rsid w:val="00AB6165"/>
    <w:rsid w:val="00AB649C"/>
    <w:rsid w:val="00AB6CC2"/>
    <w:rsid w:val="00AB6F2F"/>
    <w:rsid w:val="00AB7E63"/>
    <w:rsid w:val="00AC3E54"/>
    <w:rsid w:val="00AC5740"/>
    <w:rsid w:val="00AC6D15"/>
    <w:rsid w:val="00AC6E3A"/>
    <w:rsid w:val="00AD073F"/>
    <w:rsid w:val="00AD07E6"/>
    <w:rsid w:val="00AD1489"/>
    <w:rsid w:val="00AD1A99"/>
    <w:rsid w:val="00AD3AC3"/>
    <w:rsid w:val="00AD5C89"/>
    <w:rsid w:val="00AD6D05"/>
    <w:rsid w:val="00AD738A"/>
    <w:rsid w:val="00AD7B40"/>
    <w:rsid w:val="00AE1BA9"/>
    <w:rsid w:val="00AE240A"/>
    <w:rsid w:val="00AE32DE"/>
    <w:rsid w:val="00AE3D4D"/>
    <w:rsid w:val="00AE4BA1"/>
    <w:rsid w:val="00AE4BAF"/>
    <w:rsid w:val="00AE6B19"/>
    <w:rsid w:val="00AF038C"/>
    <w:rsid w:val="00AF0541"/>
    <w:rsid w:val="00AF0CCE"/>
    <w:rsid w:val="00AF1218"/>
    <w:rsid w:val="00AF2C7E"/>
    <w:rsid w:val="00AF43EB"/>
    <w:rsid w:val="00AF6FA1"/>
    <w:rsid w:val="00B01064"/>
    <w:rsid w:val="00B03A4B"/>
    <w:rsid w:val="00B04611"/>
    <w:rsid w:val="00B049BA"/>
    <w:rsid w:val="00B05100"/>
    <w:rsid w:val="00B119E8"/>
    <w:rsid w:val="00B15812"/>
    <w:rsid w:val="00B15AA6"/>
    <w:rsid w:val="00B16AF4"/>
    <w:rsid w:val="00B16DBB"/>
    <w:rsid w:val="00B17DDE"/>
    <w:rsid w:val="00B202D3"/>
    <w:rsid w:val="00B221AC"/>
    <w:rsid w:val="00B22827"/>
    <w:rsid w:val="00B22B35"/>
    <w:rsid w:val="00B22EA2"/>
    <w:rsid w:val="00B26981"/>
    <w:rsid w:val="00B26A48"/>
    <w:rsid w:val="00B30E38"/>
    <w:rsid w:val="00B33DBC"/>
    <w:rsid w:val="00B349BD"/>
    <w:rsid w:val="00B3682E"/>
    <w:rsid w:val="00B36D0C"/>
    <w:rsid w:val="00B37A44"/>
    <w:rsid w:val="00B37E38"/>
    <w:rsid w:val="00B4120C"/>
    <w:rsid w:val="00B42857"/>
    <w:rsid w:val="00B434F5"/>
    <w:rsid w:val="00B453C9"/>
    <w:rsid w:val="00B46F93"/>
    <w:rsid w:val="00B470C1"/>
    <w:rsid w:val="00B47AD6"/>
    <w:rsid w:val="00B5025D"/>
    <w:rsid w:val="00B513B1"/>
    <w:rsid w:val="00B51992"/>
    <w:rsid w:val="00B52499"/>
    <w:rsid w:val="00B52CAF"/>
    <w:rsid w:val="00B535E8"/>
    <w:rsid w:val="00B53D82"/>
    <w:rsid w:val="00B54304"/>
    <w:rsid w:val="00B55380"/>
    <w:rsid w:val="00B6036B"/>
    <w:rsid w:val="00B62868"/>
    <w:rsid w:val="00B641BF"/>
    <w:rsid w:val="00B64781"/>
    <w:rsid w:val="00B648DF"/>
    <w:rsid w:val="00B66FAA"/>
    <w:rsid w:val="00B7390B"/>
    <w:rsid w:val="00B77D14"/>
    <w:rsid w:val="00B77EA1"/>
    <w:rsid w:val="00B80587"/>
    <w:rsid w:val="00B81E05"/>
    <w:rsid w:val="00B827AC"/>
    <w:rsid w:val="00B827D8"/>
    <w:rsid w:val="00B83240"/>
    <w:rsid w:val="00B84A72"/>
    <w:rsid w:val="00B84E5E"/>
    <w:rsid w:val="00B91125"/>
    <w:rsid w:val="00B91330"/>
    <w:rsid w:val="00B91738"/>
    <w:rsid w:val="00B917C0"/>
    <w:rsid w:val="00B925F9"/>
    <w:rsid w:val="00B9365F"/>
    <w:rsid w:val="00B9676B"/>
    <w:rsid w:val="00BA1AAF"/>
    <w:rsid w:val="00BA1D8D"/>
    <w:rsid w:val="00BA37C8"/>
    <w:rsid w:val="00BA390C"/>
    <w:rsid w:val="00BA440B"/>
    <w:rsid w:val="00BA5258"/>
    <w:rsid w:val="00BA5920"/>
    <w:rsid w:val="00BB1DAD"/>
    <w:rsid w:val="00BB4B15"/>
    <w:rsid w:val="00BB6D3F"/>
    <w:rsid w:val="00BB6EAD"/>
    <w:rsid w:val="00BC0626"/>
    <w:rsid w:val="00BC2455"/>
    <w:rsid w:val="00BC2C61"/>
    <w:rsid w:val="00BC3AAF"/>
    <w:rsid w:val="00BC4C60"/>
    <w:rsid w:val="00BC5280"/>
    <w:rsid w:val="00BC52FD"/>
    <w:rsid w:val="00BC5CBC"/>
    <w:rsid w:val="00BC6A80"/>
    <w:rsid w:val="00BC7F4A"/>
    <w:rsid w:val="00BD128F"/>
    <w:rsid w:val="00BD27D8"/>
    <w:rsid w:val="00BD2AA8"/>
    <w:rsid w:val="00BD345F"/>
    <w:rsid w:val="00BD3FE0"/>
    <w:rsid w:val="00BD400F"/>
    <w:rsid w:val="00BD72A6"/>
    <w:rsid w:val="00BD7FCC"/>
    <w:rsid w:val="00BE2E68"/>
    <w:rsid w:val="00BE415C"/>
    <w:rsid w:val="00BE57C6"/>
    <w:rsid w:val="00BE60C6"/>
    <w:rsid w:val="00BE648F"/>
    <w:rsid w:val="00BE689D"/>
    <w:rsid w:val="00BE6C99"/>
    <w:rsid w:val="00BE7E2A"/>
    <w:rsid w:val="00BF14E4"/>
    <w:rsid w:val="00BF2090"/>
    <w:rsid w:val="00BF24DB"/>
    <w:rsid w:val="00BF2E98"/>
    <w:rsid w:val="00BF51CE"/>
    <w:rsid w:val="00BF520E"/>
    <w:rsid w:val="00BF544B"/>
    <w:rsid w:val="00BF5EE3"/>
    <w:rsid w:val="00BF66CB"/>
    <w:rsid w:val="00BF742E"/>
    <w:rsid w:val="00C02ADE"/>
    <w:rsid w:val="00C02E1B"/>
    <w:rsid w:val="00C04455"/>
    <w:rsid w:val="00C05D96"/>
    <w:rsid w:val="00C07130"/>
    <w:rsid w:val="00C114F3"/>
    <w:rsid w:val="00C11949"/>
    <w:rsid w:val="00C11D2C"/>
    <w:rsid w:val="00C12773"/>
    <w:rsid w:val="00C12D3D"/>
    <w:rsid w:val="00C15E13"/>
    <w:rsid w:val="00C16BD6"/>
    <w:rsid w:val="00C174A7"/>
    <w:rsid w:val="00C179FF"/>
    <w:rsid w:val="00C2297F"/>
    <w:rsid w:val="00C22B9F"/>
    <w:rsid w:val="00C2576E"/>
    <w:rsid w:val="00C26712"/>
    <w:rsid w:val="00C27F48"/>
    <w:rsid w:val="00C31886"/>
    <w:rsid w:val="00C34099"/>
    <w:rsid w:val="00C36300"/>
    <w:rsid w:val="00C404FD"/>
    <w:rsid w:val="00C4225F"/>
    <w:rsid w:val="00C4459B"/>
    <w:rsid w:val="00C44EBC"/>
    <w:rsid w:val="00C45B14"/>
    <w:rsid w:val="00C478C7"/>
    <w:rsid w:val="00C500BC"/>
    <w:rsid w:val="00C502FE"/>
    <w:rsid w:val="00C504C6"/>
    <w:rsid w:val="00C528D6"/>
    <w:rsid w:val="00C558C4"/>
    <w:rsid w:val="00C564E7"/>
    <w:rsid w:val="00C57A31"/>
    <w:rsid w:val="00C60327"/>
    <w:rsid w:val="00C6208D"/>
    <w:rsid w:val="00C62F7C"/>
    <w:rsid w:val="00C6350E"/>
    <w:rsid w:val="00C636BA"/>
    <w:rsid w:val="00C64EF8"/>
    <w:rsid w:val="00C701BD"/>
    <w:rsid w:val="00C70689"/>
    <w:rsid w:val="00C70C25"/>
    <w:rsid w:val="00C72FED"/>
    <w:rsid w:val="00C73E85"/>
    <w:rsid w:val="00C74BDF"/>
    <w:rsid w:val="00C74E21"/>
    <w:rsid w:val="00C773CE"/>
    <w:rsid w:val="00C7777B"/>
    <w:rsid w:val="00C823EA"/>
    <w:rsid w:val="00C83659"/>
    <w:rsid w:val="00C83961"/>
    <w:rsid w:val="00C85227"/>
    <w:rsid w:val="00C86453"/>
    <w:rsid w:val="00C87663"/>
    <w:rsid w:val="00C87DB2"/>
    <w:rsid w:val="00C90EDB"/>
    <w:rsid w:val="00C920E0"/>
    <w:rsid w:val="00C94C09"/>
    <w:rsid w:val="00C94ED0"/>
    <w:rsid w:val="00C966E9"/>
    <w:rsid w:val="00CA01BA"/>
    <w:rsid w:val="00CA1DAC"/>
    <w:rsid w:val="00CA236D"/>
    <w:rsid w:val="00CA2BB2"/>
    <w:rsid w:val="00CA33C0"/>
    <w:rsid w:val="00CA3899"/>
    <w:rsid w:val="00CA4C10"/>
    <w:rsid w:val="00CA6F39"/>
    <w:rsid w:val="00CB0318"/>
    <w:rsid w:val="00CB10B6"/>
    <w:rsid w:val="00CB28C6"/>
    <w:rsid w:val="00CB294A"/>
    <w:rsid w:val="00CB5505"/>
    <w:rsid w:val="00CB5CC1"/>
    <w:rsid w:val="00CB6005"/>
    <w:rsid w:val="00CB67D1"/>
    <w:rsid w:val="00CC041B"/>
    <w:rsid w:val="00CC1A0E"/>
    <w:rsid w:val="00CC24FC"/>
    <w:rsid w:val="00CC393C"/>
    <w:rsid w:val="00CC3F4C"/>
    <w:rsid w:val="00CC568C"/>
    <w:rsid w:val="00CC6CA7"/>
    <w:rsid w:val="00CC7573"/>
    <w:rsid w:val="00CD0072"/>
    <w:rsid w:val="00CD021F"/>
    <w:rsid w:val="00CD02CE"/>
    <w:rsid w:val="00CD06FB"/>
    <w:rsid w:val="00CD26AA"/>
    <w:rsid w:val="00CD2758"/>
    <w:rsid w:val="00CD44CA"/>
    <w:rsid w:val="00CD6014"/>
    <w:rsid w:val="00CD6BF4"/>
    <w:rsid w:val="00CE0349"/>
    <w:rsid w:val="00CE13D0"/>
    <w:rsid w:val="00CE1616"/>
    <w:rsid w:val="00CE1C62"/>
    <w:rsid w:val="00CE31CE"/>
    <w:rsid w:val="00CE551E"/>
    <w:rsid w:val="00CE5779"/>
    <w:rsid w:val="00CE708E"/>
    <w:rsid w:val="00CE745B"/>
    <w:rsid w:val="00CE75AE"/>
    <w:rsid w:val="00CF1991"/>
    <w:rsid w:val="00CF52B6"/>
    <w:rsid w:val="00CF6700"/>
    <w:rsid w:val="00CF6C7C"/>
    <w:rsid w:val="00CF74C6"/>
    <w:rsid w:val="00D00B73"/>
    <w:rsid w:val="00D01007"/>
    <w:rsid w:val="00D010B8"/>
    <w:rsid w:val="00D021D5"/>
    <w:rsid w:val="00D03219"/>
    <w:rsid w:val="00D040E0"/>
    <w:rsid w:val="00D0724D"/>
    <w:rsid w:val="00D118F3"/>
    <w:rsid w:val="00D11A16"/>
    <w:rsid w:val="00D11A81"/>
    <w:rsid w:val="00D11C82"/>
    <w:rsid w:val="00D12184"/>
    <w:rsid w:val="00D122D0"/>
    <w:rsid w:val="00D13C77"/>
    <w:rsid w:val="00D13F77"/>
    <w:rsid w:val="00D14C24"/>
    <w:rsid w:val="00D176AD"/>
    <w:rsid w:val="00D179CE"/>
    <w:rsid w:val="00D21C72"/>
    <w:rsid w:val="00D25F5E"/>
    <w:rsid w:val="00D266D7"/>
    <w:rsid w:val="00D2739C"/>
    <w:rsid w:val="00D27C02"/>
    <w:rsid w:val="00D30C76"/>
    <w:rsid w:val="00D32222"/>
    <w:rsid w:val="00D328CF"/>
    <w:rsid w:val="00D331EC"/>
    <w:rsid w:val="00D334B7"/>
    <w:rsid w:val="00D343AC"/>
    <w:rsid w:val="00D350A1"/>
    <w:rsid w:val="00D355B8"/>
    <w:rsid w:val="00D35C1F"/>
    <w:rsid w:val="00D35F96"/>
    <w:rsid w:val="00D37037"/>
    <w:rsid w:val="00D374B6"/>
    <w:rsid w:val="00D374D2"/>
    <w:rsid w:val="00D44A4E"/>
    <w:rsid w:val="00D46F86"/>
    <w:rsid w:val="00D51981"/>
    <w:rsid w:val="00D52578"/>
    <w:rsid w:val="00D526C9"/>
    <w:rsid w:val="00D52C6A"/>
    <w:rsid w:val="00D5410B"/>
    <w:rsid w:val="00D57642"/>
    <w:rsid w:val="00D62DCF"/>
    <w:rsid w:val="00D640E9"/>
    <w:rsid w:val="00D73DF6"/>
    <w:rsid w:val="00D743CE"/>
    <w:rsid w:val="00D74508"/>
    <w:rsid w:val="00D753A5"/>
    <w:rsid w:val="00D77C52"/>
    <w:rsid w:val="00D81A32"/>
    <w:rsid w:val="00D82276"/>
    <w:rsid w:val="00D82B83"/>
    <w:rsid w:val="00D82F48"/>
    <w:rsid w:val="00D84848"/>
    <w:rsid w:val="00D84B87"/>
    <w:rsid w:val="00D84FBB"/>
    <w:rsid w:val="00D865EC"/>
    <w:rsid w:val="00D87362"/>
    <w:rsid w:val="00D90087"/>
    <w:rsid w:val="00D90098"/>
    <w:rsid w:val="00D90A64"/>
    <w:rsid w:val="00D92779"/>
    <w:rsid w:val="00D9412B"/>
    <w:rsid w:val="00D94840"/>
    <w:rsid w:val="00D950C8"/>
    <w:rsid w:val="00D95488"/>
    <w:rsid w:val="00D95653"/>
    <w:rsid w:val="00D95672"/>
    <w:rsid w:val="00D96D7E"/>
    <w:rsid w:val="00DA08C2"/>
    <w:rsid w:val="00DA0CDA"/>
    <w:rsid w:val="00DA344E"/>
    <w:rsid w:val="00DA34A7"/>
    <w:rsid w:val="00DA4535"/>
    <w:rsid w:val="00DA4B00"/>
    <w:rsid w:val="00DA5304"/>
    <w:rsid w:val="00DA5A15"/>
    <w:rsid w:val="00DA6136"/>
    <w:rsid w:val="00DA634A"/>
    <w:rsid w:val="00DA6A8C"/>
    <w:rsid w:val="00DA6EEC"/>
    <w:rsid w:val="00DA769F"/>
    <w:rsid w:val="00DB115C"/>
    <w:rsid w:val="00DB1594"/>
    <w:rsid w:val="00DB2705"/>
    <w:rsid w:val="00DB2E2F"/>
    <w:rsid w:val="00DB358B"/>
    <w:rsid w:val="00DB63B9"/>
    <w:rsid w:val="00DB6BC8"/>
    <w:rsid w:val="00DB6C9A"/>
    <w:rsid w:val="00DB7B6E"/>
    <w:rsid w:val="00DC008A"/>
    <w:rsid w:val="00DC7328"/>
    <w:rsid w:val="00DD194B"/>
    <w:rsid w:val="00DD1E22"/>
    <w:rsid w:val="00DD4346"/>
    <w:rsid w:val="00DD5B83"/>
    <w:rsid w:val="00DD72DD"/>
    <w:rsid w:val="00DE0645"/>
    <w:rsid w:val="00DE1C19"/>
    <w:rsid w:val="00DE1CF4"/>
    <w:rsid w:val="00DE3B2E"/>
    <w:rsid w:val="00DE3DA5"/>
    <w:rsid w:val="00DE3E6D"/>
    <w:rsid w:val="00DE561F"/>
    <w:rsid w:val="00DF0180"/>
    <w:rsid w:val="00DF0718"/>
    <w:rsid w:val="00DF2E68"/>
    <w:rsid w:val="00DF31E8"/>
    <w:rsid w:val="00DF3839"/>
    <w:rsid w:val="00DF3900"/>
    <w:rsid w:val="00DF5927"/>
    <w:rsid w:val="00DF77D5"/>
    <w:rsid w:val="00E0204D"/>
    <w:rsid w:val="00E029B1"/>
    <w:rsid w:val="00E02A59"/>
    <w:rsid w:val="00E02C1E"/>
    <w:rsid w:val="00E0409A"/>
    <w:rsid w:val="00E044CC"/>
    <w:rsid w:val="00E07581"/>
    <w:rsid w:val="00E10F0A"/>
    <w:rsid w:val="00E118D4"/>
    <w:rsid w:val="00E1507D"/>
    <w:rsid w:val="00E15732"/>
    <w:rsid w:val="00E2098D"/>
    <w:rsid w:val="00E20C15"/>
    <w:rsid w:val="00E20FEE"/>
    <w:rsid w:val="00E21F02"/>
    <w:rsid w:val="00E23495"/>
    <w:rsid w:val="00E24B2A"/>
    <w:rsid w:val="00E24D68"/>
    <w:rsid w:val="00E26A59"/>
    <w:rsid w:val="00E27024"/>
    <w:rsid w:val="00E271EB"/>
    <w:rsid w:val="00E300F4"/>
    <w:rsid w:val="00E31308"/>
    <w:rsid w:val="00E32482"/>
    <w:rsid w:val="00E32E1B"/>
    <w:rsid w:val="00E35806"/>
    <w:rsid w:val="00E35FFD"/>
    <w:rsid w:val="00E40B3B"/>
    <w:rsid w:val="00E40FEB"/>
    <w:rsid w:val="00E41DD5"/>
    <w:rsid w:val="00E42463"/>
    <w:rsid w:val="00E43197"/>
    <w:rsid w:val="00E4610F"/>
    <w:rsid w:val="00E462D6"/>
    <w:rsid w:val="00E46E92"/>
    <w:rsid w:val="00E470A5"/>
    <w:rsid w:val="00E474C4"/>
    <w:rsid w:val="00E50E20"/>
    <w:rsid w:val="00E520B7"/>
    <w:rsid w:val="00E520FD"/>
    <w:rsid w:val="00E53E0B"/>
    <w:rsid w:val="00E54A89"/>
    <w:rsid w:val="00E559FA"/>
    <w:rsid w:val="00E55A33"/>
    <w:rsid w:val="00E57E9D"/>
    <w:rsid w:val="00E64531"/>
    <w:rsid w:val="00E646A6"/>
    <w:rsid w:val="00E64943"/>
    <w:rsid w:val="00E66051"/>
    <w:rsid w:val="00E6735E"/>
    <w:rsid w:val="00E703B5"/>
    <w:rsid w:val="00E7090B"/>
    <w:rsid w:val="00E70B81"/>
    <w:rsid w:val="00E70E62"/>
    <w:rsid w:val="00E71550"/>
    <w:rsid w:val="00E71DE7"/>
    <w:rsid w:val="00E72832"/>
    <w:rsid w:val="00E73044"/>
    <w:rsid w:val="00E733D6"/>
    <w:rsid w:val="00E7385F"/>
    <w:rsid w:val="00E73EE0"/>
    <w:rsid w:val="00E7414E"/>
    <w:rsid w:val="00E76B5F"/>
    <w:rsid w:val="00E80947"/>
    <w:rsid w:val="00E80D43"/>
    <w:rsid w:val="00E819C4"/>
    <w:rsid w:val="00E81B6E"/>
    <w:rsid w:val="00E81DA7"/>
    <w:rsid w:val="00E82BB2"/>
    <w:rsid w:val="00E855DE"/>
    <w:rsid w:val="00E86774"/>
    <w:rsid w:val="00E9016E"/>
    <w:rsid w:val="00E90D45"/>
    <w:rsid w:val="00E920F3"/>
    <w:rsid w:val="00E942A7"/>
    <w:rsid w:val="00E9508A"/>
    <w:rsid w:val="00E957C5"/>
    <w:rsid w:val="00EA0028"/>
    <w:rsid w:val="00EA0D97"/>
    <w:rsid w:val="00EA117E"/>
    <w:rsid w:val="00EA1B3F"/>
    <w:rsid w:val="00EA229A"/>
    <w:rsid w:val="00EA37AF"/>
    <w:rsid w:val="00EA50A9"/>
    <w:rsid w:val="00EA532E"/>
    <w:rsid w:val="00EB36A3"/>
    <w:rsid w:val="00EB3D2A"/>
    <w:rsid w:val="00EB43E0"/>
    <w:rsid w:val="00EB4EB4"/>
    <w:rsid w:val="00EC02FD"/>
    <w:rsid w:val="00EC3B3B"/>
    <w:rsid w:val="00EC5985"/>
    <w:rsid w:val="00EC7C10"/>
    <w:rsid w:val="00ED0CC4"/>
    <w:rsid w:val="00ED2A46"/>
    <w:rsid w:val="00ED2EC3"/>
    <w:rsid w:val="00ED3355"/>
    <w:rsid w:val="00ED3DF5"/>
    <w:rsid w:val="00ED4266"/>
    <w:rsid w:val="00ED42F9"/>
    <w:rsid w:val="00ED4628"/>
    <w:rsid w:val="00ED6335"/>
    <w:rsid w:val="00ED6B6D"/>
    <w:rsid w:val="00EE0E92"/>
    <w:rsid w:val="00EE5757"/>
    <w:rsid w:val="00EE66EA"/>
    <w:rsid w:val="00EF156E"/>
    <w:rsid w:val="00EF54E8"/>
    <w:rsid w:val="00EF5A5C"/>
    <w:rsid w:val="00F0027A"/>
    <w:rsid w:val="00F01B37"/>
    <w:rsid w:val="00F02A72"/>
    <w:rsid w:val="00F038FA"/>
    <w:rsid w:val="00F03BA2"/>
    <w:rsid w:val="00F0452C"/>
    <w:rsid w:val="00F04716"/>
    <w:rsid w:val="00F04D50"/>
    <w:rsid w:val="00F051C3"/>
    <w:rsid w:val="00F05DB4"/>
    <w:rsid w:val="00F0782F"/>
    <w:rsid w:val="00F1226A"/>
    <w:rsid w:val="00F12BAC"/>
    <w:rsid w:val="00F132E0"/>
    <w:rsid w:val="00F14454"/>
    <w:rsid w:val="00F156CC"/>
    <w:rsid w:val="00F1650B"/>
    <w:rsid w:val="00F1681E"/>
    <w:rsid w:val="00F16B0C"/>
    <w:rsid w:val="00F16B21"/>
    <w:rsid w:val="00F16CC3"/>
    <w:rsid w:val="00F20E9B"/>
    <w:rsid w:val="00F21DD2"/>
    <w:rsid w:val="00F21F08"/>
    <w:rsid w:val="00F2204D"/>
    <w:rsid w:val="00F235BD"/>
    <w:rsid w:val="00F23C35"/>
    <w:rsid w:val="00F25D2D"/>
    <w:rsid w:val="00F268F5"/>
    <w:rsid w:val="00F276AE"/>
    <w:rsid w:val="00F3125C"/>
    <w:rsid w:val="00F31DC8"/>
    <w:rsid w:val="00F31E54"/>
    <w:rsid w:val="00F32053"/>
    <w:rsid w:val="00F33F17"/>
    <w:rsid w:val="00F34A56"/>
    <w:rsid w:val="00F34F02"/>
    <w:rsid w:val="00F367BD"/>
    <w:rsid w:val="00F36C92"/>
    <w:rsid w:val="00F36F36"/>
    <w:rsid w:val="00F37924"/>
    <w:rsid w:val="00F40D8C"/>
    <w:rsid w:val="00F515E8"/>
    <w:rsid w:val="00F51A83"/>
    <w:rsid w:val="00F54323"/>
    <w:rsid w:val="00F57A17"/>
    <w:rsid w:val="00F57DF0"/>
    <w:rsid w:val="00F57F88"/>
    <w:rsid w:val="00F615F4"/>
    <w:rsid w:val="00F61A2F"/>
    <w:rsid w:val="00F621C9"/>
    <w:rsid w:val="00F6378A"/>
    <w:rsid w:val="00F63CF6"/>
    <w:rsid w:val="00F64298"/>
    <w:rsid w:val="00F65D85"/>
    <w:rsid w:val="00F66255"/>
    <w:rsid w:val="00F707D8"/>
    <w:rsid w:val="00F70821"/>
    <w:rsid w:val="00F70B38"/>
    <w:rsid w:val="00F70B3F"/>
    <w:rsid w:val="00F71150"/>
    <w:rsid w:val="00F72205"/>
    <w:rsid w:val="00F72CF5"/>
    <w:rsid w:val="00F733A6"/>
    <w:rsid w:val="00F743F6"/>
    <w:rsid w:val="00F75114"/>
    <w:rsid w:val="00F7595F"/>
    <w:rsid w:val="00F762DE"/>
    <w:rsid w:val="00F8076B"/>
    <w:rsid w:val="00F81B20"/>
    <w:rsid w:val="00F81BDD"/>
    <w:rsid w:val="00F84184"/>
    <w:rsid w:val="00F84284"/>
    <w:rsid w:val="00F84B25"/>
    <w:rsid w:val="00F856E3"/>
    <w:rsid w:val="00F86AED"/>
    <w:rsid w:val="00F86E13"/>
    <w:rsid w:val="00F86FFE"/>
    <w:rsid w:val="00F93D1F"/>
    <w:rsid w:val="00F944F9"/>
    <w:rsid w:val="00F946EE"/>
    <w:rsid w:val="00F94F3C"/>
    <w:rsid w:val="00F95693"/>
    <w:rsid w:val="00F96540"/>
    <w:rsid w:val="00FA14C9"/>
    <w:rsid w:val="00FA1DB3"/>
    <w:rsid w:val="00FA31D8"/>
    <w:rsid w:val="00FA6307"/>
    <w:rsid w:val="00FA6C55"/>
    <w:rsid w:val="00FA7052"/>
    <w:rsid w:val="00FA7BCD"/>
    <w:rsid w:val="00FB0F40"/>
    <w:rsid w:val="00FB29E1"/>
    <w:rsid w:val="00FB34EA"/>
    <w:rsid w:val="00FB5D2B"/>
    <w:rsid w:val="00FB761F"/>
    <w:rsid w:val="00FB78B7"/>
    <w:rsid w:val="00FB7D42"/>
    <w:rsid w:val="00FC02DE"/>
    <w:rsid w:val="00FC0864"/>
    <w:rsid w:val="00FC265E"/>
    <w:rsid w:val="00FC27D5"/>
    <w:rsid w:val="00FC4FB3"/>
    <w:rsid w:val="00FC5C7D"/>
    <w:rsid w:val="00FC6857"/>
    <w:rsid w:val="00FC6CDF"/>
    <w:rsid w:val="00FD078C"/>
    <w:rsid w:val="00FD13C9"/>
    <w:rsid w:val="00FD14AD"/>
    <w:rsid w:val="00FD1949"/>
    <w:rsid w:val="00FD2BC7"/>
    <w:rsid w:val="00FD2EE7"/>
    <w:rsid w:val="00FD4549"/>
    <w:rsid w:val="00FD4FB4"/>
    <w:rsid w:val="00FE34C5"/>
    <w:rsid w:val="00FE3663"/>
    <w:rsid w:val="00FE39B6"/>
    <w:rsid w:val="00FE3F45"/>
    <w:rsid w:val="00FE46E9"/>
    <w:rsid w:val="00FE48E6"/>
    <w:rsid w:val="00FE5B93"/>
    <w:rsid w:val="00FF3065"/>
    <w:rsid w:val="00FF41EC"/>
    <w:rsid w:val="00FF6138"/>
    <w:rsid w:val="00FF694F"/>
    <w:rsid w:val="00FF7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850EB"/>
    <w:rPr>
      <w:color w:val="666666"/>
    </w:rPr>
  </w:style>
  <w:style w:type="paragraph" w:styleId="Revisie">
    <w:name w:val="Revision"/>
    <w:hidden/>
    <w:uiPriority w:val="99"/>
    <w:semiHidden/>
    <w:rsid w:val="002850EB"/>
    <w:rPr>
      <w:rFonts w:ascii="Univers" w:hAnsi="Univers"/>
      <w:sz w:val="22"/>
      <w:szCs w:val="24"/>
    </w:rPr>
  </w:style>
  <w:style w:type="paragraph" w:styleId="Lijstalinea">
    <w:name w:val="List Paragraph"/>
    <w:basedOn w:val="Standaard"/>
    <w:uiPriority w:val="34"/>
    <w:qFormat/>
    <w:rsid w:val="008A697B"/>
    <w:pPr>
      <w:ind w:left="720"/>
      <w:contextualSpacing/>
    </w:pPr>
  </w:style>
  <w:style w:type="paragraph" w:styleId="Voetnoottekst">
    <w:name w:val="footnote text"/>
    <w:basedOn w:val="Standaard"/>
    <w:link w:val="VoetnoottekstChar"/>
    <w:uiPriority w:val="99"/>
    <w:semiHidden/>
    <w:unhideWhenUsed/>
    <w:rsid w:val="00D950C8"/>
    <w:rPr>
      <w:sz w:val="20"/>
      <w:szCs w:val="20"/>
    </w:rPr>
  </w:style>
  <w:style w:type="character" w:customStyle="1" w:styleId="VoetnoottekstChar">
    <w:name w:val="Voetnoottekst Char"/>
    <w:basedOn w:val="Standaardalinea-lettertype"/>
    <w:link w:val="Voetnoottekst"/>
    <w:uiPriority w:val="99"/>
    <w:semiHidden/>
    <w:rsid w:val="00D950C8"/>
    <w:rPr>
      <w:rFonts w:ascii="Univers" w:hAnsi="Univers"/>
    </w:rPr>
  </w:style>
  <w:style w:type="character" w:styleId="Voetnootmarkering">
    <w:name w:val="footnote reference"/>
    <w:basedOn w:val="Standaardalinea-lettertype"/>
    <w:uiPriority w:val="99"/>
    <w:semiHidden/>
    <w:unhideWhenUsed/>
    <w:rsid w:val="00D950C8"/>
    <w:rPr>
      <w:vertAlign w:val="superscript"/>
    </w:rPr>
  </w:style>
  <w:style w:type="character" w:styleId="Verwijzingopmerking">
    <w:name w:val="annotation reference"/>
    <w:basedOn w:val="Standaardalinea-lettertype"/>
    <w:uiPriority w:val="99"/>
    <w:semiHidden/>
    <w:unhideWhenUsed/>
    <w:rsid w:val="00FB29E1"/>
    <w:rPr>
      <w:sz w:val="16"/>
      <w:szCs w:val="16"/>
    </w:rPr>
  </w:style>
  <w:style w:type="paragraph" w:styleId="Tekstopmerking">
    <w:name w:val="annotation text"/>
    <w:basedOn w:val="Standaard"/>
    <w:link w:val="TekstopmerkingChar"/>
    <w:uiPriority w:val="99"/>
    <w:unhideWhenUsed/>
    <w:rsid w:val="00FB29E1"/>
    <w:rPr>
      <w:sz w:val="20"/>
      <w:szCs w:val="20"/>
    </w:rPr>
  </w:style>
  <w:style w:type="character" w:customStyle="1" w:styleId="TekstopmerkingChar">
    <w:name w:val="Tekst opmerking Char"/>
    <w:basedOn w:val="Standaardalinea-lettertype"/>
    <w:link w:val="Tekstopmerking"/>
    <w:uiPriority w:val="99"/>
    <w:rsid w:val="00FB29E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B29E1"/>
    <w:rPr>
      <w:b/>
      <w:bCs/>
    </w:rPr>
  </w:style>
  <w:style w:type="character" w:customStyle="1" w:styleId="OnderwerpvanopmerkingChar">
    <w:name w:val="Onderwerp van opmerking Char"/>
    <w:basedOn w:val="TekstopmerkingChar"/>
    <w:link w:val="Onderwerpvanopmerking"/>
    <w:uiPriority w:val="99"/>
    <w:semiHidden/>
    <w:rsid w:val="00FB29E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20121">
      <w:bodyDiv w:val="1"/>
      <w:marLeft w:val="0"/>
      <w:marRight w:val="0"/>
      <w:marTop w:val="0"/>
      <w:marBottom w:val="0"/>
      <w:divBdr>
        <w:top w:val="none" w:sz="0" w:space="0" w:color="auto"/>
        <w:left w:val="none" w:sz="0" w:space="0" w:color="auto"/>
        <w:bottom w:val="none" w:sz="0" w:space="0" w:color="auto"/>
        <w:right w:val="none" w:sz="0" w:space="0" w:color="auto"/>
      </w:divBdr>
    </w:div>
    <w:div w:id="15676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EFBA4C5-06E9-4A03-AD96-584CA6FFAEB9}"/>
      </w:docPartPr>
      <w:docPartBody>
        <w:p w:rsidR="002C1E2C" w:rsidRDefault="002C1E2C">
          <w:r w:rsidRPr="004B602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2C"/>
    <w:rsid w:val="0003420C"/>
    <w:rsid w:val="000C74A2"/>
    <w:rsid w:val="00103C65"/>
    <w:rsid w:val="00113CFA"/>
    <w:rsid w:val="00145232"/>
    <w:rsid w:val="001A4C90"/>
    <w:rsid w:val="001C3496"/>
    <w:rsid w:val="002C1E2C"/>
    <w:rsid w:val="00316C56"/>
    <w:rsid w:val="0033175C"/>
    <w:rsid w:val="00332302"/>
    <w:rsid w:val="0039795D"/>
    <w:rsid w:val="003B0AF4"/>
    <w:rsid w:val="004150D7"/>
    <w:rsid w:val="0042570C"/>
    <w:rsid w:val="00446E0F"/>
    <w:rsid w:val="004D4BFF"/>
    <w:rsid w:val="00534A1D"/>
    <w:rsid w:val="00553A4B"/>
    <w:rsid w:val="00561740"/>
    <w:rsid w:val="005A0295"/>
    <w:rsid w:val="005F2FDC"/>
    <w:rsid w:val="00670D05"/>
    <w:rsid w:val="006B26BF"/>
    <w:rsid w:val="006C2700"/>
    <w:rsid w:val="00745131"/>
    <w:rsid w:val="00753E30"/>
    <w:rsid w:val="007918D1"/>
    <w:rsid w:val="007C7A2E"/>
    <w:rsid w:val="008010DE"/>
    <w:rsid w:val="008525A3"/>
    <w:rsid w:val="0088679C"/>
    <w:rsid w:val="00920862"/>
    <w:rsid w:val="00922C1C"/>
    <w:rsid w:val="009C2D6A"/>
    <w:rsid w:val="009C76D5"/>
    <w:rsid w:val="00A72319"/>
    <w:rsid w:val="00AC1782"/>
    <w:rsid w:val="00AD07E6"/>
    <w:rsid w:val="00B01064"/>
    <w:rsid w:val="00BD3FE0"/>
    <w:rsid w:val="00C70689"/>
    <w:rsid w:val="00CB67D1"/>
    <w:rsid w:val="00CF74C6"/>
    <w:rsid w:val="00D0724D"/>
    <w:rsid w:val="00D122D0"/>
    <w:rsid w:val="00D70F88"/>
    <w:rsid w:val="00D90087"/>
    <w:rsid w:val="00DA6136"/>
    <w:rsid w:val="00DF0718"/>
    <w:rsid w:val="00DF31E8"/>
    <w:rsid w:val="00E02C1E"/>
    <w:rsid w:val="00E300F4"/>
    <w:rsid w:val="00E40B3B"/>
    <w:rsid w:val="00E462D6"/>
    <w:rsid w:val="00E82BB2"/>
    <w:rsid w:val="00F57A17"/>
    <w:rsid w:val="00FE3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C1E2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2367</ap:Words>
  <ap:Characters>14057</ap:Characters>
  <ap:DocSecurity>0</ap:DocSecurity>
  <ap:Lines>117</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2026-06-02T12:18:00.0000000Z</dcterms:created>
  <dcterms:modified xsi:type="dcterms:W3CDTF">2026-06-02T12:18:00.0000000Z</dcterms:modified>
  <dc:description>------------------------</dc:description>
  <version/>
  <category/>
</coreProperties>
</file>