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43FB1" w14:paraId="589E45DB" w14:textId="77777777">
      <w:r w:rsidRPr="001F366B">
        <w:t xml:space="preserve">Tijdens het commissiedebat Discriminatie, racisme en mensenrechten van 29 januari 2025 heeft mijn ambtsvoorganger uw Kamer toegezegd om </w:t>
      </w:r>
      <w:r>
        <w:t xml:space="preserve">een paar keer per jaar </w:t>
      </w:r>
      <w:r w:rsidRPr="001F366B">
        <w:t xml:space="preserve">een brief te sturen over de voortgang en implementatie van dossiers </w:t>
      </w:r>
      <w:r w:rsidR="00EA2B59">
        <w:t>over de aanpak van</w:t>
      </w:r>
      <w:r w:rsidRPr="001F366B">
        <w:t xml:space="preserve"> discriminatie en racisme op het terrein van het ministerie van Binnenlandse Zaken en Koninkrijksrelaties</w:t>
      </w:r>
      <w:r w:rsidR="0042592F">
        <w:t xml:space="preserve"> (BZK)</w:t>
      </w:r>
      <w:r w:rsidRPr="001F366B">
        <w:t xml:space="preserve">. Hierbij ontvangt u de </w:t>
      </w:r>
      <w:r>
        <w:t>eerste</w:t>
      </w:r>
      <w:r w:rsidRPr="001F366B">
        <w:t xml:space="preserve"> voortgangsbrief </w:t>
      </w:r>
      <w:r w:rsidR="00E8071C">
        <w:t>sinds mijn aantreden als minister van BZK</w:t>
      </w:r>
      <w:r w:rsidRPr="001F366B">
        <w:t>.</w:t>
      </w:r>
    </w:p>
    <w:p w:rsidR="00043FB1" w14:paraId="4AEABB80" w14:textId="77777777"/>
    <w:p w:rsidRPr="001F366B" w:rsidR="00043FB1" w:rsidP="001F366B" w14:paraId="2A27E848" w14:textId="77777777">
      <w:pPr>
        <w:pStyle w:val="ListParagraph"/>
        <w:numPr>
          <w:ilvl w:val="0"/>
          <w:numId w:val="5"/>
        </w:numPr>
        <w:rPr>
          <w:b/>
          <w:bCs/>
        </w:rPr>
      </w:pPr>
      <w:r w:rsidRPr="001F366B">
        <w:rPr>
          <w:b/>
          <w:bCs/>
        </w:rPr>
        <w:t>Wetgeving</w:t>
      </w:r>
    </w:p>
    <w:p w:rsidR="001F366B" w:rsidP="001F366B" w14:paraId="5806D045" w14:textId="77777777"/>
    <w:p w:rsidR="008B0CCC" w:rsidP="00C75679" w14:paraId="1870D729" w14:textId="77777777">
      <w:pPr>
        <w:rPr>
          <w:i/>
          <w:iCs/>
        </w:rPr>
      </w:pPr>
      <w:r>
        <w:rPr>
          <w:i/>
          <w:iCs/>
        </w:rPr>
        <w:t>Wetsvoorstel bijstand bij discriminatie</w:t>
      </w:r>
    </w:p>
    <w:p w:rsidR="001F366B" w:rsidP="00C75679" w14:paraId="3BFB0F8B" w14:textId="77777777">
      <w:r>
        <w:t xml:space="preserve">Het </w:t>
      </w:r>
      <w:r>
        <w:t>concept wetsvoorstel</w:t>
      </w:r>
      <w:r>
        <w:t xml:space="preserve"> Bijstand bij discriminatie heeft opengestaan voor (internet)consultatie van 23 maart tot 1 juni 2026. Op de internetconsultatie zijn ruim 50 reacties ontvangen. Ook zijn de gevraagde toetsen en adviezen van het Adviescollege toetsing regeldruk, de Autoriteit Persoonsgegevens, het College voor de Rechten van de Mens</w:t>
      </w:r>
      <w:r w:rsidR="007E1BA8">
        <w:t xml:space="preserve"> (hierna: het College)</w:t>
      </w:r>
      <w:r>
        <w:t xml:space="preserve"> en de Vereniging van Nederlandse Gemeenten ontvangen. De reacties worden verwerkt in een aangepaste versie van het </w:t>
      </w:r>
      <w:r>
        <w:t>concept wetsvoorstel</w:t>
      </w:r>
      <w:r>
        <w:t>. De planning is dat dit</w:t>
      </w:r>
      <w:r w:rsidR="00B730A2">
        <w:t xml:space="preserve"> wetsvoorstel</w:t>
      </w:r>
      <w:r>
        <w:t xml:space="preserve"> in </w:t>
      </w:r>
      <w:r w:rsidR="00C02F43">
        <w:t>het najaar aan de Afdeling Advisering van de Raad van State zal worden voorgelegd</w:t>
      </w:r>
      <w:r>
        <w:t>.</w:t>
      </w:r>
    </w:p>
    <w:p w:rsidR="001F366B" w:rsidP="001F366B" w14:paraId="2990248F" w14:textId="77777777"/>
    <w:p w:rsidR="005E2906" w14:paraId="19D74C5B" w14:textId="77777777">
      <w:pPr>
        <w:rPr>
          <w:i/>
          <w:iCs/>
        </w:rPr>
      </w:pPr>
      <w:r>
        <w:rPr>
          <w:i/>
          <w:iCs/>
        </w:rPr>
        <w:t>Wetsvoorstel u</w:t>
      </w:r>
      <w:r w:rsidR="001F366B">
        <w:rPr>
          <w:i/>
          <w:iCs/>
        </w:rPr>
        <w:t xml:space="preserve">itbreiding van de </w:t>
      </w:r>
      <w:r w:rsidR="001F366B">
        <w:rPr>
          <w:i/>
          <w:iCs/>
        </w:rPr>
        <w:t>Awgb</w:t>
      </w:r>
      <w:r w:rsidR="001F366B">
        <w:rPr>
          <w:i/>
          <w:iCs/>
        </w:rPr>
        <w:t xml:space="preserve"> met overheidshandelen</w:t>
      </w:r>
    </w:p>
    <w:p w:rsidRPr="005E2906" w:rsidR="003F0640" w:rsidP="005E2906" w14:paraId="739900B1" w14:textId="77777777">
      <w:pPr>
        <w:rPr>
          <w:i/>
          <w:iCs/>
        </w:rPr>
      </w:pPr>
      <w:r>
        <w:t>Op 27 maart 2026 is uw Kamer geïnformeerd over het onderzoek naar de</w:t>
      </w:r>
      <w:r w:rsidR="005E2906">
        <w:t xml:space="preserve"> </w:t>
      </w:r>
      <w:r>
        <w:t>uitbreiding van de Algemene wet gelijke behandeling (</w:t>
      </w:r>
      <w:r>
        <w:t>Awgb</w:t>
      </w:r>
      <w:r>
        <w:t>) met</w:t>
      </w:r>
      <w:r w:rsidR="005E2906">
        <w:t xml:space="preserve"> </w:t>
      </w:r>
      <w:r>
        <w:t>overheidshandelen.</w:t>
      </w:r>
      <w:r>
        <w:rPr>
          <w:rStyle w:val="FootnoteReference"/>
        </w:rPr>
        <w:footnoteReference w:id="2"/>
      </w:r>
      <w:r>
        <w:t xml:space="preserve"> Het wetgevingstraject waarmee de </w:t>
      </w:r>
      <w:r>
        <w:t>Awgb</w:t>
      </w:r>
      <w:r>
        <w:t xml:space="preserve"> wordt gewijzigd is</w:t>
      </w:r>
      <w:r w:rsidR="005E2906">
        <w:t xml:space="preserve"> </w:t>
      </w:r>
      <w:r>
        <w:t>ondertussen gestart. Gedurende dit traject voert mijn ministerie gesprekken over</w:t>
      </w:r>
      <w:r w:rsidR="005E2906">
        <w:t xml:space="preserve"> </w:t>
      </w:r>
      <w:r>
        <w:t>het wetsvoorstel met verschillende betrokken organisaties zoals het College voor</w:t>
      </w:r>
      <w:r w:rsidR="005E2906">
        <w:t xml:space="preserve"> </w:t>
      </w:r>
      <w:r>
        <w:t xml:space="preserve">de rechten van de Mens, uitvoeringsorganisaties en gemeenten. Ik verwacht het conceptwetsvoorstel </w:t>
      </w:r>
      <w:r w:rsidR="00E324D7">
        <w:t xml:space="preserve">in </w:t>
      </w:r>
      <w:r w:rsidR="00C02F43">
        <w:t>de eerste helft</w:t>
      </w:r>
      <w:r>
        <w:t xml:space="preserve"> van 2027 gereed te hebben voor internetconsultatie.</w:t>
      </w:r>
    </w:p>
    <w:p w:rsidR="004663BF" w:rsidP="004663BF" w14:paraId="4FBC8B00" w14:textId="77777777"/>
    <w:p w:rsidRPr="00C75679" w:rsidR="00065D71" w:rsidP="004663BF" w14:paraId="0F2D4CDB" w14:textId="77777777">
      <w:pPr>
        <w:rPr>
          <w:i/>
          <w:iCs/>
        </w:rPr>
      </w:pPr>
      <w:r w:rsidRPr="00387431">
        <w:rPr>
          <w:i/>
          <w:iCs/>
        </w:rPr>
        <w:t xml:space="preserve">Wijziging </w:t>
      </w:r>
      <w:bookmarkStart w:name="_Hlk232768022" w:id="0"/>
      <w:r w:rsidRPr="00387431">
        <w:rPr>
          <w:i/>
          <w:iCs/>
        </w:rPr>
        <w:t xml:space="preserve">van de </w:t>
      </w:r>
      <w:r>
        <w:rPr>
          <w:i/>
          <w:iCs/>
        </w:rPr>
        <w:t>Awgb</w:t>
      </w:r>
      <w:r w:rsidRPr="00387431">
        <w:rPr>
          <w:i/>
          <w:iCs/>
        </w:rPr>
        <w:t xml:space="preserve"> en het </w:t>
      </w:r>
      <w:r>
        <w:rPr>
          <w:i/>
          <w:iCs/>
        </w:rPr>
        <w:t>WvSr</w:t>
      </w:r>
      <w:r w:rsidRPr="00387431">
        <w:rPr>
          <w:i/>
          <w:iCs/>
        </w:rPr>
        <w:t xml:space="preserve"> </w:t>
      </w:r>
      <w:r w:rsidR="002149EE">
        <w:rPr>
          <w:i/>
          <w:iCs/>
        </w:rPr>
        <w:t>door de</w:t>
      </w:r>
      <w:r w:rsidRPr="00387431">
        <w:rPr>
          <w:i/>
          <w:iCs/>
        </w:rPr>
        <w:t xml:space="preserve"> vervanging van de term «hetero- of homoseksuele gerichtheid» door «seksuele gerichtheid» en explicitering in het </w:t>
      </w:r>
      <w:r w:rsidR="002149EE">
        <w:rPr>
          <w:i/>
          <w:iCs/>
        </w:rPr>
        <w:t>WvSr</w:t>
      </w:r>
      <w:r w:rsidRPr="00387431">
        <w:rPr>
          <w:i/>
          <w:iCs/>
        </w:rPr>
        <w:t xml:space="preserve"> van de discriminatiegronden genderidentiteit, genderexpressie en geslachtskenmerken</w:t>
      </w:r>
      <w:bookmarkEnd w:id="0"/>
    </w:p>
    <w:p w:rsidR="005E2906" w:rsidP="004663BF" w14:paraId="57EA1678" w14:textId="77777777">
      <w:r>
        <w:t xml:space="preserve">In 2024 heeft mijn ambtsvoorganger, samen met de minister van Justitie en Veiligheid, wetsvoorstel 36 510 ingediend dat ertoe </w:t>
      </w:r>
      <w:r w:rsidR="00363F26">
        <w:t xml:space="preserve">strekt de termen hetero- en homoseksualiteit te vervangen met de term seksuele </w:t>
      </w:r>
      <w:r w:rsidR="00A06E42">
        <w:t>gerichtheid</w:t>
      </w:r>
      <w:r w:rsidR="00363F26">
        <w:t xml:space="preserve"> in </w:t>
      </w:r>
      <w:r>
        <w:t xml:space="preserve">de </w:t>
      </w:r>
      <w:r>
        <w:t>Awgb</w:t>
      </w:r>
      <w:r>
        <w:t xml:space="preserve"> en </w:t>
      </w:r>
      <w:r>
        <w:t>het Wetboek van Strafrecht (</w:t>
      </w:r>
      <w:r>
        <w:t>WvSr</w:t>
      </w:r>
      <w:r w:rsidR="00E324D7">
        <w:t>)</w:t>
      </w:r>
      <w:r w:rsidR="00363F26">
        <w:t>.</w:t>
      </w:r>
      <w:r>
        <w:rPr>
          <w:rStyle w:val="FootnoteReference"/>
        </w:rPr>
        <w:footnoteReference w:id="3"/>
      </w:r>
      <w:r w:rsidR="00363F26">
        <w:t xml:space="preserve"> Daarnaast wordt de grond geslacht in het </w:t>
      </w:r>
      <w:r w:rsidR="00363F26">
        <w:t>WvSr</w:t>
      </w:r>
      <w:r w:rsidR="00363F26">
        <w:t xml:space="preserve"> geëxpliciteerd, zodat daar mede onder wordt begrepen genderidentiteit, genderexpressie en geslachtskenmerken, zoals voor de </w:t>
      </w:r>
      <w:r w:rsidR="00363F26">
        <w:t>Awgb</w:t>
      </w:r>
      <w:r w:rsidR="00363F26">
        <w:t xml:space="preserve"> al eerder gebeurde in 2019 door de</w:t>
      </w:r>
      <w:r w:rsidR="00A06E42">
        <w:t xml:space="preserve"> inwerkingtreding van de</w:t>
      </w:r>
      <w:r w:rsidR="00363F26">
        <w:t xml:space="preserve"> Wet verduidelijking rechtspositie transgender personen en intersekse personen.</w:t>
      </w:r>
      <w:r>
        <w:rPr>
          <w:rStyle w:val="FootnoteReference"/>
        </w:rPr>
        <w:footnoteReference w:id="4"/>
      </w:r>
      <w:r w:rsidR="00363F26">
        <w:t xml:space="preserve"> Tot slot wordt geslacht als non-discriminatiegrond opgenomen in artikel 137c en 137e </w:t>
      </w:r>
      <w:r w:rsidR="00363F26">
        <w:t>WvSr</w:t>
      </w:r>
      <w:r w:rsidR="00363F26">
        <w:t xml:space="preserve">, zodat groepsbelediging op basis van geslacht en de verspreiding daarvan, strafbaar wordt. </w:t>
      </w:r>
      <w:r w:rsidR="00A06E42">
        <w:t xml:space="preserve">Het doel van de wetswijziging is de versterking van (straf)rechtelijke bescherming van </w:t>
      </w:r>
      <w:r w:rsidR="00A06E42">
        <w:t>lhbtiq+</w:t>
      </w:r>
      <w:r w:rsidR="00A06E42">
        <w:t xml:space="preserve"> personen en het aanscherpen van strafrechtelijke bescherming van intersekse en transgender personen.</w:t>
      </w:r>
    </w:p>
    <w:p w:rsidR="00663EC7" w:rsidP="004663BF" w14:paraId="4A6CDA2D" w14:textId="77777777"/>
    <w:p w:rsidR="00A06E42" w:rsidP="004663BF" w14:paraId="4CFACF5B" w14:textId="77777777">
      <w:r>
        <w:t>Dit wetsvoorstel maakt via het Regenboog stembusakkoord onderdeel uit van het</w:t>
      </w:r>
      <w:r w:rsidR="007E762A">
        <w:t xml:space="preserve"> coalitie</w:t>
      </w:r>
      <w:r>
        <w:t xml:space="preserve">akkoord. </w:t>
      </w:r>
      <w:r w:rsidR="007E762A">
        <w:t>Wij hebben de</w:t>
      </w:r>
      <w:r>
        <w:t xml:space="preserve"> </w:t>
      </w:r>
      <w:r w:rsidR="008B0CCC">
        <w:t>voortzett</w:t>
      </w:r>
      <w:r w:rsidR="007E762A">
        <w:t>ing</w:t>
      </w:r>
      <w:r w:rsidR="008B0CCC">
        <w:t xml:space="preserve"> van dit wetsvoorstel</w:t>
      </w:r>
      <w:r>
        <w:t xml:space="preserve"> </w:t>
      </w:r>
      <w:r w:rsidR="007E762A">
        <w:t>dan ook</w:t>
      </w:r>
      <w:r w:rsidR="00D405B6">
        <w:t xml:space="preserve"> opgepakt</w:t>
      </w:r>
      <w:r>
        <w:t xml:space="preserve">. In </w:t>
      </w:r>
      <w:r w:rsidR="00387431">
        <w:t xml:space="preserve">mijn </w:t>
      </w:r>
      <w:r>
        <w:t>beleidsbrief van 24 april heb ik toegezegd om de nota naar aanleiding van het verslag</w:t>
      </w:r>
      <w:r w:rsidR="00C25BB0">
        <w:t xml:space="preserve"> </w:t>
      </w:r>
      <w:r>
        <w:t>zo spoedig mogelijk</w:t>
      </w:r>
      <w:r w:rsidR="00C25BB0">
        <w:t xml:space="preserve"> te verzenden.</w:t>
      </w:r>
      <w:r>
        <w:rPr>
          <w:rStyle w:val="FootnoteReference"/>
        </w:rPr>
        <w:footnoteReference w:id="5"/>
      </w:r>
      <w:r w:rsidR="00D17205">
        <w:t xml:space="preserve"> </w:t>
      </w:r>
      <w:r w:rsidRPr="00F4489C" w:rsidR="008B0CCC">
        <w:t xml:space="preserve">Samen met de minister van JenV zet ik mij in om </w:t>
      </w:r>
      <w:r w:rsidRPr="00F4489C" w:rsidR="004267B2">
        <w:t xml:space="preserve">de nota naar aanleiding van het verslag </w:t>
      </w:r>
      <w:r w:rsidRPr="00F4489C" w:rsidR="00961DD6">
        <w:t>zo snel als mogelijk en zorgvuldig</w:t>
      </w:r>
      <w:r w:rsidRPr="00F4489C" w:rsidR="004267B2">
        <w:t xml:space="preserve"> naar uw Kamer te sturen.</w:t>
      </w:r>
    </w:p>
    <w:p w:rsidR="007E762A" w:rsidP="004663BF" w14:paraId="4CF1BC2F" w14:textId="77777777"/>
    <w:p w:rsidR="007E762A" w:rsidP="007E762A" w14:paraId="70CD4704" w14:textId="77777777">
      <w:pPr>
        <w:rPr>
          <w:i/>
          <w:iCs/>
        </w:rPr>
      </w:pPr>
      <w:r>
        <w:rPr>
          <w:i/>
          <w:iCs/>
        </w:rPr>
        <w:t>Wettelijke verankering NCDR</w:t>
      </w:r>
    </w:p>
    <w:p w:rsidR="007E762A" w:rsidP="004663BF" w14:paraId="0E2A4C88" w14:textId="77777777">
      <w:r w:rsidRPr="00F12457">
        <w:t xml:space="preserve">In het coalitieakkoord is opgenomen dat de NCDR wettelijk wordt verankerd. Op dit moment wordt die verankering voorbereid. Geïnventariseerd wordt welke vorm het meest aangewezen is </w:t>
      </w:r>
      <w:r>
        <w:t>(</w:t>
      </w:r>
      <w:r w:rsidRPr="00F12457">
        <w:t>zelfstandige wet, opnemen in de Algemene wet gelijke behandeling</w:t>
      </w:r>
      <w:r w:rsidRPr="00AF4B3E" w:rsidR="00AF4B3E">
        <w:t xml:space="preserve"> en</w:t>
      </w:r>
      <w:r w:rsidR="00AF4B3E">
        <w:t xml:space="preserve"> </w:t>
      </w:r>
      <w:r w:rsidRPr="00AF4B3E" w:rsidR="00AF4B3E">
        <w:t>in overleg met het ministerie van Justitie en Veiligheid</w:t>
      </w:r>
      <w:r w:rsidR="00AF4B3E">
        <w:t xml:space="preserve"> </w:t>
      </w:r>
      <w:r w:rsidRPr="00AF4B3E" w:rsidR="00AF4B3E">
        <w:t xml:space="preserve">wordt bekeken of de verankering al dan niet kan worden samengevoegd met de wettelijke verankering van de </w:t>
      </w:r>
      <w:r w:rsidRPr="00F12457">
        <w:t>Nationaal Coördinator Antisemitismebestrijding)</w:t>
      </w:r>
      <w:r w:rsidR="00AF4B3E">
        <w:t>. Ook wordt geïnventariseerd</w:t>
      </w:r>
      <w:r w:rsidRPr="00F12457">
        <w:t xml:space="preserve"> hoe er recht kan worden gedaan aan het karakter van een regeringscommissaris die enerzijds onder ministeri</w:t>
      </w:r>
      <w:r w:rsidR="00AF4B3E">
        <w:t>ë</w:t>
      </w:r>
      <w:r w:rsidRPr="00F12457">
        <w:t>le verantwoordelijkheid valt, maar anderzijds een zelfstandige taakuitoefening kent; hoe de taakomschrijving het best geformuleerd kan worden, ook in relatie tot andere adviseurs van het kabinet op het terrein van de aanpak van discriminatie, zoals het College voor de rechten van de mens; en welke vereisten er moeten worden opgenomen met betrekking tot benoeming</w:t>
      </w:r>
      <w:r>
        <w:t>swijze</w:t>
      </w:r>
      <w:r w:rsidRPr="00F12457">
        <w:t xml:space="preserve"> en benoemingsduur. Ik verwacht het wetsvoorstel voor het eind van het jaar in internetconsultatie te brengen.</w:t>
      </w:r>
    </w:p>
    <w:p w:rsidR="008B0CCC" w:rsidP="001F366B" w14:paraId="07C6BC6D" w14:textId="77777777"/>
    <w:p w:rsidRPr="001F366B" w:rsidR="001F366B" w:rsidP="001F366B" w14:paraId="6E374BDB" w14:textId="77777777">
      <w:pPr>
        <w:pStyle w:val="ListParagraph"/>
        <w:numPr>
          <w:ilvl w:val="0"/>
          <w:numId w:val="5"/>
        </w:numPr>
        <w:rPr>
          <w:b/>
          <w:bCs/>
        </w:rPr>
      </w:pPr>
      <w:r>
        <w:rPr>
          <w:b/>
          <w:bCs/>
        </w:rPr>
        <w:t>Institutionele discriminatie en risicoprofilering</w:t>
      </w:r>
    </w:p>
    <w:p w:rsidR="001F366B" w:rsidP="001F366B" w14:paraId="5A65FB7B" w14:textId="77777777"/>
    <w:p w:rsidR="001F366B" w:rsidP="001F366B" w14:paraId="156D7F51" w14:textId="77777777">
      <w:r w:rsidRPr="00AF7DDD">
        <w:rPr>
          <w:i/>
          <w:iCs/>
        </w:rPr>
        <w:t>Rapporten Staatscommissie</w:t>
      </w:r>
    </w:p>
    <w:p w:rsidR="00AF7DDD" w:rsidP="001F366B" w14:paraId="24BA13E7" w14:textId="77777777">
      <w:r>
        <w:t xml:space="preserve">Op 8 juni heeft de Staatscommissie tegen discriminatie en racisme haar eindrapport </w:t>
      </w:r>
      <w:r>
        <w:rPr>
          <w:i/>
          <w:iCs/>
        </w:rPr>
        <w:t>Discriminatie doorbreken: naar een overheid die discriminatie en racisme bestrijdt en voorkomt</w:t>
      </w:r>
      <w:r w:rsidR="005E2906">
        <w:rPr>
          <w:i/>
          <w:iCs/>
        </w:rPr>
        <w:t xml:space="preserve"> </w:t>
      </w:r>
      <w:r>
        <w:t xml:space="preserve">gepubliceerd. </w:t>
      </w:r>
      <w:r w:rsidR="00F217A4">
        <w:t xml:space="preserve">Het rapport is als bijlage I bij deze voortgangsbrief gevoegd en wordt via deze weg aangeboden aan </w:t>
      </w:r>
      <w:r w:rsidR="00663EC7">
        <w:t>uw</w:t>
      </w:r>
      <w:r w:rsidR="00F217A4">
        <w:t xml:space="preserve"> Kamer. Het rapport is een </w:t>
      </w:r>
      <w:r>
        <w:t xml:space="preserve">waardevol en belangrijk slotakkoord van vier jaar onderzoek naar discriminatie en racisme in Nederland. </w:t>
      </w:r>
    </w:p>
    <w:p w:rsidR="00663EC7" w:rsidP="001F366B" w14:paraId="119A57B8" w14:textId="77777777"/>
    <w:p w:rsidR="001E4082" w:rsidP="001F366B" w14:paraId="6923D64E" w14:textId="77777777">
      <w:r>
        <w:t xml:space="preserve">In het rapport bundelt de Staatscommissie haar eerdere rapportages en komt zij met een actieagenda met oplossingsrichtingen en concrete acties. Ik </w:t>
      </w:r>
      <w:r w:rsidR="00BF115A">
        <w:t>bestudeer</w:t>
      </w:r>
      <w:r>
        <w:t xml:space="preserve"> het </w:t>
      </w:r>
      <w:r>
        <w:t>rapport  en</w:t>
      </w:r>
      <w:r>
        <w:t xml:space="preserve"> </w:t>
      </w:r>
      <w:r w:rsidR="00E94DAB">
        <w:t xml:space="preserve">start </w:t>
      </w:r>
      <w:r w:rsidR="00D51C1A">
        <w:t>deze zomer</w:t>
      </w:r>
      <w:r>
        <w:t xml:space="preserve"> met de voorbereidingen voor een kabinetsreactie op het rapport.</w:t>
      </w:r>
      <w:r w:rsidR="00B16EA5">
        <w:t xml:space="preserve"> </w:t>
      </w:r>
      <w:r w:rsidR="00B72028">
        <w:t xml:space="preserve">Ik kan op dit moment nog geen uitspraken doen over de vorm waarin en de termijn waarop </w:t>
      </w:r>
      <w:r w:rsidR="0042592F">
        <w:t>het kabinet</w:t>
      </w:r>
      <w:r w:rsidR="00B72028">
        <w:t xml:space="preserve"> zal reageren</w:t>
      </w:r>
      <w:r w:rsidR="00E94DAB">
        <w:t>.</w:t>
      </w:r>
      <w:r w:rsidR="00B72028">
        <w:t xml:space="preserve"> </w:t>
      </w:r>
      <w:r w:rsidR="00E94DAB">
        <w:t>G</w:t>
      </w:r>
      <w:r w:rsidR="00B72028">
        <w:t xml:space="preserve">elet op het grote aantal </w:t>
      </w:r>
      <w:r w:rsidR="00B72028">
        <w:t xml:space="preserve">aanbevelingen (inclusief de tussenrapportages), zal het naar verwachting </w:t>
      </w:r>
      <w:r w:rsidR="00D51C1A">
        <w:t>enige tijd duren voordat op alle aanbevelingen is gereageerd</w:t>
      </w:r>
      <w:r w:rsidR="00B72028">
        <w:t>.</w:t>
      </w:r>
      <w:r w:rsidR="00D51C1A">
        <w:t xml:space="preserve"> Ik streef ernaar uw Kamer in </w:t>
      </w:r>
      <w:r w:rsidR="0042592F">
        <w:t>de</w:t>
      </w:r>
      <w:r w:rsidR="00D51C1A">
        <w:t xml:space="preserve"> volgende voortgangsbrief te informeren over de planning</w:t>
      </w:r>
      <w:r w:rsidR="00E324D7">
        <w:t>, alsook over</w:t>
      </w:r>
      <w:r w:rsidR="00BF115A">
        <w:t xml:space="preserve"> de planning</w:t>
      </w:r>
      <w:r w:rsidR="00E324D7">
        <w:t xml:space="preserve"> en werkwijze</w:t>
      </w:r>
      <w:r w:rsidR="00BF115A">
        <w:t xml:space="preserve"> voor het opstellen van een </w:t>
      </w:r>
      <w:r w:rsidR="00BF115A">
        <w:t>rijksbrede</w:t>
      </w:r>
      <w:r w:rsidR="00BF115A">
        <w:t xml:space="preserve"> strategie voor de aanpak van discriminatie, zoals </w:t>
      </w:r>
      <w:r w:rsidR="0042592F">
        <w:t>ik heb</w:t>
      </w:r>
      <w:r w:rsidR="00BF115A">
        <w:t xml:space="preserve"> toegezegd in het commissiedebat </w:t>
      </w:r>
      <w:r w:rsidRPr="001F366B" w:rsidR="00BF115A">
        <w:t xml:space="preserve">Discriminatie, racisme en mensenrechten </w:t>
      </w:r>
      <w:r w:rsidR="00BF115A">
        <w:t xml:space="preserve">op 21 mei </w:t>
      </w:r>
      <w:r w:rsidR="00BF115A">
        <w:t>jl.</w:t>
      </w:r>
      <w:r w:rsidR="00D51C1A">
        <w:t>.</w:t>
      </w:r>
      <w:r w:rsidR="00B72028">
        <w:t xml:space="preserve"> </w:t>
      </w:r>
      <w:r w:rsidR="00B16EA5">
        <w:t>In de kabinetsreactie zal ik ook de reactie op de motie Koops betrekken.</w:t>
      </w:r>
      <w:r>
        <w:rPr>
          <w:rStyle w:val="FootnoteReference"/>
        </w:rPr>
        <w:footnoteReference w:id="6"/>
      </w:r>
    </w:p>
    <w:p w:rsidR="00663EC7" w:rsidP="001F366B" w14:paraId="1EE14B79" w14:textId="77777777"/>
    <w:p w:rsidR="00612E41" w:rsidP="001F366B" w14:paraId="44193254" w14:textId="77777777">
      <w:r>
        <w:t xml:space="preserve">Op 7 mei heeft de Staatscommissie </w:t>
      </w:r>
      <w:r>
        <w:t>tevens</w:t>
      </w:r>
      <w:r>
        <w:t xml:space="preserve"> </w:t>
      </w:r>
      <w:r>
        <w:t>haar</w:t>
      </w:r>
      <w:r>
        <w:t xml:space="preserve"> voortgangsrapport </w:t>
      </w:r>
      <w:r w:rsidRPr="00083858">
        <w:rPr>
          <w:i/>
          <w:iCs/>
        </w:rPr>
        <w:t xml:space="preserve">Principes voor profilering, een kritisch perspectief op de toepassing van </w:t>
      </w:r>
      <w:r w:rsidRPr="00083858">
        <w:rPr>
          <w:i/>
          <w:iCs/>
        </w:rPr>
        <w:t>datagedreven</w:t>
      </w:r>
      <w:r w:rsidRPr="00083858">
        <w:rPr>
          <w:i/>
          <w:iCs/>
        </w:rPr>
        <w:t xml:space="preserve"> profilering door de overheid</w:t>
      </w:r>
      <w:r>
        <w:t xml:space="preserve"> uitgebracht. </w:t>
      </w:r>
      <w:r w:rsidR="00F217A4">
        <w:t xml:space="preserve">Het rapport is als bijlage II bij deze voortgangsbrief gevoegd en wordt via deze weg aangeboden aan de Kamer. </w:t>
      </w:r>
      <w:r>
        <w:t xml:space="preserve">Een reactie op dit rapport zal betrokken worden bij de integrale reactie op het eindrapport van de staatscommissie. </w:t>
      </w:r>
    </w:p>
    <w:p w:rsidR="00821BA7" w:rsidP="001F366B" w14:paraId="15ACA466" w14:textId="77777777">
      <w:r>
        <w:t xml:space="preserve"> </w:t>
      </w:r>
    </w:p>
    <w:p w:rsidR="001E4082" w:rsidP="001F366B" w14:paraId="1B2B9567" w14:textId="77777777">
      <w:pPr>
        <w:rPr>
          <w:i/>
          <w:iCs/>
        </w:rPr>
      </w:pPr>
      <w:r>
        <w:rPr>
          <w:i/>
          <w:iCs/>
        </w:rPr>
        <w:t>Discriminatietoets</w:t>
      </w:r>
    </w:p>
    <w:p w:rsidR="001E4082" w:rsidP="001F366B" w14:paraId="720F5AAB" w14:textId="77777777">
      <w:r>
        <w:t>Op 18 mei 2026 heb ik uw Kamer geïnformeerd over de wijze waarop ik vervolg geef aan de Discriminatietoetsen.</w:t>
      </w:r>
      <w:r>
        <w:rPr>
          <w:rStyle w:val="FootnoteReference"/>
        </w:rPr>
        <w:footnoteReference w:id="7"/>
      </w:r>
      <w:r>
        <w:t xml:space="preserve"> </w:t>
      </w:r>
      <w:r w:rsidRPr="00612E41">
        <w:t xml:space="preserve">We werken daarbij aan twee stappen: (1) de inbedding van de discriminatietoets in bestaande structuren zoals aanbevolen door de staatscommissie en (2) het oprichten van een projectteam binnen </w:t>
      </w:r>
      <w:r w:rsidR="0042592F">
        <w:t xml:space="preserve">het ministerie van </w:t>
      </w:r>
      <w:r w:rsidRPr="00612E41">
        <w:t xml:space="preserve">BZK die procesbegeleiding aanbiedt aan organisaties, kennissessies organiseert en zorgt voor duurzame borging van de toets. </w:t>
      </w:r>
      <w:r w:rsidRPr="00366270">
        <w:t xml:space="preserve">De gesprekken over de landingsplek voor het projectteam zijn inmiddels afgerond. Het projectteam wordt ondergebracht bij het ICTU. </w:t>
      </w:r>
      <w:r w:rsidR="00B72028">
        <w:t xml:space="preserve">De opdracht aan het ICTU loopt voor de komende vier jaar. Het projectteam zal lopende trajecten voortzetten en nieuwe </w:t>
      </w:r>
      <w:r w:rsidR="0042592F">
        <w:t>organisaties</w:t>
      </w:r>
      <w:r w:rsidR="00B72028">
        <w:t xml:space="preserve"> begeleiden</w:t>
      </w:r>
      <w:r w:rsidR="0042592F">
        <w:t xml:space="preserve"> bij het doorlopen van de discriminatietoets</w:t>
      </w:r>
      <w:r w:rsidR="00B72028">
        <w:t xml:space="preserve">. Daarnaast zal het projectteam een plan van aanpak opstellen voor de komende jaren, met het oog op het einddoel dat zo veel mogelijk organisaties zelf de discriminatietoets kunnen uitvoeren en hebben geïntegreerd in bestaande structuren. </w:t>
      </w:r>
      <w:r w:rsidR="00762738">
        <w:t>Ook</w:t>
      </w:r>
      <w:r w:rsidR="00B72028">
        <w:t xml:space="preserve"> zal het projectteam, in samenwerking met</w:t>
      </w:r>
      <w:r w:rsidR="0042592F">
        <w:t xml:space="preserve"> het ministerie van</w:t>
      </w:r>
      <w:r w:rsidR="00B72028">
        <w:t xml:space="preserve"> BZK, goede voorbeelden en lessen die uit de toets kunnen worden getrokken, breed verspreiden en rapporteren over de toetsen.</w:t>
      </w:r>
      <w:r w:rsidR="00F17145">
        <w:t xml:space="preserve"> </w:t>
      </w:r>
    </w:p>
    <w:p w:rsidR="00CD117F" w:rsidP="001F366B" w14:paraId="5216528C" w14:textId="77777777"/>
    <w:p w:rsidRPr="00CD117F" w:rsidR="00CD117F" w:rsidP="00CD117F" w14:paraId="3D69AB96" w14:textId="77777777">
      <w:pPr>
        <w:pStyle w:val="ListParagraph"/>
        <w:numPr>
          <w:ilvl w:val="0"/>
          <w:numId w:val="5"/>
        </w:numPr>
        <w:rPr>
          <w:b/>
          <w:bCs/>
        </w:rPr>
      </w:pPr>
      <w:r w:rsidRPr="00CD117F">
        <w:rPr>
          <w:b/>
          <w:bCs/>
        </w:rPr>
        <w:t>Bescherming tegen discriminatie op de BES-eilanden</w:t>
      </w:r>
    </w:p>
    <w:p w:rsidR="00CD117F" w:rsidP="001F366B" w14:paraId="19E87475" w14:textId="77777777"/>
    <w:p w:rsidRPr="001D5D60" w:rsidR="001D5D60" w:rsidP="001D5D60" w14:paraId="05C8739D" w14:textId="77777777">
      <w:r w:rsidRPr="001D5D60">
        <w:rPr>
          <w:i/>
          <w:iCs/>
        </w:rPr>
        <w:t xml:space="preserve">Rechtshulp BES-eilanden </w:t>
      </w:r>
    </w:p>
    <w:p w:rsidRPr="001E4082" w:rsidR="00CD117F" w:rsidP="001F366B" w14:paraId="76080FF8" w14:textId="77777777">
      <w:r w:rsidRPr="001D5D60">
        <w:t>Op 13 mei 2026 is de vestiging op Bonaire (</w:t>
      </w:r>
      <w:r w:rsidRPr="001D5D60">
        <w:t>Lokèt</w:t>
      </w:r>
      <w:r w:rsidRPr="001D5D60">
        <w:t xml:space="preserve"> </w:t>
      </w:r>
      <w:r w:rsidRPr="001D5D60">
        <w:t>Hurídiko</w:t>
      </w:r>
      <w:r w:rsidRPr="001D5D60">
        <w:t>) geopend door middel</w:t>
      </w:r>
      <w:r>
        <w:t xml:space="preserve"> </w:t>
      </w:r>
      <w:r w:rsidRPr="001D5D60">
        <w:t xml:space="preserve">van een zogenaamde ‘soft </w:t>
      </w:r>
      <w:r w:rsidRPr="001D5D60">
        <w:t>launch</w:t>
      </w:r>
      <w:r w:rsidRPr="001D5D60">
        <w:t>’. Dit betekent dat de deuren inmiddels tweemaal</w:t>
      </w:r>
      <w:r>
        <w:t xml:space="preserve"> </w:t>
      </w:r>
      <w:r w:rsidRPr="001D5D60">
        <w:t>per week geopend zijn voor inloop en afspraken. De verwachting is dat de</w:t>
      </w:r>
      <w:r>
        <w:t xml:space="preserve"> </w:t>
      </w:r>
      <w:r w:rsidRPr="001D5D60">
        <w:t xml:space="preserve">dienstverlening op Bonaire vanaf september 2026 wordt uitgebreid. Op </w:t>
      </w:r>
      <w:r w:rsidRPr="001D5D60">
        <w:t>Sint Eustatius</w:t>
      </w:r>
      <w:r w:rsidRPr="001D5D60">
        <w:t xml:space="preserve"> en Saba is er nog geen dienstverlening vanuit de stichting voor Rechtshulp en Gelijke Behandeling, omdat voor die eilanden de werving voor een jurist nog loopt. Op </w:t>
      </w:r>
      <w:r w:rsidRPr="001D5D60">
        <w:t>Sint Eustatius</w:t>
      </w:r>
      <w:r w:rsidRPr="001D5D60">
        <w:t xml:space="preserve"> en Saba loopt sinds enige jaren de pilot Legal Desk. De stichting kijkt momenteel in samenspraak met de departementen van JenV en BZK hoe de tijd tot de opening van de loketten kan worden overbrugd, zodat ook de burgers op </w:t>
      </w:r>
      <w:r w:rsidRPr="001D5D60">
        <w:t>Sint Eustatius</w:t>
      </w:r>
      <w:r w:rsidRPr="001D5D60">
        <w:t xml:space="preserve"> en Saba zijn voorzien van enige vorm van dienstverlening. Daarnaast bereidt de Rijksdienst Caribisch Nederland samen met het ministerie van </w:t>
      </w:r>
      <w:r w:rsidRPr="001D5D60">
        <w:t>BZK publiekscommunicatie</w:t>
      </w:r>
      <w:r w:rsidRPr="001D5D60">
        <w:t xml:space="preserve"> voor over de wet Bescherming tegen discriminatie op de BES. Ook het College</w:t>
      </w:r>
      <w:r w:rsidR="00F17145">
        <w:t xml:space="preserve"> voor de rechten van de mens</w:t>
      </w:r>
      <w:r w:rsidRPr="001D5D60">
        <w:t xml:space="preserve"> zet in op brede voorlichting, onder andere</w:t>
      </w:r>
      <w:r w:rsidR="007E1BA8">
        <w:t>,</w:t>
      </w:r>
      <w:r w:rsidRPr="001D5D60">
        <w:t xml:space="preserve"> over het meldproces bij het College.</w:t>
      </w:r>
    </w:p>
    <w:p w:rsidR="00AF7DDD" w:rsidP="001F366B" w14:paraId="2E59974E" w14:textId="77777777"/>
    <w:p w:rsidR="001F366B" w:rsidP="001F366B" w14:paraId="3E0E48B4" w14:textId="77777777">
      <w:pPr>
        <w:pStyle w:val="ListParagraph"/>
        <w:numPr>
          <w:ilvl w:val="0"/>
          <w:numId w:val="5"/>
        </w:numPr>
        <w:rPr>
          <w:b/>
          <w:bCs/>
        </w:rPr>
      </w:pPr>
      <w:r>
        <w:rPr>
          <w:b/>
          <w:bCs/>
        </w:rPr>
        <w:t>Moties en toezeggingen</w:t>
      </w:r>
    </w:p>
    <w:p w:rsidR="001F366B" w:rsidP="001F366B" w14:paraId="4507F22A" w14:textId="77777777">
      <w:pPr>
        <w:rPr>
          <w:b/>
          <w:bCs/>
        </w:rPr>
      </w:pPr>
    </w:p>
    <w:p w:rsidR="001F366B" w:rsidP="001F366B" w14:paraId="5CE207C1" w14:textId="77777777">
      <w:pPr>
        <w:rPr>
          <w:i/>
          <w:iCs/>
        </w:rPr>
      </w:pPr>
      <w:r w:rsidRPr="00AF7DDD">
        <w:rPr>
          <w:i/>
          <w:iCs/>
        </w:rPr>
        <w:t>Motie</w:t>
      </w:r>
      <w:r w:rsidR="00444757">
        <w:rPr>
          <w:i/>
          <w:iCs/>
        </w:rPr>
        <w:t xml:space="preserve"> Van Zanten en</w:t>
      </w:r>
      <w:r w:rsidRPr="00AF7DDD">
        <w:rPr>
          <w:i/>
          <w:iCs/>
        </w:rPr>
        <w:t xml:space="preserve"> Van der Plas</w:t>
      </w:r>
      <w:r w:rsidR="00444757">
        <w:rPr>
          <w:i/>
          <w:iCs/>
        </w:rPr>
        <w:t xml:space="preserve"> intrekking subsidies wegens antisemitisme</w:t>
      </w:r>
    </w:p>
    <w:p w:rsidR="00814482" w:rsidP="00814482" w14:paraId="6650506D" w14:textId="77777777">
      <w:r>
        <w:t xml:space="preserve">Tijdens het debat over het pakket aan maatregelen ter bestrijding van antisemitisme op 23 september 2025 hebben de leden Van Zanten en Van der Plas (beiden van de BBB) een motie ingediend, waarin zij de regering verzoeken om met </w:t>
      </w:r>
      <w:r w:rsidRPr="00AF2425">
        <w:t>behulp van de antidiscriminatiebepaling</w:t>
      </w:r>
      <w:r w:rsidR="00D51C1A">
        <w:t>en</w:t>
      </w:r>
      <w:r>
        <w:t xml:space="preserve"> </w:t>
      </w:r>
      <w:r w:rsidRPr="00AF2425">
        <w:t>aanvullende kaders te ontwikkelen waarin subsidies kunnen worden</w:t>
      </w:r>
      <w:r>
        <w:t xml:space="preserve"> </w:t>
      </w:r>
      <w:r w:rsidRPr="00AF2425">
        <w:t>ingetrokken wanneer instellingen zich schuldig maken aan antisemitisme,</w:t>
      </w:r>
      <w:r>
        <w:t xml:space="preserve"> </w:t>
      </w:r>
      <w:r w:rsidRPr="00AF2425">
        <w:t>het faciliteren ervan en/of het niet ingrijpen hierop</w:t>
      </w:r>
      <w:r>
        <w:t>.</w:t>
      </w:r>
      <w:r>
        <w:rPr>
          <w:rStyle w:val="FootnoteReference"/>
        </w:rPr>
        <w:footnoteReference w:id="8"/>
      </w:r>
      <w:r>
        <w:t xml:space="preserve"> Deze motie is aangenomen.</w:t>
      </w:r>
    </w:p>
    <w:p w:rsidR="00620717" w:rsidP="00814482" w14:paraId="322A5338" w14:textId="77777777"/>
    <w:p w:rsidR="00814482" w:rsidP="00814482" w14:paraId="1CC75B38" w14:textId="77777777">
      <w:r w:rsidRPr="00AF2425">
        <w:t xml:space="preserve">Het juridisch kader waarbinnen verleende subsidies kunnen worden </w:t>
      </w:r>
      <w:r>
        <w:t xml:space="preserve">geweigerd of </w:t>
      </w:r>
      <w:r w:rsidRPr="00AF2425">
        <w:t>ingetrokken wordt</w:t>
      </w:r>
      <w:r w:rsidR="00762738">
        <w:t>,</w:t>
      </w:r>
      <w:r w:rsidRPr="00AF2425">
        <w:t xml:space="preserve"> </w:t>
      </w:r>
      <w:r>
        <w:t>onder andere</w:t>
      </w:r>
      <w:r w:rsidR="00762738">
        <w:t>,</w:t>
      </w:r>
      <w:r>
        <w:t xml:space="preserve"> </w:t>
      </w:r>
      <w:r w:rsidRPr="00AF2425">
        <w:t>bepaald door de</w:t>
      </w:r>
      <w:r>
        <w:t xml:space="preserve"> Algemene Wet Bestuursrecht</w:t>
      </w:r>
      <w:r w:rsidRPr="00AF2425">
        <w:t xml:space="preserve"> </w:t>
      </w:r>
      <w:r>
        <w:t>(</w:t>
      </w:r>
      <w:r w:rsidRPr="00AF2425">
        <w:t>Awb</w:t>
      </w:r>
      <w:r>
        <w:t>)</w:t>
      </w:r>
      <w:r w:rsidRPr="00AF2425">
        <w:t xml:space="preserve">, de </w:t>
      </w:r>
      <w:r>
        <w:t>verschillende departementale kaderwetten voor subsidies,</w:t>
      </w:r>
      <w:r w:rsidRPr="00AF2425">
        <w:t xml:space="preserve"> de </w:t>
      </w:r>
      <w:r>
        <w:t>W</w:t>
      </w:r>
      <w:r w:rsidRPr="00AF2425">
        <w:t xml:space="preserve">et </w:t>
      </w:r>
      <w:r>
        <w:t>b</w:t>
      </w:r>
      <w:r w:rsidRPr="00AF2425">
        <w:t xml:space="preserve">evordering integriteitsbeoordelingen </w:t>
      </w:r>
      <w:r>
        <w:t>door</w:t>
      </w:r>
      <w:r w:rsidRPr="00AF2425">
        <w:t xml:space="preserve"> het openbaar bestuur</w:t>
      </w:r>
      <w:r>
        <w:t xml:space="preserve"> (de Wet </w:t>
      </w:r>
      <w:r>
        <w:t>Bibob</w:t>
      </w:r>
      <w:r>
        <w:t>)</w:t>
      </w:r>
      <w:r w:rsidRPr="00AF2425">
        <w:t xml:space="preserve"> en</w:t>
      </w:r>
      <w:r>
        <w:t>,</w:t>
      </w:r>
      <w:r w:rsidRPr="00AF2425">
        <w:t xml:space="preserve"> in het verlengde daarvan, het </w:t>
      </w:r>
      <w:r>
        <w:t>W</w:t>
      </w:r>
      <w:r w:rsidRPr="00AF2425">
        <w:t>etboek van Strafrecht en de Grondwet.</w:t>
      </w:r>
    </w:p>
    <w:p w:rsidR="00D51C1A" w:rsidP="00814482" w14:paraId="27033EF3" w14:textId="77777777">
      <w:r>
        <w:t xml:space="preserve">Vooropgesteld, biedt de wet geen </w:t>
      </w:r>
      <w:r w:rsidRPr="00AF2425">
        <w:t xml:space="preserve">mogelijkheid om </w:t>
      </w:r>
      <w:r>
        <w:t>subsidie</w:t>
      </w:r>
      <w:r w:rsidRPr="00AF2425">
        <w:t>voorwaarden te stellen die niet te maken hebben met het doel van de subsidie</w:t>
      </w:r>
      <w:r>
        <w:t xml:space="preserve">. </w:t>
      </w:r>
      <w:r w:rsidRPr="0042277E">
        <w:t xml:space="preserve">Voor het hanteren van selectiecriteria en verplichtingen bij subsidieverlening geldt de hoofdregel dat deze </w:t>
      </w:r>
      <w:r w:rsidRPr="0042277E">
        <w:t>doelgebonden</w:t>
      </w:r>
      <w:r w:rsidRPr="0042277E">
        <w:t xml:space="preserve"> moeten zijn. Dat vloeit voort uit artikel 3:3 en artikel 4:38 van de </w:t>
      </w:r>
      <w:r w:rsidRPr="0042277E">
        <w:t>Awb</w:t>
      </w:r>
      <w:r w:rsidR="003A4FFF">
        <w:t>.</w:t>
      </w:r>
      <w:r w:rsidRPr="0042277E">
        <w:t xml:space="preserve"> </w:t>
      </w:r>
      <w:r>
        <w:t>Het tegengaan van antisemitisme is bij de meeste subsidieverstrekkingen niet het doel van de subsidiëring. Het voorgaande betekent dat het ook niet makkelijk is om een subsidie niet te verstrekken dan wel in te trekken om een reden die losstaat van het doel van de subsidie.</w:t>
      </w:r>
    </w:p>
    <w:p w:rsidR="00620717" w:rsidP="00814482" w14:paraId="4292AE51" w14:textId="77777777"/>
    <w:p w:rsidR="00814482" w:rsidP="00814482" w14:paraId="1036428E" w14:textId="77777777">
      <w:r>
        <w:t xml:space="preserve">Naast </w:t>
      </w:r>
      <w:r w:rsidR="004F4A05">
        <w:t>doelgebonden</w:t>
      </w:r>
      <w:r w:rsidR="004F4A05">
        <w:t xml:space="preserve"> criteria kunnen ook niet</w:t>
      </w:r>
      <w:r>
        <w:t>-</w:t>
      </w:r>
      <w:r>
        <w:t>doelgebonden</w:t>
      </w:r>
      <w:r>
        <w:t xml:space="preserve"> criteria en verplichtingen</w:t>
      </w:r>
      <w:r w:rsidR="004F4A05">
        <w:t xml:space="preserve"> worden opgelegd, maar</w:t>
      </w:r>
      <w:r>
        <w:t xml:space="preserve"> uitsluitend als hiervoor een wettelijke grondslag bestaat (artikel 4:39 </w:t>
      </w:r>
      <w:r>
        <w:t>Awb</w:t>
      </w:r>
      <w:r>
        <w:t xml:space="preserve">). Er is geen wettelijke grondslag die het expliciet mogelijk maakt om subsidies in te trekken in geval van antisemitisme of andere vormen van discriminatie. </w:t>
      </w:r>
      <w:r>
        <w:t>Tegelijkertijd mogen i</w:t>
      </w:r>
      <w:r w:rsidRPr="00AF2425">
        <w:t>nstellingen en organisaties zich niet schuldig maken aan antisemitisme</w:t>
      </w:r>
      <w:r>
        <w:t xml:space="preserve"> of andere vormen van discriminatie</w:t>
      </w:r>
      <w:r w:rsidRPr="00AF2425">
        <w:t xml:space="preserve">; dat is </w:t>
      </w:r>
      <w:r>
        <w:t xml:space="preserve">in het Wetboek van Strafrecht </w:t>
      </w:r>
      <w:r w:rsidRPr="00AF2425">
        <w:t>strafbaar</w:t>
      </w:r>
      <w:r>
        <w:t xml:space="preserve"> gesteld. Als er een ernstig gevaar dreigt dat een subsidie wordt misbruikt voor het plegen van strafbare feiten, kan het bevoegde bestuursorgaan de verstrekte subsidie intrekken.</w:t>
      </w:r>
      <w:r>
        <w:rPr>
          <w:rStyle w:val="FootnoteReference"/>
        </w:rPr>
        <w:footnoteReference w:id="9"/>
      </w:r>
      <w:r>
        <w:t xml:space="preserve"> Of sprake is van een ernstig gevaar wordt beoordeeld door de </w:t>
      </w:r>
      <w:r w:rsidR="00762738">
        <w:t>screeningsautoriteit</w:t>
      </w:r>
      <w:r>
        <w:t xml:space="preserve"> </w:t>
      </w:r>
      <w:r>
        <w:t>Justis</w:t>
      </w:r>
      <w:r>
        <w:t>.</w:t>
      </w:r>
      <w:r>
        <w:rPr>
          <w:rStyle w:val="FootnoteReference"/>
        </w:rPr>
        <w:footnoteReference w:id="10"/>
      </w:r>
      <w:r w:rsidR="00CA20F2">
        <w:t xml:space="preserve"> </w:t>
      </w:r>
      <w:r>
        <w:t xml:space="preserve">Er bestaat dus al een wettelijk kader om subsidies in te trekken als er een ernstig gevaar is dat sprake is van een stafbare vorm van antisemitisme bij een subsidieontvanger. </w:t>
      </w:r>
    </w:p>
    <w:p w:rsidR="00620717" w:rsidP="00814482" w14:paraId="0CA3EEFF" w14:textId="77777777"/>
    <w:p w:rsidR="00814482" w:rsidP="00814482" w14:paraId="081462F7" w14:textId="77777777">
      <w:r>
        <w:t xml:space="preserve">Gelet op het bovenstaande zijn er voldoende instrumenten om subsidie niet te verlenen dan wel in te trekken </w:t>
      </w:r>
      <w:r>
        <w:t>indien</w:t>
      </w:r>
      <w:r>
        <w:t xml:space="preserve"> strafbare feiten worden gepleegd. </w:t>
      </w:r>
      <w:r w:rsidR="00620717">
        <w:t xml:space="preserve">Op deze wijze wordt binnen de bestaande juridische kaders uitvoering gegeven aan de motie. </w:t>
      </w:r>
      <w:r>
        <w:t xml:space="preserve">Aanvullende kaders zijn daarom niet nodig en daarvoor biedt de wet ook geen ruimte. </w:t>
      </w:r>
      <w:r w:rsidR="00BD7A8A">
        <w:t xml:space="preserve">De motie beschouw ik hiermee als afgedaan. </w:t>
      </w:r>
      <w:r w:rsidR="004F4A05">
        <w:t xml:space="preserve">Eerder heeft de minister van Onderwijs, Cultuur en Wetenschap (OCW) al in vergelijkbare zin </w:t>
      </w:r>
      <w:r w:rsidR="004F4A05">
        <w:t>geantwoord op Kamervragen over het intrekken of weigeren van subsidies in geval</w:t>
      </w:r>
      <w:r w:rsidR="00BD722C">
        <w:t xml:space="preserve"> culturele instellingen landen boycotten op antisemitische gronden</w:t>
      </w:r>
      <w:r w:rsidR="004F4A05">
        <w:t>.</w:t>
      </w:r>
      <w:r>
        <w:rPr>
          <w:rStyle w:val="FootnoteReference"/>
        </w:rPr>
        <w:footnoteReference w:id="11"/>
      </w:r>
      <w:r>
        <w:t xml:space="preserve"> </w:t>
      </w:r>
    </w:p>
    <w:p w:rsidR="004267B2" w:rsidP="001F366B" w14:paraId="1125454C" w14:textId="77777777"/>
    <w:p w:rsidR="00AF7DDD" w:rsidP="001F366B" w14:paraId="5DE0247D" w14:textId="77777777">
      <w:pPr>
        <w:rPr>
          <w:i/>
          <w:iCs/>
        </w:rPr>
      </w:pPr>
      <w:r>
        <w:rPr>
          <w:i/>
          <w:iCs/>
        </w:rPr>
        <w:t xml:space="preserve">Motie </w:t>
      </w:r>
      <w:r>
        <w:rPr>
          <w:i/>
          <w:iCs/>
        </w:rPr>
        <w:t>Bamenga</w:t>
      </w:r>
      <w:r>
        <w:rPr>
          <w:i/>
          <w:iCs/>
        </w:rPr>
        <w:t xml:space="preserve"> </w:t>
      </w:r>
      <w:r w:rsidR="004267B2">
        <w:rPr>
          <w:i/>
          <w:iCs/>
        </w:rPr>
        <w:t>over portefeuillehouders binnen colleges bij de strijd tegen antisemitisme</w:t>
      </w:r>
    </w:p>
    <w:p w:rsidRPr="00620717" w:rsidR="00F81232" w:rsidP="001F366B" w14:paraId="7AE4ABDE" w14:textId="77777777">
      <w:r>
        <w:t xml:space="preserve">Het lid </w:t>
      </w:r>
      <w:r>
        <w:t>Bamenga</w:t>
      </w:r>
      <w:r>
        <w:t xml:space="preserve"> heeft met zijn motie</w:t>
      </w:r>
      <w:r>
        <w:rPr>
          <w:rStyle w:val="FootnoteReference"/>
        </w:rPr>
        <w:footnoteReference w:id="12"/>
      </w:r>
      <w:r>
        <w:t xml:space="preserve"> de regering verzocht om met de VNG in overleg te gaan om ervoor te pleiten dat iedere gemeente een burgemeester of wethouder verantwoordelijk stelt voor het realiseren van een </w:t>
      </w:r>
      <w:r>
        <w:t>antidiscriminatievoorziening</w:t>
      </w:r>
      <w:r>
        <w:t xml:space="preserve"> als onderdeel van de strijd tegen antisemitisme. Van belang om hierbij allereerst op te merken is dat gemeenten op grond van de Wet gemeentelijke </w:t>
      </w:r>
      <w:r>
        <w:t>antidiscriminatievoorzieningen</w:t>
      </w:r>
      <w:r w:rsidR="004F4A05">
        <w:t xml:space="preserve"> (</w:t>
      </w:r>
      <w:r w:rsidR="004F4A05">
        <w:t>Wga</w:t>
      </w:r>
      <w:r w:rsidR="004F4A05">
        <w:t>)</w:t>
      </w:r>
      <w:r>
        <w:t xml:space="preserve"> </w:t>
      </w:r>
      <w:r>
        <w:t>reeds</w:t>
      </w:r>
      <w:r>
        <w:t xml:space="preserve"> de taak hebben om burgers toegang te verlenen tot een </w:t>
      </w:r>
      <w:r>
        <w:t>antidiscriminatievoorziening</w:t>
      </w:r>
      <w:r>
        <w:t xml:space="preserve">. Aangezien deze </w:t>
      </w:r>
      <w:r>
        <w:t>antidiscriminatievoorzieningen</w:t>
      </w:r>
      <w:r>
        <w:t xml:space="preserve"> </w:t>
      </w:r>
      <w:r>
        <w:t>reeds</w:t>
      </w:r>
      <w:r>
        <w:t xml:space="preserve"> bestaan</w:t>
      </w:r>
      <w:r w:rsidR="00401387">
        <w:t>,</w:t>
      </w:r>
      <w:r>
        <w:t xml:space="preserve"> is er van realiseren geen sprake.</w:t>
      </w:r>
      <w:r w:rsidR="00401387">
        <w:t xml:space="preserve"> </w:t>
      </w:r>
      <w:r>
        <w:t xml:space="preserve">Ook meldingen van antisemitisme worden door de huidige </w:t>
      </w:r>
      <w:r>
        <w:t>antidiscriminatievoorzieningen</w:t>
      </w:r>
      <w:r>
        <w:t xml:space="preserve"> opgepakt</w:t>
      </w:r>
      <w:r w:rsidRPr="00620717">
        <w:t xml:space="preserve">. </w:t>
      </w:r>
      <w:r w:rsidRPr="00620717">
        <w:t xml:space="preserve">Vanuit de Strategie Bestrijding Antisemitisme 2024-2030 heeft het kabinet geïnvesteerd om de samenwerking tussen het Centrum Informatie en Documentatie Israël (CIDI) en Discriminatie.nl te versterken. Met deze inzet wordt beoogd het vertrouwen van slachtoffers in het meld- en opvolgingsproces te versterken en de toegankelijkheid van het stelsel voor slachtoffers van antisemitisme te vergroten. </w:t>
      </w:r>
    </w:p>
    <w:p w:rsidR="00620717" w:rsidP="001F366B" w14:paraId="31A26966" w14:textId="77777777"/>
    <w:p w:rsidR="001E4082" w:rsidP="001F366B" w14:paraId="3EB22A5F" w14:textId="77777777">
      <w:r>
        <w:t>M</w:t>
      </w:r>
      <w:r w:rsidRPr="00620717" w:rsidR="003C5DF8">
        <w:t xml:space="preserve">et de VNG </w:t>
      </w:r>
      <w:r>
        <w:t xml:space="preserve">is </w:t>
      </w:r>
      <w:r w:rsidRPr="00620717" w:rsidR="003C5DF8">
        <w:t>overleg gevoerd over het aanstellen van een verantwoordelijk wethouder of burgemeester voor de aanpak van antisemitisme. De colleges van de gemeenten zijn zelf verantwoordelijk voor de portefeuilleverdeling</w:t>
      </w:r>
      <w:r w:rsidR="003C5DF8">
        <w:t xml:space="preserve"> binnen colleges. Wanneer het gaat om openbare orde en veiligheid is daarvoor primair de burgemeester verantwoordelijk. In de praktijk zien we dat </w:t>
      </w:r>
      <w:r w:rsidR="004F4A05">
        <w:t xml:space="preserve">de </w:t>
      </w:r>
      <w:r w:rsidR="004F4A05">
        <w:t>antidiscriminatievoorzieningen</w:t>
      </w:r>
      <w:r w:rsidR="004F4A05">
        <w:t xml:space="preserve"> doorgaans</w:t>
      </w:r>
      <w:r w:rsidR="003C5DF8">
        <w:t xml:space="preserve"> </w:t>
      </w:r>
      <w:r w:rsidR="004F4A05">
        <w:t xml:space="preserve">in de portefeuille vallen van </w:t>
      </w:r>
      <w:r w:rsidR="003C5DF8">
        <w:t xml:space="preserve">de wethouder sociaal domein. Met het oog op de beoogde stelselherziening van de huidige </w:t>
      </w:r>
      <w:r w:rsidR="003C5DF8">
        <w:t>antidiscriminatievoorzieningen</w:t>
      </w:r>
      <w:r w:rsidR="003C5DF8">
        <w:t xml:space="preserve"> blijf ik met de VNG in overleg over de wijze waarop de rol van gemeenten bij de lokale aanpak van discriminatie </w:t>
      </w:r>
      <w:r w:rsidR="00401387">
        <w:t>vorm krijgt</w:t>
      </w:r>
      <w:r w:rsidR="003C5DF8">
        <w:t xml:space="preserve">. </w:t>
      </w:r>
      <w:r w:rsidR="00074B8F">
        <w:t xml:space="preserve">Met het overleg dat </w:t>
      </w:r>
      <w:r w:rsidR="00855F18">
        <w:t>de ambtenaren van mijn ministerie</w:t>
      </w:r>
      <w:r w:rsidR="000677AA">
        <w:t xml:space="preserve"> </w:t>
      </w:r>
      <w:r w:rsidR="00074B8F">
        <w:t>met de VNG heb</w:t>
      </w:r>
      <w:r w:rsidR="00855F18">
        <w:t>ben</w:t>
      </w:r>
      <w:r w:rsidR="00074B8F">
        <w:t xml:space="preserve"> gevoerd </w:t>
      </w:r>
      <w:r w:rsidR="00074B8F">
        <w:t>aangaande</w:t>
      </w:r>
      <w:r w:rsidR="00074B8F">
        <w:t xml:space="preserve"> de motie van het lid </w:t>
      </w:r>
      <w:r w:rsidR="00074B8F">
        <w:t>Bamenga</w:t>
      </w:r>
      <w:r w:rsidR="00074B8F">
        <w:t xml:space="preserve"> doe ik de motie hiermee gestand.</w:t>
      </w:r>
    </w:p>
    <w:p w:rsidR="002D2B27" w:rsidP="001F366B" w14:paraId="541060D1" w14:textId="77777777"/>
    <w:p w:rsidRPr="002D2B27" w:rsidR="002D2B27" w:rsidP="001F366B" w14:paraId="135F17C2" w14:textId="77777777">
      <w:pPr>
        <w:rPr>
          <w:i/>
          <w:iCs/>
        </w:rPr>
      </w:pPr>
      <w:r>
        <w:rPr>
          <w:i/>
          <w:iCs/>
        </w:rPr>
        <w:t xml:space="preserve">Moties Van Nispen en </w:t>
      </w:r>
      <w:r>
        <w:rPr>
          <w:i/>
          <w:iCs/>
        </w:rPr>
        <w:t>Tseggai</w:t>
      </w:r>
      <w:r w:rsidR="00F6463D">
        <w:rPr>
          <w:i/>
          <w:iCs/>
        </w:rPr>
        <w:t xml:space="preserve"> </w:t>
      </w:r>
      <w:r w:rsidRPr="0013460C" w:rsidR="00F6463D">
        <w:rPr>
          <w:i/>
          <w:iCs/>
        </w:rPr>
        <w:t xml:space="preserve">gebruik </w:t>
      </w:r>
      <w:r w:rsidR="00F6463D">
        <w:rPr>
          <w:i/>
          <w:iCs/>
        </w:rPr>
        <w:t>CBS-</w:t>
      </w:r>
      <w:r w:rsidRPr="0013460C" w:rsidR="00F6463D">
        <w:rPr>
          <w:i/>
          <w:iCs/>
        </w:rPr>
        <w:t>data voor onderzoek naar discriminatie</w:t>
      </w:r>
    </w:p>
    <w:p w:rsidR="001F366B" w:rsidP="001F366B" w14:paraId="421F1B2F" w14:textId="77777777">
      <w:bookmarkStart w:name="_Hlk232769251" w:id="1"/>
      <w:r w:rsidRPr="00B757C0">
        <w:t xml:space="preserve">De leden Van Nispen (SP) en </w:t>
      </w:r>
      <w:r w:rsidRPr="00B757C0">
        <w:t>Tseggai</w:t>
      </w:r>
      <w:r w:rsidRPr="00B757C0">
        <w:t xml:space="preserve"> (PRO) verzoeken om overheidsinstanties te stimuleren om voor de ontwikkeling en evaluatie van besluitvormingsprocessen gebruik te maken van CBS-data of soortgelijke interne data om te onderzoeken en te signaleren of sprake is van discriminatie en om discriminatie te voorkomen</w:t>
      </w:r>
      <w:bookmarkEnd w:id="1"/>
      <w:r w:rsidRPr="00B757C0">
        <w:t>.</w:t>
      </w:r>
      <w:r>
        <w:rPr>
          <w:rStyle w:val="FootnoteReference"/>
        </w:rPr>
        <w:footnoteReference w:id="13"/>
      </w:r>
      <w:r w:rsidRPr="00B757C0">
        <w:t xml:space="preserve"> </w:t>
      </w:r>
      <w:r w:rsidR="00C61891">
        <w:t xml:space="preserve">Mijn ambtsvoorganger heeft </w:t>
      </w:r>
      <w:r w:rsidRPr="00B757C0">
        <w:t xml:space="preserve">uw Kamer vorig jaar geïnformeerd </w:t>
      </w:r>
      <w:r w:rsidR="00C61891">
        <w:t>dat er</w:t>
      </w:r>
      <w:r w:rsidRPr="00B757C0">
        <w:t xml:space="preserve"> een verkenning </w:t>
      </w:r>
      <w:r w:rsidR="00C61891">
        <w:t>loopt</w:t>
      </w:r>
      <w:r w:rsidRPr="00B757C0">
        <w:t xml:space="preserve"> naar de mogelijkheden</w:t>
      </w:r>
      <w:r>
        <w:rPr>
          <w:b/>
          <w:bCs/>
        </w:rPr>
        <w:t xml:space="preserve"> </w:t>
      </w:r>
      <w:r>
        <w:t>om gevoelige persoonsgegevens te gebruiken om discriminatie en ongelijke behandeling door het gebruik van algoritmen te onderzoeken en voorkomen.</w:t>
      </w:r>
      <w:r>
        <w:rPr>
          <w:rStyle w:val="FootnoteReference"/>
        </w:rPr>
        <w:footnoteReference w:id="14"/>
      </w:r>
      <w:r>
        <w:t xml:space="preserve"> Vorige maand is uw Kamer</w:t>
      </w:r>
      <w:r w:rsidR="00C61891">
        <w:t xml:space="preserve"> </w:t>
      </w:r>
      <w:r>
        <w:t xml:space="preserve">geïnformeerd dat in dit kader inmiddels verschillende trajecten lopen: er is een adviestraject belegd bij de </w:t>
      </w:r>
      <w:r w:rsidRPr="00F9284C">
        <w:t>Adviesfunctie Verantwoord Datagebruik, ingebed in de Interbestuurlijke Datastrategie</w:t>
      </w:r>
      <w:r>
        <w:t xml:space="preserve">, en </w:t>
      </w:r>
      <w:r w:rsidR="00AD4670">
        <w:t xml:space="preserve">mijn ministerie </w:t>
      </w:r>
      <w:r>
        <w:t>onderzoek</w:t>
      </w:r>
      <w:r w:rsidR="00AD4670">
        <w:t>t</w:t>
      </w:r>
      <w:r>
        <w:t xml:space="preserve"> wat ervoor nodig is om de Selectiviteitsscan, ontwikkeld door het Centraal Planbureau, beschikbaar te </w:t>
      </w:r>
      <w:r>
        <w:t>maken voor de gehele overheid.</w:t>
      </w:r>
      <w:r>
        <w:rPr>
          <w:rStyle w:val="FootnoteReference"/>
        </w:rPr>
        <w:footnoteReference w:id="15"/>
      </w:r>
      <w:r w:rsidR="000F6539">
        <w:t xml:space="preserve"> Ik</w:t>
      </w:r>
      <w:r w:rsidR="00AD4670">
        <w:t xml:space="preserve"> zal</w:t>
      </w:r>
      <w:r>
        <w:t xml:space="preserve"> uw Kamer begin 2027 informeren over de voortgang van deze trajecten. Tot slot is voor het verzoek van de leden Van Nispen en </w:t>
      </w:r>
      <w:r>
        <w:t>Tseggai</w:t>
      </w:r>
      <w:r>
        <w:t xml:space="preserve"> relevant dat de Staatscommissie tegen Discriminatie en Racisme aanbeveelt </w:t>
      </w:r>
      <w:r w:rsidR="007F3930">
        <w:t>om het verzamelen van gelijkheidsgegevens te verbeteren. Een inhoudelijke reactie op dit advies zal het kabinet meenemen in de reactie op het eindrapport van de Staatscommissie</w:t>
      </w:r>
      <w:r>
        <w:t xml:space="preserve">. </w:t>
      </w:r>
      <w:r w:rsidR="00A63E20">
        <w:t xml:space="preserve">Hiermee beschouw ik de motie als afgedaan. </w:t>
      </w:r>
    </w:p>
    <w:p w:rsidR="001E4082" w:rsidP="00AF7DDD" w14:paraId="3E62AC45" w14:textId="77777777"/>
    <w:p w:rsidR="001F366B" w:rsidP="001F366B" w14:paraId="6A77B6DE" w14:textId="77777777">
      <w:r w:rsidRPr="003F026A">
        <w:t>Met het voorgaande heb ik u inzicht willen geven in de stand van zaken van mijn</w:t>
      </w:r>
      <w:r>
        <w:t xml:space="preserve"> </w:t>
      </w:r>
      <w:r w:rsidRPr="003F026A">
        <w:t>concrete aanpak tegen discriminatie en de gezette stappen.</w:t>
      </w:r>
    </w:p>
    <w:p w:rsidR="001F366B" w:rsidP="001F366B" w14:paraId="0DAF60C2" w14:textId="77777777"/>
    <w:p w:rsidR="00043FB1" w14:paraId="1C1F9A7E" w14:textId="77777777"/>
    <w:p w:rsidR="00043FB1" w14:paraId="0376871A" w14:textId="77777777">
      <w:r>
        <w:t>De Minister van Binnenlandse Zaken en Koninkrijksrelaties</w:t>
      </w:r>
      <w:r>
        <w:rPr>
          <w:i/>
        </w:rPr>
        <w:t>,</w:t>
      </w:r>
    </w:p>
    <w:p w:rsidR="00183DFA" w14:paraId="7529B42D" w14:textId="77777777"/>
    <w:p w:rsidR="00EE67AB" w14:paraId="5BF22A57" w14:textId="77777777"/>
    <w:p w:rsidR="00EE67AB" w14:paraId="744F3F84" w14:textId="77777777"/>
    <w:p w:rsidR="00EE67AB" w14:paraId="1F44AB15" w14:textId="77777777"/>
    <w:p w:rsidR="00043FB1" w14:paraId="28640F7C" w14:textId="77777777"/>
    <w:p w:rsidR="00043FB1" w14:paraId="21B2CD22" w14:textId="77777777">
      <w:r>
        <w:t>Pieter Heerma</w:t>
      </w:r>
    </w:p>
    <w:p w:rsidR="00043FB1" w14:paraId="637456F5"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rsidTr="00C75679" w14:paraId="427D6E9D" w14:textId="77777777">
        <w:tblPrEx>
          <w:tblW w:w="7541" w:type="dxa"/>
          <w:tblInd w:w="0" w:type="dxa"/>
          <w:tblLayout w:type="fixed"/>
          <w:tblLook w:val="07E0"/>
        </w:tblPrEx>
        <w:tc>
          <w:tcPr>
            <w:tcW w:w="1509" w:type="dxa"/>
          </w:tcPr>
          <w:p w:rsidR="00043FB1" w14:paraId="0138EB65" w14:textId="77777777">
            <w:r>
              <w:t>Volgnummer</w:t>
            </w:r>
          </w:p>
        </w:tc>
        <w:tc>
          <w:tcPr>
            <w:tcW w:w="3016" w:type="dxa"/>
          </w:tcPr>
          <w:p w:rsidR="00043FB1" w14:paraId="7FAB34DD" w14:textId="77777777">
            <w:r>
              <w:t>Naam</w:t>
            </w:r>
          </w:p>
        </w:tc>
        <w:tc>
          <w:tcPr>
            <w:tcW w:w="3016" w:type="dxa"/>
          </w:tcPr>
          <w:p w:rsidR="00043FB1" w14:paraId="661804CF" w14:textId="77777777">
            <w:r>
              <w:t>Classificatie</w:t>
            </w:r>
          </w:p>
        </w:tc>
      </w:tr>
      <w:tr w:rsidTr="00C75679" w14:paraId="3283B7A7" w14:textId="77777777">
        <w:tblPrEx>
          <w:tblW w:w="7541" w:type="dxa"/>
          <w:tblInd w:w="0" w:type="dxa"/>
          <w:tblLayout w:type="fixed"/>
          <w:tblLook w:val="07E0"/>
        </w:tblPrEx>
        <w:tc>
          <w:tcPr>
            <w:tcW w:w="1509" w:type="dxa"/>
          </w:tcPr>
          <w:p w:rsidR="00043FB1" w14:paraId="610948B6" w14:textId="77777777">
            <w:r>
              <w:t>1</w:t>
            </w:r>
          </w:p>
        </w:tc>
        <w:tc>
          <w:tcPr>
            <w:tcW w:w="3016" w:type="dxa"/>
          </w:tcPr>
          <w:p w:rsidR="00043FB1" w14:paraId="3C37597D" w14:textId="77777777">
            <w:bookmarkStart w:name="_Hlk233899086" w:id="2"/>
            <w:r>
              <w:t>Eindrapport Discriminatie doorbreken</w:t>
            </w:r>
            <w:bookmarkEnd w:id="2"/>
          </w:p>
        </w:tc>
        <w:tc>
          <w:tcPr>
            <w:tcW w:w="3016" w:type="dxa"/>
          </w:tcPr>
          <w:p w:rsidR="00043FB1" w14:paraId="3270F56A" w14:textId="77777777"/>
        </w:tc>
      </w:tr>
      <w:tr w:rsidTr="00C75679" w14:paraId="16F0DA50" w14:textId="77777777">
        <w:tblPrEx>
          <w:tblW w:w="7541" w:type="dxa"/>
          <w:tblInd w:w="0" w:type="dxa"/>
          <w:tblLayout w:type="fixed"/>
          <w:tblLook w:val="07E0"/>
        </w:tblPrEx>
        <w:tc>
          <w:tcPr>
            <w:tcW w:w="1509" w:type="dxa"/>
          </w:tcPr>
          <w:p w:rsidR="00043FB1" w14:paraId="02295AD6" w14:textId="77777777">
            <w:bookmarkStart w:name="_Hlk233899095" w:id="3"/>
            <w:r>
              <w:t>2</w:t>
            </w:r>
          </w:p>
        </w:tc>
        <w:tc>
          <w:tcPr>
            <w:tcW w:w="3016" w:type="dxa"/>
          </w:tcPr>
          <w:p w:rsidR="00043FB1" w14:paraId="078E7D11" w14:textId="77777777">
            <w:r>
              <w:t>Voortgangsrapportage Principes voor profilering</w:t>
            </w:r>
          </w:p>
        </w:tc>
        <w:tc>
          <w:tcPr>
            <w:tcW w:w="3016" w:type="dxa"/>
          </w:tcPr>
          <w:p w:rsidR="00043FB1" w14:paraId="0060A6EF" w14:textId="77777777"/>
        </w:tc>
      </w:tr>
      <w:bookmarkEnd w:id="3"/>
    </w:tbl>
    <w:p w:rsidR="00043FB1" w14:paraId="30F3DBD3"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FB1" w14:paraId="6E513497"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7322" w14:paraId="3C7359A7" w14:textId="77777777">
      <w:pPr>
        <w:spacing w:line="240" w:lineRule="auto"/>
      </w:pPr>
      <w:r>
        <w:separator/>
      </w:r>
    </w:p>
  </w:footnote>
  <w:footnote w:type="continuationSeparator" w:id="1">
    <w:p w:rsidR="005D7322" w14:paraId="1AAB2D75" w14:textId="77777777">
      <w:pPr>
        <w:spacing w:line="240" w:lineRule="auto"/>
      </w:pPr>
      <w:r>
        <w:continuationSeparator/>
      </w:r>
    </w:p>
  </w:footnote>
  <w:footnote w:id="2">
    <w:p w:rsidR="003F0640" w:rsidRPr="002149EE" w:rsidP="003F0640" w14:paraId="7E8C33D8" w14:textId="77777777">
      <w:pPr>
        <w:pStyle w:val="FootnoteText"/>
        <w:rPr>
          <w:sz w:val="16"/>
          <w:szCs w:val="16"/>
        </w:rPr>
      </w:pPr>
      <w:r w:rsidRPr="002149EE">
        <w:rPr>
          <w:rStyle w:val="FootnoteReference"/>
          <w:sz w:val="16"/>
          <w:szCs w:val="16"/>
        </w:rPr>
        <w:footnoteRef/>
      </w:r>
      <w:r w:rsidRPr="002149EE">
        <w:rPr>
          <w:sz w:val="16"/>
          <w:szCs w:val="16"/>
        </w:rPr>
        <w:t xml:space="preserve"> </w:t>
      </w:r>
      <w:r w:rsidRPr="002149EE">
        <w:rPr>
          <w:i/>
          <w:iCs/>
          <w:sz w:val="16"/>
          <w:szCs w:val="16"/>
        </w:rPr>
        <w:t>Kamerstukken</w:t>
      </w:r>
      <w:r w:rsidRPr="002149EE" w:rsidR="005E2906">
        <w:rPr>
          <w:i/>
          <w:iCs/>
          <w:sz w:val="16"/>
          <w:szCs w:val="16"/>
        </w:rPr>
        <w:t xml:space="preserve"> II</w:t>
      </w:r>
      <w:r w:rsidRPr="002149EE">
        <w:rPr>
          <w:sz w:val="16"/>
          <w:szCs w:val="16"/>
        </w:rPr>
        <w:t xml:space="preserve"> 2025</w:t>
      </w:r>
      <w:r w:rsidRPr="002149EE" w:rsidR="005E2906">
        <w:rPr>
          <w:sz w:val="16"/>
          <w:szCs w:val="16"/>
        </w:rPr>
        <w:t>/</w:t>
      </w:r>
      <w:r w:rsidRPr="002149EE">
        <w:rPr>
          <w:sz w:val="16"/>
          <w:szCs w:val="16"/>
        </w:rPr>
        <w:t>26, 28481, nr. 25.</w:t>
      </w:r>
    </w:p>
  </w:footnote>
  <w:footnote w:id="3">
    <w:p w:rsidR="002149EE" w:rsidRPr="007E1BA8" w14:paraId="63ADD8EE" w14:textId="77777777">
      <w:pPr>
        <w:pStyle w:val="FootnoteText"/>
        <w:rPr>
          <w:sz w:val="16"/>
          <w:szCs w:val="16"/>
        </w:rPr>
      </w:pPr>
      <w:r w:rsidRPr="007E1BA8">
        <w:rPr>
          <w:rStyle w:val="FootnoteReference"/>
          <w:sz w:val="16"/>
          <w:szCs w:val="16"/>
        </w:rPr>
        <w:footnoteRef/>
      </w:r>
      <w:r w:rsidRPr="007E1BA8">
        <w:rPr>
          <w:sz w:val="16"/>
          <w:szCs w:val="16"/>
        </w:rPr>
        <w:t xml:space="preserve"> </w:t>
      </w:r>
      <w:r w:rsidRPr="007E1BA8">
        <w:rPr>
          <w:i/>
          <w:iCs/>
          <w:sz w:val="16"/>
          <w:szCs w:val="16"/>
        </w:rPr>
        <w:t>Kamerstukken II</w:t>
      </w:r>
      <w:r w:rsidRPr="007E1BA8">
        <w:rPr>
          <w:sz w:val="16"/>
          <w:szCs w:val="16"/>
        </w:rPr>
        <w:t xml:space="preserve"> 2023/24, 36 510, nr. 2.</w:t>
      </w:r>
    </w:p>
  </w:footnote>
  <w:footnote w:id="4">
    <w:p w:rsidR="00363F26" w:rsidRPr="007E1BA8" w14:paraId="1F681F38" w14:textId="77777777">
      <w:pPr>
        <w:pStyle w:val="FootnoteText"/>
        <w:rPr>
          <w:sz w:val="16"/>
          <w:szCs w:val="16"/>
        </w:rPr>
      </w:pPr>
      <w:r w:rsidRPr="007E1BA8">
        <w:rPr>
          <w:rStyle w:val="FootnoteReference"/>
          <w:sz w:val="16"/>
          <w:szCs w:val="16"/>
        </w:rPr>
        <w:footnoteRef/>
      </w:r>
      <w:r w:rsidRPr="007E1BA8">
        <w:rPr>
          <w:sz w:val="16"/>
          <w:szCs w:val="16"/>
        </w:rPr>
        <w:t xml:space="preserve"> </w:t>
      </w:r>
      <w:hyperlink r:id="rId1" w:tooltip="link naar publicatie stb-2019-302" w:history="1">
        <w:r w:rsidRPr="007E1BA8">
          <w:rPr>
            <w:rStyle w:val="Hyperlink"/>
            <w:sz w:val="16"/>
            <w:szCs w:val="16"/>
          </w:rPr>
          <w:t>Stb. 2019, 302</w:t>
        </w:r>
      </w:hyperlink>
      <w:r w:rsidRPr="007E1BA8" w:rsidR="00387431">
        <w:rPr>
          <w:sz w:val="16"/>
          <w:szCs w:val="16"/>
        </w:rPr>
        <w:t>.</w:t>
      </w:r>
    </w:p>
  </w:footnote>
  <w:footnote w:id="5">
    <w:p w:rsidR="00C25BB0" w:rsidRPr="007E1BA8" w:rsidP="00C25BB0" w14:paraId="78826B60" w14:textId="77777777">
      <w:pPr>
        <w:pStyle w:val="FootnoteText"/>
        <w:rPr>
          <w:sz w:val="16"/>
          <w:szCs w:val="16"/>
        </w:rPr>
      </w:pPr>
      <w:r w:rsidRPr="007E1BA8">
        <w:rPr>
          <w:rStyle w:val="FootnoteReference"/>
          <w:sz w:val="16"/>
          <w:szCs w:val="16"/>
        </w:rPr>
        <w:footnoteRef/>
      </w:r>
      <w:r w:rsidRPr="007E1BA8">
        <w:rPr>
          <w:sz w:val="16"/>
          <w:szCs w:val="16"/>
        </w:rPr>
        <w:t xml:space="preserve"> </w:t>
      </w:r>
      <w:r w:rsidRPr="007E1BA8" w:rsidR="00387431">
        <w:rPr>
          <w:sz w:val="16"/>
          <w:szCs w:val="16"/>
        </w:rPr>
        <w:t>Kamerstukken II 2025/26, 36800-VII, nr. 97.</w:t>
      </w:r>
    </w:p>
  </w:footnote>
  <w:footnote w:id="6">
    <w:p w:rsidR="00B16EA5" w:rsidRPr="007E1BA8" w14:paraId="3E5E3F61" w14:textId="77777777">
      <w:pPr>
        <w:pStyle w:val="FootnoteText"/>
        <w:rPr>
          <w:sz w:val="16"/>
          <w:szCs w:val="16"/>
        </w:rPr>
      </w:pPr>
      <w:r w:rsidRPr="007E1BA8">
        <w:rPr>
          <w:rStyle w:val="FootnoteReference"/>
          <w:sz w:val="16"/>
          <w:szCs w:val="16"/>
        </w:rPr>
        <w:footnoteRef/>
      </w:r>
      <w:r w:rsidRPr="007E1BA8">
        <w:rPr>
          <w:sz w:val="16"/>
          <w:szCs w:val="16"/>
        </w:rPr>
        <w:t xml:space="preserve"> </w:t>
      </w:r>
      <w:r w:rsidRPr="007E1BA8" w:rsidR="00DE222A">
        <w:rPr>
          <w:i/>
          <w:iCs/>
          <w:sz w:val="16"/>
          <w:szCs w:val="16"/>
        </w:rPr>
        <w:t>Kamerstukken II</w:t>
      </w:r>
      <w:r w:rsidRPr="007E1BA8" w:rsidR="00DE222A">
        <w:rPr>
          <w:sz w:val="16"/>
          <w:szCs w:val="16"/>
        </w:rPr>
        <w:t xml:space="preserve"> 2024/25, 30 950, nr. 448.</w:t>
      </w:r>
    </w:p>
  </w:footnote>
  <w:footnote w:id="7">
    <w:p w:rsidR="003D558B" w:rsidRPr="00083858" w14:paraId="40B24FAB" w14:textId="77777777">
      <w:pPr>
        <w:pStyle w:val="FootnoteText"/>
        <w:rPr>
          <w:sz w:val="16"/>
          <w:szCs w:val="16"/>
        </w:rPr>
      </w:pPr>
      <w:r w:rsidRPr="007E1BA8">
        <w:rPr>
          <w:rStyle w:val="FootnoteReference"/>
          <w:sz w:val="16"/>
          <w:szCs w:val="16"/>
        </w:rPr>
        <w:footnoteRef/>
      </w:r>
      <w:r w:rsidRPr="007E1BA8">
        <w:rPr>
          <w:sz w:val="16"/>
          <w:szCs w:val="16"/>
        </w:rPr>
        <w:t xml:space="preserve"> </w:t>
      </w:r>
      <w:r w:rsidRPr="007E1BA8">
        <w:rPr>
          <w:i/>
          <w:iCs/>
          <w:sz w:val="16"/>
          <w:szCs w:val="16"/>
        </w:rPr>
        <w:t>Kamerstukken II</w:t>
      </w:r>
      <w:r w:rsidRPr="007E1BA8">
        <w:rPr>
          <w:sz w:val="16"/>
          <w:szCs w:val="16"/>
        </w:rPr>
        <w:t xml:space="preserve"> 2025/26. 30950, nr. 546.</w:t>
      </w:r>
    </w:p>
  </w:footnote>
  <w:footnote w:id="8">
    <w:p w:rsidR="00814482" w:rsidRPr="007E1BA8" w:rsidP="00814482" w14:paraId="13A72E63" w14:textId="77777777">
      <w:pPr>
        <w:pStyle w:val="FootnoteText"/>
        <w:rPr>
          <w:sz w:val="16"/>
          <w:szCs w:val="16"/>
        </w:rPr>
      </w:pPr>
      <w:r w:rsidRPr="007E1BA8">
        <w:rPr>
          <w:rStyle w:val="FootnoteReference"/>
          <w:sz w:val="16"/>
          <w:szCs w:val="16"/>
        </w:rPr>
        <w:footnoteRef/>
      </w:r>
      <w:r w:rsidRPr="007E1BA8">
        <w:rPr>
          <w:sz w:val="16"/>
          <w:szCs w:val="16"/>
        </w:rPr>
        <w:t xml:space="preserve"> </w:t>
      </w:r>
      <w:r w:rsidRPr="007E1BA8">
        <w:rPr>
          <w:i/>
          <w:iCs/>
          <w:sz w:val="16"/>
          <w:szCs w:val="16"/>
        </w:rPr>
        <w:t>Kamerstukken II</w:t>
      </w:r>
      <w:r w:rsidRPr="007E1BA8">
        <w:rPr>
          <w:sz w:val="16"/>
          <w:szCs w:val="16"/>
        </w:rPr>
        <w:t xml:space="preserve"> 2025/26, 30 950, nr. 483.</w:t>
      </w:r>
    </w:p>
  </w:footnote>
  <w:footnote w:id="9">
    <w:p w:rsidR="00762738" w:rsidRPr="00CA20F2" w:rsidP="00762738" w14:paraId="0FAB4896" w14:textId="77777777">
      <w:pPr>
        <w:pStyle w:val="FootnoteText"/>
        <w:rPr>
          <w:sz w:val="16"/>
          <w:szCs w:val="16"/>
        </w:rPr>
      </w:pPr>
      <w:r w:rsidRPr="00CA20F2">
        <w:rPr>
          <w:rStyle w:val="FootnoteReference"/>
          <w:sz w:val="16"/>
          <w:szCs w:val="16"/>
        </w:rPr>
        <w:footnoteRef/>
      </w:r>
      <w:r w:rsidRPr="00CA20F2">
        <w:rPr>
          <w:sz w:val="16"/>
          <w:szCs w:val="16"/>
        </w:rPr>
        <w:t xml:space="preserve"> Artikel 3, eerste lid, sub b, Wet </w:t>
      </w:r>
      <w:r w:rsidRPr="00CA20F2">
        <w:rPr>
          <w:sz w:val="16"/>
          <w:szCs w:val="16"/>
        </w:rPr>
        <w:t>Bibob</w:t>
      </w:r>
      <w:r w:rsidRPr="00CA20F2">
        <w:rPr>
          <w:sz w:val="16"/>
          <w:szCs w:val="16"/>
        </w:rPr>
        <w:t>.</w:t>
      </w:r>
    </w:p>
  </w:footnote>
  <w:footnote w:id="10">
    <w:p w:rsidR="00CA20F2" w:rsidRPr="00183DFA" w14:paraId="390C53F2" w14:textId="77777777">
      <w:pPr>
        <w:pStyle w:val="FootnoteText"/>
        <w:rPr>
          <w:sz w:val="16"/>
          <w:szCs w:val="16"/>
        </w:rPr>
      </w:pPr>
      <w:r w:rsidRPr="00183DFA">
        <w:rPr>
          <w:rStyle w:val="FootnoteReference"/>
          <w:sz w:val="16"/>
          <w:szCs w:val="16"/>
        </w:rPr>
        <w:footnoteRef/>
      </w:r>
      <w:r w:rsidRPr="00183DFA">
        <w:rPr>
          <w:sz w:val="16"/>
          <w:szCs w:val="16"/>
        </w:rPr>
        <w:t xml:space="preserve"> Deze autoriteit beoordeelt de kans dat er weer een strafbaar feit wordt gepleegd aan de hand van eerder gepleegde strafbare feiten. Er moet wel een duidelijke relatie bestaan tussen de gepleegde strafbare feiten en de subsidie. Daarom weegt </w:t>
      </w:r>
      <w:r w:rsidRPr="00183DFA">
        <w:rPr>
          <w:sz w:val="16"/>
          <w:szCs w:val="16"/>
        </w:rPr>
        <w:t>Justis</w:t>
      </w:r>
      <w:r w:rsidRPr="00183DFA">
        <w:rPr>
          <w:sz w:val="16"/>
          <w:szCs w:val="16"/>
        </w:rPr>
        <w:t xml:space="preserve"> ook de aard van de subsidie mee (</w:t>
      </w:r>
      <w:r>
        <w:rPr>
          <w:sz w:val="16"/>
          <w:szCs w:val="16"/>
        </w:rPr>
        <w:t>‘</w:t>
      </w:r>
      <w:r w:rsidRPr="00183DFA">
        <w:rPr>
          <w:sz w:val="16"/>
          <w:szCs w:val="16"/>
        </w:rPr>
        <w:t>Veelgestelde</w:t>
      </w:r>
      <w:r w:rsidRPr="00183DFA">
        <w:rPr>
          <w:sz w:val="16"/>
          <w:szCs w:val="16"/>
        </w:rPr>
        <w:t xml:space="preserve"> vragen over Subsidies en de Wet </w:t>
      </w:r>
      <w:r w:rsidRPr="00183DFA">
        <w:rPr>
          <w:sz w:val="16"/>
          <w:szCs w:val="16"/>
        </w:rPr>
        <w:t>Bibob</w:t>
      </w:r>
      <w:r w:rsidRPr="00183DFA">
        <w:rPr>
          <w:sz w:val="16"/>
          <w:szCs w:val="16"/>
        </w:rPr>
        <w:t>’</w:t>
      </w:r>
      <w:r>
        <w:rPr>
          <w:sz w:val="16"/>
          <w:szCs w:val="16"/>
        </w:rPr>
        <w:t xml:space="preserve">, </w:t>
      </w:r>
      <w:r w:rsidRPr="00183DFA">
        <w:rPr>
          <w:i/>
          <w:iCs/>
          <w:sz w:val="16"/>
          <w:szCs w:val="16"/>
        </w:rPr>
        <w:t>Justis</w:t>
      </w:r>
      <w:r>
        <w:rPr>
          <w:i/>
          <w:iCs/>
          <w:sz w:val="16"/>
          <w:szCs w:val="16"/>
        </w:rPr>
        <w:t xml:space="preserve"> </w:t>
      </w:r>
      <w:r>
        <w:rPr>
          <w:sz w:val="16"/>
          <w:szCs w:val="16"/>
        </w:rPr>
        <w:t>2022, p. 3).</w:t>
      </w:r>
    </w:p>
  </w:footnote>
  <w:footnote w:id="11">
    <w:p w:rsidR="004F4A05" w:rsidRPr="00183DFA" w14:paraId="28FD4042" w14:textId="77777777">
      <w:pPr>
        <w:pStyle w:val="FootnoteText"/>
        <w:rPr>
          <w:sz w:val="16"/>
          <w:szCs w:val="16"/>
        </w:rPr>
      </w:pPr>
      <w:r w:rsidRPr="00183DFA">
        <w:rPr>
          <w:rStyle w:val="FootnoteReference"/>
          <w:sz w:val="16"/>
          <w:szCs w:val="16"/>
        </w:rPr>
        <w:footnoteRef/>
      </w:r>
      <w:r w:rsidRPr="00183DFA">
        <w:rPr>
          <w:sz w:val="16"/>
          <w:szCs w:val="16"/>
        </w:rPr>
        <w:t xml:space="preserve"> </w:t>
      </w:r>
      <w:r w:rsidR="00183DFA">
        <w:rPr>
          <w:i/>
          <w:iCs/>
          <w:sz w:val="16"/>
          <w:szCs w:val="16"/>
        </w:rPr>
        <w:t xml:space="preserve">Kamerstukken II 2025/26, </w:t>
      </w:r>
      <w:r w:rsidR="00183DFA">
        <w:rPr>
          <w:sz w:val="16"/>
          <w:szCs w:val="16"/>
        </w:rPr>
        <w:t>30 950, nr. 547, p. 2-3.</w:t>
      </w:r>
    </w:p>
  </w:footnote>
  <w:footnote w:id="12">
    <w:p w:rsidR="003C5DF8" w:rsidRPr="00366270" w14:paraId="1696F98C" w14:textId="77777777">
      <w:pPr>
        <w:pStyle w:val="FootnoteText"/>
        <w:rPr>
          <w:sz w:val="16"/>
          <w:szCs w:val="16"/>
        </w:rPr>
      </w:pPr>
      <w:r w:rsidRPr="00CA20F2">
        <w:rPr>
          <w:rStyle w:val="FootnoteReference"/>
          <w:sz w:val="16"/>
          <w:szCs w:val="16"/>
        </w:rPr>
        <w:footnoteRef/>
      </w:r>
      <w:r w:rsidRPr="00CA20F2">
        <w:rPr>
          <w:sz w:val="16"/>
          <w:szCs w:val="16"/>
        </w:rPr>
        <w:t xml:space="preserve"> Kamerstuk</w:t>
      </w:r>
      <w:r w:rsidRPr="00CA20F2" w:rsidR="003D558B">
        <w:rPr>
          <w:sz w:val="16"/>
          <w:szCs w:val="16"/>
        </w:rPr>
        <w:t>ken</w:t>
      </w:r>
      <w:r w:rsidRPr="00CA20F2">
        <w:rPr>
          <w:sz w:val="16"/>
          <w:szCs w:val="16"/>
        </w:rPr>
        <w:t xml:space="preserve"> II 2023/24, 36272, nr. 10</w:t>
      </w:r>
    </w:p>
  </w:footnote>
  <w:footnote w:id="13">
    <w:p w:rsidR="00F6463D" w:rsidRPr="00366270" w:rsidP="00F6463D" w14:paraId="38F033F8" w14:textId="77777777">
      <w:pPr>
        <w:pStyle w:val="FootnoteText"/>
        <w:rPr>
          <w:sz w:val="16"/>
          <w:szCs w:val="16"/>
        </w:rPr>
      </w:pPr>
      <w:r w:rsidRPr="00366270">
        <w:rPr>
          <w:rStyle w:val="FootnoteReference"/>
          <w:sz w:val="16"/>
          <w:szCs w:val="16"/>
        </w:rPr>
        <w:footnoteRef/>
      </w:r>
      <w:r w:rsidRPr="00366270">
        <w:rPr>
          <w:sz w:val="16"/>
          <w:szCs w:val="16"/>
        </w:rPr>
        <w:t xml:space="preserve"> Kamerstukken II, 2025/2026, 30 950, nr. 499. </w:t>
      </w:r>
    </w:p>
  </w:footnote>
  <w:footnote w:id="14">
    <w:p w:rsidR="00F6463D" w:rsidRPr="00366270" w:rsidP="00F6463D" w14:paraId="72068F33" w14:textId="77777777">
      <w:pPr>
        <w:pStyle w:val="FootnoteText"/>
        <w:rPr>
          <w:sz w:val="16"/>
          <w:szCs w:val="16"/>
        </w:rPr>
      </w:pPr>
      <w:r w:rsidRPr="00366270">
        <w:rPr>
          <w:rStyle w:val="FootnoteReference"/>
          <w:sz w:val="16"/>
          <w:szCs w:val="16"/>
        </w:rPr>
        <w:footnoteRef/>
      </w:r>
      <w:r w:rsidRPr="00366270">
        <w:rPr>
          <w:sz w:val="16"/>
          <w:szCs w:val="16"/>
        </w:rPr>
        <w:t xml:space="preserve"> Kamerstukken II, 2025/26, 30 950, nr. 503, p. 4. </w:t>
      </w:r>
    </w:p>
  </w:footnote>
  <w:footnote w:id="15">
    <w:p w:rsidR="00F6463D" w:rsidRPr="00366270" w:rsidP="00F6463D" w14:paraId="00B09D21" w14:textId="77777777">
      <w:pPr>
        <w:pStyle w:val="FootnoteText"/>
        <w:rPr>
          <w:sz w:val="16"/>
          <w:szCs w:val="16"/>
        </w:rPr>
      </w:pPr>
      <w:r w:rsidRPr="00366270">
        <w:rPr>
          <w:rStyle w:val="FootnoteReference"/>
          <w:sz w:val="16"/>
          <w:szCs w:val="16"/>
        </w:rPr>
        <w:footnoteRef/>
      </w:r>
      <w:r w:rsidRPr="00366270">
        <w:rPr>
          <w:sz w:val="16"/>
          <w:szCs w:val="16"/>
        </w:rPr>
        <w:t xml:space="preserve"> Kamerstukken II, 2025/26, 26643, nr. 1520, zie bijlage bij de Kamerbrief.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FB1" w14:paraId="22BDD04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43FB1" w14:textId="77777777">
                          <w:pPr>
                            <w:pStyle w:val="Referentiegegevensbold"/>
                          </w:pPr>
                          <w:r>
                            <w:t>DGOBDR</w:t>
                          </w:r>
                        </w:p>
                        <w:p w:rsidR="00043FB1" w14:textId="77777777">
                          <w:pPr>
                            <w:pStyle w:val="Referentiegegevens"/>
                          </w:pPr>
                          <w:r>
                            <w:t>Directie CZW</w:t>
                          </w:r>
                        </w:p>
                        <w:p w:rsidR="00043FB1" w14:textId="77777777">
                          <w:pPr>
                            <w:pStyle w:val="Referentiegegevens"/>
                          </w:pPr>
                          <w:r>
                            <w:t>Afdeling CZ</w:t>
                          </w:r>
                        </w:p>
                        <w:p w:rsidR="00043FB1" w14:textId="77777777">
                          <w:pPr>
                            <w:pStyle w:val="WitregelW2"/>
                          </w:pPr>
                        </w:p>
                        <w:p w:rsidR="00043FB1" w14:textId="77777777">
                          <w:pPr>
                            <w:pStyle w:val="Referentiegegevensbold"/>
                          </w:pPr>
                          <w:r>
                            <w:t>Datum</w:t>
                          </w:r>
                        </w:p>
                        <w:p w:rsidR="00704C5B" w14:textId="77777777">
                          <w:pPr>
                            <w:pStyle w:val="Referentiegegevens"/>
                          </w:pPr>
                          <w:r>
                            <w:fldChar w:fldCharType="begin"/>
                          </w:r>
                          <w:r>
                            <w:instrText xml:space="preserve"> DOCPROPERTY  "Datum"  \* MERGEFORMAT </w:instrText>
                          </w:r>
                          <w:r>
                            <w:fldChar w:fldCharType="separate"/>
                          </w:r>
                          <w:r w:rsidR="00C7210F">
                            <w:t>2 juli 2026</w:t>
                          </w:r>
                          <w:r w:rsidR="00C7210F">
                            <w:fldChar w:fldCharType="end"/>
                          </w:r>
                        </w:p>
                        <w:p w:rsidR="00043FB1" w14:textId="77777777">
                          <w:pPr>
                            <w:pStyle w:val="WitregelW1"/>
                          </w:pPr>
                        </w:p>
                        <w:p w:rsidR="00043FB1" w14:textId="77777777">
                          <w:pPr>
                            <w:pStyle w:val="Referentiegegevensbold"/>
                          </w:pPr>
                          <w:r>
                            <w:t>Onze referentie</w:t>
                          </w:r>
                        </w:p>
                        <w:p w:rsidR="00704C5B" w14:textId="77777777">
                          <w:pPr>
                            <w:pStyle w:val="Referentiegegevens"/>
                          </w:pPr>
                          <w:r>
                            <w:fldChar w:fldCharType="begin"/>
                          </w:r>
                          <w:r>
                            <w:instrText xml:space="preserve"> DOCPROPERTY  "Kenmerk"  \* MERGEFORMAT </w:instrText>
                          </w:r>
                          <w:r>
                            <w:fldChar w:fldCharType="separate"/>
                          </w:r>
                          <w:r w:rsidR="00C7210F">
                            <w:t>2026-0000256095</w:t>
                          </w:r>
                          <w:r w:rsidR="00C7210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43FB1" w14:paraId="1FD665B3" w14:textId="77777777">
                    <w:pPr>
                      <w:pStyle w:val="Referentiegegevensbold"/>
                    </w:pPr>
                    <w:r>
                      <w:t>DGOBDR</w:t>
                    </w:r>
                  </w:p>
                  <w:p w:rsidR="00043FB1" w14:paraId="7F084E3E" w14:textId="77777777">
                    <w:pPr>
                      <w:pStyle w:val="Referentiegegevens"/>
                    </w:pPr>
                    <w:r>
                      <w:t>Directie CZW</w:t>
                    </w:r>
                  </w:p>
                  <w:p w:rsidR="00043FB1" w14:paraId="7CAE8A48" w14:textId="77777777">
                    <w:pPr>
                      <w:pStyle w:val="Referentiegegevens"/>
                    </w:pPr>
                    <w:r>
                      <w:t>Afdeling CZ</w:t>
                    </w:r>
                  </w:p>
                  <w:p w:rsidR="00043FB1" w14:paraId="4EFBE803" w14:textId="77777777">
                    <w:pPr>
                      <w:pStyle w:val="WitregelW2"/>
                    </w:pPr>
                  </w:p>
                  <w:p w:rsidR="00043FB1" w14:paraId="31009EAC" w14:textId="77777777">
                    <w:pPr>
                      <w:pStyle w:val="Referentiegegevensbold"/>
                    </w:pPr>
                    <w:r>
                      <w:t>Datum</w:t>
                    </w:r>
                  </w:p>
                  <w:p w:rsidR="00704C5B" w14:paraId="7FD3EF51" w14:textId="77777777">
                    <w:pPr>
                      <w:pStyle w:val="Referentiegegevens"/>
                    </w:pPr>
                    <w:r>
                      <w:fldChar w:fldCharType="begin"/>
                    </w:r>
                    <w:r>
                      <w:instrText xml:space="preserve"> DOCPROPERTY  "Datum"  \* MERGEFORMAT </w:instrText>
                    </w:r>
                    <w:r>
                      <w:fldChar w:fldCharType="separate"/>
                    </w:r>
                    <w:r w:rsidR="00C7210F">
                      <w:t>2 juli 2026</w:t>
                    </w:r>
                    <w:r w:rsidR="00C7210F">
                      <w:fldChar w:fldCharType="end"/>
                    </w:r>
                  </w:p>
                  <w:p w:rsidR="00043FB1" w14:paraId="0090F788" w14:textId="77777777">
                    <w:pPr>
                      <w:pStyle w:val="WitregelW1"/>
                    </w:pPr>
                  </w:p>
                  <w:p w:rsidR="00043FB1" w14:paraId="5474CEAF" w14:textId="77777777">
                    <w:pPr>
                      <w:pStyle w:val="Referentiegegevensbold"/>
                    </w:pPr>
                    <w:r>
                      <w:t>Onze referentie</w:t>
                    </w:r>
                  </w:p>
                  <w:p w:rsidR="00704C5B" w14:paraId="2029E4D9" w14:textId="77777777">
                    <w:pPr>
                      <w:pStyle w:val="Referentiegegevens"/>
                    </w:pPr>
                    <w:r>
                      <w:fldChar w:fldCharType="begin"/>
                    </w:r>
                    <w:r>
                      <w:instrText xml:space="preserve"> DOCPROPERTY  "Kenmerk"  \* MERGEFORMAT </w:instrText>
                    </w:r>
                    <w:r>
                      <w:fldChar w:fldCharType="separate"/>
                    </w:r>
                    <w:r w:rsidR="00C7210F">
                      <w:t>2026-0000256095</w:t>
                    </w:r>
                    <w:r w:rsidR="00C7210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F366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F366B" w14:paraId="7B16A3F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04C5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04C5B" w14:paraId="75FE38D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FB1" w14:paraId="1B12A48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43FB1" w14:textId="77777777">
                          <w:r>
                            <w:t>Aan de Voorzitter van de Tweede Kamer der Staten-Generaal</w:t>
                          </w:r>
                        </w:p>
                        <w:p w:rsidR="00043FB1" w14:textId="77777777">
                          <w:r>
                            <w:t>Postbus 20018</w:t>
                          </w:r>
                        </w:p>
                        <w:p w:rsidR="00043FB1" w14:textId="77777777">
                          <w:r>
                            <w:t>2500 EA  DEN HAAG</w:t>
                          </w:r>
                        </w:p>
                        <w:p w:rsidR="00043FB1"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43FB1" w14:paraId="37868D56" w14:textId="77777777">
                    <w:r>
                      <w:t>Aan de Voorzitter van de Tweede Kamer der Staten-Generaal</w:t>
                    </w:r>
                  </w:p>
                  <w:p w:rsidR="00043FB1" w14:paraId="3FE8EA9E" w14:textId="77777777">
                    <w:r>
                      <w:t>Postbus 20018</w:t>
                    </w:r>
                  </w:p>
                  <w:p w:rsidR="00043FB1" w14:paraId="657D8916" w14:textId="77777777">
                    <w:r>
                      <w:t>2500 EA  DEN HAAG</w:t>
                    </w:r>
                  </w:p>
                  <w:p w:rsidR="00043FB1" w14:paraId="1C00FB18"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4038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03860"/>
                      </a:xfrm>
                      <a:prstGeom prst="rect">
                        <a:avLst/>
                      </a:prstGeom>
                      <a:noFill/>
                    </wps:spPr>
                    <wps:txbx>
                      <w:txbxContent>
                        <w:tbl>
                          <w:tblPr>
                            <w:tblW w:w="0" w:type="auto"/>
                            <w:tblInd w:w="-120" w:type="dxa"/>
                            <w:tblLayout w:type="fixed"/>
                            <w:tblLook w:val="07E0"/>
                          </w:tblPr>
                          <w:tblGrid>
                            <w:gridCol w:w="1140"/>
                            <w:gridCol w:w="5918"/>
                          </w:tblGrid>
                          <w:tr w14:paraId="370C0869" w14:textId="77777777">
                            <w:tblPrEx>
                              <w:tblW w:w="0" w:type="auto"/>
                              <w:tblInd w:w="-120" w:type="dxa"/>
                              <w:tblLayout w:type="fixed"/>
                              <w:tblLook w:val="07E0"/>
                            </w:tblPrEx>
                            <w:trPr>
                              <w:trHeight w:val="240"/>
                            </w:trPr>
                            <w:tc>
                              <w:tcPr>
                                <w:tcW w:w="1140" w:type="dxa"/>
                              </w:tcPr>
                              <w:p w:rsidR="00043FB1" w14:textId="77777777">
                                <w:r>
                                  <w:t>Datum</w:t>
                                </w:r>
                              </w:p>
                            </w:tc>
                            <w:tc>
                              <w:tcPr>
                                <w:tcW w:w="5918" w:type="dxa"/>
                              </w:tcPr>
                              <w:p w:rsidR="00204C3F" w14:textId="7EB85838">
                                <w:r>
                                  <w:t>2 juli 2026</w:t>
                                </w:r>
                              </w:p>
                            </w:tc>
                          </w:tr>
                          <w:tr w14:paraId="001342B8" w14:textId="77777777">
                            <w:tblPrEx>
                              <w:tblW w:w="0" w:type="auto"/>
                              <w:tblInd w:w="-120" w:type="dxa"/>
                              <w:tblLayout w:type="fixed"/>
                              <w:tblLook w:val="07E0"/>
                            </w:tblPrEx>
                            <w:trPr>
                              <w:trHeight w:val="240"/>
                            </w:trPr>
                            <w:tc>
                              <w:tcPr>
                                <w:tcW w:w="1140" w:type="dxa"/>
                              </w:tcPr>
                              <w:p w:rsidR="00043FB1" w14:textId="77777777">
                                <w:bookmarkStart w:id="4" w:name="_Hlk233899054"/>
                                <w:r>
                                  <w:t>Betreft</w:t>
                                </w:r>
                              </w:p>
                            </w:tc>
                            <w:tc>
                              <w:tcPr>
                                <w:tcW w:w="5918" w:type="dxa"/>
                              </w:tcPr>
                              <w:p w:rsidR="00704C5B" w14:textId="77777777">
                                <w:r>
                                  <w:fldChar w:fldCharType="begin"/>
                                </w:r>
                                <w:r>
                                  <w:instrText xml:space="preserve"> DOCPROPERTY  "Onderwerp"  \* MERGEFORMAT </w:instrText>
                                </w:r>
                                <w:r>
                                  <w:fldChar w:fldCharType="separate"/>
                                </w:r>
                                <w:r w:rsidR="00C7210F">
                                  <w:t>Voortgangsbrief discriminatie en racisme juni 2026</w:t>
                                </w:r>
                                <w:r w:rsidR="00C7210F">
                                  <w:fldChar w:fldCharType="end"/>
                                </w:r>
                              </w:p>
                            </w:tc>
                          </w:tr>
                          <w:bookmarkEnd w:id="4"/>
                        </w:tbl>
                        <w:p w:rsidR="001F366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1.8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70C0868" w14:textId="77777777">
                      <w:tblPrEx>
                        <w:tblW w:w="0" w:type="auto"/>
                        <w:tblInd w:w="-120" w:type="dxa"/>
                        <w:tblLayout w:type="fixed"/>
                        <w:tblLook w:val="07E0"/>
                      </w:tblPrEx>
                      <w:trPr>
                        <w:trHeight w:val="240"/>
                      </w:trPr>
                      <w:tc>
                        <w:tcPr>
                          <w:tcW w:w="1140" w:type="dxa"/>
                        </w:tcPr>
                        <w:p w:rsidR="00043FB1" w14:paraId="5786F163" w14:textId="77777777">
                          <w:r>
                            <w:t>Datum</w:t>
                          </w:r>
                        </w:p>
                      </w:tc>
                      <w:tc>
                        <w:tcPr>
                          <w:tcW w:w="5918" w:type="dxa"/>
                        </w:tcPr>
                        <w:p w:rsidR="00204C3F" w14:paraId="6EE735E8" w14:textId="7EB85838">
                          <w:r>
                            <w:t>2 juli 2026</w:t>
                          </w:r>
                        </w:p>
                      </w:tc>
                    </w:tr>
                    <w:tr w14:paraId="001342B7" w14:textId="77777777">
                      <w:tblPrEx>
                        <w:tblW w:w="0" w:type="auto"/>
                        <w:tblInd w:w="-120" w:type="dxa"/>
                        <w:tblLayout w:type="fixed"/>
                        <w:tblLook w:val="07E0"/>
                      </w:tblPrEx>
                      <w:trPr>
                        <w:trHeight w:val="240"/>
                      </w:trPr>
                      <w:tc>
                        <w:tcPr>
                          <w:tcW w:w="1140" w:type="dxa"/>
                        </w:tcPr>
                        <w:p w:rsidR="00043FB1" w14:paraId="63AB52D3" w14:textId="77777777">
                          <w:bookmarkStart w:id="4" w:name="_Hlk233899054"/>
                          <w:r>
                            <w:t>Betreft</w:t>
                          </w:r>
                        </w:p>
                      </w:tc>
                      <w:tc>
                        <w:tcPr>
                          <w:tcW w:w="5918" w:type="dxa"/>
                        </w:tcPr>
                        <w:p w:rsidR="00704C5B" w14:paraId="3E9548B6" w14:textId="77777777">
                          <w:r>
                            <w:fldChar w:fldCharType="begin"/>
                          </w:r>
                          <w:r>
                            <w:instrText xml:space="preserve"> DOCPROPERTY  "Onderwerp"  \* MERGEFORMAT </w:instrText>
                          </w:r>
                          <w:r>
                            <w:fldChar w:fldCharType="separate"/>
                          </w:r>
                          <w:r w:rsidR="00C7210F">
                            <w:t>Voortgangsbrief discriminatie en racisme juni 2026</w:t>
                          </w:r>
                          <w:r w:rsidR="00C7210F">
                            <w:fldChar w:fldCharType="end"/>
                          </w:r>
                        </w:p>
                      </w:tc>
                    </w:tr>
                    <w:bookmarkEnd w:id="4"/>
                  </w:tbl>
                  <w:p w:rsidR="001F366B" w14:paraId="7DF31CBA"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43FB1" w14:textId="77777777">
                          <w:pPr>
                            <w:pStyle w:val="Referentiegegevensbold"/>
                          </w:pPr>
                          <w:r>
                            <w:t>DGOBDR</w:t>
                          </w:r>
                        </w:p>
                        <w:p w:rsidR="00043FB1" w14:textId="77777777">
                          <w:pPr>
                            <w:pStyle w:val="Referentiegegevens"/>
                          </w:pPr>
                          <w:r>
                            <w:t>Directie CZW</w:t>
                          </w:r>
                        </w:p>
                        <w:p w:rsidR="00043FB1" w14:textId="77777777">
                          <w:pPr>
                            <w:pStyle w:val="Referentiegegevens"/>
                          </w:pPr>
                          <w:r>
                            <w:t>Afdeling CZ</w:t>
                          </w:r>
                        </w:p>
                        <w:p w:rsidR="00043FB1" w14:textId="77777777">
                          <w:pPr>
                            <w:pStyle w:val="WitregelW1"/>
                          </w:pPr>
                        </w:p>
                        <w:p w:rsidR="00043FB1" w14:textId="77777777">
                          <w:pPr>
                            <w:pStyle w:val="Referentiegegevens"/>
                          </w:pPr>
                          <w:r>
                            <w:t>Turfmarkt 147</w:t>
                          </w:r>
                        </w:p>
                        <w:p w:rsidR="00043FB1" w14:textId="77777777">
                          <w:pPr>
                            <w:pStyle w:val="Referentiegegevens"/>
                          </w:pPr>
                          <w:r>
                            <w:t>2511 DP Den Haag</w:t>
                          </w:r>
                        </w:p>
                        <w:p w:rsidR="00043FB1" w14:textId="77777777">
                          <w:pPr>
                            <w:pStyle w:val="Referentiegegevens"/>
                          </w:pPr>
                          <w:r>
                            <w:t>Postbus 20011</w:t>
                          </w:r>
                        </w:p>
                        <w:p w:rsidR="00043FB1" w14:textId="77777777">
                          <w:pPr>
                            <w:pStyle w:val="Referentiegegevens"/>
                          </w:pPr>
                          <w:r>
                            <w:t>2500 EA  Den Haag</w:t>
                          </w:r>
                        </w:p>
                        <w:p w:rsidR="00043FB1" w14:textId="77777777">
                          <w:pPr>
                            <w:pStyle w:val="WitregelW2"/>
                          </w:pPr>
                        </w:p>
                        <w:p w:rsidR="00043FB1" w14:textId="77777777">
                          <w:pPr>
                            <w:pStyle w:val="Referentiegegevensbold"/>
                          </w:pPr>
                          <w:r>
                            <w:t>Onze referentie</w:t>
                          </w:r>
                        </w:p>
                        <w:bookmarkStart w:id="5" w:name="_Hlk233899064"/>
                        <w:p w:rsidR="00704C5B" w14:textId="77777777">
                          <w:pPr>
                            <w:pStyle w:val="Referentiegegevens"/>
                          </w:pPr>
                          <w:r>
                            <w:fldChar w:fldCharType="begin"/>
                          </w:r>
                          <w:r>
                            <w:instrText xml:space="preserve"> DOCPROPERTY  "Kenmerk"  \* MERGEFORMAT </w:instrText>
                          </w:r>
                          <w:r>
                            <w:fldChar w:fldCharType="separate"/>
                          </w:r>
                          <w:r w:rsidR="00C7210F">
                            <w:t>2026-0000256095</w:t>
                          </w:r>
                          <w:r>
                            <w:fldChar w:fldCharType="end"/>
                          </w:r>
                        </w:p>
                        <w:bookmarkEnd w:id="5"/>
                        <w:p w:rsidR="00043FB1" w14:textId="77777777">
                          <w:pPr>
                            <w:pStyle w:val="WitregelW1"/>
                          </w:pPr>
                        </w:p>
                        <w:p w:rsidR="00043FB1" w14:textId="77777777">
                          <w:pPr>
                            <w:pStyle w:val="Referentiegegevensbold"/>
                          </w:pPr>
                          <w:r>
                            <w:t>Bijlage(n)</w:t>
                          </w:r>
                        </w:p>
                        <w:p w:rsidR="00043FB1" w14:textId="77777777">
                          <w:pPr>
                            <w:pStyle w:val="Referentiegegevens"/>
                          </w:pPr>
                          <w:r>
                            <w:t>2</w:t>
                          </w:r>
                        </w:p>
                        <w:p w:rsidR="00043FB1" w14:textId="77777777">
                          <w:pPr>
                            <w:pStyle w:val="WitregelW2"/>
                          </w:pPr>
                        </w:p>
                        <w:p w:rsidR="00043FB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43FB1" w14:paraId="4AD62AE7" w14:textId="77777777">
                    <w:pPr>
                      <w:pStyle w:val="Referentiegegevensbold"/>
                    </w:pPr>
                    <w:r>
                      <w:t>DGOBDR</w:t>
                    </w:r>
                  </w:p>
                  <w:p w:rsidR="00043FB1" w14:paraId="1538C54D" w14:textId="77777777">
                    <w:pPr>
                      <w:pStyle w:val="Referentiegegevens"/>
                    </w:pPr>
                    <w:r>
                      <w:t>Directie CZW</w:t>
                    </w:r>
                  </w:p>
                  <w:p w:rsidR="00043FB1" w14:paraId="3DF5C53C" w14:textId="77777777">
                    <w:pPr>
                      <w:pStyle w:val="Referentiegegevens"/>
                    </w:pPr>
                    <w:r>
                      <w:t>Afdeling CZ</w:t>
                    </w:r>
                  </w:p>
                  <w:p w:rsidR="00043FB1" w14:paraId="189C535C" w14:textId="77777777">
                    <w:pPr>
                      <w:pStyle w:val="WitregelW1"/>
                    </w:pPr>
                  </w:p>
                  <w:p w:rsidR="00043FB1" w14:paraId="4036AB9E" w14:textId="77777777">
                    <w:pPr>
                      <w:pStyle w:val="Referentiegegevens"/>
                    </w:pPr>
                    <w:r>
                      <w:t>Turfmarkt 147</w:t>
                    </w:r>
                  </w:p>
                  <w:p w:rsidR="00043FB1" w14:paraId="0C6292E9" w14:textId="77777777">
                    <w:pPr>
                      <w:pStyle w:val="Referentiegegevens"/>
                    </w:pPr>
                    <w:r>
                      <w:t>2511 DP Den Haag</w:t>
                    </w:r>
                  </w:p>
                  <w:p w:rsidR="00043FB1" w14:paraId="3CAAA533" w14:textId="77777777">
                    <w:pPr>
                      <w:pStyle w:val="Referentiegegevens"/>
                    </w:pPr>
                    <w:r>
                      <w:t>Postbus 20011</w:t>
                    </w:r>
                  </w:p>
                  <w:p w:rsidR="00043FB1" w14:paraId="799063F9" w14:textId="77777777">
                    <w:pPr>
                      <w:pStyle w:val="Referentiegegevens"/>
                    </w:pPr>
                    <w:r>
                      <w:t>2500 EA  Den Haag</w:t>
                    </w:r>
                  </w:p>
                  <w:p w:rsidR="00043FB1" w14:paraId="33584E7B" w14:textId="77777777">
                    <w:pPr>
                      <w:pStyle w:val="WitregelW2"/>
                    </w:pPr>
                  </w:p>
                  <w:p w:rsidR="00043FB1" w14:paraId="5DC78472" w14:textId="77777777">
                    <w:pPr>
                      <w:pStyle w:val="Referentiegegevensbold"/>
                    </w:pPr>
                    <w:r>
                      <w:t>Onze referentie</w:t>
                    </w:r>
                  </w:p>
                  <w:bookmarkStart w:id="5" w:name="_Hlk233899064"/>
                  <w:p w:rsidR="00704C5B" w14:paraId="4A30F95B" w14:textId="77777777">
                    <w:pPr>
                      <w:pStyle w:val="Referentiegegevens"/>
                    </w:pPr>
                    <w:r>
                      <w:fldChar w:fldCharType="begin"/>
                    </w:r>
                    <w:r>
                      <w:instrText xml:space="preserve"> DOCPROPERTY  "Kenmerk"  \* MERGEFORMAT </w:instrText>
                    </w:r>
                    <w:r>
                      <w:fldChar w:fldCharType="separate"/>
                    </w:r>
                    <w:r w:rsidR="00C7210F">
                      <w:t>2026-0000256095</w:t>
                    </w:r>
                    <w:r>
                      <w:fldChar w:fldCharType="end"/>
                    </w:r>
                  </w:p>
                  <w:bookmarkEnd w:id="5"/>
                  <w:p w:rsidR="00043FB1" w14:paraId="53DB0022" w14:textId="77777777">
                    <w:pPr>
                      <w:pStyle w:val="WitregelW1"/>
                    </w:pPr>
                  </w:p>
                  <w:p w:rsidR="00043FB1" w14:paraId="13A0FDA8" w14:textId="77777777">
                    <w:pPr>
                      <w:pStyle w:val="Referentiegegevensbold"/>
                    </w:pPr>
                    <w:r>
                      <w:t>Bijlage(n)</w:t>
                    </w:r>
                  </w:p>
                  <w:p w:rsidR="00043FB1" w14:paraId="222FDFB0" w14:textId="77777777">
                    <w:pPr>
                      <w:pStyle w:val="Referentiegegevens"/>
                    </w:pPr>
                    <w:r>
                      <w:t>2</w:t>
                    </w:r>
                  </w:p>
                  <w:p w:rsidR="00043FB1" w14:paraId="21A52B9F" w14:textId="77777777">
                    <w:pPr>
                      <w:pStyle w:val="WitregelW2"/>
                    </w:pPr>
                  </w:p>
                  <w:p w:rsidR="00043FB1" w14:paraId="58872D9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F366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F366B" w14:paraId="0EA4250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04C5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04C5B" w14:paraId="6EBF83A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43FB1" w14:textId="77777777">
                          <w:pPr>
                            <w:spacing w:line="240" w:lineRule="auto"/>
                          </w:pPr>
                          <w:r>
                            <w:rPr>
                              <w:noProof/>
                            </w:rPr>
                            <w:drawing>
                              <wp:inline distT="0" distB="0" distL="0" distR="0">
                                <wp:extent cx="2339975" cy="1582834"/>
                                <wp:effectExtent l="0" t="0" r="0" b="0"/>
                                <wp:docPr id="115135584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51355847" name="Logotype"/>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7"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5648" filled="f" stroked="f">
              <v:textbox inset="0,0,0,0">
                <w:txbxContent>
                  <w:p w:rsidR="00043FB1" w14:paraId="37B9E35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43FB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8" type="#_x0000_t202" style="width:377pt;height:12.75pt;margin-top:135.45pt;margin-left:79.6pt;mso-position-horizontal-relative:page;mso-wrap-distance-bottom:0;mso-wrap-distance-left:0;mso-wrap-distance-right:0;mso-wrap-distance-top:0;mso-wrap-style:square;position:absolute;v-text-anchor:top;visibility:visible;z-index:251677696" filled="f" stroked="f">
              <v:textbox inset="0,0,0,0">
                <w:txbxContent>
                  <w:p w:rsidR="00043FB1" w14:paraId="251240F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389E23"/>
    <w:multiLevelType w:val="multilevel"/>
    <w:tmpl w:val="75F7028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9163F0E9"/>
    <w:multiLevelType w:val="multilevel"/>
    <w:tmpl w:val="E75B4D9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7322EC0"/>
    <w:multiLevelType w:val="hybridMultilevel"/>
    <w:tmpl w:val="7FE4D47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E76410"/>
    <w:multiLevelType w:val="hybridMultilevel"/>
    <w:tmpl w:val="1458BC56"/>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9138DE"/>
    <w:multiLevelType w:val="multilevel"/>
    <w:tmpl w:val="A677B2B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41215DFF"/>
    <w:multiLevelType w:val="hybridMultilevel"/>
    <w:tmpl w:val="9C96C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E14E51"/>
    <w:multiLevelType w:val="hybridMultilevel"/>
    <w:tmpl w:val="695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019428"/>
    <w:multiLevelType w:val="multilevel"/>
    <w:tmpl w:val="FFEE7E4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8">
    <w:nsid w:val="75E40C78"/>
    <w:multiLevelType w:val="hybridMultilevel"/>
    <w:tmpl w:val="565A4FB8"/>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5933046">
    <w:abstractNumId w:val="7"/>
  </w:num>
  <w:num w:numId="2" w16cid:durableId="277832598">
    <w:abstractNumId w:val="4"/>
  </w:num>
  <w:num w:numId="3" w16cid:durableId="206185721">
    <w:abstractNumId w:val="0"/>
  </w:num>
  <w:num w:numId="4" w16cid:durableId="927691541">
    <w:abstractNumId w:val="1"/>
  </w:num>
  <w:num w:numId="5" w16cid:durableId="1478575329">
    <w:abstractNumId w:val="6"/>
  </w:num>
  <w:num w:numId="6" w16cid:durableId="1232424958">
    <w:abstractNumId w:val="8"/>
  </w:num>
  <w:num w:numId="7" w16cid:durableId="2046127296">
    <w:abstractNumId w:val="2"/>
  </w:num>
  <w:num w:numId="8" w16cid:durableId="1777947498">
    <w:abstractNumId w:val="5"/>
  </w:num>
  <w:num w:numId="9" w16cid:durableId="1194417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B1"/>
    <w:rsid w:val="000016D5"/>
    <w:rsid w:val="00011DA8"/>
    <w:rsid w:val="00012CEB"/>
    <w:rsid w:val="0001755B"/>
    <w:rsid w:val="0002474B"/>
    <w:rsid w:val="000367AF"/>
    <w:rsid w:val="000373A1"/>
    <w:rsid w:val="000417F4"/>
    <w:rsid w:val="00043FB1"/>
    <w:rsid w:val="00051404"/>
    <w:rsid w:val="00053ED3"/>
    <w:rsid w:val="00065D71"/>
    <w:rsid w:val="000677AA"/>
    <w:rsid w:val="00071226"/>
    <w:rsid w:val="00074B8F"/>
    <w:rsid w:val="00083858"/>
    <w:rsid w:val="000C73A4"/>
    <w:rsid w:val="000E3BC8"/>
    <w:rsid w:val="000E5FD1"/>
    <w:rsid w:val="000F6539"/>
    <w:rsid w:val="00111E1C"/>
    <w:rsid w:val="001160F3"/>
    <w:rsid w:val="001212F4"/>
    <w:rsid w:val="0013419D"/>
    <w:rsid w:val="0013460C"/>
    <w:rsid w:val="00137071"/>
    <w:rsid w:val="0014275F"/>
    <w:rsid w:val="00153A3D"/>
    <w:rsid w:val="001828F6"/>
    <w:rsid w:val="00183DFA"/>
    <w:rsid w:val="0018724B"/>
    <w:rsid w:val="001959FE"/>
    <w:rsid w:val="001A431D"/>
    <w:rsid w:val="001A6B91"/>
    <w:rsid w:val="001B6F84"/>
    <w:rsid w:val="001D5D60"/>
    <w:rsid w:val="001E4082"/>
    <w:rsid w:val="001F00DF"/>
    <w:rsid w:val="001F179C"/>
    <w:rsid w:val="001F366B"/>
    <w:rsid w:val="001F4331"/>
    <w:rsid w:val="00204C3F"/>
    <w:rsid w:val="00213F37"/>
    <w:rsid w:val="002149EE"/>
    <w:rsid w:val="00220E29"/>
    <w:rsid w:val="00222531"/>
    <w:rsid w:val="00235AA0"/>
    <w:rsid w:val="00236E37"/>
    <w:rsid w:val="002516CB"/>
    <w:rsid w:val="0025372D"/>
    <w:rsid w:val="0025705D"/>
    <w:rsid w:val="002657F2"/>
    <w:rsid w:val="002A4E92"/>
    <w:rsid w:val="002D2B27"/>
    <w:rsid w:val="002D318B"/>
    <w:rsid w:val="002E1A6A"/>
    <w:rsid w:val="002F09F1"/>
    <w:rsid w:val="00307A76"/>
    <w:rsid w:val="0032140D"/>
    <w:rsid w:val="00322AF9"/>
    <w:rsid w:val="00350252"/>
    <w:rsid w:val="00363F26"/>
    <w:rsid w:val="00366270"/>
    <w:rsid w:val="0037382F"/>
    <w:rsid w:val="00387431"/>
    <w:rsid w:val="003A2697"/>
    <w:rsid w:val="003A37F4"/>
    <w:rsid w:val="003A4FFF"/>
    <w:rsid w:val="003C5DF8"/>
    <w:rsid w:val="003D558B"/>
    <w:rsid w:val="003D6F85"/>
    <w:rsid w:val="003E2D1E"/>
    <w:rsid w:val="003E399F"/>
    <w:rsid w:val="003F026A"/>
    <w:rsid w:val="003F0640"/>
    <w:rsid w:val="00401387"/>
    <w:rsid w:val="0040412D"/>
    <w:rsid w:val="00404DA4"/>
    <w:rsid w:val="004065C4"/>
    <w:rsid w:val="0041540B"/>
    <w:rsid w:val="004167DB"/>
    <w:rsid w:val="004170F8"/>
    <w:rsid w:val="0041752C"/>
    <w:rsid w:val="0042277E"/>
    <w:rsid w:val="0042592F"/>
    <w:rsid w:val="004267B2"/>
    <w:rsid w:val="0044035F"/>
    <w:rsid w:val="004423BD"/>
    <w:rsid w:val="004435F5"/>
    <w:rsid w:val="00444757"/>
    <w:rsid w:val="004573AC"/>
    <w:rsid w:val="004663BF"/>
    <w:rsid w:val="00467E38"/>
    <w:rsid w:val="0049001C"/>
    <w:rsid w:val="00496617"/>
    <w:rsid w:val="004F1D8D"/>
    <w:rsid w:val="004F4A05"/>
    <w:rsid w:val="004F5781"/>
    <w:rsid w:val="005447DB"/>
    <w:rsid w:val="00571244"/>
    <w:rsid w:val="0058658B"/>
    <w:rsid w:val="00592DBD"/>
    <w:rsid w:val="005965B1"/>
    <w:rsid w:val="005D645F"/>
    <w:rsid w:val="005D7322"/>
    <w:rsid w:val="005E2906"/>
    <w:rsid w:val="005E3084"/>
    <w:rsid w:val="005F0A52"/>
    <w:rsid w:val="005F0FD7"/>
    <w:rsid w:val="00612E41"/>
    <w:rsid w:val="006157A8"/>
    <w:rsid w:val="00620717"/>
    <w:rsid w:val="00662E12"/>
    <w:rsid w:val="00663EC7"/>
    <w:rsid w:val="006730F2"/>
    <w:rsid w:val="006748DE"/>
    <w:rsid w:val="006749A8"/>
    <w:rsid w:val="00681B36"/>
    <w:rsid w:val="00681E27"/>
    <w:rsid w:val="006841FC"/>
    <w:rsid w:val="00695D42"/>
    <w:rsid w:val="00696AC0"/>
    <w:rsid w:val="006B3211"/>
    <w:rsid w:val="006B689B"/>
    <w:rsid w:val="006C2302"/>
    <w:rsid w:val="006E1BC0"/>
    <w:rsid w:val="006E584B"/>
    <w:rsid w:val="006F0B80"/>
    <w:rsid w:val="006F51B5"/>
    <w:rsid w:val="006F60E9"/>
    <w:rsid w:val="00703745"/>
    <w:rsid w:val="00704C5B"/>
    <w:rsid w:val="0071612A"/>
    <w:rsid w:val="00726E93"/>
    <w:rsid w:val="00740E08"/>
    <w:rsid w:val="007504FB"/>
    <w:rsid w:val="00762738"/>
    <w:rsid w:val="00771412"/>
    <w:rsid w:val="00771BBE"/>
    <w:rsid w:val="00780B08"/>
    <w:rsid w:val="00791EA4"/>
    <w:rsid w:val="0079475D"/>
    <w:rsid w:val="007B0315"/>
    <w:rsid w:val="007B6859"/>
    <w:rsid w:val="007C7050"/>
    <w:rsid w:val="007E1BA8"/>
    <w:rsid w:val="007E762A"/>
    <w:rsid w:val="007F3930"/>
    <w:rsid w:val="0080213F"/>
    <w:rsid w:val="00810C9E"/>
    <w:rsid w:val="00814482"/>
    <w:rsid w:val="00821BA7"/>
    <w:rsid w:val="00822DBF"/>
    <w:rsid w:val="00855F18"/>
    <w:rsid w:val="008662AA"/>
    <w:rsid w:val="0087710C"/>
    <w:rsid w:val="008875FA"/>
    <w:rsid w:val="008929C5"/>
    <w:rsid w:val="008A1436"/>
    <w:rsid w:val="008B0CCC"/>
    <w:rsid w:val="008B3680"/>
    <w:rsid w:val="008B675C"/>
    <w:rsid w:val="008F2437"/>
    <w:rsid w:val="0094168F"/>
    <w:rsid w:val="009615F0"/>
    <w:rsid w:val="00961DD6"/>
    <w:rsid w:val="00986F10"/>
    <w:rsid w:val="009924AB"/>
    <w:rsid w:val="00994F01"/>
    <w:rsid w:val="009D1DBA"/>
    <w:rsid w:val="009D71F0"/>
    <w:rsid w:val="009F42FB"/>
    <w:rsid w:val="00A06E42"/>
    <w:rsid w:val="00A33261"/>
    <w:rsid w:val="00A63E20"/>
    <w:rsid w:val="00AA5A7B"/>
    <w:rsid w:val="00AC5023"/>
    <w:rsid w:val="00AD4670"/>
    <w:rsid w:val="00AD7FDE"/>
    <w:rsid w:val="00AF2425"/>
    <w:rsid w:val="00AF4B3E"/>
    <w:rsid w:val="00AF7DDD"/>
    <w:rsid w:val="00B16EA5"/>
    <w:rsid w:val="00B40AEB"/>
    <w:rsid w:val="00B62626"/>
    <w:rsid w:val="00B72028"/>
    <w:rsid w:val="00B730A2"/>
    <w:rsid w:val="00B757C0"/>
    <w:rsid w:val="00B83F22"/>
    <w:rsid w:val="00BA16FE"/>
    <w:rsid w:val="00BB2A2A"/>
    <w:rsid w:val="00BD722C"/>
    <w:rsid w:val="00BD7A8A"/>
    <w:rsid w:val="00BE3806"/>
    <w:rsid w:val="00BF115A"/>
    <w:rsid w:val="00C02F43"/>
    <w:rsid w:val="00C25BB0"/>
    <w:rsid w:val="00C25F83"/>
    <w:rsid w:val="00C50586"/>
    <w:rsid w:val="00C551BE"/>
    <w:rsid w:val="00C61891"/>
    <w:rsid w:val="00C7210F"/>
    <w:rsid w:val="00C75679"/>
    <w:rsid w:val="00C814F4"/>
    <w:rsid w:val="00C97F47"/>
    <w:rsid w:val="00CA20F2"/>
    <w:rsid w:val="00CA368C"/>
    <w:rsid w:val="00CB6812"/>
    <w:rsid w:val="00CD117F"/>
    <w:rsid w:val="00CE1376"/>
    <w:rsid w:val="00CE212A"/>
    <w:rsid w:val="00CF321D"/>
    <w:rsid w:val="00D17205"/>
    <w:rsid w:val="00D21873"/>
    <w:rsid w:val="00D23BB9"/>
    <w:rsid w:val="00D405B6"/>
    <w:rsid w:val="00D51C1A"/>
    <w:rsid w:val="00D56DD4"/>
    <w:rsid w:val="00D733C9"/>
    <w:rsid w:val="00D81C33"/>
    <w:rsid w:val="00D864E0"/>
    <w:rsid w:val="00D90EFB"/>
    <w:rsid w:val="00DB4047"/>
    <w:rsid w:val="00DC3D39"/>
    <w:rsid w:val="00DD14DB"/>
    <w:rsid w:val="00DD1681"/>
    <w:rsid w:val="00DE222A"/>
    <w:rsid w:val="00DE5FF5"/>
    <w:rsid w:val="00DF0221"/>
    <w:rsid w:val="00DF2AEF"/>
    <w:rsid w:val="00DF2BA6"/>
    <w:rsid w:val="00E324D7"/>
    <w:rsid w:val="00E451BA"/>
    <w:rsid w:val="00E8071C"/>
    <w:rsid w:val="00E8148D"/>
    <w:rsid w:val="00E93A07"/>
    <w:rsid w:val="00E94DAB"/>
    <w:rsid w:val="00EA112C"/>
    <w:rsid w:val="00EA2B59"/>
    <w:rsid w:val="00EE67AB"/>
    <w:rsid w:val="00F035E7"/>
    <w:rsid w:val="00F12457"/>
    <w:rsid w:val="00F17145"/>
    <w:rsid w:val="00F217A4"/>
    <w:rsid w:val="00F269D2"/>
    <w:rsid w:val="00F37C7B"/>
    <w:rsid w:val="00F40C8D"/>
    <w:rsid w:val="00F439C7"/>
    <w:rsid w:val="00F4489C"/>
    <w:rsid w:val="00F54565"/>
    <w:rsid w:val="00F6463D"/>
    <w:rsid w:val="00F81232"/>
    <w:rsid w:val="00F9284C"/>
    <w:rsid w:val="00F968B7"/>
    <w:rsid w:val="00FF10DE"/>
    <w:rsid w:val="00FF6A0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45AD49B"/>
  <w15:docId w15:val="{20BF9CED-7689-4764-B89B-E1F08D9A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F366B"/>
    <w:pPr>
      <w:tabs>
        <w:tab w:val="center" w:pos="4536"/>
        <w:tab w:val="right" w:pos="9072"/>
      </w:tabs>
      <w:spacing w:line="240" w:lineRule="auto"/>
    </w:pPr>
  </w:style>
  <w:style w:type="character" w:customStyle="1" w:styleId="KoptekstChar">
    <w:name w:val="Koptekst Char"/>
    <w:basedOn w:val="DefaultParagraphFont"/>
    <w:link w:val="Header"/>
    <w:uiPriority w:val="99"/>
    <w:rsid w:val="001F366B"/>
    <w:rPr>
      <w:rFonts w:ascii="Verdana" w:hAnsi="Verdana"/>
      <w:color w:val="000000"/>
      <w:sz w:val="18"/>
      <w:szCs w:val="18"/>
    </w:rPr>
  </w:style>
  <w:style w:type="paragraph" w:styleId="Footer">
    <w:name w:val="footer"/>
    <w:basedOn w:val="Normal"/>
    <w:link w:val="VoettekstChar"/>
    <w:uiPriority w:val="99"/>
    <w:unhideWhenUsed/>
    <w:rsid w:val="001F366B"/>
    <w:pPr>
      <w:tabs>
        <w:tab w:val="center" w:pos="4536"/>
        <w:tab w:val="right" w:pos="9072"/>
      </w:tabs>
      <w:spacing w:line="240" w:lineRule="auto"/>
    </w:pPr>
  </w:style>
  <w:style w:type="character" w:customStyle="1" w:styleId="VoettekstChar">
    <w:name w:val="Voettekst Char"/>
    <w:basedOn w:val="DefaultParagraphFont"/>
    <w:link w:val="Footer"/>
    <w:uiPriority w:val="99"/>
    <w:rsid w:val="001F366B"/>
    <w:rPr>
      <w:rFonts w:ascii="Verdana" w:hAnsi="Verdana"/>
      <w:color w:val="000000"/>
      <w:sz w:val="18"/>
      <w:szCs w:val="18"/>
    </w:rPr>
  </w:style>
  <w:style w:type="paragraph" w:styleId="ListParagraph">
    <w:name w:val="List Paragraph"/>
    <w:basedOn w:val="Normal"/>
    <w:uiPriority w:val="34"/>
    <w:semiHidden/>
    <w:rsid w:val="001F366B"/>
    <w:pPr>
      <w:ind w:left="720"/>
      <w:contextualSpacing/>
    </w:pPr>
  </w:style>
  <w:style w:type="character" w:styleId="CommentReference">
    <w:name w:val="annotation reference"/>
    <w:basedOn w:val="DefaultParagraphFont"/>
    <w:uiPriority w:val="99"/>
    <w:semiHidden/>
    <w:unhideWhenUsed/>
    <w:rsid w:val="004663BF"/>
    <w:rPr>
      <w:sz w:val="16"/>
      <w:szCs w:val="16"/>
    </w:rPr>
  </w:style>
  <w:style w:type="paragraph" w:styleId="CommentText">
    <w:name w:val="annotation text"/>
    <w:basedOn w:val="Normal"/>
    <w:link w:val="TekstopmerkingChar"/>
    <w:uiPriority w:val="99"/>
    <w:unhideWhenUsed/>
    <w:rsid w:val="004663BF"/>
    <w:pPr>
      <w:spacing w:line="240" w:lineRule="auto"/>
    </w:pPr>
    <w:rPr>
      <w:sz w:val="20"/>
      <w:szCs w:val="20"/>
    </w:rPr>
  </w:style>
  <w:style w:type="character" w:customStyle="1" w:styleId="TekstopmerkingChar">
    <w:name w:val="Tekst opmerking Char"/>
    <w:basedOn w:val="DefaultParagraphFont"/>
    <w:link w:val="CommentText"/>
    <w:uiPriority w:val="99"/>
    <w:rsid w:val="004663B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663BF"/>
    <w:rPr>
      <w:b/>
      <w:bCs/>
    </w:rPr>
  </w:style>
  <w:style w:type="character" w:customStyle="1" w:styleId="OnderwerpvanopmerkingChar">
    <w:name w:val="Onderwerp van opmerking Char"/>
    <w:basedOn w:val="TekstopmerkingChar"/>
    <w:link w:val="CommentSubject"/>
    <w:uiPriority w:val="99"/>
    <w:semiHidden/>
    <w:rsid w:val="004663BF"/>
    <w:rPr>
      <w:rFonts w:ascii="Verdana" w:hAnsi="Verdana"/>
      <w:b/>
      <w:bCs/>
      <w:color w:val="000000"/>
    </w:rPr>
  </w:style>
  <w:style w:type="paragraph" w:styleId="Revision">
    <w:name w:val="Revision"/>
    <w:hidden/>
    <w:uiPriority w:val="99"/>
    <w:semiHidden/>
    <w:rsid w:val="00994F01"/>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3C5DF8"/>
    <w:pPr>
      <w:spacing w:line="240" w:lineRule="auto"/>
    </w:pPr>
    <w:rPr>
      <w:sz w:val="20"/>
      <w:szCs w:val="20"/>
    </w:rPr>
  </w:style>
  <w:style w:type="character" w:customStyle="1" w:styleId="VoetnoottekstChar">
    <w:name w:val="Voetnoottekst Char"/>
    <w:basedOn w:val="DefaultParagraphFont"/>
    <w:link w:val="FootnoteText"/>
    <w:uiPriority w:val="99"/>
    <w:semiHidden/>
    <w:rsid w:val="003C5DF8"/>
    <w:rPr>
      <w:rFonts w:ascii="Verdana" w:hAnsi="Verdana"/>
      <w:color w:val="000000"/>
    </w:rPr>
  </w:style>
  <w:style w:type="character" w:styleId="FootnoteReference">
    <w:name w:val="footnote reference"/>
    <w:basedOn w:val="DefaultParagraphFont"/>
    <w:uiPriority w:val="99"/>
    <w:semiHidden/>
    <w:unhideWhenUsed/>
    <w:rsid w:val="003C5DF8"/>
    <w:rPr>
      <w:vertAlign w:val="superscript"/>
    </w:rPr>
  </w:style>
  <w:style w:type="character" w:styleId="UnresolvedMention">
    <w:name w:val="Unresolved Mention"/>
    <w:basedOn w:val="DefaultParagraphFont"/>
    <w:uiPriority w:val="99"/>
    <w:semiHidden/>
    <w:unhideWhenUsed/>
    <w:rsid w:val="00363F26"/>
    <w:rPr>
      <w:color w:val="605E5C"/>
      <w:shd w:val="clear" w:color="auto" w:fill="E1DFDD"/>
    </w:rPr>
  </w:style>
  <w:style w:type="character" w:styleId="FollowedHyperlink">
    <w:name w:val="FollowedHyperlink"/>
    <w:basedOn w:val="DefaultParagraphFont"/>
    <w:uiPriority w:val="99"/>
    <w:semiHidden/>
    <w:unhideWhenUsed/>
    <w:rsid w:val="003874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stb-2019-302.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2412</ap:Words>
  <ap:Characters>13272</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Brief aan Parlement - Eerste voortgangsbrief discriminatie en racisme 2026</vt:lpstr>
    </vt:vector>
  </ap:TitlesOfParts>
  <ap:LinksUpToDate>false</ap:LinksUpToDate>
  <ap:CharactersWithSpaces>15653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2026-07-02T13:38:00.0000000Z</dcterms:created>
  <dcterms:modified xsi:type="dcterms:W3CDTF">2026-07-02T13:38:00.0000000Z</dcterms:modified>
  <dc:creator/>
  <lastModifiedBy/>
  <dc:description>------------------------</dc:description>
  <dc:subject/>
  <keywords/>
  <version/>
  <category/>
</coreProperties>
</file>