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FBB" w:rsidP="00BE02B0" w:rsidRDefault="00696FBB" w14:paraId="05626412" w14:textId="77777777"/>
    <w:p w:rsidR="00AC60B7" w:rsidP="00BE02B0" w:rsidRDefault="00D72B96" w14:paraId="71BB5430" w14:textId="42A66AF7">
      <w:r>
        <w:t xml:space="preserve">De transitie naar het nieuwe pensioenstelsel is in 2026 in volle gang. </w:t>
      </w:r>
      <w:r w:rsidRPr="002D3E2F" w:rsidR="00AC60B7">
        <w:t>De Wet toekomst pensioenen (</w:t>
      </w:r>
      <w:proofErr w:type="spellStart"/>
      <w:r w:rsidRPr="002D3E2F" w:rsidR="00AC60B7">
        <w:t>Wtp</w:t>
      </w:r>
      <w:proofErr w:type="spellEnd"/>
      <w:r w:rsidRPr="002D3E2F" w:rsidR="00AC60B7">
        <w:t>) is op 1 juli 2023 in werking getreden</w:t>
      </w:r>
      <w:r w:rsidR="00AC60B7">
        <w:t xml:space="preserve"> en sindsdien werken a</w:t>
      </w:r>
      <w:r w:rsidR="007E1199">
        <w:t>lle</w:t>
      </w:r>
      <w:r>
        <w:t xml:space="preserve"> </w:t>
      </w:r>
      <w:r w:rsidR="007E1199">
        <w:t>b</w:t>
      </w:r>
      <w:r>
        <w:t>etrokkenen, vanuit de fase waarin zij zich bevinden, aan de overgang naar het nieuwe pensioenstelsel</w:t>
      </w:r>
      <w:r w:rsidR="00CC1A57">
        <w:t>. Een groot aantal pensioen</w:t>
      </w:r>
      <w:r w:rsidR="00182CF4">
        <w:t xml:space="preserve">uitvoerders </w:t>
      </w:r>
      <w:r w:rsidR="00CC1A57">
        <w:t xml:space="preserve">doet inmiddels ook </w:t>
      </w:r>
      <w:r>
        <w:t xml:space="preserve">de eerste ervaringen op in </w:t>
      </w:r>
      <w:r w:rsidR="002B75E8">
        <w:t xml:space="preserve">het </w:t>
      </w:r>
      <w:r>
        <w:t xml:space="preserve">nieuwe pensioenstelsel. </w:t>
      </w:r>
      <w:r w:rsidRPr="002D3E2F" w:rsidR="00AC60B7">
        <w:t>In figuur 1 is weergegeven waar de transitie zich bevindt in de tijd.</w:t>
      </w:r>
      <w:r w:rsidR="00AC60B7">
        <w:t xml:space="preserve"> </w:t>
      </w:r>
    </w:p>
    <w:p w:rsidR="00AC60B7" w:rsidP="00BE02B0" w:rsidRDefault="00AC60B7" w14:paraId="7D6EC07B" w14:textId="77777777"/>
    <w:p w:rsidRPr="008A662F" w:rsidR="0095545D" w:rsidP="0095545D" w:rsidRDefault="0095545D" w14:paraId="0F479CC7" w14:textId="77777777">
      <w:pPr>
        <w:rPr>
          <w:b/>
        </w:rPr>
      </w:pPr>
      <w:r w:rsidRPr="00361DEE">
        <w:rPr>
          <w:noProof/>
        </w:rPr>
        <w:drawing>
          <wp:anchor distT="0" distB="0" distL="114300" distR="114300" simplePos="0" relativeHeight="251658240" behindDoc="0" locked="0" layoutInCell="1" allowOverlap="1" wp14:editId="05F6BA2A" wp14:anchorId="49564ACB">
            <wp:simplePos x="0" y="0"/>
            <wp:positionH relativeFrom="column">
              <wp:posOffset>52705</wp:posOffset>
            </wp:positionH>
            <wp:positionV relativeFrom="paragraph">
              <wp:posOffset>296545</wp:posOffset>
            </wp:positionV>
            <wp:extent cx="4833620" cy="1517650"/>
            <wp:effectExtent l="0" t="0" r="5080" b="6350"/>
            <wp:wrapTopAndBottom/>
            <wp:docPr id="4066369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1087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33620" cy="1517650"/>
                    </a:xfrm>
                    <a:prstGeom prst="rect">
                      <a:avLst/>
                    </a:prstGeom>
                  </pic:spPr>
                </pic:pic>
              </a:graphicData>
            </a:graphic>
            <wp14:sizeRelH relativeFrom="page">
              <wp14:pctWidth>0</wp14:pctWidth>
            </wp14:sizeRelH>
            <wp14:sizeRelV relativeFrom="page">
              <wp14:pctHeight>0</wp14:pctHeight>
            </wp14:sizeRelV>
          </wp:anchor>
        </w:drawing>
      </w:r>
      <w:r w:rsidRPr="008A662F">
        <w:rPr>
          <w:b/>
          <w:bCs/>
        </w:rPr>
        <w:t>Figuur 1: Transitieperiode - mijlpalen</w:t>
      </w:r>
    </w:p>
    <w:p w:rsidR="0095545D" w:rsidP="00BE02B0" w:rsidRDefault="0095545D" w14:paraId="77BD0347" w14:textId="77777777"/>
    <w:p w:rsidR="00182CF4" w:rsidP="00BE02B0" w:rsidRDefault="00D72B96" w14:paraId="0E8EEC0B" w14:textId="136B754B">
      <w:r w:rsidRPr="002D3E2F">
        <w:t xml:space="preserve">Voor u ligt de </w:t>
      </w:r>
      <w:r>
        <w:t xml:space="preserve">vijfde </w:t>
      </w:r>
      <w:r w:rsidRPr="002D3E2F">
        <w:t>voortgangsrapportage monitoring Wet toekomst pensioenen (hierna: de voortgangsrapportage)</w:t>
      </w:r>
      <w:r w:rsidR="00651682">
        <w:t xml:space="preserve"> met</w:t>
      </w:r>
      <w:r w:rsidRPr="002D3E2F">
        <w:t xml:space="preserve"> de actuele stand van zaken over de voortgang van de transitie naar het nieuwe pensioenstelsel.</w:t>
      </w:r>
      <w:r>
        <w:rPr>
          <w:rStyle w:val="Voetnootmarkering"/>
        </w:rPr>
        <w:footnoteReference w:id="1"/>
      </w:r>
      <w:r w:rsidR="000D35E6">
        <w:t xml:space="preserve"> Daarbij wordt specifiek ingegaan op onderwerpen die de afgelopen tijd in de publieke en politieke belangstelling hebben gestaan. Zo wordt met deze </w:t>
      </w:r>
      <w:r w:rsidR="001F45B4">
        <w:t xml:space="preserve">brief </w:t>
      </w:r>
      <w:r w:rsidR="009D47A4">
        <w:t xml:space="preserve">invulling gegeven aan </w:t>
      </w:r>
      <w:r w:rsidR="001F45B4">
        <w:t xml:space="preserve">de </w:t>
      </w:r>
      <w:r w:rsidR="00182CF4">
        <w:t xml:space="preserve">motie van </w:t>
      </w:r>
      <w:proofErr w:type="spellStart"/>
      <w:r w:rsidR="00182CF4">
        <w:t>Van</w:t>
      </w:r>
      <w:proofErr w:type="spellEnd"/>
      <w:r w:rsidR="00182CF4">
        <w:t xml:space="preserve"> Ark</w:t>
      </w:r>
      <w:r w:rsidR="005C1BAB">
        <w:t xml:space="preserve"> (CDA)</w:t>
      </w:r>
      <w:r w:rsidR="00182CF4">
        <w:t xml:space="preserve"> en </w:t>
      </w:r>
      <w:proofErr w:type="spellStart"/>
      <w:r w:rsidR="00182CF4">
        <w:t>Patijn</w:t>
      </w:r>
      <w:proofErr w:type="spellEnd"/>
      <w:r w:rsidR="005C1BAB">
        <w:t xml:space="preserve"> (Pro)</w:t>
      </w:r>
      <w:r w:rsidR="00182CF4">
        <w:t xml:space="preserve"> </w:t>
      </w:r>
      <w:r w:rsidR="00182CF4">
        <w:rPr>
          <w:color w:val="auto"/>
        </w:rPr>
        <w:t xml:space="preserve">over het compensatievraagstuk, de </w:t>
      </w:r>
      <w:r w:rsidR="009D47A4">
        <w:t xml:space="preserve">toezegging om </w:t>
      </w:r>
      <w:r w:rsidR="0095545D">
        <w:t xml:space="preserve">de voortgang bij werkgevers met een pensioenregeling </w:t>
      </w:r>
      <w:r w:rsidR="00373EFC">
        <w:t>uitgevoerd door</w:t>
      </w:r>
      <w:r w:rsidR="0095545D">
        <w:t xml:space="preserve"> een verzekeraar of </w:t>
      </w:r>
      <w:proofErr w:type="spellStart"/>
      <w:r w:rsidR="0095545D">
        <w:t>premiepensioeninstelling</w:t>
      </w:r>
      <w:proofErr w:type="spellEnd"/>
      <w:r w:rsidR="0095545D">
        <w:t xml:space="preserve"> (PPI) </w:t>
      </w:r>
      <w:r w:rsidR="009D47A4">
        <w:t>intensiever te monitoren gezien de gevolgen van het niet</w:t>
      </w:r>
      <w:r w:rsidR="00C5468A">
        <w:t xml:space="preserve"> t</w:t>
      </w:r>
      <w:r w:rsidR="009D47A4">
        <w:t>ijdig omzetten van deze regelingen</w:t>
      </w:r>
      <w:r w:rsidR="00182CF4">
        <w:t xml:space="preserve"> en de toezegging</w:t>
      </w:r>
      <w:r w:rsidR="009D47A4">
        <w:t xml:space="preserve"> om uw Kamer te informeren over de definitieve </w:t>
      </w:r>
      <w:r w:rsidR="009D47A4">
        <w:lastRenderedPageBreak/>
        <w:t>pen</w:t>
      </w:r>
      <w:r w:rsidR="00182CF4">
        <w:t>s</w:t>
      </w:r>
      <w:r w:rsidR="009D47A4">
        <w:t>ioenstijgingen</w:t>
      </w:r>
      <w:r w:rsidR="00C5468A">
        <w:t xml:space="preserve"> van de pensioenfondsen die per 1 januari 2026 zijn ingevaren</w:t>
      </w:r>
      <w:r w:rsidR="009D47A4">
        <w:t>.</w:t>
      </w:r>
      <w:r w:rsidR="00837FF9">
        <w:rPr>
          <w:rStyle w:val="Voetnootmarkering"/>
        </w:rPr>
        <w:footnoteReference w:id="2"/>
      </w:r>
      <w:r w:rsidR="00837FF9">
        <w:rPr>
          <w:vertAlign w:val="superscript"/>
        </w:rPr>
        <w:t>,</w:t>
      </w:r>
      <w:r w:rsidR="00837FF9">
        <w:rPr>
          <w:rStyle w:val="Voetnootmarkering"/>
        </w:rPr>
        <w:footnoteReference w:id="3"/>
      </w:r>
      <w:r w:rsidR="00837FF9">
        <w:rPr>
          <w:vertAlign w:val="superscript"/>
        </w:rPr>
        <w:t>,</w:t>
      </w:r>
      <w:r w:rsidR="00837FF9">
        <w:rPr>
          <w:rStyle w:val="Voetnootmarkering"/>
        </w:rPr>
        <w:footnoteReference w:id="4"/>
      </w:r>
      <w:r w:rsidR="009D47A4">
        <w:t xml:space="preserve"> </w:t>
      </w:r>
    </w:p>
    <w:p w:rsidR="0078218D" w:rsidP="00BE02B0" w:rsidRDefault="0078218D" w14:paraId="4D563E29" w14:textId="1E23A19B"/>
    <w:p w:rsidR="00C5468A" w:rsidP="00BE02B0" w:rsidRDefault="003B609A" w14:paraId="46F8B972" w14:textId="7B74833E">
      <w:bookmarkStart w:name="_Hlk231298961" w:id="0"/>
      <w:r w:rsidRPr="003B609A">
        <w:t xml:space="preserve">De transitie naar het nieuwe pensioenstelsel bevindt zich in een beslissende fase en de komende maanden zijn cruciaal voor de pensioentransitie. Een groot deel van de pensioenfondsen is al overgestapt, of heeft de benodigde voorbereidingen getroffen om deze stap in de komende 1,5 jaar te zetten. Voor pensioenfondsen die nog niet zo ver zijn, is het van belang dat zij op </w:t>
      </w:r>
      <w:proofErr w:type="gramStart"/>
      <w:r w:rsidRPr="003B609A">
        <w:t>korte termijn oplossingen</w:t>
      </w:r>
      <w:proofErr w:type="gramEnd"/>
      <w:r w:rsidRPr="003B609A">
        <w:t xml:space="preserve"> vinden voor de opgave waarvoor zij zich gesteld zien en keuzes maken om de stap naar een nieuwe pensioenregeling daadwerkelijk te zetten. Dat geldt ook voor werkgevers met regelingen bij verzekeraars en </w:t>
      </w:r>
      <w:proofErr w:type="spellStart"/>
      <w:r w:rsidRPr="003B609A">
        <w:t>PPI’s</w:t>
      </w:r>
      <w:proofErr w:type="spellEnd"/>
      <w:r w:rsidRPr="003B609A">
        <w:t xml:space="preserve">. Ook zij zullen, gemotiveerd en geactiveerd door hun </w:t>
      </w:r>
      <w:r w:rsidR="002B02B3">
        <w:t xml:space="preserve">adviseur en </w:t>
      </w:r>
      <w:r w:rsidRPr="003B609A">
        <w:t xml:space="preserve">pensioenuitvoerder, keuzes moeten maken om deze transitie tijdig te realiseren. Met name kleinere werkgevers hebben hier nog een taak liggen en moeten snel aan de slag </w:t>
      </w:r>
      <w:r w:rsidR="00CC1A57">
        <w:t xml:space="preserve">gaan </w:t>
      </w:r>
      <w:r w:rsidRPr="003B609A">
        <w:t xml:space="preserve">en doorpakken. </w:t>
      </w:r>
    </w:p>
    <w:p w:rsidR="00C5468A" w:rsidP="00BE02B0" w:rsidRDefault="00C5468A" w14:paraId="69DFBB97" w14:textId="77777777"/>
    <w:p w:rsidR="008A662F" w:rsidP="00BE02B0" w:rsidRDefault="003B609A" w14:paraId="0A702504" w14:textId="696F3C38">
      <w:r w:rsidRPr="003B609A">
        <w:t>Gezien de stand van de transitie en de resterende tijd om de pensioentransitie te realiseren, blijft de uiterste transitiedatum, in lijn met het advies van de regeringscommissaris</w:t>
      </w:r>
      <w:r w:rsidR="007A27A6">
        <w:t xml:space="preserve"> transitie pensioenen (hierna: regeringsco</w:t>
      </w:r>
      <w:r w:rsidR="000D1867">
        <w:t>m</w:t>
      </w:r>
      <w:r w:rsidR="007A27A6">
        <w:t>missaris)</w:t>
      </w:r>
      <w:r w:rsidRPr="003B609A">
        <w:t>, staan op 1 januari 2028.</w:t>
      </w:r>
      <w:r w:rsidR="00C5468A">
        <w:t xml:space="preserve"> </w:t>
      </w:r>
      <w:r w:rsidR="00A26BC6">
        <w:t xml:space="preserve">Dat betekent dat op 1 januari 2028 de transitieperiode eindigt en </w:t>
      </w:r>
      <w:r w:rsidR="00821528">
        <w:t xml:space="preserve">vanaf dat moment </w:t>
      </w:r>
      <w:r w:rsidR="00A26BC6">
        <w:t xml:space="preserve">dienen alle pensioenregelingen te passen binnen de kaders van de </w:t>
      </w:r>
      <w:proofErr w:type="spellStart"/>
      <w:r w:rsidR="00A26BC6">
        <w:t>Wtp</w:t>
      </w:r>
      <w:proofErr w:type="spellEnd"/>
      <w:r w:rsidR="00A26BC6">
        <w:t xml:space="preserve">. Met de overgang naar </w:t>
      </w:r>
      <w:r w:rsidR="0095545D">
        <w:t xml:space="preserve">het </w:t>
      </w:r>
      <w:r w:rsidR="00A26BC6">
        <w:t>nieuwe pensioen</w:t>
      </w:r>
      <w:r w:rsidR="0095545D">
        <w:t xml:space="preserve">stelsel </w:t>
      </w:r>
      <w:r w:rsidR="00A26BC6">
        <w:t>is</w:t>
      </w:r>
      <w:r w:rsidR="00D338A5">
        <w:t xml:space="preserve"> </w:t>
      </w:r>
      <w:r w:rsidRPr="003B609A">
        <w:t xml:space="preserve">er sprake van een persoonlijker en transparanter pensioen dat eerder perspectief biedt op een koopkrachtig pensioen en beter aansluit bij de samenleving en de arbeidsmarkt. </w:t>
      </w:r>
    </w:p>
    <w:bookmarkEnd w:id="0"/>
    <w:p w:rsidR="008A662F" w:rsidP="00BE02B0" w:rsidRDefault="008A662F" w14:paraId="2652B5C9" w14:textId="77777777"/>
    <w:p w:rsidRPr="0080659D" w:rsidR="0078218D" w:rsidP="00BE02B0" w:rsidRDefault="0078218D" w14:paraId="009B906D" w14:textId="65E1907C">
      <w:pPr>
        <w:rPr>
          <w:b/>
          <w:bCs/>
        </w:rPr>
      </w:pPr>
      <w:r w:rsidRPr="0080659D">
        <w:rPr>
          <w:b/>
          <w:bCs/>
        </w:rPr>
        <w:t xml:space="preserve">Opzet monitor </w:t>
      </w:r>
    </w:p>
    <w:p w:rsidR="0078218D" w:rsidP="00BE02B0" w:rsidRDefault="0078218D" w14:paraId="6B005DCB" w14:textId="37F0CFF3">
      <w:r w:rsidRPr="00AF47A5">
        <w:t>De monitor is uitgevoerd conform het plan van aanpak monitoring</w:t>
      </w:r>
      <w:r w:rsidR="00BF14D2">
        <w:t xml:space="preserve"> zoals dat aan uw Kamer is voorgelegd</w:t>
      </w:r>
      <w:r w:rsidRPr="00AF47A5">
        <w:t>.</w:t>
      </w:r>
      <w:r>
        <w:rPr>
          <w:rStyle w:val="Voetnootmarkering"/>
        </w:rPr>
        <w:footnoteReference w:id="5"/>
      </w:r>
      <w:r w:rsidRPr="00AF47A5">
        <w:t xml:space="preserve"> Onderdeel hiervan zijn de meest actuele edities van de in opdracht van SZW door EY Adviseurs B.V. (hierna: EY) uitgevoerde transitiemonitor (bijlage 1), de deelnemersmonitor (bijlage 2</w:t>
      </w:r>
      <w:r>
        <w:t xml:space="preserve"> en bijlage 3</w:t>
      </w:r>
      <w:r w:rsidRPr="00AF47A5">
        <w:t xml:space="preserve">), het advies van de regeringscommissaris (bijlage </w:t>
      </w:r>
      <w:r>
        <w:t>4</w:t>
      </w:r>
      <w:r w:rsidRPr="00AF47A5">
        <w:t xml:space="preserve">), de informatie van toezichthouders </w:t>
      </w:r>
      <w:r w:rsidR="003B2197">
        <w:t>De Nederlandsche Bank (</w:t>
      </w:r>
      <w:r w:rsidRPr="00AF47A5">
        <w:t>DNB</w:t>
      </w:r>
      <w:r w:rsidR="003B2197">
        <w:t>)</w:t>
      </w:r>
      <w:r w:rsidRPr="00AF47A5">
        <w:t xml:space="preserve"> en </w:t>
      </w:r>
      <w:r w:rsidR="003B2197">
        <w:t>de Autoriteit Financiële Markten (</w:t>
      </w:r>
      <w:r w:rsidRPr="00AF47A5">
        <w:t>AFM</w:t>
      </w:r>
      <w:r w:rsidR="003B2197">
        <w:t>)</w:t>
      </w:r>
      <w:r w:rsidRPr="00AF47A5">
        <w:t>, overige onderzoeken en de gesprekken die ik met de pensioensector voer, onder andere met de sociale partners, de pensioenuitvoerders en de -koepels en de toezichthouders.</w:t>
      </w:r>
      <w:r>
        <w:t xml:space="preserve"> </w:t>
      </w:r>
      <w:r w:rsidR="00CC1A57">
        <w:t xml:space="preserve">Deze voortgangsrapportage bevat geen doelstellingenmonitor. Deze monitor wordt namelijk </w:t>
      </w:r>
      <w:r w:rsidR="002B02B3">
        <w:t>éé</w:t>
      </w:r>
      <w:r w:rsidR="00CC1A57">
        <w:t>n keer per jaar uitgevoerd, en loopt mee in de winterrapportages.</w:t>
      </w:r>
      <w:r w:rsidR="0078433F">
        <w:t xml:space="preserve"> </w:t>
      </w:r>
      <w:r w:rsidRPr="00AF47A5">
        <w:t xml:space="preserve">Hierbij merk ik op dat de data afkomstig </w:t>
      </w:r>
      <w:r w:rsidR="00C5468A">
        <w:t xml:space="preserve">van </w:t>
      </w:r>
      <w:r w:rsidRPr="00AF47A5">
        <w:t xml:space="preserve">DNB </w:t>
      </w:r>
      <w:r w:rsidR="00C5468A">
        <w:t>uit de “</w:t>
      </w:r>
      <w:r w:rsidRPr="00C5468A" w:rsidR="00C5468A">
        <w:rPr>
          <w:i/>
          <w:iCs/>
        </w:rPr>
        <w:t xml:space="preserve">Gegevens </w:t>
      </w:r>
      <w:proofErr w:type="spellStart"/>
      <w:r w:rsidRPr="00C5468A" w:rsidR="00C5468A">
        <w:rPr>
          <w:i/>
          <w:iCs/>
        </w:rPr>
        <w:t>Wtp</w:t>
      </w:r>
      <w:proofErr w:type="spellEnd"/>
      <w:r w:rsidRPr="00C5468A" w:rsidR="00C5468A">
        <w:rPr>
          <w:i/>
          <w:iCs/>
        </w:rPr>
        <w:t>-uitvraag pensioenfondsen Q2-2026</w:t>
      </w:r>
      <w:r w:rsidR="00C5468A">
        <w:t>” en “</w:t>
      </w:r>
      <w:r w:rsidRPr="00C5468A" w:rsidR="00C5468A">
        <w:rPr>
          <w:i/>
          <w:iCs/>
        </w:rPr>
        <w:t xml:space="preserve">Gegevens Transitierapportage verzekeraars &amp; </w:t>
      </w:r>
      <w:proofErr w:type="spellStart"/>
      <w:r w:rsidRPr="00C5468A" w:rsidR="00C5468A">
        <w:rPr>
          <w:i/>
          <w:iCs/>
        </w:rPr>
        <w:t>ppi's</w:t>
      </w:r>
      <w:proofErr w:type="spellEnd"/>
      <w:r w:rsidRPr="00C5468A" w:rsidR="00C5468A">
        <w:rPr>
          <w:i/>
          <w:iCs/>
        </w:rPr>
        <w:t xml:space="preserve"> Q1-2026</w:t>
      </w:r>
      <w:r w:rsidR="00C5468A">
        <w:t>”</w:t>
      </w:r>
      <w:r w:rsidRPr="00AF47A5">
        <w:t>, dater</w:t>
      </w:r>
      <w:r w:rsidR="002B75E8">
        <w:t>en</w:t>
      </w:r>
      <w:r w:rsidRPr="00AF47A5">
        <w:t xml:space="preserve"> van </w:t>
      </w:r>
      <w:r>
        <w:t xml:space="preserve">8 </w:t>
      </w:r>
      <w:r w:rsidRPr="00AF47A5">
        <w:t>mei</w:t>
      </w:r>
      <w:r>
        <w:t xml:space="preserve"> 2026</w:t>
      </w:r>
      <w:r w:rsidRPr="00AF47A5">
        <w:t xml:space="preserve">. </w:t>
      </w:r>
    </w:p>
    <w:p w:rsidR="0078218D" w:rsidP="00BE02B0" w:rsidRDefault="0078218D" w14:paraId="081B176E" w14:textId="77777777"/>
    <w:p w:rsidRPr="004B61C2" w:rsidR="00DD3648" w:rsidP="00BE02B0" w:rsidRDefault="00DD3648" w14:paraId="4854251A" w14:textId="0315D1F6">
      <w:pPr>
        <w:rPr>
          <w:i/>
          <w:iCs/>
        </w:rPr>
      </w:pPr>
      <w:r w:rsidRPr="004B61C2">
        <w:rPr>
          <w:i/>
          <w:iCs/>
        </w:rPr>
        <w:t>Contact en signalen uit de sector</w:t>
      </w:r>
    </w:p>
    <w:p w:rsidR="00AD7C07" w:rsidP="00BE02B0" w:rsidRDefault="0078218D" w14:paraId="5B993640" w14:textId="77777777">
      <w:r w:rsidRPr="00AF47A5">
        <w:t xml:space="preserve">Ook afgelopen periode heeft mijn ministerie met veel bij de pensioentransitie betrokken partijen, zowel op bestuursniveau als op werkvloerniveau, gesproken over de pensioentransitie in het algemeen en de wijze waarop deelnemers hierbij worden betrokken in het bijzonder. Mijn gesprekspartners hebben hun ervaringen, vragen en knelpunten gedeeld en hebben meegedacht over het zo goed mogelijk laten verlopen van de transitie. Ik wil ze opnieuw bedanken voor hun betrokkenheid en openheid. En uiteraard blijf ik ook de komende tijd openstaan voor signalen uit de uitvoeringspraktijk. </w:t>
      </w:r>
    </w:p>
    <w:p w:rsidR="0078218D" w:rsidP="00BE02B0" w:rsidRDefault="0078218D" w14:paraId="125E9E85" w14:textId="392F032A">
      <w:r w:rsidRPr="00AF47A5">
        <w:lastRenderedPageBreak/>
        <w:t xml:space="preserve">De sector kan dergelijke signalen delen via Werkenaanonspensioen@minszw.nl of de ambtenaren van mijn ministerie aanspreken tijdens </w:t>
      </w:r>
      <w:r w:rsidR="00BF14D2">
        <w:t xml:space="preserve">werkbezoeken, </w:t>
      </w:r>
      <w:r w:rsidRPr="00AF47A5">
        <w:t xml:space="preserve">congressen en seminars in het pensioendomein. </w:t>
      </w:r>
    </w:p>
    <w:p w:rsidR="0078218D" w:rsidP="00BE02B0" w:rsidRDefault="0078218D" w14:paraId="52F419B3" w14:textId="77777777"/>
    <w:p w:rsidR="0078218D" w:rsidP="00BE02B0" w:rsidRDefault="0078218D" w14:paraId="798AC982" w14:textId="661EC8B6">
      <w:r w:rsidRPr="00AF47A5">
        <w:rPr>
          <w:b/>
          <w:bCs/>
        </w:rPr>
        <w:t>Leeswijzer</w:t>
      </w:r>
      <w:r w:rsidRPr="00AF47A5">
        <w:t xml:space="preserve"> </w:t>
      </w:r>
    </w:p>
    <w:p w:rsidR="00373EFC" w:rsidP="00373EFC" w:rsidRDefault="0078218D" w14:paraId="0A82611C" w14:textId="71C9EB0B">
      <w:r w:rsidRPr="00AF47A5">
        <w:t xml:space="preserve">In deze </w:t>
      </w:r>
      <w:r w:rsidR="00502691">
        <w:t>voortgangs</w:t>
      </w:r>
      <w:r w:rsidRPr="00AF47A5">
        <w:t xml:space="preserve">rapportage vindt u allereerst de beleidsconclusies die ik trek op basis van de beschikbare </w:t>
      </w:r>
      <w:r w:rsidR="002B02B3">
        <w:t>(</w:t>
      </w:r>
      <w:proofErr w:type="spellStart"/>
      <w:r w:rsidR="002B02B3">
        <w:t>monitorings</w:t>
      </w:r>
      <w:proofErr w:type="spellEnd"/>
      <w:r w:rsidR="002B02B3">
        <w:t>)</w:t>
      </w:r>
      <w:r w:rsidRPr="00AF47A5">
        <w:t>informatie over de eerste helft van 202</w:t>
      </w:r>
      <w:r w:rsidR="00DD3648">
        <w:t>6</w:t>
      </w:r>
      <w:r w:rsidRPr="00AF47A5">
        <w:t xml:space="preserve">. Hoofdstuk 2 gaat in op </w:t>
      </w:r>
      <w:r>
        <w:t>de kleine werkgevers</w:t>
      </w:r>
      <w:r w:rsidR="00824682">
        <w:t xml:space="preserve"> met een verzekerde regeling</w:t>
      </w:r>
      <w:r>
        <w:t xml:space="preserve">. </w:t>
      </w:r>
      <w:r w:rsidR="002B02B3">
        <w:t>En i</w:t>
      </w:r>
      <w:r w:rsidRPr="00AF47A5">
        <w:t xml:space="preserve">n hoofdstuk 3 geef ik mijn reactie op het advies van de </w:t>
      </w:r>
      <w:r w:rsidR="00A4579F">
        <w:t>r</w:t>
      </w:r>
      <w:r w:rsidRPr="00AF47A5">
        <w:t>egeringscommissaris. De voortgang van de transitie wordt geschetst in hoofdstuk 4</w:t>
      </w:r>
      <w:r w:rsidR="003B609A">
        <w:t>.</w:t>
      </w:r>
      <w:r w:rsidRPr="00AF47A5">
        <w:t xml:space="preserve"> In hoofdstuk 5 wordt nader ingegaan op de ervaringen van de deelnemer met de pensioentransitie. </w:t>
      </w:r>
      <w:r w:rsidR="0089145B">
        <w:t>H</w:t>
      </w:r>
      <w:r w:rsidRPr="00AF47A5">
        <w:t xml:space="preserve">oofdstuk </w:t>
      </w:r>
      <w:r w:rsidR="00AC0020">
        <w:t xml:space="preserve">6 </w:t>
      </w:r>
      <w:r w:rsidR="0089145B">
        <w:t xml:space="preserve">biedt inzicht in </w:t>
      </w:r>
      <w:r w:rsidR="00AC0020">
        <w:t xml:space="preserve">de stand van zaken </w:t>
      </w:r>
      <w:proofErr w:type="gramStart"/>
      <w:r w:rsidR="00AC0020">
        <w:t>omtrent</w:t>
      </w:r>
      <w:proofErr w:type="gramEnd"/>
      <w:r w:rsidR="00AC0020">
        <w:t xml:space="preserve"> </w:t>
      </w:r>
      <w:r w:rsidRPr="00AF47A5">
        <w:t xml:space="preserve">de (voorgenomen) wet- en regelgeving. In de bijlage </w:t>
      </w:r>
      <w:r w:rsidR="00C10014">
        <w:t xml:space="preserve">1 </w:t>
      </w:r>
      <w:r w:rsidR="00F3498D">
        <w:t xml:space="preserve">achteraan deze voortgangsrapportage </w:t>
      </w:r>
      <w:r w:rsidRPr="00AF47A5">
        <w:t>vindt u de wijze waarop invulling is of wordt gegeven aan de moties en toezeggingen die betrekking hebben op het verloop en de monitoring van de transitie naar het nieuwe pensioenstelsel.</w:t>
      </w:r>
      <w:r w:rsidR="0089145B">
        <w:t xml:space="preserve"> </w:t>
      </w:r>
    </w:p>
    <w:p w:rsidRPr="00373EFC" w:rsidR="00F3498D" w:rsidP="00373EFC" w:rsidRDefault="00F3498D" w14:paraId="666D2C63" w14:textId="77777777"/>
    <w:p w:rsidRPr="00F3498D" w:rsidR="00373EFC" w:rsidP="00373EFC" w:rsidRDefault="00373EFC" w14:paraId="381A99E1" w14:textId="4972D85F">
      <w:pPr>
        <w:rPr>
          <w:rFonts w:cs="Calibri"/>
        </w:rPr>
      </w:pPr>
      <w:r w:rsidRPr="00373EFC">
        <w:t>Tot slot bevat deze brief een rectificatie van enkele tabellen uit de brief met als onderwerp “</w:t>
      </w:r>
      <w:r w:rsidRPr="00F3498D">
        <w:rPr>
          <w:rFonts w:cs="Calibri"/>
        </w:rPr>
        <w:t>Het beleggingsbeleid van Nederlandse pensioenfondsen”</w:t>
      </w:r>
      <w:r w:rsidR="00F3498D">
        <w:rPr>
          <w:rFonts w:cs="Calibri"/>
        </w:rPr>
        <w:t>.</w:t>
      </w:r>
      <w:r w:rsidRPr="00F3498D">
        <w:rPr>
          <w:rStyle w:val="Voetnootmarkering"/>
          <w:rFonts w:cs="Calibri"/>
        </w:rPr>
        <w:footnoteReference w:id="6"/>
      </w:r>
      <w:r w:rsidRPr="00373EFC">
        <w:t xml:space="preserve"> I</w:t>
      </w:r>
      <w:r w:rsidRPr="00F3498D">
        <w:rPr>
          <w:rFonts w:cs="Calibri"/>
        </w:rPr>
        <w:t>n het onderzoek naar de rendementen van Nederlandse pensioenfondsen van 8 juni jl. zijn bij de drie tabellen enkele getallen onjuist overgenomen vanuit de jaarverslagen. Het gemiddelde rendement stijgt</w:t>
      </w:r>
      <w:r w:rsidR="00BF14D2">
        <w:rPr>
          <w:rFonts w:cs="Calibri"/>
        </w:rPr>
        <w:t xml:space="preserve"> daardoor licht</w:t>
      </w:r>
      <w:r w:rsidRPr="00F3498D">
        <w:rPr>
          <w:rFonts w:cs="Calibri"/>
        </w:rPr>
        <w:t xml:space="preserve"> na</w:t>
      </w:r>
      <w:r w:rsidR="00BF14D2">
        <w:rPr>
          <w:rFonts w:cs="Calibri"/>
        </w:rPr>
        <w:t xml:space="preserve"> deze</w:t>
      </w:r>
      <w:r w:rsidRPr="00F3498D">
        <w:rPr>
          <w:rFonts w:cs="Calibri"/>
        </w:rPr>
        <w:t xml:space="preserve"> correctie. In bijlage 2 </w:t>
      </w:r>
      <w:r w:rsidRPr="00F3498D" w:rsidR="00112545">
        <w:rPr>
          <w:rFonts w:cs="Calibri"/>
        </w:rPr>
        <w:t>a</w:t>
      </w:r>
      <w:r w:rsidR="00112545">
        <w:rPr>
          <w:rFonts w:cs="Calibri"/>
        </w:rPr>
        <w:t>an het einde van</w:t>
      </w:r>
      <w:r w:rsidRPr="00F3498D" w:rsidR="00112545">
        <w:rPr>
          <w:rFonts w:cs="Calibri"/>
        </w:rPr>
        <w:t xml:space="preserve"> </w:t>
      </w:r>
      <w:r w:rsidRPr="00F3498D">
        <w:rPr>
          <w:rFonts w:cs="Calibri"/>
        </w:rPr>
        <w:t xml:space="preserve">deze voortgangsrapportage worden de aangepaste tabellen weergegeven. Daarnaast </w:t>
      </w:r>
      <w:r w:rsidR="00BF14D2">
        <w:rPr>
          <w:rFonts w:cs="Calibri"/>
        </w:rPr>
        <w:t>zijn in</w:t>
      </w:r>
      <w:r w:rsidRPr="00F3498D">
        <w:rPr>
          <w:rFonts w:cs="Calibri"/>
        </w:rPr>
        <w:t xml:space="preserve"> tabel 3 de indexaties die vanwege de versoepelde indexatieregels rond half 2022 plaatsvonden, mee</w:t>
      </w:r>
      <w:r w:rsidR="00BF14D2">
        <w:rPr>
          <w:rFonts w:cs="Calibri"/>
        </w:rPr>
        <w:t>genomen</w:t>
      </w:r>
      <w:r w:rsidRPr="00F3498D">
        <w:rPr>
          <w:rFonts w:cs="Calibri"/>
        </w:rPr>
        <w:t xml:space="preserve"> in de indexatiecijfers voor 2022 in plaats van 2021, </w:t>
      </w:r>
      <w:proofErr w:type="gramStart"/>
      <w:r w:rsidRPr="00F3498D">
        <w:rPr>
          <w:rFonts w:cs="Calibri"/>
        </w:rPr>
        <w:t>conform</w:t>
      </w:r>
      <w:proofErr w:type="gramEnd"/>
      <w:r w:rsidRPr="00F3498D">
        <w:rPr>
          <w:rFonts w:cs="Calibri"/>
        </w:rPr>
        <w:t xml:space="preserve"> de dataset van DNB.</w:t>
      </w:r>
    </w:p>
    <w:p w:rsidR="0078218D" w:rsidP="00BE02B0" w:rsidRDefault="0078218D" w14:paraId="3BACF071" w14:textId="77777777"/>
    <w:p w:rsidRPr="0091081D" w:rsidR="0078218D" w:rsidP="00BE02B0" w:rsidRDefault="0078218D" w14:paraId="4D72B694" w14:textId="532D1591">
      <w:pPr>
        <w:rPr>
          <w:b/>
        </w:rPr>
      </w:pPr>
      <w:bookmarkStart w:name="_Hlk231299138" w:id="1"/>
      <w:r w:rsidRPr="0091081D">
        <w:rPr>
          <w:b/>
        </w:rPr>
        <w:t>1. Beleidsconclusies</w:t>
      </w:r>
    </w:p>
    <w:p w:rsidR="00955EA6" w:rsidP="00BE02B0" w:rsidRDefault="00955EA6" w14:paraId="4CA0840C" w14:textId="77777777"/>
    <w:p w:rsidRPr="00445FB3" w:rsidR="00955EA6" w:rsidP="00BE02B0" w:rsidRDefault="00050B31" w14:paraId="44F6A8F6" w14:textId="3ABB310A">
      <w:pPr>
        <w:pStyle w:val="Geenafstand"/>
        <w:spacing w:line="240" w:lineRule="atLeast"/>
        <w:rPr>
          <w:b/>
          <w:bCs/>
          <w:lang w:val="nl-NL"/>
        </w:rPr>
      </w:pPr>
      <w:bookmarkStart w:name="_Hlk231539888" w:id="2"/>
      <w:r>
        <w:rPr>
          <w:b/>
          <w:bCs/>
          <w:lang w:val="nl-NL"/>
        </w:rPr>
        <w:t>C</w:t>
      </w:r>
      <w:r w:rsidRPr="00050B31">
        <w:rPr>
          <w:b/>
          <w:bCs/>
          <w:lang w:val="nl-NL"/>
        </w:rPr>
        <w:t>ruciale fase op weg naar einddatum transitie op 1 januari 2028</w:t>
      </w:r>
      <w:r>
        <w:rPr>
          <w:b/>
          <w:bCs/>
          <w:lang w:val="nl-NL"/>
        </w:rPr>
        <w:t xml:space="preserve"> </w:t>
      </w:r>
    </w:p>
    <w:bookmarkEnd w:id="1"/>
    <w:bookmarkEnd w:id="2"/>
    <w:p w:rsidRPr="003B609A" w:rsidR="003B609A" w:rsidP="00BE02B0" w:rsidRDefault="003B609A" w14:paraId="2939155C" w14:textId="1692105E">
      <w:pPr>
        <w:pStyle w:val="Geenafstand"/>
        <w:spacing w:line="240" w:lineRule="atLeast"/>
        <w:rPr>
          <w:lang w:val="nl-NL"/>
        </w:rPr>
      </w:pPr>
      <w:r w:rsidRPr="003B609A">
        <w:rPr>
          <w:lang w:val="nl-NL"/>
        </w:rPr>
        <w:t xml:space="preserve">De pensioentransitie is in volle gang, de pensioensector werkt hard aan het tijdig omzetten van alle pensioenregelingen. Veel deelnemers bouwen inmiddels pensioen op </w:t>
      </w:r>
      <w:r w:rsidR="00220C86">
        <w:rPr>
          <w:lang w:val="nl-NL"/>
        </w:rPr>
        <w:t xml:space="preserve">in </w:t>
      </w:r>
      <w:r w:rsidRPr="003B609A">
        <w:rPr>
          <w:lang w:val="nl-NL"/>
        </w:rPr>
        <w:t xml:space="preserve">een nieuwe regeling of gaan dat op korte termijn doen. De betrokken partijen die nog geen nieuwe pensioenregeling overeen zijn gekomen en/of nog geen transitiedatum met bijbehorend tijdspad hebben vastgelegd, zullen het komende anderhalf jaar keuzes moeten maken en de daaruit voortvloeiende stappen moeten zetten. Op die manier kunnen alle pensioenregelingen per 1 januari 2028 omgezet zijn naar een (nieuwe) premieregeling. </w:t>
      </w:r>
    </w:p>
    <w:p w:rsidRPr="003B609A" w:rsidR="003B609A" w:rsidP="00BE02B0" w:rsidRDefault="003B609A" w14:paraId="0DF52804" w14:textId="77777777">
      <w:pPr>
        <w:pStyle w:val="Geenafstand"/>
        <w:spacing w:line="240" w:lineRule="atLeast"/>
        <w:rPr>
          <w:i/>
          <w:iCs/>
          <w:lang w:val="nl-NL"/>
        </w:rPr>
      </w:pPr>
    </w:p>
    <w:p w:rsidR="0044111A" w:rsidP="00BE02B0" w:rsidRDefault="003B609A" w14:paraId="7BC0492D" w14:textId="241B78D1">
      <w:pPr>
        <w:pStyle w:val="Geenafstand"/>
        <w:spacing w:line="240" w:lineRule="atLeast"/>
        <w:rPr>
          <w:lang w:val="nl-NL"/>
        </w:rPr>
      </w:pPr>
      <w:r w:rsidRPr="003B609A">
        <w:rPr>
          <w:lang w:val="nl-NL"/>
        </w:rPr>
        <w:t xml:space="preserve">Er zijn partijen, zowel aan de kant van de pensioenfondsen als aan de kant van de verzekeraars en </w:t>
      </w:r>
      <w:proofErr w:type="spellStart"/>
      <w:r w:rsidRPr="003B609A">
        <w:rPr>
          <w:lang w:val="nl-NL"/>
        </w:rPr>
        <w:t>PPI’s</w:t>
      </w:r>
      <w:proofErr w:type="spellEnd"/>
      <w:r w:rsidRPr="003B609A">
        <w:rPr>
          <w:lang w:val="nl-NL"/>
        </w:rPr>
        <w:t xml:space="preserve">, die op het kritieke tijdspad lopen. Waar deze partijen momenteel nog knelpunten ervaren, </w:t>
      </w:r>
      <w:r w:rsidR="00EC7E62">
        <w:rPr>
          <w:lang w:val="nl-NL"/>
        </w:rPr>
        <w:t xml:space="preserve">doen zij er alles aan </w:t>
      </w:r>
      <w:r w:rsidRPr="003B609A">
        <w:rPr>
          <w:lang w:val="nl-NL"/>
        </w:rPr>
        <w:t>om deze tijdig te adresseren. De monitoring van SZW richt zich de komende periode specifiek op deze knelpunten en partijen. Daarnaast wordt aan de kant van de pensioenfondsen onder ander</w:t>
      </w:r>
      <w:r w:rsidR="00824682">
        <w:rPr>
          <w:lang w:val="nl-NL"/>
        </w:rPr>
        <w:t>e</w:t>
      </w:r>
      <w:r w:rsidRPr="003B609A">
        <w:rPr>
          <w:lang w:val="nl-NL"/>
        </w:rPr>
        <w:t xml:space="preserve"> bezien in hoeverre de in het komende half jaar geplande transities doorgang vinden, hoe het transitieproces van de pensioenfondsen die voornemens zijn om in 2027 in te varen verloopt en hoe de groep pensioen</w:t>
      </w:r>
      <w:r w:rsidR="00DA4428">
        <w:rPr>
          <w:lang w:val="nl-NL"/>
        </w:rPr>
        <w:t xml:space="preserve">fondsen </w:t>
      </w:r>
      <w:r w:rsidRPr="003B609A">
        <w:rPr>
          <w:lang w:val="nl-NL"/>
        </w:rPr>
        <w:t>die per 1 januari 2028 inva</w:t>
      </w:r>
      <w:r w:rsidR="005C1BAB">
        <w:rPr>
          <w:lang w:val="nl-NL"/>
        </w:rPr>
        <w:t>art</w:t>
      </w:r>
      <w:r w:rsidRPr="003B609A">
        <w:rPr>
          <w:lang w:val="nl-NL"/>
        </w:rPr>
        <w:t xml:space="preserve"> naar het nieuwe pensioenstelsel is samengesteld. Aan de kant van de verzekeraars en </w:t>
      </w:r>
      <w:proofErr w:type="spellStart"/>
      <w:r w:rsidRPr="003B609A">
        <w:rPr>
          <w:lang w:val="nl-NL"/>
        </w:rPr>
        <w:t>PPI’s</w:t>
      </w:r>
      <w:proofErr w:type="spellEnd"/>
      <w:r w:rsidRPr="003B609A">
        <w:rPr>
          <w:lang w:val="nl-NL"/>
        </w:rPr>
        <w:t xml:space="preserve"> wordt aan de hand van kwartaalcijfers bezien in hoeverre werkgevers hun </w:t>
      </w:r>
      <w:r w:rsidRPr="003B609A">
        <w:rPr>
          <w:lang w:val="nl-NL"/>
        </w:rPr>
        <w:lastRenderedPageBreak/>
        <w:t xml:space="preserve">pensioenregeling hebben omgezet en hoe de planning van de nog om te zetten regelingen zich ontwikkelt. </w:t>
      </w:r>
    </w:p>
    <w:p w:rsidR="0044111A" w:rsidP="00BE02B0" w:rsidRDefault="0044111A" w14:paraId="730D703F" w14:textId="77777777">
      <w:pPr>
        <w:pStyle w:val="Geenafstand"/>
        <w:spacing w:line="240" w:lineRule="atLeast"/>
        <w:rPr>
          <w:lang w:val="nl-NL"/>
        </w:rPr>
      </w:pPr>
    </w:p>
    <w:p w:rsidRPr="003B609A" w:rsidR="003B609A" w:rsidP="00BE02B0" w:rsidRDefault="003B609A" w14:paraId="110CE0C5" w14:textId="702D5D06">
      <w:pPr>
        <w:pStyle w:val="Geenafstand"/>
        <w:spacing w:line="240" w:lineRule="atLeast"/>
        <w:rPr>
          <w:lang w:val="nl-NL"/>
        </w:rPr>
      </w:pPr>
      <w:bookmarkStart w:name="_Hlk233034498" w:id="3"/>
      <w:r w:rsidRPr="003B609A">
        <w:rPr>
          <w:lang w:val="nl-NL"/>
        </w:rPr>
        <w:t xml:space="preserve">Deze monitoringsinformatie </w:t>
      </w:r>
      <w:proofErr w:type="gramStart"/>
      <w:r w:rsidR="00633745">
        <w:rPr>
          <w:lang w:val="nl-NL"/>
        </w:rPr>
        <w:t>alsmede</w:t>
      </w:r>
      <w:proofErr w:type="gramEnd"/>
      <w:r w:rsidR="00633745">
        <w:rPr>
          <w:lang w:val="nl-NL"/>
        </w:rPr>
        <w:t xml:space="preserve"> </w:t>
      </w:r>
      <w:r w:rsidRPr="003B609A">
        <w:rPr>
          <w:lang w:val="nl-NL"/>
        </w:rPr>
        <w:t>de adviezen van de regeringscommissaris vorm</w:t>
      </w:r>
      <w:r w:rsidR="00633745">
        <w:rPr>
          <w:lang w:val="nl-NL"/>
        </w:rPr>
        <w:t xml:space="preserve">en </w:t>
      </w:r>
      <w:r w:rsidRPr="003B609A">
        <w:rPr>
          <w:lang w:val="nl-NL"/>
        </w:rPr>
        <w:t xml:space="preserve">de basis waarmee op de geëigende weegmomenten, </w:t>
      </w:r>
      <w:r w:rsidR="00CC1A57">
        <w:rPr>
          <w:lang w:val="nl-NL"/>
        </w:rPr>
        <w:t>te weten de</w:t>
      </w:r>
      <w:r w:rsidRPr="003B609A">
        <w:rPr>
          <w:lang w:val="nl-NL"/>
        </w:rPr>
        <w:t xml:space="preserve"> winter- en zomerrapportage </w:t>
      </w:r>
      <w:r w:rsidR="005C1BAB">
        <w:rPr>
          <w:lang w:val="nl-NL"/>
        </w:rPr>
        <w:t>20</w:t>
      </w:r>
      <w:r w:rsidRPr="003B609A">
        <w:rPr>
          <w:lang w:val="nl-NL"/>
        </w:rPr>
        <w:t>27, door mij als minister</w:t>
      </w:r>
      <w:r w:rsidR="0044111A">
        <w:rPr>
          <w:lang w:val="nl-NL"/>
        </w:rPr>
        <w:t xml:space="preserve"> van SZW</w:t>
      </w:r>
      <w:r w:rsidRPr="003B609A">
        <w:rPr>
          <w:lang w:val="nl-NL"/>
        </w:rPr>
        <w:t xml:space="preserve"> </w:t>
      </w:r>
      <w:r w:rsidR="00AB025A">
        <w:rPr>
          <w:lang w:val="nl-NL"/>
        </w:rPr>
        <w:t xml:space="preserve">na </w:t>
      </w:r>
      <w:r w:rsidR="00C67827">
        <w:rPr>
          <w:lang w:val="nl-NL"/>
        </w:rPr>
        <w:t>consultatie van</w:t>
      </w:r>
      <w:r w:rsidRPr="003B609A">
        <w:rPr>
          <w:lang w:val="nl-NL"/>
        </w:rPr>
        <w:t xml:space="preserve"> de toezichthouders wordt bezien hoe de transitie ervoor staat en/of er aanvullende maatregelen nodig zijn om de transitie tijdig te realiseren. </w:t>
      </w:r>
      <w:bookmarkEnd w:id="3"/>
      <w:r w:rsidRPr="003B609A">
        <w:rPr>
          <w:lang w:val="nl-NL"/>
        </w:rPr>
        <w:t>Uw Kamer wordt hier aan de hand van de voortgangsrapportage</w:t>
      </w:r>
      <w:r w:rsidR="0045085C">
        <w:rPr>
          <w:lang w:val="nl-NL"/>
        </w:rPr>
        <w:t>s</w:t>
      </w:r>
      <w:r w:rsidRPr="003B609A">
        <w:rPr>
          <w:lang w:val="nl-NL"/>
        </w:rPr>
        <w:t xml:space="preserve"> over geïnformeerd.</w:t>
      </w:r>
    </w:p>
    <w:p w:rsidRPr="003B609A" w:rsidR="00955EA6" w:rsidP="00BE02B0" w:rsidRDefault="00955EA6" w14:paraId="2AEECF8C" w14:textId="77777777">
      <w:pPr>
        <w:pStyle w:val="Geenafstand"/>
        <w:spacing w:line="240" w:lineRule="atLeast"/>
        <w:rPr>
          <w:b/>
          <w:bCs/>
          <w:szCs w:val="18"/>
          <w:lang w:val="nl-NL"/>
        </w:rPr>
      </w:pPr>
    </w:p>
    <w:p w:rsidRPr="003A2EDF" w:rsidR="00955EA6" w:rsidP="00BE02B0" w:rsidRDefault="00955EA6" w14:paraId="269CF2A5" w14:textId="79D18EAF">
      <w:pPr>
        <w:pStyle w:val="Geenafstand"/>
        <w:spacing w:line="240" w:lineRule="atLeast"/>
        <w:rPr>
          <w:b/>
          <w:bCs/>
          <w:szCs w:val="18"/>
          <w:lang w:val="nl-NL"/>
        </w:rPr>
      </w:pPr>
      <w:bookmarkStart w:name="_Hlk231299511" w:id="4"/>
      <w:bookmarkStart w:name="_Hlk231307663" w:id="5"/>
      <w:r w:rsidRPr="003A2EDF">
        <w:rPr>
          <w:b/>
          <w:bCs/>
          <w:szCs w:val="18"/>
          <w:lang w:val="nl-NL"/>
        </w:rPr>
        <w:t>Pensioenfondsen bevinden zich in verschillende fases van de transitie</w:t>
      </w:r>
    </w:p>
    <w:p w:rsidRPr="003A2EDF" w:rsidR="00F826D6" w:rsidP="00BE02B0" w:rsidRDefault="00F826D6" w14:paraId="65DC664A" w14:textId="0C536CE7">
      <w:pPr>
        <w:pStyle w:val="Geenafstand"/>
        <w:spacing w:line="240" w:lineRule="atLeast"/>
        <w:rPr>
          <w:szCs w:val="18"/>
          <w:lang w:val="nl-NL"/>
        </w:rPr>
      </w:pPr>
      <w:r w:rsidRPr="003A2EDF">
        <w:rPr>
          <w:szCs w:val="18"/>
          <w:lang w:val="nl-NL"/>
        </w:rPr>
        <w:t xml:space="preserve">Pensioenregelingen moeten in de periode </w:t>
      </w:r>
      <w:r w:rsidR="0083559E">
        <w:rPr>
          <w:szCs w:val="18"/>
          <w:lang w:val="nl-NL"/>
        </w:rPr>
        <w:t xml:space="preserve">tussen </w:t>
      </w:r>
      <w:r w:rsidRPr="003A2EDF">
        <w:rPr>
          <w:szCs w:val="18"/>
          <w:lang w:val="nl-NL"/>
        </w:rPr>
        <w:t xml:space="preserve">de inwerkingtreding van de </w:t>
      </w:r>
      <w:proofErr w:type="spellStart"/>
      <w:r w:rsidRPr="003A2EDF">
        <w:rPr>
          <w:szCs w:val="18"/>
          <w:lang w:val="nl-NL"/>
        </w:rPr>
        <w:t>Wtp</w:t>
      </w:r>
      <w:proofErr w:type="spellEnd"/>
      <w:r w:rsidRPr="003A2EDF">
        <w:rPr>
          <w:szCs w:val="18"/>
          <w:lang w:val="nl-NL"/>
        </w:rPr>
        <w:t xml:space="preserve"> en de uiterste transitiedatum omgezet</w:t>
      </w:r>
      <w:r w:rsidR="0083559E">
        <w:rPr>
          <w:szCs w:val="18"/>
          <w:lang w:val="nl-NL"/>
        </w:rPr>
        <w:t xml:space="preserve"> zijn</w:t>
      </w:r>
      <w:r w:rsidRPr="003A2EDF">
        <w:rPr>
          <w:szCs w:val="18"/>
          <w:lang w:val="nl-NL"/>
        </w:rPr>
        <w:t xml:space="preserve"> naar het nieuwe stelsel.</w:t>
      </w:r>
      <w:r w:rsidRPr="003A2EDF" w:rsidR="0083559E">
        <w:rPr>
          <w:szCs w:val="18"/>
          <w:lang w:val="nl-NL"/>
        </w:rPr>
        <w:t xml:space="preserve"> </w:t>
      </w:r>
      <w:r w:rsidRPr="003A2EDF">
        <w:rPr>
          <w:szCs w:val="18"/>
          <w:lang w:val="nl-NL"/>
        </w:rPr>
        <w:t xml:space="preserve">Dat leidt ertoe dat pensioenfondsen zich momenteel in verschillende fases van de transitie bevinden. </w:t>
      </w:r>
      <w:r w:rsidRPr="003A2EDF" w:rsidR="00955EA6">
        <w:rPr>
          <w:szCs w:val="18"/>
          <w:lang w:val="nl-NL"/>
        </w:rPr>
        <w:t>De eerste</w:t>
      </w:r>
      <w:r w:rsidRPr="003A2EDF">
        <w:rPr>
          <w:szCs w:val="18"/>
          <w:lang w:val="nl-NL"/>
        </w:rPr>
        <w:t xml:space="preserve"> </w:t>
      </w:r>
      <w:r w:rsidR="001F45B4">
        <w:rPr>
          <w:szCs w:val="18"/>
          <w:lang w:val="nl-NL"/>
        </w:rPr>
        <w:t>vier pensioen</w:t>
      </w:r>
      <w:r w:rsidRPr="003A2EDF" w:rsidR="00955EA6">
        <w:rPr>
          <w:szCs w:val="18"/>
          <w:lang w:val="nl-NL"/>
        </w:rPr>
        <w:t>fondsen</w:t>
      </w:r>
      <w:r w:rsidR="001F45B4">
        <w:rPr>
          <w:szCs w:val="18"/>
          <w:lang w:val="nl-NL"/>
        </w:rPr>
        <w:t>/</w:t>
      </w:r>
      <w:r w:rsidR="005B4407">
        <w:rPr>
          <w:szCs w:val="18"/>
          <w:lang w:val="nl-NL"/>
        </w:rPr>
        <w:t>-</w:t>
      </w:r>
      <w:r w:rsidR="001F45B4">
        <w:rPr>
          <w:szCs w:val="18"/>
          <w:lang w:val="nl-NL"/>
        </w:rPr>
        <w:t>kringen</w:t>
      </w:r>
      <w:r w:rsidRPr="003A2EDF" w:rsidR="00955EA6">
        <w:rPr>
          <w:szCs w:val="18"/>
          <w:lang w:val="nl-NL"/>
        </w:rPr>
        <w:t xml:space="preserve"> </w:t>
      </w:r>
      <w:r w:rsidRPr="003A2EDF">
        <w:rPr>
          <w:szCs w:val="18"/>
          <w:lang w:val="nl-NL"/>
        </w:rPr>
        <w:t xml:space="preserve">die </w:t>
      </w:r>
      <w:r w:rsidR="001F45B4">
        <w:rPr>
          <w:szCs w:val="18"/>
          <w:lang w:val="nl-NL"/>
        </w:rPr>
        <w:t xml:space="preserve">in de eerste helft van 2025 </w:t>
      </w:r>
      <w:r w:rsidRPr="003A2EDF">
        <w:rPr>
          <w:szCs w:val="18"/>
          <w:lang w:val="nl-NL"/>
        </w:rPr>
        <w:t>zijn ingevaren</w:t>
      </w:r>
      <w:r w:rsidR="001D646A">
        <w:rPr>
          <w:szCs w:val="18"/>
          <w:lang w:val="nl-NL"/>
        </w:rPr>
        <w:t>,</w:t>
      </w:r>
      <w:r w:rsidRPr="003A2EDF">
        <w:rPr>
          <w:szCs w:val="18"/>
          <w:lang w:val="nl-NL"/>
        </w:rPr>
        <w:t xml:space="preserve"> </w:t>
      </w:r>
      <w:r w:rsidRPr="003A2EDF" w:rsidR="00955EA6">
        <w:rPr>
          <w:szCs w:val="18"/>
          <w:lang w:val="nl-NL"/>
        </w:rPr>
        <w:t xml:space="preserve">opereren </w:t>
      </w:r>
      <w:r w:rsidRPr="003A2EDF">
        <w:rPr>
          <w:szCs w:val="18"/>
          <w:lang w:val="nl-NL"/>
        </w:rPr>
        <w:t xml:space="preserve">inmiddels </w:t>
      </w:r>
      <w:r w:rsidRPr="003A2EDF" w:rsidR="00955EA6">
        <w:rPr>
          <w:szCs w:val="18"/>
          <w:lang w:val="nl-NL"/>
        </w:rPr>
        <w:t>anderhalf jaar in het nieuwe stelsel</w:t>
      </w:r>
      <w:r w:rsidR="001D646A">
        <w:rPr>
          <w:szCs w:val="18"/>
          <w:lang w:val="nl-NL"/>
        </w:rPr>
        <w:t>. Zij</w:t>
      </w:r>
      <w:r w:rsidRPr="003A2EDF" w:rsidR="00955EA6">
        <w:rPr>
          <w:szCs w:val="18"/>
          <w:lang w:val="nl-NL"/>
        </w:rPr>
        <w:t xml:space="preserve"> doen </w:t>
      </w:r>
      <w:r w:rsidR="001D646A">
        <w:rPr>
          <w:szCs w:val="18"/>
          <w:lang w:val="nl-NL"/>
        </w:rPr>
        <w:t>nu</w:t>
      </w:r>
      <w:r w:rsidRPr="003A2EDF" w:rsidR="00955EA6">
        <w:rPr>
          <w:szCs w:val="18"/>
          <w:lang w:val="nl-NL"/>
        </w:rPr>
        <w:t xml:space="preserve"> ervaring op </w:t>
      </w:r>
      <w:r w:rsidRPr="003A2EDF">
        <w:rPr>
          <w:szCs w:val="18"/>
          <w:lang w:val="nl-NL"/>
        </w:rPr>
        <w:t xml:space="preserve">met de </w:t>
      </w:r>
      <w:r w:rsidRPr="003A2EDF" w:rsidR="00955EA6">
        <w:rPr>
          <w:szCs w:val="18"/>
          <w:lang w:val="nl-NL"/>
        </w:rPr>
        <w:t xml:space="preserve">premieregeling, </w:t>
      </w:r>
      <w:r w:rsidR="0083559E">
        <w:rPr>
          <w:szCs w:val="18"/>
          <w:lang w:val="nl-NL"/>
        </w:rPr>
        <w:t xml:space="preserve">onder andere </w:t>
      </w:r>
      <w:r w:rsidRPr="003A2EDF" w:rsidR="00955EA6">
        <w:rPr>
          <w:szCs w:val="18"/>
          <w:lang w:val="nl-NL"/>
        </w:rPr>
        <w:t>op het gebied van communiceren met de deelnemer in het nieuwe stelsel</w:t>
      </w:r>
      <w:r w:rsidRPr="003A2EDF">
        <w:rPr>
          <w:szCs w:val="18"/>
          <w:lang w:val="nl-NL"/>
        </w:rPr>
        <w:t xml:space="preserve">. Daarnaast hebben </w:t>
      </w:r>
      <w:r w:rsidR="002325E6">
        <w:rPr>
          <w:szCs w:val="18"/>
          <w:lang w:val="nl-NL"/>
        </w:rPr>
        <w:t>30</w:t>
      </w:r>
      <w:r w:rsidR="001F45B4">
        <w:rPr>
          <w:szCs w:val="18"/>
          <w:lang w:val="nl-NL"/>
        </w:rPr>
        <w:t xml:space="preserve"> pensioen</w:t>
      </w:r>
      <w:r w:rsidRPr="003A2EDF" w:rsidR="00955EA6">
        <w:rPr>
          <w:szCs w:val="18"/>
          <w:lang w:val="nl-NL"/>
        </w:rPr>
        <w:t xml:space="preserve">fondsen </w:t>
      </w:r>
      <w:r w:rsidRPr="003A2EDF">
        <w:rPr>
          <w:szCs w:val="18"/>
          <w:lang w:val="nl-NL"/>
        </w:rPr>
        <w:t xml:space="preserve">het </w:t>
      </w:r>
      <w:r w:rsidRPr="003A2EDF" w:rsidR="00955EA6">
        <w:rPr>
          <w:szCs w:val="18"/>
          <w:lang w:val="nl-NL"/>
        </w:rPr>
        <w:t>afgelopen jaar de overstap gemaakt</w:t>
      </w:r>
      <w:r w:rsidRPr="003A2EDF">
        <w:rPr>
          <w:szCs w:val="18"/>
          <w:lang w:val="nl-NL"/>
        </w:rPr>
        <w:t xml:space="preserve">. De deelnemers </w:t>
      </w:r>
      <w:r w:rsidR="001D646A">
        <w:rPr>
          <w:szCs w:val="18"/>
          <w:lang w:val="nl-NL"/>
        </w:rPr>
        <w:t xml:space="preserve">van deze </w:t>
      </w:r>
      <w:r w:rsidR="005749AF">
        <w:rPr>
          <w:szCs w:val="18"/>
          <w:lang w:val="nl-NL"/>
        </w:rPr>
        <w:t>pensioen</w:t>
      </w:r>
      <w:r w:rsidR="001D646A">
        <w:rPr>
          <w:szCs w:val="18"/>
          <w:lang w:val="nl-NL"/>
        </w:rPr>
        <w:t>fondsen</w:t>
      </w:r>
      <w:r w:rsidR="005749AF">
        <w:rPr>
          <w:szCs w:val="18"/>
          <w:lang w:val="nl-NL"/>
        </w:rPr>
        <w:t>/</w:t>
      </w:r>
      <w:r w:rsidR="005B4407">
        <w:rPr>
          <w:szCs w:val="18"/>
          <w:lang w:val="nl-NL"/>
        </w:rPr>
        <w:t>-</w:t>
      </w:r>
      <w:r w:rsidR="005749AF">
        <w:rPr>
          <w:szCs w:val="18"/>
          <w:lang w:val="nl-NL"/>
        </w:rPr>
        <w:t>kringen</w:t>
      </w:r>
      <w:r w:rsidR="001D646A">
        <w:rPr>
          <w:szCs w:val="18"/>
          <w:lang w:val="nl-NL"/>
        </w:rPr>
        <w:t xml:space="preserve"> </w:t>
      </w:r>
      <w:r w:rsidRPr="003A2EDF">
        <w:rPr>
          <w:szCs w:val="18"/>
          <w:lang w:val="nl-NL"/>
        </w:rPr>
        <w:t>hebben</w:t>
      </w:r>
      <w:r w:rsidR="00F47D51">
        <w:rPr>
          <w:szCs w:val="18"/>
          <w:lang w:val="nl-NL"/>
        </w:rPr>
        <w:t xml:space="preserve"> recent</w:t>
      </w:r>
      <w:r w:rsidRPr="003A2EDF">
        <w:rPr>
          <w:szCs w:val="18"/>
          <w:lang w:val="nl-NL"/>
        </w:rPr>
        <w:t xml:space="preserve"> of ontvangen binnenkort de </w:t>
      </w:r>
      <w:r w:rsidR="001D646A">
        <w:rPr>
          <w:szCs w:val="18"/>
          <w:lang w:val="nl-NL"/>
        </w:rPr>
        <w:t xml:space="preserve">definitieve </w:t>
      </w:r>
      <w:r w:rsidRPr="003A2EDF" w:rsidR="00955EA6">
        <w:rPr>
          <w:szCs w:val="18"/>
          <w:lang w:val="nl-NL"/>
        </w:rPr>
        <w:t>transitie-informatie</w:t>
      </w:r>
      <w:r w:rsidRPr="003A2EDF">
        <w:rPr>
          <w:szCs w:val="18"/>
          <w:lang w:val="nl-NL"/>
        </w:rPr>
        <w:t>. En de</w:t>
      </w:r>
      <w:r w:rsidR="005749AF">
        <w:rPr>
          <w:szCs w:val="18"/>
          <w:lang w:val="nl-NL"/>
        </w:rPr>
        <w:t>ze</w:t>
      </w:r>
      <w:r w:rsidRPr="003A2EDF">
        <w:rPr>
          <w:szCs w:val="18"/>
          <w:lang w:val="nl-NL"/>
        </w:rPr>
        <w:t xml:space="preserve"> pensioenfondsen</w:t>
      </w:r>
      <w:r w:rsidR="001F45B4">
        <w:rPr>
          <w:szCs w:val="18"/>
          <w:lang w:val="nl-NL"/>
        </w:rPr>
        <w:t>/</w:t>
      </w:r>
      <w:r w:rsidR="005B4407">
        <w:rPr>
          <w:szCs w:val="18"/>
          <w:lang w:val="nl-NL"/>
        </w:rPr>
        <w:t>-</w:t>
      </w:r>
      <w:r w:rsidR="005749AF">
        <w:rPr>
          <w:szCs w:val="18"/>
          <w:lang w:val="nl-NL"/>
        </w:rPr>
        <w:t>kringen</w:t>
      </w:r>
      <w:r w:rsidRPr="003A2EDF">
        <w:rPr>
          <w:szCs w:val="18"/>
          <w:lang w:val="nl-NL"/>
        </w:rPr>
        <w:t xml:space="preserve"> zijn bezig met het verzorgen van de </w:t>
      </w:r>
      <w:r w:rsidRPr="005749AF" w:rsidR="00955EA6">
        <w:rPr>
          <w:szCs w:val="18"/>
          <w:lang w:val="nl-NL"/>
        </w:rPr>
        <w:t>nazorg.</w:t>
      </w:r>
      <w:r w:rsidRPr="003A2EDF" w:rsidR="00955EA6">
        <w:rPr>
          <w:szCs w:val="18"/>
          <w:lang w:val="nl-NL"/>
        </w:rPr>
        <w:t xml:space="preserve"> Op</w:t>
      </w:r>
      <w:r w:rsidR="004215D2">
        <w:rPr>
          <w:szCs w:val="18"/>
          <w:lang w:val="nl-NL"/>
        </w:rPr>
        <w:t xml:space="preserve"> </w:t>
      </w:r>
      <w:r w:rsidRPr="003A2EDF" w:rsidR="00955EA6">
        <w:rPr>
          <w:szCs w:val="18"/>
          <w:lang w:val="nl-NL"/>
        </w:rPr>
        <w:t xml:space="preserve">1 juli zijn er nog eens </w:t>
      </w:r>
      <w:r w:rsidR="002325E6">
        <w:rPr>
          <w:szCs w:val="18"/>
          <w:lang w:val="nl-NL"/>
        </w:rPr>
        <w:t>acht</w:t>
      </w:r>
      <w:r w:rsidRPr="003A2EDF" w:rsidR="001F45B4">
        <w:rPr>
          <w:szCs w:val="18"/>
          <w:lang w:val="nl-NL"/>
        </w:rPr>
        <w:t xml:space="preserve"> </w:t>
      </w:r>
      <w:r w:rsidR="001F45B4">
        <w:rPr>
          <w:szCs w:val="18"/>
          <w:lang w:val="nl-NL"/>
        </w:rPr>
        <w:t>pensioen</w:t>
      </w:r>
      <w:r w:rsidRPr="003A2EDF" w:rsidR="00955EA6">
        <w:rPr>
          <w:szCs w:val="18"/>
          <w:lang w:val="nl-NL"/>
        </w:rPr>
        <w:t>fondsen</w:t>
      </w:r>
      <w:r w:rsidR="001F45B4">
        <w:rPr>
          <w:szCs w:val="18"/>
          <w:lang w:val="nl-NL"/>
        </w:rPr>
        <w:t>/</w:t>
      </w:r>
      <w:r w:rsidR="00DC3025">
        <w:rPr>
          <w:szCs w:val="18"/>
          <w:lang w:val="nl-NL"/>
        </w:rPr>
        <w:t xml:space="preserve">      </w:t>
      </w:r>
      <w:r w:rsidR="005B4407">
        <w:rPr>
          <w:szCs w:val="18"/>
          <w:lang w:val="nl-NL"/>
        </w:rPr>
        <w:t>-</w:t>
      </w:r>
      <w:r w:rsidR="001F45B4">
        <w:rPr>
          <w:szCs w:val="18"/>
          <w:lang w:val="nl-NL"/>
        </w:rPr>
        <w:t>kringen</w:t>
      </w:r>
      <w:r w:rsidRPr="003A2EDF" w:rsidR="00955EA6">
        <w:rPr>
          <w:szCs w:val="18"/>
          <w:lang w:val="nl-NL"/>
        </w:rPr>
        <w:t xml:space="preserve"> overgestapt</w:t>
      </w:r>
      <w:r w:rsidRPr="003A2EDF">
        <w:rPr>
          <w:szCs w:val="18"/>
          <w:lang w:val="nl-NL"/>
        </w:rPr>
        <w:t xml:space="preserve">. </w:t>
      </w:r>
      <w:r w:rsidR="00050B31">
        <w:rPr>
          <w:szCs w:val="18"/>
          <w:lang w:val="nl-NL"/>
        </w:rPr>
        <w:t xml:space="preserve">Daarmee </w:t>
      </w:r>
      <w:r w:rsidR="007A6BB2">
        <w:rPr>
          <w:szCs w:val="18"/>
          <w:lang w:val="nl-NL"/>
        </w:rPr>
        <w:t xml:space="preserve">hebben </w:t>
      </w:r>
      <w:r w:rsidR="00050B31">
        <w:rPr>
          <w:szCs w:val="18"/>
          <w:lang w:val="nl-NL"/>
        </w:rPr>
        <w:t xml:space="preserve">op 1 juli </w:t>
      </w:r>
      <w:r w:rsidRPr="00050B31" w:rsidR="00050B31">
        <w:rPr>
          <w:szCs w:val="18"/>
          <w:lang w:val="nl-NL"/>
        </w:rPr>
        <w:t xml:space="preserve">in totaal </w:t>
      </w:r>
      <w:r w:rsidR="007A6BB2">
        <w:rPr>
          <w:szCs w:val="18"/>
          <w:lang w:val="nl-NL"/>
        </w:rPr>
        <w:t xml:space="preserve">ruim 10 </w:t>
      </w:r>
      <w:r w:rsidRPr="00050B31" w:rsidR="00050B31">
        <w:rPr>
          <w:szCs w:val="18"/>
          <w:lang w:val="nl-NL"/>
        </w:rPr>
        <w:t xml:space="preserve">miljoen </w:t>
      </w:r>
      <w:r w:rsidRPr="009E6C03" w:rsidR="009E6C03">
        <w:rPr>
          <w:szCs w:val="18"/>
          <w:lang w:val="nl-NL"/>
        </w:rPr>
        <w:t>actieve deelnemers, gewezen deelnemers en pensioengerechtigden</w:t>
      </w:r>
      <w:r w:rsidR="009E6C03">
        <w:rPr>
          <w:szCs w:val="18"/>
          <w:lang w:val="nl-NL"/>
        </w:rPr>
        <w:t xml:space="preserve"> (hierna: </w:t>
      </w:r>
      <w:proofErr w:type="gramStart"/>
      <w:r w:rsidR="009E6C03">
        <w:rPr>
          <w:szCs w:val="18"/>
          <w:lang w:val="nl-NL"/>
        </w:rPr>
        <w:t>deelnemers</w:t>
      </w:r>
      <w:r w:rsidRPr="009E6C03" w:rsidR="009E6C03">
        <w:rPr>
          <w:szCs w:val="18"/>
          <w:lang w:val="nl-NL"/>
        </w:rPr>
        <w:t xml:space="preserve">) </w:t>
      </w:r>
      <w:r w:rsidRPr="00050B31" w:rsidR="00050B31">
        <w:rPr>
          <w:szCs w:val="18"/>
          <w:lang w:val="nl-NL"/>
        </w:rPr>
        <w:t xml:space="preserve"> die</w:t>
      </w:r>
      <w:proofErr w:type="gramEnd"/>
      <w:r w:rsidRPr="00050B31" w:rsidR="00050B31">
        <w:rPr>
          <w:szCs w:val="18"/>
          <w:lang w:val="nl-NL"/>
        </w:rPr>
        <w:t xml:space="preserve"> de overstap gemaakt</w:t>
      </w:r>
      <w:r w:rsidR="009E6C03">
        <w:rPr>
          <w:szCs w:val="18"/>
          <w:lang w:val="nl-NL"/>
        </w:rPr>
        <w:t>.</w:t>
      </w:r>
      <w:r w:rsidR="009E6C03">
        <w:rPr>
          <w:rStyle w:val="Voetnootmarkering"/>
          <w:szCs w:val="18"/>
          <w:lang w:val="nl-NL"/>
        </w:rPr>
        <w:footnoteReference w:id="7"/>
      </w:r>
      <w:r w:rsidR="004C7EB4">
        <w:rPr>
          <w:szCs w:val="18"/>
          <w:vertAlign w:val="superscript"/>
          <w:lang w:val="nl-NL"/>
        </w:rPr>
        <w:t>,</w:t>
      </w:r>
      <w:r w:rsidR="004C7EB4">
        <w:rPr>
          <w:rStyle w:val="Voetnootmarkering"/>
          <w:szCs w:val="18"/>
          <w:lang w:val="nl-NL"/>
        </w:rPr>
        <w:footnoteReference w:id="8"/>
      </w:r>
      <w:r w:rsidR="009E6C03">
        <w:rPr>
          <w:szCs w:val="18"/>
          <w:lang w:val="nl-NL"/>
        </w:rPr>
        <w:t xml:space="preserve"> Dat is </w:t>
      </w:r>
      <w:r w:rsidR="007A6BB2">
        <w:rPr>
          <w:szCs w:val="18"/>
          <w:lang w:val="nl-NL"/>
        </w:rPr>
        <w:t>55%</w:t>
      </w:r>
      <w:r w:rsidRPr="00050B31" w:rsidR="00050B31">
        <w:rPr>
          <w:szCs w:val="18"/>
          <w:lang w:val="nl-NL"/>
        </w:rPr>
        <w:t xml:space="preserve"> van het totaal aantal</w:t>
      </w:r>
      <w:r w:rsidR="009E6C03">
        <w:rPr>
          <w:szCs w:val="18"/>
          <w:lang w:val="nl-NL"/>
        </w:rPr>
        <w:t xml:space="preserve"> deelnemers van pensioenfondsen.</w:t>
      </w:r>
    </w:p>
    <w:p w:rsidRPr="003A2EDF" w:rsidR="00F826D6" w:rsidP="00BE02B0" w:rsidRDefault="00F826D6" w14:paraId="02805EAC" w14:textId="77777777">
      <w:pPr>
        <w:pStyle w:val="Geenafstand"/>
        <w:spacing w:line="240" w:lineRule="atLeast"/>
        <w:rPr>
          <w:szCs w:val="18"/>
          <w:lang w:val="nl-NL"/>
        </w:rPr>
      </w:pPr>
    </w:p>
    <w:p w:rsidR="00220C86" w:rsidP="00BE02B0" w:rsidRDefault="00955EA6" w14:paraId="5D7F8B22" w14:textId="10717EED">
      <w:pPr>
        <w:pStyle w:val="Geenafstand"/>
        <w:spacing w:line="240" w:lineRule="atLeast"/>
        <w:rPr>
          <w:lang w:val="nl-NL"/>
        </w:rPr>
      </w:pPr>
      <w:r w:rsidRPr="003A2EDF">
        <w:rPr>
          <w:szCs w:val="18"/>
          <w:lang w:val="nl-NL"/>
        </w:rPr>
        <w:t xml:space="preserve">De overige </w:t>
      </w:r>
      <w:r w:rsidR="001F45B4">
        <w:rPr>
          <w:szCs w:val="18"/>
          <w:lang w:val="nl-NL"/>
        </w:rPr>
        <w:t>pensioen</w:t>
      </w:r>
      <w:r w:rsidRPr="003A2EDF">
        <w:rPr>
          <w:szCs w:val="18"/>
          <w:lang w:val="nl-NL"/>
        </w:rPr>
        <w:t>fondsen</w:t>
      </w:r>
      <w:r w:rsidR="001F45B4">
        <w:rPr>
          <w:szCs w:val="18"/>
          <w:lang w:val="nl-NL"/>
        </w:rPr>
        <w:t>/</w:t>
      </w:r>
      <w:r w:rsidR="005B4407">
        <w:rPr>
          <w:szCs w:val="18"/>
          <w:lang w:val="nl-NL"/>
        </w:rPr>
        <w:t>-</w:t>
      </w:r>
      <w:r w:rsidR="001F45B4">
        <w:rPr>
          <w:szCs w:val="18"/>
          <w:lang w:val="nl-NL"/>
        </w:rPr>
        <w:t>kringen</w:t>
      </w:r>
      <w:r w:rsidRPr="003A2EDF">
        <w:rPr>
          <w:szCs w:val="18"/>
          <w:lang w:val="nl-NL"/>
        </w:rPr>
        <w:t xml:space="preserve"> (</w:t>
      </w:r>
      <w:r w:rsidRPr="009B7A9A" w:rsidR="002325E6">
        <w:rPr>
          <w:szCs w:val="18"/>
          <w:lang w:val="nl-NL"/>
        </w:rPr>
        <w:t>98</w:t>
      </w:r>
      <w:r w:rsidRPr="003A2EDF">
        <w:rPr>
          <w:szCs w:val="18"/>
          <w:lang w:val="nl-NL"/>
        </w:rPr>
        <w:t xml:space="preserve">) treffen </w:t>
      </w:r>
      <w:r w:rsidR="005749AF">
        <w:rPr>
          <w:szCs w:val="18"/>
          <w:lang w:val="nl-NL"/>
        </w:rPr>
        <w:t xml:space="preserve">momenteel </w:t>
      </w:r>
      <w:r w:rsidRPr="003A2EDF">
        <w:rPr>
          <w:szCs w:val="18"/>
          <w:lang w:val="nl-NL"/>
        </w:rPr>
        <w:t xml:space="preserve">voorbereidingen voor een overgang in de komende </w:t>
      </w:r>
      <w:r w:rsidR="00CC1A57">
        <w:rPr>
          <w:szCs w:val="18"/>
          <w:lang w:val="nl-NL"/>
        </w:rPr>
        <w:t>anderhalf</w:t>
      </w:r>
      <w:r w:rsidRPr="003A2EDF">
        <w:rPr>
          <w:szCs w:val="18"/>
          <w:lang w:val="nl-NL"/>
        </w:rPr>
        <w:t xml:space="preserve"> jaar.</w:t>
      </w:r>
      <w:r w:rsidRPr="003A2EDF" w:rsidR="00F826D6">
        <w:rPr>
          <w:szCs w:val="18"/>
          <w:lang w:val="nl-NL"/>
        </w:rPr>
        <w:t xml:space="preserve"> </w:t>
      </w:r>
      <w:r w:rsidR="00EC7E62">
        <w:rPr>
          <w:szCs w:val="18"/>
          <w:lang w:val="nl-NL"/>
        </w:rPr>
        <w:t xml:space="preserve">De meeste pensioenfondsen/-kringen hebben </w:t>
      </w:r>
      <w:r w:rsidRPr="003A2EDF" w:rsidR="00E67537">
        <w:rPr>
          <w:szCs w:val="18"/>
          <w:lang w:val="nl-NL"/>
        </w:rPr>
        <w:t xml:space="preserve">de transitiedatum al vastgelegd en </w:t>
      </w:r>
      <w:proofErr w:type="gramStart"/>
      <w:r w:rsidR="00EC7E62">
        <w:rPr>
          <w:szCs w:val="18"/>
          <w:lang w:val="nl-NL"/>
        </w:rPr>
        <w:t>circa</w:t>
      </w:r>
      <w:proofErr w:type="gramEnd"/>
      <w:r w:rsidR="00EC7E62">
        <w:rPr>
          <w:szCs w:val="18"/>
          <w:lang w:val="nl-NL"/>
        </w:rPr>
        <w:t xml:space="preserve"> de helft heeft</w:t>
      </w:r>
      <w:r w:rsidRPr="003A2EDF" w:rsidR="00E67537">
        <w:rPr>
          <w:szCs w:val="18"/>
          <w:lang w:val="nl-NL"/>
        </w:rPr>
        <w:t xml:space="preserve"> het implementatieplan </w:t>
      </w:r>
      <w:r w:rsidR="00EC7E62">
        <w:rPr>
          <w:szCs w:val="18"/>
          <w:lang w:val="nl-NL"/>
        </w:rPr>
        <w:t xml:space="preserve">reeds </w:t>
      </w:r>
      <w:r w:rsidRPr="003A2EDF" w:rsidR="00E67537">
        <w:rPr>
          <w:szCs w:val="18"/>
          <w:lang w:val="nl-NL"/>
        </w:rPr>
        <w:t>ingediend. Een ander deel moet deze keuzes nog maken en zal de komende tijd dan ook knopen moeten doorhakken, zodat zij tijdig (12</w:t>
      </w:r>
      <w:r w:rsidR="00331A5E">
        <w:rPr>
          <w:szCs w:val="18"/>
          <w:lang w:val="nl-NL"/>
        </w:rPr>
        <w:t xml:space="preserve"> maanden voor invaren</w:t>
      </w:r>
      <w:r w:rsidRPr="003A2EDF" w:rsidR="00E67537">
        <w:rPr>
          <w:szCs w:val="18"/>
          <w:lang w:val="nl-NL"/>
        </w:rPr>
        <w:t>) een melding bij DNB kunnen doen</w:t>
      </w:r>
      <w:r w:rsidR="0083559E">
        <w:rPr>
          <w:szCs w:val="18"/>
          <w:lang w:val="nl-NL"/>
        </w:rPr>
        <w:t xml:space="preserve"> en de transitie tijdig kan worden gerealiseerd. </w:t>
      </w:r>
      <w:bookmarkStart w:name="_Hlk233030672" w:id="6"/>
      <w:r w:rsidR="0083559E">
        <w:rPr>
          <w:szCs w:val="18"/>
          <w:lang w:val="nl-NL"/>
        </w:rPr>
        <w:t xml:space="preserve">Met name voor pensioenfondsen die te maken hebben met bijzondere omstandigheden, bijvoorbeeld </w:t>
      </w:r>
      <w:r w:rsidR="005749AF">
        <w:rPr>
          <w:szCs w:val="18"/>
          <w:lang w:val="nl-NL"/>
        </w:rPr>
        <w:t xml:space="preserve">met een </w:t>
      </w:r>
      <w:r w:rsidR="00220C86">
        <w:rPr>
          <w:szCs w:val="18"/>
          <w:lang w:val="nl-NL"/>
        </w:rPr>
        <w:t>p</w:t>
      </w:r>
      <w:r w:rsidR="005749AF">
        <w:rPr>
          <w:szCs w:val="18"/>
          <w:lang w:val="nl-NL"/>
        </w:rPr>
        <w:t>ensioenuitvoeringsorganisatie (P</w:t>
      </w:r>
      <w:r w:rsidR="0083559E">
        <w:rPr>
          <w:szCs w:val="18"/>
          <w:lang w:val="nl-NL"/>
        </w:rPr>
        <w:t>UO</w:t>
      </w:r>
      <w:r w:rsidR="005749AF">
        <w:rPr>
          <w:szCs w:val="18"/>
          <w:lang w:val="nl-NL"/>
        </w:rPr>
        <w:t>)</w:t>
      </w:r>
      <w:r w:rsidR="0083559E">
        <w:rPr>
          <w:szCs w:val="18"/>
          <w:lang w:val="nl-NL"/>
        </w:rPr>
        <w:t xml:space="preserve"> </w:t>
      </w:r>
      <w:r w:rsidR="005749AF">
        <w:rPr>
          <w:szCs w:val="18"/>
          <w:lang w:val="nl-NL"/>
        </w:rPr>
        <w:t xml:space="preserve">die </w:t>
      </w:r>
      <w:r w:rsidR="0083559E">
        <w:rPr>
          <w:szCs w:val="18"/>
          <w:lang w:val="nl-NL"/>
        </w:rPr>
        <w:t xml:space="preserve">heeft aangegeven de </w:t>
      </w:r>
      <w:r w:rsidR="005749AF">
        <w:rPr>
          <w:szCs w:val="18"/>
          <w:lang w:val="nl-NL"/>
        </w:rPr>
        <w:t xml:space="preserve">nieuwe </w:t>
      </w:r>
      <w:r w:rsidR="0083559E">
        <w:rPr>
          <w:szCs w:val="18"/>
          <w:lang w:val="nl-NL"/>
        </w:rPr>
        <w:t>regeling niet meer uit te voeren</w:t>
      </w:r>
      <w:r w:rsidR="003A1E13">
        <w:rPr>
          <w:szCs w:val="18"/>
          <w:lang w:val="nl-NL"/>
        </w:rPr>
        <w:t xml:space="preserve">, </w:t>
      </w:r>
      <w:r w:rsidR="008659F9">
        <w:rPr>
          <w:szCs w:val="18"/>
          <w:lang w:val="nl-NL"/>
        </w:rPr>
        <w:t>zullen rekening moeten houden</w:t>
      </w:r>
      <w:r w:rsidR="001D646A">
        <w:rPr>
          <w:szCs w:val="18"/>
          <w:lang w:val="nl-NL"/>
        </w:rPr>
        <w:t xml:space="preserve"> met de resterende tijd tot de uiterste transitiedatum</w:t>
      </w:r>
      <w:r w:rsidR="008659F9">
        <w:rPr>
          <w:szCs w:val="18"/>
          <w:lang w:val="nl-NL"/>
        </w:rPr>
        <w:t>.</w:t>
      </w:r>
      <w:r w:rsidR="0045085C">
        <w:rPr>
          <w:szCs w:val="18"/>
          <w:lang w:val="nl-NL"/>
        </w:rPr>
        <w:t xml:space="preserve"> Het betref</w:t>
      </w:r>
      <w:r w:rsidR="00112545">
        <w:rPr>
          <w:szCs w:val="18"/>
          <w:lang w:val="nl-NL"/>
        </w:rPr>
        <w:t>t</w:t>
      </w:r>
      <w:r w:rsidR="0045085C">
        <w:rPr>
          <w:szCs w:val="18"/>
          <w:lang w:val="nl-NL"/>
        </w:rPr>
        <w:t xml:space="preserve"> minder dan 10 pensioenfondsen</w:t>
      </w:r>
      <w:r w:rsidR="00652DDA">
        <w:rPr>
          <w:szCs w:val="18"/>
          <w:lang w:val="nl-NL"/>
        </w:rPr>
        <w:t xml:space="preserve">. Hoewel in deelnemersaantal relatief beperkt, zien ook </w:t>
      </w:r>
      <w:bookmarkEnd w:id="6"/>
      <w:r w:rsidR="00652DDA">
        <w:rPr>
          <w:lang w:val="nl-NL"/>
        </w:rPr>
        <w:t>d</w:t>
      </w:r>
      <w:r w:rsidR="00220C86">
        <w:rPr>
          <w:lang w:val="nl-NL"/>
        </w:rPr>
        <w:t xml:space="preserve">eze </w:t>
      </w:r>
      <w:r w:rsidR="00112545">
        <w:rPr>
          <w:lang w:val="nl-NL"/>
        </w:rPr>
        <w:t>pensioenfondsen zich</w:t>
      </w:r>
      <w:r w:rsidR="00220C86">
        <w:rPr>
          <w:lang w:val="nl-NL"/>
        </w:rPr>
        <w:t xml:space="preserve"> gesteld voor de opgave om in de komende periode daar op gepaste wijze op in te spelen. Met betrokken instanties zal ik dit nauwlettend volgen</w:t>
      </w:r>
      <w:r w:rsidR="00652DDA">
        <w:rPr>
          <w:lang w:val="nl-NL"/>
        </w:rPr>
        <w:t xml:space="preserve"> en betrekken in de weging voor tijdige maatregelen zodat álle deelnemers op beheerste wijze de stap naar het nieuwe stelsel kunnen zetten</w:t>
      </w:r>
      <w:r w:rsidR="00220C86">
        <w:rPr>
          <w:lang w:val="nl-NL"/>
        </w:rPr>
        <w:t>.</w:t>
      </w:r>
    </w:p>
    <w:bookmarkEnd w:id="4"/>
    <w:p w:rsidRPr="003A2EDF" w:rsidR="00955EA6" w:rsidP="00BE02B0" w:rsidRDefault="00955EA6" w14:paraId="24CE1903" w14:textId="77777777">
      <w:pPr>
        <w:pStyle w:val="Geenafstand"/>
        <w:spacing w:line="240" w:lineRule="atLeast"/>
        <w:ind w:left="1080"/>
        <w:rPr>
          <w:szCs w:val="18"/>
          <w:lang w:val="nl-NL"/>
        </w:rPr>
      </w:pPr>
    </w:p>
    <w:p w:rsidR="00157688" w:rsidP="00BE02B0" w:rsidRDefault="00157688" w14:paraId="360E1046" w14:textId="09ACFDAB">
      <w:pPr>
        <w:pStyle w:val="Geenafstand"/>
        <w:spacing w:line="240" w:lineRule="atLeast"/>
        <w:rPr>
          <w:b/>
          <w:bCs/>
          <w:szCs w:val="18"/>
          <w:lang w:val="nl-NL"/>
        </w:rPr>
      </w:pPr>
      <w:r>
        <w:rPr>
          <w:b/>
          <w:bCs/>
          <w:szCs w:val="18"/>
          <w:lang w:val="nl-NL"/>
        </w:rPr>
        <w:t>W</w:t>
      </w:r>
      <w:r w:rsidRPr="003A2EDF">
        <w:rPr>
          <w:b/>
          <w:bCs/>
          <w:szCs w:val="18"/>
          <w:lang w:val="nl-NL"/>
        </w:rPr>
        <w:t xml:space="preserve">erkgevers moeten </w:t>
      </w:r>
      <w:r>
        <w:rPr>
          <w:b/>
          <w:bCs/>
          <w:szCs w:val="18"/>
          <w:lang w:val="nl-NL"/>
        </w:rPr>
        <w:t>samen met hun adviseur</w:t>
      </w:r>
      <w:r w:rsidRPr="003A2EDF" w:rsidDel="00055B6B">
        <w:rPr>
          <w:b/>
          <w:bCs/>
          <w:szCs w:val="18"/>
          <w:lang w:val="nl-NL"/>
        </w:rPr>
        <w:t xml:space="preserve"> keuzes maken</w:t>
      </w:r>
      <w:r>
        <w:rPr>
          <w:b/>
          <w:bCs/>
          <w:szCs w:val="18"/>
          <w:lang w:val="nl-NL"/>
        </w:rPr>
        <w:t xml:space="preserve">, </w:t>
      </w:r>
      <w:proofErr w:type="spellStart"/>
      <w:r w:rsidR="001F45B4">
        <w:rPr>
          <w:b/>
          <w:bCs/>
          <w:szCs w:val="18"/>
          <w:lang w:val="nl-NL"/>
        </w:rPr>
        <w:t>PPI’s</w:t>
      </w:r>
      <w:proofErr w:type="spellEnd"/>
      <w:r w:rsidR="001F45B4">
        <w:rPr>
          <w:b/>
          <w:bCs/>
          <w:szCs w:val="18"/>
          <w:lang w:val="nl-NL"/>
        </w:rPr>
        <w:t xml:space="preserve"> en </w:t>
      </w:r>
      <w:r>
        <w:rPr>
          <w:b/>
          <w:bCs/>
          <w:szCs w:val="18"/>
          <w:lang w:val="nl-NL"/>
        </w:rPr>
        <w:t xml:space="preserve">verzekeraars kunnen hen daarbij ondersteunen, motiveren en </w:t>
      </w:r>
      <w:r w:rsidRPr="008E15CE">
        <w:rPr>
          <w:b/>
          <w:color w:val="000000" w:themeColor="text1"/>
          <w:lang w:val="nl-NL"/>
        </w:rPr>
        <w:t xml:space="preserve">activeren </w:t>
      </w:r>
    </w:p>
    <w:p w:rsidR="00652DDA" w:rsidP="00652DDA" w:rsidRDefault="00CC3C30" w14:paraId="49962E25" w14:textId="77777777">
      <w:pPr>
        <w:pStyle w:val="Geenafstand"/>
        <w:spacing w:line="240" w:lineRule="atLeast"/>
        <w:rPr>
          <w:szCs w:val="18"/>
          <w:lang w:val="nl-NL"/>
        </w:rPr>
      </w:pPr>
      <w:r>
        <w:rPr>
          <w:szCs w:val="18"/>
          <w:lang w:val="nl-NL"/>
        </w:rPr>
        <w:t xml:space="preserve">Betrokken partijen zijn, mede als gevolg van </w:t>
      </w:r>
      <w:r w:rsidR="00157688">
        <w:rPr>
          <w:szCs w:val="18"/>
          <w:lang w:val="nl-NL"/>
        </w:rPr>
        <w:t>eerdere oproepen</w:t>
      </w:r>
      <w:r>
        <w:rPr>
          <w:szCs w:val="18"/>
          <w:lang w:val="nl-NL"/>
        </w:rPr>
        <w:t>,</w:t>
      </w:r>
      <w:r w:rsidR="00157688">
        <w:rPr>
          <w:szCs w:val="18"/>
          <w:lang w:val="nl-NL"/>
        </w:rPr>
        <w:t xml:space="preserve"> snel aan de slag </w:t>
      </w:r>
      <w:r w:rsidR="005C1BAB">
        <w:rPr>
          <w:szCs w:val="18"/>
          <w:lang w:val="nl-NL"/>
        </w:rPr>
        <w:t>ge</w:t>
      </w:r>
      <w:r w:rsidR="00157688">
        <w:rPr>
          <w:szCs w:val="18"/>
          <w:lang w:val="nl-NL"/>
        </w:rPr>
        <w:t xml:space="preserve">gaan en </w:t>
      </w:r>
      <w:r>
        <w:rPr>
          <w:szCs w:val="18"/>
          <w:lang w:val="nl-NL"/>
        </w:rPr>
        <w:t xml:space="preserve">boeken </w:t>
      </w:r>
      <w:r w:rsidR="00157688">
        <w:rPr>
          <w:szCs w:val="18"/>
          <w:lang w:val="nl-NL"/>
        </w:rPr>
        <w:t>voor</w:t>
      </w:r>
      <w:r w:rsidR="005C1BAB">
        <w:rPr>
          <w:szCs w:val="18"/>
          <w:lang w:val="nl-NL"/>
        </w:rPr>
        <w:t>ui</w:t>
      </w:r>
      <w:r w:rsidR="00157688">
        <w:rPr>
          <w:szCs w:val="18"/>
          <w:lang w:val="nl-NL"/>
        </w:rPr>
        <w:t xml:space="preserve">tgang. </w:t>
      </w:r>
      <w:r w:rsidRPr="00534323" w:rsidR="00534323">
        <w:rPr>
          <w:szCs w:val="18"/>
          <w:lang w:val="nl-NL"/>
        </w:rPr>
        <w:t xml:space="preserve">Steeds meer werkgevers hebben </w:t>
      </w:r>
      <w:r w:rsidR="00690B47">
        <w:rPr>
          <w:szCs w:val="18"/>
          <w:lang w:val="nl-NL"/>
        </w:rPr>
        <w:t xml:space="preserve">een contract dat past binnen de kaders van de </w:t>
      </w:r>
      <w:proofErr w:type="spellStart"/>
      <w:r w:rsidR="00690B47">
        <w:rPr>
          <w:szCs w:val="18"/>
          <w:lang w:val="nl-NL"/>
        </w:rPr>
        <w:t>Wtp</w:t>
      </w:r>
      <w:proofErr w:type="spellEnd"/>
      <w:r w:rsidR="00690B47">
        <w:rPr>
          <w:szCs w:val="18"/>
          <w:lang w:val="nl-NL"/>
        </w:rPr>
        <w:t xml:space="preserve">. Om daaraan te voldoen hebben zij hun </w:t>
      </w:r>
      <w:r w:rsidRPr="00534323" w:rsidR="00534323">
        <w:rPr>
          <w:szCs w:val="18"/>
          <w:lang w:val="nl-NL"/>
        </w:rPr>
        <w:lastRenderedPageBreak/>
        <w:t>contract omgezet</w:t>
      </w:r>
      <w:r w:rsidR="00690B47">
        <w:rPr>
          <w:szCs w:val="18"/>
          <w:lang w:val="nl-NL"/>
        </w:rPr>
        <w:t>,</w:t>
      </w:r>
      <w:r w:rsidRPr="00534323" w:rsidR="00534323">
        <w:rPr>
          <w:szCs w:val="18"/>
          <w:lang w:val="nl-NL"/>
        </w:rPr>
        <w:t xml:space="preserve"> </w:t>
      </w:r>
      <w:r w:rsidR="00690B47">
        <w:rPr>
          <w:szCs w:val="18"/>
          <w:lang w:val="nl-NL"/>
        </w:rPr>
        <w:t xml:space="preserve">dat kan zowel bij de </w:t>
      </w:r>
      <w:r w:rsidRPr="00534323" w:rsidR="00534323">
        <w:rPr>
          <w:szCs w:val="18"/>
          <w:lang w:val="nl-NL"/>
        </w:rPr>
        <w:t xml:space="preserve">huidige </w:t>
      </w:r>
      <w:r w:rsidR="00690B47">
        <w:rPr>
          <w:szCs w:val="18"/>
          <w:lang w:val="nl-NL"/>
        </w:rPr>
        <w:t xml:space="preserve">als bij een nieuwe </w:t>
      </w:r>
      <w:r w:rsidR="00366124">
        <w:rPr>
          <w:szCs w:val="18"/>
          <w:lang w:val="nl-NL"/>
        </w:rPr>
        <w:t>pensioen</w:t>
      </w:r>
      <w:r w:rsidR="00690B47">
        <w:rPr>
          <w:szCs w:val="18"/>
          <w:lang w:val="nl-NL"/>
        </w:rPr>
        <w:t>uitvoerder.</w:t>
      </w:r>
      <w:r w:rsidR="00534323">
        <w:rPr>
          <w:rStyle w:val="Voetnootmarkering"/>
          <w:szCs w:val="18"/>
          <w:lang w:val="nl-NL"/>
        </w:rPr>
        <w:footnoteReference w:id="9"/>
      </w:r>
      <w:r w:rsidR="00690B47">
        <w:rPr>
          <w:szCs w:val="18"/>
          <w:lang w:val="nl-NL"/>
        </w:rPr>
        <w:t xml:space="preserve"> </w:t>
      </w:r>
      <w:r w:rsidRPr="00B6149E" w:rsidR="00652DDA">
        <w:rPr>
          <w:szCs w:val="18"/>
          <w:lang w:val="nl-NL"/>
        </w:rPr>
        <w:t>Tegelijkertijd</w:t>
      </w:r>
      <w:r w:rsidR="00652DDA">
        <w:rPr>
          <w:szCs w:val="18"/>
          <w:lang w:val="nl-NL"/>
        </w:rPr>
        <w:t xml:space="preserve"> moet er ook nog veel gebeuren en is het belangrijk om alle zeilen bij te zetten </w:t>
      </w:r>
      <w:r w:rsidRPr="00B6149E" w:rsidR="00652DDA">
        <w:rPr>
          <w:szCs w:val="18"/>
          <w:lang w:val="nl-NL"/>
        </w:rPr>
        <w:t xml:space="preserve">om </w:t>
      </w:r>
      <w:r w:rsidR="00652DDA">
        <w:rPr>
          <w:szCs w:val="18"/>
          <w:lang w:val="nl-NL"/>
        </w:rPr>
        <w:t>ervoor te zorgen</w:t>
      </w:r>
      <w:r w:rsidRPr="00B6149E" w:rsidR="00652DDA">
        <w:rPr>
          <w:szCs w:val="18"/>
          <w:lang w:val="nl-NL"/>
        </w:rPr>
        <w:t xml:space="preserve"> dat alle regelingen </w:t>
      </w:r>
      <w:r w:rsidR="00652DDA">
        <w:rPr>
          <w:szCs w:val="18"/>
          <w:lang w:val="nl-NL"/>
        </w:rPr>
        <w:t>op tijd</w:t>
      </w:r>
      <w:r w:rsidRPr="00B6149E" w:rsidR="00652DDA">
        <w:rPr>
          <w:szCs w:val="18"/>
          <w:lang w:val="nl-NL"/>
        </w:rPr>
        <w:t>, uiterlijk per 1 januari 2028, zijn omgezet.</w:t>
      </w:r>
    </w:p>
    <w:p w:rsidR="00157688" w:rsidP="00BE02B0" w:rsidRDefault="00157688" w14:paraId="2CC66EB2" w14:textId="77777777">
      <w:pPr>
        <w:pStyle w:val="Geenafstand"/>
        <w:spacing w:line="240" w:lineRule="atLeast"/>
        <w:rPr>
          <w:szCs w:val="18"/>
          <w:lang w:val="nl-NL"/>
        </w:rPr>
      </w:pPr>
    </w:p>
    <w:p w:rsidR="00157688" w:rsidP="00BE02B0" w:rsidRDefault="00157688" w14:paraId="539174C9" w14:textId="1BFC45CD">
      <w:pPr>
        <w:pStyle w:val="Geenafstand"/>
        <w:spacing w:line="240" w:lineRule="atLeast"/>
        <w:rPr>
          <w:szCs w:val="18"/>
          <w:lang w:val="nl-NL"/>
        </w:rPr>
      </w:pPr>
      <w:r>
        <w:rPr>
          <w:szCs w:val="18"/>
          <w:lang w:val="nl-NL"/>
        </w:rPr>
        <w:t xml:space="preserve">Het aantal regelingen uitgevoerd door verzekeraars en </w:t>
      </w:r>
      <w:proofErr w:type="spellStart"/>
      <w:r>
        <w:rPr>
          <w:szCs w:val="18"/>
          <w:lang w:val="nl-NL"/>
        </w:rPr>
        <w:t>PPI’s</w:t>
      </w:r>
      <w:proofErr w:type="spellEnd"/>
      <w:r>
        <w:rPr>
          <w:szCs w:val="18"/>
          <w:lang w:val="nl-NL"/>
        </w:rPr>
        <w:t xml:space="preserve"> dat is omgezet of waarvoor een nieuw contract is overeengekomen, neemt toe en kwam per 1 januari 2026 </w:t>
      </w:r>
      <w:r w:rsidR="00C25CD4">
        <w:rPr>
          <w:szCs w:val="18"/>
          <w:lang w:val="nl-NL"/>
        </w:rPr>
        <w:t xml:space="preserve">in totaal uit op </w:t>
      </w:r>
      <w:r w:rsidRPr="000D35E6" w:rsidR="00C25CD4">
        <w:rPr>
          <w:szCs w:val="18"/>
          <w:lang w:val="nl-NL"/>
        </w:rPr>
        <w:t>32%</w:t>
      </w:r>
      <w:r w:rsidR="00444FBC">
        <w:rPr>
          <w:szCs w:val="18"/>
          <w:lang w:val="nl-NL"/>
        </w:rPr>
        <w:t xml:space="preserve">. Uitgesplitst naar verzekeraars en </w:t>
      </w:r>
      <w:proofErr w:type="spellStart"/>
      <w:r w:rsidR="00444FBC">
        <w:rPr>
          <w:szCs w:val="18"/>
          <w:lang w:val="nl-NL"/>
        </w:rPr>
        <w:t>PPI’s</w:t>
      </w:r>
      <w:proofErr w:type="spellEnd"/>
      <w:r w:rsidR="00444FBC">
        <w:rPr>
          <w:szCs w:val="18"/>
          <w:lang w:val="nl-NL"/>
        </w:rPr>
        <w:t xml:space="preserve"> komt dat neer op </w:t>
      </w:r>
      <w:r w:rsidRPr="000D35E6">
        <w:rPr>
          <w:szCs w:val="18"/>
          <w:lang w:val="nl-NL"/>
        </w:rPr>
        <w:t>26%</w:t>
      </w:r>
      <w:r>
        <w:rPr>
          <w:szCs w:val="18"/>
          <w:lang w:val="nl-NL"/>
        </w:rPr>
        <w:t xml:space="preserve"> </w:t>
      </w:r>
      <w:r w:rsidR="00444FBC">
        <w:rPr>
          <w:szCs w:val="18"/>
          <w:lang w:val="nl-NL"/>
        </w:rPr>
        <w:t xml:space="preserve">respectievelijk </w:t>
      </w:r>
      <w:r w:rsidRPr="000D35E6">
        <w:rPr>
          <w:szCs w:val="18"/>
          <w:lang w:val="nl-NL"/>
        </w:rPr>
        <w:t>45%</w:t>
      </w:r>
      <w:r w:rsidR="00050FB3">
        <w:rPr>
          <w:szCs w:val="18"/>
          <w:lang w:val="nl-NL"/>
        </w:rPr>
        <w:t>.</w:t>
      </w:r>
      <w:r w:rsidRPr="00050FB3" w:rsidR="00050FB3">
        <w:rPr>
          <w:rStyle w:val="Voetnootmarkering"/>
          <w:szCs w:val="18"/>
          <w:lang w:val="nl-NL"/>
        </w:rPr>
        <w:footnoteReference w:id="10"/>
      </w:r>
      <w:r w:rsidRPr="000D35E6" w:rsidR="00050FB3">
        <w:rPr>
          <w:szCs w:val="18"/>
          <w:vertAlign w:val="superscript"/>
          <w:lang w:val="nl-NL"/>
        </w:rPr>
        <w:t>,</w:t>
      </w:r>
      <w:r>
        <w:rPr>
          <w:rStyle w:val="Voetnootmarkering"/>
          <w:szCs w:val="18"/>
          <w:lang w:val="nl-NL"/>
        </w:rPr>
        <w:footnoteReference w:id="11"/>
      </w:r>
      <w:r>
        <w:rPr>
          <w:szCs w:val="18"/>
          <w:lang w:val="nl-NL"/>
        </w:rPr>
        <w:t xml:space="preserve"> </w:t>
      </w:r>
      <w:bookmarkStart w:name="_Hlk233030807" w:id="7"/>
      <w:r>
        <w:rPr>
          <w:szCs w:val="18"/>
          <w:lang w:val="nl-NL"/>
        </w:rPr>
        <w:t xml:space="preserve">Dat betekent dat tot 1 januari 2028 nog zo’n </w:t>
      </w:r>
      <w:r w:rsidRPr="000D35E6">
        <w:rPr>
          <w:szCs w:val="18"/>
          <w:lang w:val="nl-NL"/>
        </w:rPr>
        <w:t>44.000</w:t>
      </w:r>
      <w:r>
        <w:rPr>
          <w:szCs w:val="18"/>
          <w:lang w:val="nl-NL"/>
        </w:rPr>
        <w:t xml:space="preserve"> contracten omgezet moeten worden om te voldoen aan de nieuwe pensioenregels. Daarnaast </w:t>
      </w:r>
      <w:r w:rsidR="0017663E">
        <w:rPr>
          <w:szCs w:val="18"/>
          <w:lang w:val="nl-NL"/>
        </w:rPr>
        <w:t xml:space="preserve">is te zien </w:t>
      </w:r>
      <w:r>
        <w:rPr>
          <w:szCs w:val="18"/>
          <w:lang w:val="nl-NL"/>
        </w:rPr>
        <w:t xml:space="preserve">dat verzekeraars en </w:t>
      </w:r>
      <w:proofErr w:type="spellStart"/>
      <w:r>
        <w:rPr>
          <w:szCs w:val="18"/>
          <w:lang w:val="nl-NL"/>
        </w:rPr>
        <w:t>PPI’s</w:t>
      </w:r>
      <w:proofErr w:type="spellEnd"/>
      <w:r>
        <w:rPr>
          <w:szCs w:val="18"/>
          <w:lang w:val="nl-NL"/>
        </w:rPr>
        <w:t xml:space="preserve"> hun processen op orde hebben en zij in staat zijn de benodigde opschaling te realiseren om de grotere hoeveelheden contracten te verwerken. Daarbij vervullen zij ook een belangrijke rol in het ondersteunen</w:t>
      </w:r>
      <w:r w:rsidR="0017663E">
        <w:rPr>
          <w:szCs w:val="18"/>
          <w:lang w:val="nl-NL"/>
        </w:rPr>
        <w:t>, motiveren en activeren</w:t>
      </w:r>
      <w:r>
        <w:rPr>
          <w:szCs w:val="18"/>
          <w:lang w:val="nl-NL"/>
        </w:rPr>
        <w:t xml:space="preserve"> van werkgevers en hun adviseurs bij het maken van keuzes. Werkgevers dienen nu door te pakken. Dit </w:t>
      </w:r>
      <w:r w:rsidRPr="00C12FC8">
        <w:rPr>
          <w:szCs w:val="18"/>
          <w:lang w:val="nl-NL"/>
        </w:rPr>
        <w:t>vraagt een gezamenlijke inzet van</w:t>
      </w:r>
      <w:r w:rsidRPr="0017663E" w:rsidR="0017663E">
        <w:rPr>
          <w:lang w:val="nl-NL"/>
        </w:rPr>
        <w:t xml:space="preserve"> </w:t>
      </w:r>
      <w:r w:rsidRPr="00C12FC8" w:rsidR="0017663E">
        <w:rPr>
          <w:szCs w:val="18"/>
          <w:lang w:val="nl-NL"/>
        </w:rPr>
        <w:t>werkgevers</w:t>
      </w:r>
      <w:r w:rsidR="00652DDA">
        <w:rPr>
          <w:szCs w:val="18"/>
          <w:lang w:val="nl-NL"/>
        </w:rPr>
        <w:t>organisaties</w:t>
      </w:r>
      <w:r w:rsidR="0017663E">
        <w:rPr>
          <w:szCs w:val="18"/>
          <w:lang w:val="nl-NL"/>
        </w:rPr>
        <w:t xml:space="preserve">, </w:t>
      </w:r>
      <w:r w:rsidRPr="00C12FC8" w:rsidR="0017663E">
        <w:rPr>
          <w:szCs w:val="18"/>
          <w:lang w:val="nl-NL"/>
        </w:rPr>
        <w:t>adviseurs</w:t>
      </w:r>
      <w:r w:rsidR="0017663E">
        <w:rPr>
          <w:szCs w:val="18"/>
          <w:lang w:val="nl-NL"/>
        </w:rPr>
        <w:t xml:space="preserve">, </w:t>
      </w:r>
      <w:r w:rsidRPr="00C12FC8">
        <w:rPr>
          <w:szCs w:val="18"/>
          <w:lang w:val="nl-NL"/>
        </w:rPr>
        <w:t>verzekeraars</w:t>
      </w:r>
      <w:r w:rsidR="0017663E">
        <w:rPr>
          <w:szCs w:val="18"/>
          <w:lang w:val="nl-NL"/>
        </w:rPr>
        <w:t xml:space="preserve"> en </w:t>
      </w:r>
      <w:proofErr w:type="spellStart"/>
      <w:r w:rsidRPr="00C12FC8">
        <w:rPr>
          <w:szCs w:val="18"/>
          <w:lang w:val="nl-NL"/>
        </w:rPr>
        <w:t>PPI’s</w:t>
      </w:r>
      <w:proofErr w:type="spellEnd"/>
      <w:r w:rsidR="0051688E">
        <w:rPr>
          <w:szCs w:val="18"/>
          <w:lang w:val="nl-NL"/>
        </w:rPr>
        <w:t>.</w:t>
      </w:r>
    </w:p>
    <w:bookmarkEnd w:id="7"/>
    <w:p w:rsidR="00157688" w:rsidP="00BE02B0" w:rsidRDefault="00157688" w14:paraId="0E3A1FDC" w14:textId="77777777">
      <w:pPr>
        <w:pStyle w:val="Geenafstand"/>
        <w:spacing w:line="240" w:lineRule="atLeast"/>
        <w:rPr>
          <w:szCs w:val="18"/>
          <w:lang w:val="nl-NL"/>
        </w:rPr>
      </w:pPr>
    </w:p>
    <w:p w:rsidRPr="00710F5A" w:rsidR="00157688" w:rsidP="00BE02B0" w:rsidRDefault="00157688" w14:paraId="66E4F06B" w14:textId="140C11B6">
      <w:pPr>
        <w:pStyle w:val="Geenafstand"/>
        <w:spacing w:line="240" w:lineRule="atLeast"/>
        <w:rPr>
          <w:lang w:val="nl-NL"/>
        </w:rPr>
      </w:pPr>
      <w:r w:rsidRPr="00E14B59">
        <w:rPr>
          <w:lang w:val="nl-NL"/>
        </w:rPr>
        <w:t>Sinds v</w:t>
      </w:r>
      <w:r>
        <w:rPr>
          <w:lang w:val="nl-NL"/>
        </w:rPr>
        <w:t>orig jaar zomer wordt</w:t>
      </w:r>
      <w:r w:rsidR="00652DDA">
        <w:rPr>
          <w:lang w:val="nl-NL"/>
        </w:rPr>
        <w:t xml:space="preserve"> daarom door SZW</w:t>
      </w:r>
      <w:r>
        <w:rPr>
          <w:lang w:val="nl-NL"/>
        </w:rPr>
        <w:t xml:space="preserve"> samen met betrokken partijen ingezet op het activeren van </w:t>
      </w:r>
      <w:r w:rsidRPr="00E14B59">
        <w:rPr>
          <w:lang w:val="nl-NL"/>
        </w:rPr>
        <w:t xml:space="preserve">werkgevers om zo snel mogelijk </w:t>
      </w:r>
      <w:r>
        <w:rPr>
          <w:lang w:val="nl-NL"/>
        </w:rPr>
        <w:t xml:space="preserve">aan de slag te gaan </w:t>
      </w:r>
      <w:r w:rsidRPr="00E14B59">
        <w:rPr>
          <w:lang w:val="nl-NL"/>
        </w:rPr>
        <w:t>met het omzetten van hun pensioenregelingen.</w:t>
      </w:r>
      <w:r>
        <w:rPr>
          <w:lang w:val="nl-NL"/>
        </w:rPr>
        <w:t xml:space="preserve"> In hoofdstuk 2 van deze voortgangsrapportage wordt uitgebreid ingegaan op de acties die daartoe worden ingezet. Het n</w:t>
      </w:r>
      <w:r w:rsidRPr="003A2EDF">
        <w:rPr>
          <w:szCs w:val="18"/>
          <w:lang w:val="nl-NL"/>
        </w:rPr>
        <w:t>iet</w:t>
      </w:r>
      <w:r>
        <w:rPr>
          <w:szCs w:val="18"/>
          <w:lang w:val="nl-NL"/>
        </w:rPr>
        <w:t xml:space="preserve"> t</w:t>
      </w:r>
      <w:r w:rsidRPr="003A2EDF">
        <w:rPr>
          <w:szCs w:val="18"/>
          <w:lang w:val="nl-NL"/>
        </w:rPr>
        <w:t>ijdig omzett</w:t>
      </w:r>
      <w:r>
        <w:rPr>
          <w:szCs w:val="18"/>
          <w:lang w:val="nl-NL"/>
        </w:rPr>
        <w:t xml:space="preserve">en van de pensioenregeling </w:t>
      </w:r>
      <w:r w:rsidRPr="003A2EDF">
        <w:rPr>
          <w:szCs w:val="18"/>
          <w:lang w:val="nl-NL"/>
        </w:rPr>
        <w:t>leidt tot grote financiële gevolgen voor de werkgever en werknemer</w:t>
      </w:r>
      <w:r>
        <w:rPr>
          <w:szCs w:val="18"/>
          <w:lang w:val="nl-NL"/>
        </w:rPr>
        <w:t>.</w:t>
      </w:r>
      <w:r w:rsidRPr="003A2EDF">
        <w:rPr>
          <w:szCs w:val="18"/>
          <w:lang w:val="nl-NL"/>
        </w:rPr>
        <w:t xml:space="preserve"> Dit vraagt blijvende inzet van alle betrokken partijen.</w:t>
      </w:r>
      <w:r>
        <w:rPr>
          <w:szCs w:val="18"/>
          <w:lang w:val="nl-NL"/>
        </w:rPr>
        <w:t xml:space="preserve"> Om vinger aan de pols te houden en</w:t>
      </w:r>
      <w:r w:rsidR="00220C86">
        <w:rPr>
          <w:szCs w:val="18"/>
          <w:lang w:val="nl-NL"/>
        </w:rPr>
        <w:t xml:space="preserve"> tijdig</w:t>
      </w:r>
      <w:r>
        <w:rPr>
          <w:szCs w:val="18"/>
          <w:lang w:val="nl-NL"/>
        </w:rPr>
        <w:t xml:space="preserve"> te kunnen bijsturen waar nodig</w:t>
      </w:r>
      <w:r w:rsidR="0011233F">
        <w:rPr>
          <w:szCs w:val="18"/>
          <w:lang w:val="nl-NL"/>
        </w:rPr>
        <w:t xml:space="preserve"> is </w:t>
      </w:r>
      <w:r>
        <w:rPr>
          <w:szCs w:val="18"/>
          <w:lang w:val="nl-NL"/>
        </w:rPr>
        <w:t>de monitoring</w:t>
      </w:r>
      <w:r w:rsidR="0011233F">
        <w:rPr>
          <w:szCs w:val="18"/>
          <w:lang w:val="nl-NL"/>
        </w:rPr>
        <w:t xml:space="preserve"> van het aantal</w:t>
      </w:r>
      <w:r w:rsidR="00105B13">
        <w:rPr>
          <w:szCs w:val="18"/>
          <w:lang w:val="nl-NL"/>
        </w:rPr>
        <w:t xml:space="preserve"> (nog)</w:t>
      </w:r>
      <w:r w:rsidR="0011233F">
        <w:rPr>
          <w:szCs w:val="18"/>
          <w:lang w:val="nl-NL"/>
        </w:rPr>
        <w:t xml:space="preserve"> om te zetten contracten bij verzekeraars en </w:t>
      </w:r>
      <w:proofErr w:type="spellStart"/>
      <w:r w:rsidR="0011233F">
        <w:rPr>
          <w:szCs w:val="18"/>
          <w:lang w:val="nl-NL"/>
        </w:rPr>
        <w:t>PPI</w:t>
      </w:r>
      <w:r w:rsidR="00652DDA">
        <w:rPr>
          <w:szCs w:val="18"/>
          <w:lang w:val="nl-NL"/>
        </w:rPr>
        <w:t>’</w:t>
      </w:r>
      <w:r w:rsidR="0011233F">
        <w:rPr>
          <w:szCs w:val="18"/>
          <w:lang w:val="nl-NL"/>
        </w:rPr>
        <w:t>s</w:t>
      </w:r>
      <w:proofErr w:type="spellEnd"/>
      <w:r>
        <w:rPr>
          <w:szCs w:val="18"/>
          <w:lang w:val="nl-NL"/>
        </w:rPr>
        <w:t xml:space="preserve"> geïntensiveerd</w:t>
      </w:r>
      <w:r w:rsidR="00652DDA">
        <w:rPr>
          <w:szCs w:val="18"/>
          <w:lang w:val="nl-NL"/>
        </w:rPr>
        <w:t xml:space="preserve">, </w:t>
      </w:r>
      <w:proofErr w:type="gramStart"/>
      <w:r w:rsidR="00652DDA">
        <w:rPr>
          <w:szCs w:val="18"/>
          <w:lang w:val="nl-NL"/>
        </w:rPr>
        <w:t>conform</w:t>
      </w:r>
      <w:proofErr w:type="gramEnd"/>
      <w:r w:rsidR="00652DDA">
        <w:rPr>
          <w:szCs w:val="18"/>
          <w:lang w:val="nl-NL"/>
        </w:rPr>
        <w:t xml:space="preserve"> </w:t>
      </w:r>
      <w:r w:rsidR="004215D2">
        <w:rPr>
          <w:szCs w:val="18"/>
          <w:lang w:val="nl-NL"/>
        </w:rPr>
        <w:t>de toezegging gedaan aan uw Kamer</w:t>
      </w:r>
      <w:r>
        <w:rPr>
          <w:szCs w:val="18"/>
          <w:lang w:val="nl-NL"/>
        </w:rPr>
        <w:t xml:space="preserve">. </w:t>
      </w:r>
    </w:p>
    <w:p w:rsidRPr="003A2EDF" w:rsidR="00955EA6" w:rsidP="00BE02B0" w:rsidRDefault="00955EA6" w14:paraId="4145A987" w14:textId="77777777">
      <w:pPr>
        <w:pStyle w:val="Geenafstand"/>
        <w:spacing w:line="240" w:lineRule="atLeast"/>
        <w:rPr>
          <w:szCs w:val="18"/>
          <w:lang w:val="nl-NL"/>
        </w:rPr>
      </w:pPr>
    </w:p>
    <w:p w:rsidRPr="00A935F9" w:rsidR="00105B13" w:rsidP="00BE02B0" w:rsidRDefault="00287A67" w14:paraId="27D6CA8F" w14:textId="77777777">
      <w:pPr>
        <w:pStyle w:val="Geenafstand"/>
        <w:spacing w:line="240" w:lineRule="atLeast"/>
        <w:rPr>
          <w:b/>
          <w:bCs/>
          <w:szCs w:val="18"/>
          <w:lang w:val="nl-NL"/>
        </w:rPr>
      </w:pPr>
      <w:r w:rsidRPr="00A935F9">
        <w:rPr>
          <w:b/>
          <w:bCs/>
          <w:szCs w:val="18"/>
          <w:lang w:val="nl-NL"/>
        </w:rPr>
        <w:t xml:space="preserve">Deelnemers tevreden over communicatie </w:t>
      </w:r>
      <w:r w:rsidRPr="00A935F9" w:rsidR="00133A16">
        <w:rPr>
          <w:b/>
          <w:bCs/>
          <w:szCs w:val="18"/>
          <w:lang w:val="nl-NL"/>
        </w:rPr>
        <w:t xml:space="preserve">van </w:t>
      </w:r>
      <w:r w:rsidRPr="00A935F9">
        <w:rPr>
          <w:b/>
          <w:bCs/>
          <w:szCs w:val="18"/>
          <w:lang w:val="nl-NL"/>
        </w:rPr>
        <w:t xml:space="preserve">hun pensioenuitvoerder </w:t>
      </w:r>
    </w:p>
    <w:p w:rsidRPr="003A2EDF" w:rsidR="009204D3" w:rsidP="00BE02B0" w:rsidRDefault="009D0603" w14:paraId="7C717824" w14:textId="672E1E9C">
      <w:pPr>
        <w:pStyle w:val="Geenafstand"/>
        <w:spacing w:line="240" w:lineRule="atLeast"/>
        <w:rPr>
          <w:szCs w:val="18"/>
          <w:lang w:val="nl-NL"/>
        </w:rPr>
      </w:pPr>
      <w:bookmarkStart w:name="_Hlk233030630" w:id="8"/>
      <w:r>
        <w:rPr>
          <w:szCs w:val="18"/>
          <w:lang w:val="nl-NL"/>
        </w:rPr>
        <w:t>H</w:t>
      </w:r>
      <w:r w:rsidRPr="008027E2">
        <w:rPr>
          <w:szCs w:val="18"/>
          <w:lang w:val="nl-NL"/>
        </w:rPr>
        <w:t xml:space="preserve">et vertrouwen van Nederlanders in het pensioenstelsel </w:t>
      </w:r>
      <w:r>
        <w:rPr>
          <w:szCs w:val="18"/>
          <w:lang w:val="nl-NL"/>
        </w:rPr>
        <w:t xml:space="preserve">is stabiel en wordt als </w:t>
      </w:r>
      <w:r w:rsidRPr="008027E2">
        <w:rPr>
          <w:szCs w:val="18"/>
          <w:lang w:val="nl-NL"/>
        </w:rPr>
        <w:t>neutraal</w:t>
      </w:r>
      <w:r>
        <w:rPr>
          <w:szCs w:val="18"/>
          <w:lang w:val="nl-NL"/>
        </w:rPr>
        <w:t xml:space="preserve"> geclassificeerd</w:t>
      </w:r>
      <w:r w:rsidRPr="008027E2">
        <w:rPr>
          <w:szCs w:val="18"/>
          <w:lang w:val="nl-NL"/>
        </w:rPr>
        <w:t>. </w:t>
      </w:r>
      <w:r w:rsidRPr="009204D3" w:rsidR="00EA2AFD">
        <w:rPr>
          <w:szCs w:val="18"/>
          <w:lang w:val="nl-NL"/>
        </w:rPr>
        <w:t>Met het vorderen van de transitie</w:t>
      </w:r>
      <w:r>
        <w:rPr>
          <w:szCs w:val="18"/>
          <w:lang w:val="nl-NL"/>
        </w:rPr>
        <w:t xml:space="preserve"> hebben steeds meer mensen gehoord van de pensioentransitie</w:t>
      </w:r>
      <w:r w:rsidRPr="009204D3" w:rsidR="009204D3">
        <w:rPr>
          <w:szCs w:val="18"/>
          <w:lang w:val="nl-NL"/>
        </w:rPr>
        <w:t xml:space="preserve">. </w:t>
      </w:r>
      <w:r w:rsidR="009204D3">
        <w:rPr>
          <w:szCs w:val="18"/>
          <w:lang w:val="nl-NL"/>
        </w:rPr>
        <w:t xml:space="preserve">Negen </w:t>
      </w:r>
      <w:r w:rsidRPr="00EA2AFD" w:rsidR="00EA2AFD">
        <w:rPr>
          <w:szCs w:val="18"/>
          <w:lang w:val="nl-NL"/>
        </w:rPr>
        <w:t xml:space="preserve">op de tien </w:t>
      </w:r>
      <w:r w:rsidR="009204D3">
        <w:rPr>
          <w:szCs w:val="18"/>
          <w:lang w:val="nl-NL"/>
        </w:rPr>
        <w:t xml:space="preserve">deelnemers </w:t>
      </w:r>
      <w:r w:rsidRPr="00EA2AFD" w:rsidR="00EA2AFD">
        <w:rPr>
          <w:szCs w:val="18"/>
          <w:lang w:val="nl-NL"/>
        </w:rPr>
        <w:t xml:space="preserve">zeggen gehoord te hebben van de nieuwe pensioenregels, </w:t>
      </w:r>
      <w:r w:rsidR="00272805">
        <w:rPr>
          <w:szCs w:val="18"/>
          <w:lang w:val="nl-NL"/>
        </w:rPr>
        <w:t>zo blijkt uit de deelnemersmonitor,</w:t>
      </w:r>
      <w:r w:rsidRPr="00EA2AFD" w:rsidR="00EA2AFD">
        <w:rPr>
          <w:szCs w:val="18"/>
          <w:lang w:val="nl-NL"/>
        </w:rPr>
        <w:t xml:space="preserve"> en noemen daarbij vooral (televisie)nieuws en hun pensioenfonds of -verzekeraar als bron</w:t>
      </w:r>
      <w:r w:rsidR="009204D3">
        <w:rPr>
          <w:szCs w:val="18"/>
          <w:lang w:val="nl-NL"/>
        </w:rPr>
        <w:t xml:space="preserve">. Zij zijn daarbij tevreden over hun eigen pensioenuitvoerder. </w:t>
      </w:r>
      <w:bookmarkEnd w:id="8"/>
      <w:r w:rsidR="007A7013">
        <w:rPr>
          <w:szCs w:val="18"/>
          <w:lang w:val="nl-NL"/>
        </w:rPr>
        <w:t xml:space="preserve">De nieuwe pensioenregeling biedt </w:t>
      </w:r>
      <w:r w:rsidRPr="007A7013" w:rsidR="007A7013">
        <w:rPr>
          <w:lang w:val="nl-NL"/>
        </w:rPr>
        <w:t xml:space="preserve">deelnemers een persoonlijker en transparanter pensioen dat eerder perspectief biedt op een koopkrachtig pensioen en beter aansluit bij de samenleving en de arbeidsmarkt. </w:t>
      </w:r>
      <w:r w:rsidR="006C03AF">
        <w:rPr>
          <w:lang w:val="nl-NL"/>
        </w:rPr>
        <w:t>Dit blijkt ook uit de deelnemersmonitor (paragraaf 5.3)</w:t>
      </w:r>
      <w:r w:rsidR="00C275A4">
        <w:rPr>
          <w:lang w:val="nl-NL"/>
        </w:rPr>
        <w:t xml:space="preserve">. In de deze monitor geven </w:t>
      </w:r>
      <w:r w:rsidR="000D185F">
        <w:rPr>
          <w:lang w:val="nl-NL"/>
        </w:rPr>
        <w:t>deelnemers d</w:t>
      </w:r>
      <w:r w:rsidRPr="008D3FE8" w:rsidR="000D185F">
        <w:rPr>
          <w:lang w:val="nl-NL"/>
        </w:rPr>
        <w:t xml:space="preserve">ie </w:t>
      </w:r>
      <w:r w:rsidR="00C275A4">
        <w:rPr>
          <w:lang w:val="nl-NL"/>
        </w:rPr>
        <w:t xml:space="preserve">zijn </w:t>
      </w:r>
      <w:r w:rsidRPr="008D3FE8" w:rsidR="000D185F">
        <w:rPr>
          <w:lang w:val="nl-NL"/>
        </w:rPr>
        <w:t xml:space="preserve">aangesloten bij pensioenfondsen </w:t>
      </w:r>
      <w:r w:rsidR="00C275A4">
        <w:rPr>
          <w:lang w:val="nl-NL"/>
        </w:rPr>
        <w:t xml:space="preserve">en </w:t>
      </w:r>
      <w:r w:rsidRPr="008D3FE8" w:rsidR="000D185F">
        <w:rPr>
          <w:lang w:val="nl-NL"/>
        </w:rPr>
        <w:t>zijn overgestapt,</w:t>
      </w:r>
      <w:r w:rsidR="00C275A4">
        <w:rPr>
          <w:lang w:val="nl-NL"/>
        </w:rPr>
        <w:t xml:space="preserve"> vaker aan </w:t>
      </w:r>
      <w:r w:rsidRPr="008D3FE8" w:rsidR="000D185F">
        <w:rPr>
          <w:lang w:val="nl-NL"/>
        </w:rPr>
        <w:t xml:space="preserve">de informatievoorziening </w:t>
      </w:r>
      <w:r w:rsidR="000D185F">
        <w:rPr>
          <w:lang w:val="nl-NL"/>
        </w:rPr>
        <w:t xml:space="preserve">als </w:t>
      </w:r>
      <w:r w:rsidRPr="008D3FE8" w:rsidR="000D185F">
        <w:rPr>
          <w:lang w:val="nl-NL"/>
        </w:rPr>
        <w:t>transparant en persoonlijk</w:t>
      </w:r>
      <w:r w:rsidR="000D185F">
        <w:rPr>
          <w:lang w:val="nl-NL"/>
        </w:rPr>
        <w:t xml:space="preserve"> </w:t>
      </w:r>
      <w:r w:rsidR="00C275A4">
        <w:rPr>
          <w:lang w:val="nl-NL"/>
        </w:rPr>
        <w:t xml:space="preserve">te </w:t>
      </w:r>
      <w:r w:rsidR="000D185F">
        <w:rPr>
          <w:lang w:val="nl-NL"/>
        </w:rPr>
        <w:t>ervaren.</w:t>
      </w:r>
    </w:p>
    <w:p w:rsidR="00EA2AFD" w:rsidP="00BE02B0" w:rsidRDefault="00EA2AFD" w14:paraId="4F215B5C" w14:textId="281AFDBB">
      <w:pPr>
        <w:pStyle w:val="Geenafstand"/>
        <w:spacing w:line="240" w:lineRule="atLeast"/>
        <w:rPr>
          <w:szCs w:val="18"/>
          <w:lang w:val="nl-NL"/>
        </w:rPr>
      </w:pPr>
    </w:p>
    <w:p w:rsidR="009D0603" w:rsidP="00BE02B0" w:rsidRDefault="009D0603" w14:paraId="207103A9" w14:textId="79424E92">
      <w:pPr>
        <w:pStyle w:val="Geenafstand"/>
        <w:spacing w:line="240" w:lineRule="atLeast"/>
        <w:rPr>
          <w:szCs w:val="18"/>
          <w:lang w:val="nl-NL"/>
        </w:rPr>
      </w:pPr>
      <w:r>
        <w:rPr>
          <w:szCs w:val="18"/>
          <w:lang w:val="nl-NL"/>
        </w:rPr>
        <w:lastRenderedPageBreak/>
        <w:t xml:space="preserve">Tot op heden heeft de transitie bij de ingevaren pensioenfondsen in algemene zin geleid tot een behapbare toename in het aantal contacten </w:t>
      </w:r>
      <w:r w:rsidR="002B4BA6">
        <w:rPr>
          <w:szCs w:val="18"/>
          <w:lang w:val="nl-NL"/>
        </w:rPr>
        <w:t xml:space="preserve">van </w:t>
      </w:r>
      <w:r>
        <w:rPr>
          <w:szCs w:val="18"/>
          <w:lang w:val="nl-NL"/>
        </w:rPr>
        <w:t>deelnemers</w:t>
      </w:r>
      <w:r w:rsidR="002B4BA6">
        <w:rPr>
          <w:szCs w:val="18"/>
          <w:lang w:val="nl-NL"/>
        </w:rPr>
        <w:t xml:space="preserve"> met hun pensioenfonds</w:t>
      </w:r>
      <w:r>
        <w:rPr>
          <w:szCs w:val="18"/>
          <w:lang w:val="nl-NL"/>
        </w:rPr>
        <w:t xml:space="preserve">. </w:t>
      </w:r>
      <w:r w:rsidR="002B4BA6">
        <w:rPr>
          <w:szCs w:val="18"/>
          <w:lang w:val="nl-NL"/>
        </w:rPr>
        <w:t>O</w:t>
      </w:r>
      <w:r>
        <w:rPr>
          <w:szCs w:val="18"/>
          <w:lang w:val="nl-NL"/>
        </w:rPr>
        <w:t xml:space="preserve">ok het aantal klachten en geschillen bij de GIP en het </w:t>
      </w:r>
      <w:proofErr w:type="spellStart"/>
      <w:r>
        <w:rPr>
          <w:szCs w:val="18"/>
          <w:lang w:val="nl-NL"/>
        </w:rPr>
        <w:t>Kifid</w:t>
      </w:r>
      <w:proofErr w:type="spellEnd"/>
      <w:r w:rsidR="00157688">
        <w:rPr>
          <w:szCs w:val="18"/>
          <w:lang w:val="nl-NL"/>
        </w:rPr>
        <w:t>,</w:t>
      </w:r>
      <w:r>
        <w:rPr>
          <w:szCs w:val="18"/>
          <w:lang w:val="nl-NL"/>
        </w:rPr>
        <w:t xml:space="preserve"> en het aantal zaken bij de R</w:t>
      </w:r>
      <w:r w:rsidR="00710F5A">
        <w:rPr>
          <w:szCs w:val="18"/>
          <w:lang w:val="nl-NL"/>
        </w:rPr>
        <w:t>aad voor de Rechtspraak (</w:t>
      </w:r>
      <w:proofErr w:type="spellStart"/>
      <w:r>
        <w:rPr>
          <w:szCs w:val="18"/>
          <w:lang w:val="nl-NL"/>
        </w:rPr>
        <w:t>RvdR</w:t>
      </w:r>
      <w:proofErr w:type="spellEnd"/>
      <w:r w:rsidR="00710F5A">
        <w:rPr>
          <w:szCs w:val="18"/>
          <w:lang w:val="nl-NL"/>
        </w:rPr>
        <w:t>)</w:t>
      </w:r>
      <w:r>
        <w:rPr>
          <w:szCs w:val="18"/>
          <w:lang w:val="nl-NL"/>
        </w:rPr>
        <w:t xml:space="preserve"> is stabiel. D</w:t>
      </w:r>
      <w:r w:rsidR="002B4BA6">
        <w:rPr>
          <w:szCs w:val="18"/>
          <w:lang w:val="nl-NL"/>
        </w:rPr>
        <w:t>i</w:t>
      </w:r>
      <w:r>
        <w:rPr>
          <w:szCs w:val="18"/>
          <w:lang w:val="nl-NL"/>
        </w:rPr>
        <w:t>t betekent niet dat deelnemers geen vragen</w:t>
      </w:r>
      <w:r w:rsidR="001D646A">
        <w:rPr>
          <w:szCs w:val="18"/>
          <w:lang w:val="nl-NL"/>
        </w:rPr>
        <w:t xml:space="preserve"> of</w:t>
      </w:r>
      <w:r>
        <w:rPr>
          <w:szCs w:val="18"/>
          <w:lang w:val="nl-NL"/>
        </w:rPr>
        <w:t xml:space="preserve"> zorgen hebben. Zo is het aantal vragen van deelnemers</w:t>
      </w:r>
      <w:r w:rsidR="00133A16">
        <w:rPr>
          <w:szCs w:val="18"/>
          <w:lang w:val="nl-NL"/>
        </w:rPr>
        <w:t xml:space="preserve"> aan de pensioenuitvoerder</w:t>
      </w:r>
      <w:r>
        <w:rPr>
          <w:szCs w:val="18"/>
          <w:lang w:val="nl-NL"/>
        </w:rPr>
        <w:t xml:space="preserve">, </w:t>
      </w:r>
      <w:r w:rsidR="00EF60DB">
        <w:rPr>
          <w:szCs w:val="18"/>
          <w:lang w:val="nl-NL"/>
        </w:rPr>
        <w:t>bijvoorbeeld over het onderwerp compensatie</w:t>
      </w:r>
      <w:r>
        <w:rPr>
          <w:szCs w:val="18"/>
          <w:lang w:val="nl-NL"/>
        </w:rPr>
        <w:t>, toegenomen. Daar speelt de sector op</w:t>
      </w:r>
      <w:r w:rsidR="005A01CD">
        <w:rPr>
          <w:szCs w:val="18"/>
          <w:lang w:val="nl-NL"/>
        </w:rPr>
        <w:t xml:space="preserve"> in</w:t>
      </w:r>
      <w:r w:rsidR="00B81379">
        <w:rPr>
          <w:szCs w:val="18"/>
          <w:lang w:val="nl-NL"/>
        </w:rPr>
        <w:t xml:space="preserve">, </w:t>
      </w:r>
      <w:r w:rsidR="002A50D3">
        <w:rPr>
          <w:szCs w:val="18"/>
          <w:lang w:val="nl-NL"/>
        </w:rPr>
        <w:t>zoals</w:t>
      </w:r>
      <w:r w:rsidR="00B81379">
        <w:rPr>
          <w:szCs w:val="18"/>
          <w:lang w:val="nl-NL"/>
        </w:rPr>
        <w:t xml:space="preserve"> bijvoorbeeld</w:t>
      </w:r>
      <w:r w:rsidR="002A50D3">
        <w:rPr>
          <w:szCs w:val="18"/>
          <w:lang w:val="nl-NL"/>
        </w:rPr>
        <w:t xml:space="preserve"> blijkt uit de rapportage ‘</w:t>
      </w:r>
      <w:r w:rsidRPr="002A50D3" w:rsidR="002A50D3">
        <w:rPr>
          <w:szCs w:val="18"/>
          <w:lang w:val="nl-NL"/>
        </w:rPr>
        <w:t>Dialoog en communicatie over de overstap</w:t>
      </w:r>
      <w:r w:rsidR="002A50D3">
        <w:rPr>
          <w:szCs w:val="18"/>
          <w:lang w:val="nl-NL"/>
        </w:rPr>
        <w:t>’</w:t>
      </w:r>
      <w:r w:rsidR="00B81379">
        <w:rPr>
          <w:szCs w:val="18"/>
          <w:lang w:val="nl-NL"/>
        </w:rPr>
        <w:t xml:space="preserve"> van de Pensioenfederatie (bijlage 6).</w:t>
      </w:r>
      <w:r>
        <w:rPr>
          <w:szCs w:val="18"/>
          <w:lang w:val="nl-NL"/>
        </w:rPr>
        <w:t xml:space="preserve"> </w:t>
      </w:r>
      <w:r w:rsidR="00710F5A">
        <w:rPr>
          <w:szCs w:val="18"/>
          <w:lang w:val="nl-NL"/>
        </w:rPr>
        <w:t xml:space="preserve">Ook mijn ministerie </w:t>
      </w:r>
      <w:r w:rsidR="003108C0">
        <w:rPr>
          <w:szCs w:val="18"/>
          <w:lang w:val="nl-NL"/>
        </w:rPr>
        <w:t>heeft</w:t>
      </w:r>
      <w:r w:rsidR="00710F5A">
        <w:rPr>
          <w:szCs w:val="18"/>
          <w:lang w:val="nl-NL"/>
        </w:rPr>
        <w:t xml:space="preserve"> de</w:t>
      </w:r>
      <w:r w:rsidR="003108C0">
        <w:rPr>
          <w:szCs w:val="18"/>
          <w:lang w:val="nl-NL"/>
        </w:rPr>
        <w:t xml:space="preserve"> afgelopen </w:t>
      </w:r>
      <w:r w:rsidR="00112545">
        <w:rPr>
          <w:szCs w:val="18"/>
          <w:lang w:val="nl-NL"/>
        </w:rPr>
        <w:t>periode aandacht</w:t>
      </w:r>
      <w:r w:rsidR="00710F5A">
        <w:rPr>
          <w:szCs w:val="18"/>
          <w:lang w:val="nl-NL"/>
        </w:rPr>
        <w:t xml:space="preserve"> beste</w:t>
      </w:r>
      <w:r w:rsidR="003108C0">
        <w:rPr>
          <w:szCs w:val="18"/>
          <w:lang w:val="nl-NL"/>
        </w:rPr>
        <w:t>ed</w:t>
      </w:r>
      <w:r w:rsidR="005A01CD">
        <w:rPr>
          <w:szCs w:val="18"/>
          <w:lang w:val="nl-NL"/>
        </w:rPr>
        <w:t xml:space="preserve"> aan het compensatievraagstuk</w:t>
      </w:r>
      <w:r w:rsidR="003108C0">
        <w:rPr>
          <w:szCs w:val="18"/>
          <w:lang w:val="nl-NL"/>
        </w:rPr>
        <w:t xml:space="preserve"> via pensioenduidelijkheid.nl en zal dit blijven doen</w:t>
      </w:r>
      <w:r w:rsidR="00710F5A">
        <w:rPr>
          <w:szCs w:val="18"/>
          <w:lang w:val="nl-NL"/>
        </w:rPr>
        <w:t xml:space="preserve">. </w:t>
      </w:r>
    </w:p>
    <w:p w:rsidR="009D0603" w:rsidP="00BE02B0" w:rsidRDefault="009D0603" w14:paraId="42AF3BDB" w14:textId="77777777">
      <w:pPr>
        <w:pStyle w:val="Geenafstand"/>
        <w:spacing w:line="240" w:lineRule="atLeast"/>
        <w:rPr>
          <w:szCs w:val="18"/>
          <w:lang w:val="nl-NL"/>
        </w:rPr>
      </w:pPr>
    </w:p>
    <w:p w:rsidR="005F157B" w:rsidP="00BE02B0" w:rsidRDefault="007C19CE" w14:paraId="4E3E45C1" w14:textId="632784CD">
      <w:pPr>
        <w:pStyle w:val="Geenafstand"/>
        <w:spacing w:line="240" w:lineRule="atLeast"/>
        <w:rPr>
          <w:szCs w:val="18"/>
          <w:lang w:val="nl-NL"/>
        </w:rPr>
      </w:pPr>
      <w:r>
        <w:rPr>
          <w:szCs w:val="18"/>
          <w:lang w:val="nl-NL"/>
        </w:rPr>
        <w:t xml:space="preserve">Met de overstap naar het nieuwe pensioenstelsel wordt de bestaande buffer van het pensioenfonds verdeeld. </w:t>
      </w:r>
      <w:r w:rsidRPr="005F157B" w:rsidR="009D47A4">
        <w:rPr>
          <w:szCs w:val="18"/>
          <w:lang w:val="nl-NL"/>
        </w:rPr>
        <w:t xml:space="preserve">Per 1 januari 2026 is meer dan de helft van </w:t>
      </w:r>
      <w:r w:rsidR="00220C86">
        <w:rPr>
          <w:szCs w:val="18"/>
          <w:lang w:val="nl-NL"/>
        </w:rPr>
        <w:t>de</w:t>
      </w:r>
      <w:r w:rsidRPr="005F157B" w:rsidR="009D47A4">
        <w:rPr>
          <w:szCs w:val="18"/>
          <w:lang w:val="nl-NL"/>
        </w:rPr>
        <w:t xml:space="preserve"> werkenden en gepensioneerden overgegaan naar het vernieuwde pensioenstelsel. </w:t>
      </w:r>
      <w:r w:rsidR="009D0603">
        <w:rPr>
          <w:szCs w:val="18"/>
          <w:lang w:val="nl-NL"/>
        </w:rPr>
        <w:t>In de voortgangsrapport</w:t>
      </w:r>
      <w:r>
        <w:rPr>
          <w:szCs w:val="18"/>
          <w:lang w:val="nl-NL"/>
        </w:rPr>
        <w:t xml:space="preserve">age </w:t>
      </w:r>
      <w:r w:rsidR="00311BA3">
        <w:rPr>
          <w:szCs w:val="18"/>
          <w:lang w:val="nl-NL"/>
        </w:rPr>
        <w:t xml:space="preserve">monitoring </w:t>
      </w:r>
      <w:proofErr w:type="spellStart"/>
      <w:r w:rsidR="00311BA3">
        <w:rPr>
          <w:szCs w:val="18"/>
          <w:lang w:val="nl-NL"/>
        </w:rPr>
        <w:t>Wtp</w:t>
      </w:r>
      <w:proofErr w:type="spellEnd"/>
      <w:r w:rsidR="00311BA3">
        <w:rPr>
          <w:szCs w:val="18"/>
          <w:lang w:val="nl-NL"/>
        </w:rPr>
        <w:t xml:space="preserve"> winter </w:t>
      </w:r>
      <w:r w:rsidR="00600DEA">
        <w:rPr>
          <w:szCs w:val="18"/>
          <w:lang w:val="nl-NL"/>
        </w:rPr>
        <w:t>20</w:t>
      </w:r>
      <w:r w:rsidR="00311BA3">
        <w:rPr>
          <w:szCs w:val="18"/>
          <w:lang w:val="nl-NL"/>
        </w:rPr>
        <w:t>26 is de geschatte pensioenverhoging van de per 1 januari 2026 invarende pensioenfondsen/</w:t>
      </w:r>
      <w:r w:rsidR="005B4407">
        <w:rPr>
          <w:szCs w:val="18"/>
          <w:lang w:val="nl-NL"/>
        </w:rPr>
        <w:t>-</w:t>
      </w:r>
      <w:r w:rsidR="00311BA3">
        <w:rPr>
          <w:szCs w:val="18"/>
          <w:lang w:val="nl-NL"/>
        </w:rPr>
        <w:t xml:space="preserve">kringen </w:t>
      </w:r>
      <w:r>
        <w:rPr>
          <w:szCs w:val="18"/>
          <w:lang w:val="nl-NL"/>
        </w:rPr>
        <w:t>gedeeld.</w:t>
      </w:r>
      <w:r w:rsidR="0011233F">
        <w:rPr>
          <w:rStyle w:val="Voetnootmarkering"/>
          <w:szCs w:val="18"/>
          <w:lang w:val="nl-NL"/>
        </w:rPr>
        <w:footnoteReference w:id="12"/>
      </w:r>
      <w:r w:rsidR="00311BA3">
        <w:rPr>
          <w:szCs w:val="18"/>
          <w:lang w:val="nl-NL"/>
        </w:rPr>
        <w:t xml:space="preserve"> Inmiddels zijn de </w:t>
      </w:r>
      <w:r w:rsidRPr="00311BA3" w:rsidR="00311BA3">
        <w:rPr>
          <w:szCs w:val="18"/>
          <w:lang w:val="nl-NL"/>
        </w:rPr>
        <w:t xml:space="preserve">definitieve cijfers </w:t>
      </w:r>
      <w:r w:rsidR="00311BA3">
        <w:rPr>
          <w:szCs w:val="18"/>
          <w:lang w:val="nl-NL"/>
        </w:rPr>
        <w:t xml:space="preserve">bekend en zoals toegezegd wordt u daar hierbij over geïnformeerd. </w:t>
      </w:r>
      <w:r w:rsidRPr="005F157B" w:rsidR="005F157B">
        <w:rPr>
          <w:szCs w:val="18"/>
          <w:lang w:val="nl-NL"/>
        </w:rPr>
        <w:t>De verhoging</w:t>
      </w:r>
      <w:r w:rsidR="005F157B">
        <w:rPr>
          <w:szCs w:val="18"/>
          <w:lang w:val="nl-NL"/>
        </w:rPr>
        <w:t xml:space="preserve"> </w:t>
      </w:r>
      <w:r w:rsidRPr="005F157B" w:rsidR="005F157B">
        <w:rPr>
          <w:szCs w:val="18"/>
          <w:lang w:val="nl-NL"/>
        </w:rPr>
        <w:t>varieert per pensioenfonds en in sommige gevallen per leeftijdscategorie.</w:t>
      </w:r>
      <w:r w:rsidR="005F157B">
        <w:rPr>
          <w:szCs w:val="18"/>
          <w:lang w:val="nl-NL"/>
        </w:rPr>
        <w:t xml:space="preserve"> Uit </w:t>
      </w:r>
      <w:r w:rsidRPr="005F157B" w:rsidR="005F157B">
        <w:rPr>
          <w:szCs w:val="18"/>
          <w:lang w:val="nl-NL"/>
        </w:rPr>
        <w:t xml:space="preserve">cijfers </w:t>
      </w:r>
      <w:r w:rsidR="005F157B">
        <w:rPr>
          <w:szCs w:val="18"/>
          <w:lang w:val="nl-NL"/>
        </w:rPr>
        <w:t>van d</w:t>
      </w:r>
      <w:r w:rsidRPr="005F157B" w:rsidR="005F157B">
        <w:rPr>
          <w:szCs w:val="18"/>
          <w:lang w:val="nl-NL"/>
        </w:rPr>
        <w:t>e Pensioenfederatie</w:t>
      </w:r>
      <w:r w:rsidR="00DC62B8">
        <w:rPr>
          <w:szCs w:val="18"/>
          <w:lang w:val="nl-NL"/>
        </w:rPr>
        <w:t xml:space="preserve"> op basis van acht pensioenfondsen die op 1 januari 20226 zijn ingevaren,</w:t>
      </w:r>
      <w:r w:rsidR="005F157B">
        <w:rPr>
          <w:szCs w:val="18"/>
          <w:lang w:val="nl-NL"/>
        </w:rPr>
        <w:t xml:space="preserve"> blijkt dat de pensioenen </w:t>
      </w:r>
      <w:r w:rsidR="005B18B6">
        <w:rPr>
          <w:szCs w:val="18"/>
          <w:lang w:val="nl-NL"/>
        </w:rPr>
        <w:t xml:space="preserve">van </w:t>
      </w:r>
      <w:r w:rsidRPr="00CD2917" w:rsidR="005B18B6">
        <w:rPr>
          <w:szCs w:val="18"/>
          <w:lang w:val="nl-NL"/>
        </w:rPr>
        <w:t>ruim 1</w:t>
      </w:r>
      <w:r w:rsidR="005B18B6">
        <w:rPr>
          <w:szCs w:val="18"/>
          <w:lang w:val="nl-NL"/>
        </w:rPr>
        <w:t xml:space="preserve"> miljoen gepensioneerden </w:t>
      </w:r>
      <w:r w:rsidR="005F157B">
        <w:rPr>
          <w:szCs w:val="18"/>
          <w:lang w:val="nl-NL"/>
        </w:rPr>
        <w:t xml:space="preserve">per 1 januari 2026 met gemiddeld </w:t>
      </w:r>
      <w:r w:rsidRPr="00CD2917" w:rsidR="005F157B">
        <w:rPr>
          <w:szCs w:val="18"/>
          <w:lang w:val="nl-NL"/>
        </w:rPr>
        <w:t>13,5%</w:t>
      </w:r>
      <w:r w:rsidR="005F157B">
        <w:rPr>
          <w:szCs w:val="18"/>
          <w:lang w:val="nl-NL"/>
        </w:rPr>
        <w:t xml:space="preserve"> zijn verhoogd.</w:t>
      </w:r>
      <w:r w:rsidR="005F157B">
        <w:rPr>
          <w:rStyle w:val="Voetnootmarkering"/>
          <w:szCs w:val="18"/>
          <w:lang w:val="nl-NL"/>
        </w:rPr>
        <w:footnoteReference w:id="13"/>
      </w:r>
      <w:r w:rsidR="009D47A4">
        <w:rPr>
          <w:szCs w:val="18"/>
          <w:vertAlign w:val="superscript"/>
          <w:lang w:val="nl-NL"/>
        </w:rPr>
        <w:t>,</w:t>
      </w:r>
      <w:r w:rsidR="005B18B6">
        <w:rPr>
          <w:rStyle w:val="Voetnootmarkering"/>
          <w:szCs w:val="18"/>
          <w:lang w:val="nl-NL"/>
        </w:rPr>
        <w:footnoteReference w:id="14"/>
      </w:r>
      <w:r w:rsidR="005B18B6">
        <w:rPr>
          <w:szCs w:val="18"/>
          <w:lang w:val="nl-NL"/>
        </w:rPr>
        <w:t xml:space="preserve"> </w:t>
      </w:r>
      <w:r w:rsidR="003108C0">
        <w:rPr>
          <w:szCs w:val="18"/>
          <w:lang w:val="nl-NL"/>
        </w:rPr>
        <w:t xml:space="preserve">Dit is in lijn met de eerder geschatte verhoging. </w:t>
      </w:r>
      <w:r w:rsidR="009D47A4">
        <w:rPr>
          <w:szCs w:val="18"/>
          <w:lang w:val="nl-NL"/>
        </w:rPr>
        <w:t>Ook de pensioen</w:t>
      </w:r>
      <w:r w:rsidR="00DF2688">
        <w:rPr>
          <w:szCs w:val="18"/>
          <w:lang w:val="nl-NL"/>
        </w:rPr>
        <w:t>vermogens</w:t>
      </w:r>
      <w:r w:rsidR="009D47A4">
        <w:rPr>
          <w:szCs w:val="18"/>
          <w:lang w:val="nl-NL"/>
        </w:rPr>
        <w:t xml:space="preserve"> van actieve en gewezen deelnemers zijn in dezelfde orde van grootte verhoogd. </w:t>
      </w:r>
    </w:p>
    <w:bookmarkEnd w:id="5"/>
    <w:p w:rsidR="00BC630A" w:rsidP="00BE02B0" w:rsidRDefault="00BC630A" w14:paraId="38A1AB64" w14:textId="77777777">
      <w:pPr>
        <w:rPr>
          <w:b/>
        </w:rPr>
      </w:pPr>
    </w:p>
    <w:p w:rsidRPr="00157688" w:rsidR="00157688" w:rsidP="00BE02B0" w:rsidRDefault="00157688" w14:paraId="472C7226" w14:textId="3603535B">
      <w:pPr>
        <w:rPr>
          <w:b/>
        </w:rPr>
      </w:pPr>
      <w:r w:rsidRPr="00157688">
        <w:rPr>
          <w:b/>
        </w:rPr>
        <w:t>2. (Kleine) werkgevers met een verzekerde regeling</w:t>
      </w:r>
    </w:p>
    <w:p w:rsidR="00157688" w:rsidP="00BE02B0" w:rsidRDefault="00157688" w14:paraId="0F23EF0E" w14:textId="539020B9">
      <w:r>
        <w:t xml:space="preserve">De </w:t>
      </w:r>
      <w:r w:rsidRPr="00CC5532">
        <w:t xml:space="preserve">transitie voor verzekerde regelingen </w:t>
      </w:r>
      <w:r>
        <w:t xml:space="preserve">uitgevoerd door verzekeraars en </w:t>
      </w:r>
      <w:proofErr w:type="spellStart"/>
      <w:r>
        <w:t>PPI’s</w:t>
      </w:r>
      <w:proofErr w:type="spellEnd"/>
      <w:r>
        <w:t xml:space="preserve"> bleef, zoals in</w:t>
      </w:r>
      <w:r w:rsidRPr="00893098">
        <w:t xml:space="preserve"> de </w:t>
      </w:r>
      <w:r>
        <w:t xml:space="preserve">vorige voortgangsrapportage geconcludeerd, </w:t>
      </w:r>
      <w:r w:rsidRPr="00CC5532">
        <w:t>achter</w:t>
      </w:r>
      <w:r>
        <w:t>.</w:t>
      </w:r>
      <w:r>
        <w:rPr>
          <w:rStyle w:val="Voetnootmarkering"/>
        </w:rPr>
        <w:footnoteReference w:id="15"/>
      </w:r>
      <w:r>
        <w:t xml:space="preserve"> </w:t>
      </w:r>
      <w:r w:rsidRPr="00CC5532">
        <w:t xml:space="preserve">Werkgevers met een verzekerde regeling </w:t>
      </w:r>
      <w:r>
        <w:t>werden opgeroepen om</w:t>
      </w:r>
      <w:r w:rsidRPr="00CC5532">
        <w:t xml:space="preserve"> spoedig in actie </w:t>
      </w:r>
      <w:r>
        <w:t xml:space="preserve">te </w:t>
      </w:r>
      <w:r w:rsidRPr="00CC5532">
        <w:t>komen om deze regelingen tijdig</w:t>
      </w:r>
      <w:r w:rsidR="0021307D">
        <w:t xml:space="preserve"> (</w:t>
      </w:r>
      <w:r>
        <w:t>uiterlijk per 1 januari 2028</w:t>
      </w:r>
      <w:r w:rsidR="0021307D">
        <w:t>)</w:t>
      </w:r>
      <w:r>
        <w:t xml:space="preserve"> </w:t>
      </w:r>
      <w:r w:rsidRPr="00CC5532">
        <w:t>om te zetten</w:t>
      </w:r>
      <w:r>
        <w:t xml:space="preserve"> zodat deze </w:t>
      </w:r>
      <w:r w:rsidRPr="00CC5532">
        <w:t>voldoe</w:t>
      </w:r>
      <w:r>
        <w:t>n</w:t>
      </w:r>
      <w:r w:rsidRPr="00CC5532">
        <w:t xml:space="preserve"> aan de nieuwe regels.</w:t>
      </w:r>
      <w:r>
        <w:t xml:space="preserve"> </w:t>
      </w:r>
    </w:p>
    <w:p w:rsidR="00157688" w:rsidP="00BE02B0" w:rsidRDefault="00157688" w14:paraId="709697FE" w14:textId="77777777">
      <w:pPr>
        <w:pStyle w:val="Lijstalinea"/>
      </w:pPr>
    </w:p>
    <w:p w:rsidR="00157688" w:rsidP="00BE02B0" w:rsidRDefault="00157688" w14:paraId="5C51D60B" w14:textId="6A53A950">
      <w:r w:rsidRPr="00CB5309">
        <w:t xml:space="preserve">Per 1 januari 2026 moeten nog </w:t>
      </w:r>
      <w:proofErr w:type="gramStart"/>
      <w:r w:rsidRPr="00CD2917">
        <w:t>circa</w:t>
      </w:r>
      <w:proofErr w:type="gramEnd"/>
      <w:r w:rsidRPr="00CD2917">
        <w:t xml:space="preserve"> 33</w:t>
      </w:r>
      <w:r w:rsidRPr="00CD2917" w:rsidR="00B95055">
        <w:t>.000</w:t>
      </w:r>
      <w:r>
        <w:t xml:space="preserve"> </w:t>
      </w:r>
      <w:r w:rsidRPr="00CB5309">
        <w:t xml:space="preserve">pensioenregelingen bij verzekeraars en </w:t>
      </w:r>
      <w:r>
        <w:t xml:space="preserve">ruim </w:t>
      </w:r>
      <w:r w:rsidRPr="00CD2917">
        <w:t>11</w:t>
      </w:r>
      <w:r w:rsidRPr="00CD2917" w:rsidR="00B95055">
        <w:t>.000</w:t>
      </w:r>
      <w:r>
        <w:t xml:space="preserve"> </w:t>
      </w:r>
      <w:r w:rsidRPr="00CB5309">
        <w:t xml:space="preserve">regelingen bij </w:t>
      </w:r>
      <w:proofErr w:type="spellStart"/>
      <w:r w:rsidRPr="00CB5309">
        <w:t>PPI’s</w:t>
      </w:r>
      <w:proofErr w:type="spellEnd"/>
      <w:r w:rsidRPr="00CB5309">
        <w:t xml:space="preserve"> worden omgezet naar het nieuwe pensioenstelsel. </w:t>
      </w:r>
      <w:r>
        <w:t xml:space="preserve">Dit betekent dat </w:t>
      </w:r>
      <w:r w:rsidRPr="00CB5309">
        <w:t xml:space="preserve">nog een aanzienlijk </w:t>
      </w:r>
      <w:r>
        <w:t xml:space="preserve">deel van de portefeuille in een relatief korte tijd moet worden omgezet. Hoewel voortgang wordt geboekt, </w:t>
      </w:r>
      <w:r w:rsidRPr="00CB5309">
        <w:t xml:space="preserve">ligt het tempo van de omzetting nog onder het niveau dat nodig is. Uit de meest recente </w:t>
      </w:r>
      <w:r>
        <w:t xml:space="preserve">uitvraag onder verzekeraars en </w:t>
      </w:r>
      <w:proofErr w:type="spellStart"/>
      <w:r>
        <w:t>PPI’s</w:t>
      </w:r>
      <w:proofErr w:type="spellEnd"/>
      <w:r w:rsidRPr="00CB5309">
        <w:t xml:space="preserve"> blijkt bovendien dat de omzettingen sterk geconcentreerd zijn in de laatste kwartalen van de transitieperiode</w:t>
      </w:r>
      <w:r>
        <w:t xml:space="preserve"> (zie </w:t>
      </w:r>
      <w:r w:rsidR="00F43D45">
        <w:t xml:space="preserve">paragraaf 4.2 </w:t>
      </w:r>
      <w:r>
        <w:t>voor een nadere toelichting bij deze cijfers)</w:t>
      </w:r>
      <w:r w:rsidRPr="00CB5309">
        <w:t xml:space="preserve">. Dit vergroot de druk op de uitvoeringspraktijk en verhoogt het risico op capaciteitsknelpunten bij </w:t>
      </w:r>
      <w:r w:rsidRPr="00281F6F" w:rsidR="00281F6F">
        <w:t>adviseurs en uitvoerders.</w:t>
      </w:r>
      <w:r w:rsidR="00281F6F">
        <w:t xml:space="preserve"> </w:t>
      </w:r>
    </w:p>
    <w:p w:rsidRPr="00CB5309" w:rsidR="00157688" w:rsidP="00BE02B0" w:rsidRDefault="00157688" w14:paraId="4A8D5E0E" w14:textId="77777777">
      <w:pPr>
        <w:pStyle w:val="Lijstalinea"/>
      </w:pPr>
    </w:p>
    <w:p w:rsidR="00157688" w:rsidP="00BE02B0" w:rsidRDefault="00157688" w14:paraId="2C5E14CE" w14:textId="354E208E">
      <w:r>
        <w:t>Om deze situatie te</w:t>
      </w:r>
      <w:r w:rsidR="003108C0">
        <w:t xml:space="preserve"> verbeteren</w:t>
      </w:r>
      <w:r>
        <w:t xml:space="preserve">, </w:t>
      </w:r>
      <w:r w:rsidRPr="00893098" w:rsidDel="00CC5532">
        <w:t xml:space="preserve">werkt mijn ministerie </w:t>
      </w:r>
      <w:r>
        <w:t>s</w:t>
      </w:r>
      <w:r w:rsidRPr="00893098" w:rsidDel="00CC5532">
        <w:t>inds de zomer van 2025</w:t>
      </w:r>
      <w:r w:rsidRPr="00893098">
        <w:t xml:space="preserve"> samen met VNO-NCW en MKB-Nederland, FNV, Verbond van Verzekeraars en </w:t>
      </w:r>
      <w:proofErr w:type="spellStart"/>
      <w:r w:rsidRPr="00893098">
        <w:t>Adfiz</w:t>
      </w:r>
      <w:proofErr w:type="spellEnd"/>
      <w:r w:rsidRPr="00893098">
        <w:t xml:space="preserve"> onder de titel: “Actie Pensioenen Kleinbedrijf (APK)”. Het doel is om (gezamenlijke) acties op te zetten om samen met adviseurs en verzekeraars, </w:t>
      </w:r>
      <w:r w:rsidRPr="00893098">
        <w:lastRenderedPageBreak/>
        <w:t xml:space="preserve">werkgevers te activeren om zo snel mogelijk </w:t>
      </w:r>
      <w:r w:rsidR="003108C0">
        <w:t>aan der slag</w:t>
      </w:r>
      <w:r w:rsidRPr="00893098">
        <w:t xml:space="preserve"> te gaan met het omzetten van hun pensioenregelingen. </w:t>
      </w:r>
    </w:p>
    <w:p w:rsidRPr="00157688" w:rsidR="00157688" w:rsidP="00BE02B0" w:rsidRDefault="00157688" w14:paraId="3050F4E2" w14:textId="77777777">
      <w:pPr>
        <w:pStyle w:val="Lijstalinea"/>
        <w:rPr>
          <w:b/>
          <w:bCs/>
        </w:rPr>
      </w:pPr>
    </w:p>
    <w:p w:rsidRPr="00706DCB" w:rsidR="00157688" w:rsidP="00BE02B0" w:rsidRDefault="00157688" w14:paraId="2CCF57F9" w14:textId="77777777">
      <w:pPr>
        <w:rPr>
          <w:i/>
          <w:iCs/>
        </w:rPr>
      </w:pPr>
      <w:r w:rsidRPr="00706DCB">
        <w:rPr>
          <w:i/>
          <w:iCs/>
        </w:rPr>
        <w:t>Interventies onder de APK-aanpak</w:t>
      </w:r>
    </w:p>
    <w:p w:rsidR="00157688" w:rsidP="00BE02B0" w:rsidRDefault="00157688" w14:paraId="296EA514" w14:textId="71573BF0">
      <w:r w:rsidRPr="00D3008B">
        <w:t xml:space="preserve">De betrokken partijen hebben zich gecommitteerd aan </w:t>
      </w:r>
      <w:r>
        <w:t xml:space="preserve">deze </w:t>
      </w:r>
      <w:r w:rsidRPr="00D3008B">
        <w:t>gezamenlijke aanpak. Deze aanpak komt aanvullend op de inzet die individuele partijen afzonderlijk plegen.</w:t>
      </w:r>
      <w:r w:rsidR="003108C0">
        <w:t xml:space="preserve"> De gezamenlijk aanpak bestaat uit de volgende onderdelen:</w:t>
      </w:r>
    </w:p>
    <w:p w:rsidR="00157688" w:rsidP="00BE02B0" w:rsidRDefault="00157688" w14:paraId="14BFBDE5" w14:textId="77777777"/>
    <w:p w:rsidRPr="00706DCB" w:rsidR="00157688" w:rsidP="00BE02B0" w:rsidRDefault="00157688" w14:paraId="1AE4B490" w14:textId="77777777">
      <w:pPr>
        <w:rPr>
          <w:u w:val="single"/>
        </w:rPr>
      </w:pPr>
      <w:r w:rsidRPr="00706DCB">
        <w:rPr>
          <w:u w:val="single"/>
        </w:rPr>
        <w:t>Gerichte communicatie richting werkgevers</w:t>
      </w:r>
    </w:p>
    <w:p w:rsidR="00157688" w:rsidP="00BE02B0" w:rsidRDefault="00157688" w14:paraId="52EFBEE5" w14:textId="3C0B3055">
      <w:r>
        <w:t xml:space="preserve">Er is een communicatieaanpak gericht op kleine werkgevers in </w:t>
      </w:r>
      <w:r w:rsidRPr="00C70340">
        <w:t xml:space="preserve">sectoren </w:t>
      </w:r>
      <w:r>
        <w:t xml:space="preserve">met relatief veel </w:t>
      </w:r>
      <w:r w:rsidRPr="00C70340">
        <w:t xml:space="preserve">verzekerde pensioenregelingen. Waar in eerdere fases de nadruk vooral lag op het activeren van werkgevers om tijdig in actie te komen, is </w:t>
      </w:r>
      <w:r>
        <w:t>de</w:t>
      </w:r>
      <w:r w:rsidRPr="00C70340">
        <w:t xml:space="preserve"> communicatie in de huidige fase geïntensiveerd.</w:t>
      </w:r>
      <w:r>
        <w:t xml:space="preserve"> Zo is in </w:t>
      </w:r>
      <w:r w:rsidRPr="00C70340">
        <w:t xml:space="preserve">juni opnieuw een </w:t>
      </w:r>
      <w:r>
        <w:t xml:space="preserve">activeringsaanpak </w:t>
      </w:r>
      <w:r w:rsidRPr="00C70340">
        <w:t xml:space="preserve">ingezet </w:t>
      </w:r>
      <w:r>
        <w:t xml:space="preserve">richting werkgevers. De ingezette communicatie had een </w:t>
      </w:r>
      <w:r w:rsidRPr="00C70340">
        <w:t xml:space="preserve">potentieel </w:t>
      </w:r>
      <w:r>
        <w:t xml:space="preserve">maandbereik van </w:t>
      </w:r>
      <w:proofErr w:type="gramStart"/>
      <w:r w:rsidRPr="00CD2917">
        <w:t>circa</w:t>
      </w:r>
      <w:proofErr w:type="gramEnd"/>
      <w:r w:rsidRPr="00CD2917">
        <w:t xml:space="preserve"> 1,6 miljoen</w:t>
      </w:r>
      <w:r>
        <w:t>.</w:t>
      </w:r>
      <w:r w:rsidRPr="00F43D45" w:rsidR="00706DCB">
        <w:rPr>
          <w:vertAlign w:val="superscript"/>
        </w:rPr>
        <w:footnoteReference w:id="16"/>
      </w:r>
      <w:r>
        <w:t xml:space="preserve"> In deze communicatie werden werkgevers expliciet gewezen op de financiële en fiscale gevolgen van niet-tijdige omzetting. </w:t>
      </w:r>
    </w:p>
    <w:p w:rsidR="00157688" w:rsidP="00BE02B0" w:rsidRDefault="00157688" w14:paraId="527B3513" w14:textId="77777777">
      <w:pPr>
        <w:pStyle w:val="Lijstalinea"/>
      </w:pPr>
    </w:p>
    <w:p w:rsidRPr="00B773D7" w:rsidR="00157688" w:rsidP="00BE02B0" w:rsidRDefault="00157688" w14:paraId="5BB00A98" w14:textId="77777777">
      <w:r w:rsidRPr="00706DCB">
        <w:rPr>
          <w:u w:val="single"/>
        </w:rPr>
        <w:t xml:space="preserve">Activering via intermediairs </w:t>
      </w:r>
      <w:r w:rsidRPr="00706DCB">
        <w:rPr>
          <w:u w:val="single"/>
        </w:rPr>
        <w:br/>
      </w:r>
      <w:r w:rsidRPr="00626791">
        <w:t>Werkgevers worden actief bereikt via intermediairs</w:t>
      </w:r>
      <w:r>
        <w:t xml:space="preserve"> </w:t>
      </w:r>
      <w:r w:rsidRPr="00D3008B">
        <w:t>die in direct contact staan met kleine werkgevers</w:t>
      </w:r>
      <w:r>
        <w:t xml:space="preserve">, </w:t>
      </w:r>
      <w:r w:rsidRPr="00626791">
        <w:t xml:space="preserve">zoals </w:t>
      </w:r>
      <w:r>
        <w:t xml:space="preserve">(register)accountants, </w:t>
      </w:r>
      <w:r w:rsidRPr="00626791">
        <w:t>belastingadviseurs</w:t>
      </w:r>
      <w:r>
        <w:t xml:space="preserve"> en </w:t>
      </w:r>
      <w:r w:rsidRPr="00626791">
        <w:t xml:space="preserve">boekhouders. </w:t>
      </w:r>
      <w:r w:rsidRPr="00D3008B">
        <w:t>De brancheverenigingen</w:t>
      </w:r>
      <w:r>
        <w:t>/beroepsorganisaties</w:t>
      </w:r>
      <w:r w:rsidRPr="00D3008B">
        <w:t xml:space="preserve"> informeren hun leden gericht, zodat zij werkgevers in reguliere contactmomenten (zoals jaarrekeningcontrole en belastingaangifte) expliciet kunnen wijzen op de noodzaak van tijdige omzetting.</w:t>
      </w:r>
      <w:r w:rsidRPr="00706DCB">
        <w:rPr>
          <w:rFonts w:cs="Calibri"/>
        </w:rPr>
        <w:t xml:space="preserve"> Er worden informatiedocumenten verstrekt, met concrete handvatten voor kleine werkgevers waarin de acties en een bijbehorend stappenplan staan dat zij kunnen hanteren om hun regelingen tijdig om te zetten. Zo heeft </w:t>
      </w:r>
      <w:r w:rsidRPr="008D26DC">
        <w:t>de Nederlandse Beroepsorganisatie van Accountant</w:t>
      </w:r>
      <w:r>
        <w:t>s</w:t>
      </w:r>
      <w:r w:rsidRPr="008D26DC">
        <w:t xml:space="preserve"> samen met mijn ministerie </w:t>
      </w:r>
      <w:r>
        <w:t xml:space="preserve">een </w:t>
      </w:r>
      <w:proofErr w:type="spellStart"/>
      <w:r w:rsidRPr="008D26DC">
        <w:t>one</w:t>
      </w:r>
      <w:proofErr w:type="spellEnd"/>
      <w:r>
        <w:t>-</w:t>
      </w:r>
      <w:r w:rsidRPr="008D26DC">
        <w:t xml:space="preserve">pager </w:t>
      </w:r>
      <w:r>
        <w:t>gemaakt die bondig</w:t>
      </w:r>
      <w:r w:rsidRPr="007D5576">
        <w:t xml:space="preserve"> weer</w:t>
      </w:r>
      <w:r>
        <w:t>geeft</w:t>
      </w:r>
      <w:r w:rsidRPr="007D5576">
        <w:t xml:space="preserve"> wat </w:t>
      </w:r>
      <w:r>
        <w:t xml:space="preserve">de rol van de </w:t>
      </w:r>
      <w:r w:rsidRPr="007D5576">
        <w:t>mkb-accountant hierin kan zijn</w:t>
      </w:r>
      <w:r>
        <w:t>.</w:t>
      </w:r>
      <w:r>
        <w:rPr>
          <w:rStyle w:val="Voetnootmarkering"/>
        </w:rPr>
        <w:footnoteReference w:id="17"/>
      </w:r>
      <w:r w:rsidRPr="00B773D7" w:rsidDel="00B773D7">
        <w:t xml:space="preserve"> </w:t>
      </w:r>
    </w:p>
    <w:p w:rsidRPr="00B773D7" w:rsidR="00157688" w:rsidP="00BE02B0" w:rsidRDefault="00157688" w14:paraId="0B934A41" w14:textId="77777777">
      <w:pPr>
        <w:pStyle w:val="Lijstalinea"/>
      </w:pPr>
    </w:p>
    <w:p w:rsidR="00157688" w:rsidP="00BE02B0" w:rsidRDefault="00157688" w14:paraId="2C945BB5" w14:textId="77777777">
      <w:r w:rsidRPr="00706DCB">
        <w:rPr>
          <w:u w:val="single"/>
        </w:rPr>
        <w:t xml:space="preserve">Directe benadering naar werkgevers en werknemers </w:t>
      </w:r>
      <w:r w:rsidRPr="004C7CF6">
        <w:br/>
      </w:r>
      <w:r w:rsidRPr="00C5219B">
        <w:t xml:space="preserve">Er zijn </w:t>
      </w:r>
      <w:r>
        <w:t xml:space="preserve">gezamenlijke </w:t>
      </w:r>
      <w:r w:rsidRPr="00C5219B">
        <w:t xml:space="preserve">sectorafspraken gemaakt met verzekeraars en </w:t>
      </w:r>
      <w:proofErr w:type="spellStart"/>
      <w:r w:rsidRPr="00C5219B">
        <w:t>PPI’s</w:t>
      </w:r>
      <w:proofErr w:type="spellEnd"/>
      <w:r w:rsidRPr="00C5219B">
        <w:t xml:space="preserve"> over de aanpak in de resterende transitieperiode. Deze afspraken voorzien in een stapsgewijze intensivering van de benadering van werkgevers die nog onvoldoende voortgang boeken, met als doel een tijdige afronding van de transitie te bevorderen.</w:t>
      </w:r>
    </w:p>
    <w:p w:rsidR="00157688" w:rsidP="00BE02B0" w:rsidRDefault="00157688" w14:paraId="528EFC27" w14:textId="77777777"/>
    <w:p w:rsidR="00157688" w:rsidP="00BE02B0" w:rsidRDefault="00157688" w14:paraId="526C565C" w14:textId="627AA3DF">
      <w:r w:rsidRPr="00C5219B">
        <w:t xml:space="preserve">Concreet hebben verzekeraars en </w:t>
      </w:r>
      <w:proofErr w:type="spellStart"/>
      <w:r w:rsidRPr="00C5219B">
        <w:t>PPI’s</w:t>
      </w:r>
      <w:proofErr w:type="spellEnd"/>
      <w:r w:rsidRPr="00C5219B">
        <w:t xml:space="preserve"> zich gecommitteerd om uiterlijk in het voorjaar van 2027, aanvullend op het reguliere traject via pensioenadviseurs, rechtstreeks contact op te nemen met werkgevers die nog onvoldoende stappen hebben gezet richting omzetting</w:t>
      </w:r>
      <w:r w:rsidR="00C9033E">
        <w:t xml:space="preserve"> van de pensioenregeling</w:t>
      </w:r>
      <w:r w:rsidRPr="00C5219B">
        <w:t xml:space="preserve">. </w:t>
      </w:r>
      <w:r>
        <w:t xml:space="preserve">Dit betreffen vooral werkgevers </w:t>
      </w:r>
      <w:r w:rsidRPr="00787618">
        <w:t xml:space="preserve">waarvan </w:t>
      </w:r>
      <w:r>
        <w:t>het</w:t>
      </w:r>
      <w:r w:rsidRPr="00787618">
        <w:t xml:space="preserve"> huidige </w:t>
      </w:r>
      <w:r>
        <w:t xml:space="preserve">contract </w:t>
      </w:r>
      <w:r w:rsidRPr="00787618">
        <w:t>ook na 1 januari 2028 zou doorlopen</w:t>
      </w:r>
      <w:r>
        <w:t xml:space="preserve"> en </w:t>
      </w:r>
      <w:r w:rsidR="00C9033E">
        <w:t>werkgevers die beschikken over pensioen</w:t>
      </w:r>
      <w:r>
        <w:t>contracten van onbepaalde tijd. Deze werkgevers krijgen</w:t>
      </w:r>
      <w:r w:rsidRPr="00C5219B">
        <w:t xml:space="preserve"> een laatste expliciete aansporing om hun pensioenregeling </w:t>
      </w:r>
      <w:r>
        <w:t>nu</w:t>
      </w:r>
      <w:r w:rsidRPr="00C5219B">
        <w:t xml:space="preserve"> aan te passen.</w:t>
      </w:r>
      <w:r w:rsidRPr="00893098">
        <w:t xml:space="preserve"> </w:t>
      </w:r>
      <w:r w:rsidRPr="00787618">
        <w:t xml:space="preserve">Daarbij wordt ook gewezen op de gevolgen van het uitblijven van tijdige omzetting, waaronder </w:t>
      </w:r>
      <w:r>
        <w:t xml:space="preserve">dat </w:t>
      </w:r>
      <w:r w:rsidRPr="00787618">
        <w:t xml:space="preserve">de uitvoering van </w:t>
      </w:r>
      <w:r>
        <w:t xml:space="preserve">de </w:t>
      </w:r>
      <w:r w:rsidRPr="00787618">
        <w:t xml:space="preserve">pensioenregeling </w:t>
      </w:r>
      <w:r>
        <w:t>niet kan worden voortgezet en dat daardoor h</w:t>
      </w:r>
      <w:r w:rsidRPr="00787618">
        <w:t xml:space="preserve">et </w:t>
      </w:r>
      <w:r>
        <w:t xml:space="preserve">nabestaanden- en het </w:t>
      </w:r>
      <w:r w:rsidRPr="00787618">
        <w:t xml:space="preserve">arbeidsongeschiktheidspensioen voor </w:t>
      </w:r>
      <w:r>
        <w:t>de</w:t>
      </w:r>
      <w:r w:rsidRPr="00787618">
        <w:t xml:space="preserve"> werknemers </w:t>
      </w:r>
      <w:r w:rsidRPr="00A0380B">
        <w:t>niet langer verzekerd is.</w:t>
      </w:r>
    </w:p>
    <w:p w:rsidR="00157688" w:rsidP="00BE02B0" w:rsidRDefault="00157688" w14:paraId="2139DA5F" w14:textId="77777777">
      <w:pPr>
        <w:pStyle w:val="Lijstalinea"/>
      </w:pPr>
    </w:p>
    <w:p w:rsidR="00157688" w:rsidP="00BE02B0" w:rsidRDefault="00157688" w14:paraId="437B24E9" w14:textId="7B282F47">
      <w:proofErr w:type="gramStart"/>
      <w:r>
        <w:t>Indien</w:t>
      </w:r>
      <w:proofErr w:type="gramEnd"/>
      <w:r>
        <w:t xml:space="preserve"> daarna </w:t>
      </w:r>
      <w:r w:rsidRPr="00893098">
        <w:t xml:space="preserve">nog </w:t>
      </w:r>
      <w:r>
        <w:t xml:space="preserve">steeds </w:t>
      </w:r>
      <w:r w:rsidRPr="00893098">
        <w:t xml:space="preserve">onvoldoende voortgang wordt geboekt, </w:t>
      </w:r>
      <w:r>
        <w:t xml:space="preserve">wordt kort daaropvolgend </w:t>
      </w:r>
      <w:r w:rsidRPr="00893098">
        <w:t>ook</w:t>
      </w:r>
      <w:r w:rsidR="00F93859">
        <w:t xml:space="preserve"> directe</w:t>
      </w:r>
      <w:r w:rsidRPr="00893098">
        <w:t xml:space="preserve"> communicatie</w:t>
      </w:r>
      <w:r w:rsidR="00F93859">
        <w:t xml:space="preserve"> door de uitvoerders</w:t>
      </w:r>
      <w:r w:rsidRPr="00893098">
        <w:t xml:space="preserve"> richting werknemers </w:t>
      </w:r>
      <w:r>
        <w:t xml:space="preserve">ingezet. </w:t>
      </w:r>
      <w:r w:rsidRPr="00A0380B">
        <w:t>Zij worden daarbij geïnformeerd over de gevolgen voor hun pensioenregeling en kunnen hierover het gesprek met hun werkgever aangaan.</w:t>
      </w:r>
    </w:p>
    <w:p w:rsidR="00157688" w:rsidP="00BE02B0" w:rsidRDefault="00157688" w14:paraId="6643D389" w14:textId="77777777">
      <w:pPr>
        <w:pStyle w:val="Lijstalinea"/>
      </w:pPr>
    </w:p>
    <w:p w:rsidRPr="00706DCB" w:rsidR="00157688" w:rsidP="00BE02B0" w:rsidRDefault="00157688" w14:paraId="53172741" w14:textId="17DC1A6E">
      <w:pPr>
        <w:rPr>
          <w:u w:val="single"/>
        </w:rPr>
      </w:pPr>
      <w:r w:rsidRPr="00706DCB">
        <w:rPr>
          <w:u w:val="single"/>
        </w:rPr>
        <w:t>Aanvullende inzet van partijen</w:t>
      </w:r>
    </w:p>
    <w:p w:rsidR="00157688" w:rsidP="00BE02B0" w:rsidRDefault="00157688" w14:paraId="3A49C573" w14:textId="77777777">
      <w:r w:rsidRPr="00E711C8">
        <w:t xml:space="preserve">Alle betrokken partijen nemen verantwoordelijkheid om de pensioentransitie tijdig te realiseren en zetten zich op verschillende wijzen in om werkgevers te activeren. Dit leidt, bovenop de </w:t>
      </w:r>
      <w:r>
        <w:t>hierboven</w:t>
      </w:r>
      <w:r w:rsidRPr="00E711C8">
        <w:t xml:space="preserve"> beschreven </w:t>
      </w:r>
      <w:r>
        <w:t xml:space="preserve">interventies uit de </w:t>
      </w:r>
      <w:r w:rsidRPr="00E711C8">
        <w:t>gezamenlijke aanpak, tot een breed palet aan aanvullende initiatieven gericht op het informeren, ondersteunen en activeren van werkgevers. Hieronder worden enkele daarvan toegelicht.</w:t>
      </w:r>
    </w:p>
    <w:p w:rsidR="00157688" w:rsidP="00BE02B0" w:rsidRDefault="00157688" w14:paraId="3B28A8A4" w14:textId="77777777">
      <w:pPr>
        <w:pStyle w:val="Lijstalinea"/>
      </w:pPr>
    </w:p>
    <w:p w:rsidR="00157688" w:rsidP="00BE02B0" w:rsidRDefault="00157688" w14:paraId="21DA6995" w14:textId="77777777">
      <w:r w:rsidRPr="00893098">
        <w:t>O</w:t>
      </w:r>
      <w:r>
        <w:t xml:space="preserve">m </w:t>
      </w:r>
      <w:r w:rsidRPr="00893098">
        <w:t xml:space="preserve">werkgevers zich bewuster </w:t>
      </w:r>
      <w:r>
        <w:t xml:space="preserve">te laten </w:t>
      </w:r>
      <w:r w:rsidRPr="00893098">
        <w:t>worden van de urgentie om tijdig in actie te komen</w:t>
      </w:r>
      <w:r>
        <w:t xml:space="preserve"> en zij de noodzaak voelen om het proces om de regeling tijdig om te kunnen zetten nu in gang zetten, is hier </w:t>
      </w:r>
      <w:r w:rsidRPr="00893098">
        <w:t xml:space="preserve">onder meer via publicaties in landelijke media en aandacht in branche- en </w:t>
      </w:r>
      <w:proofErr w:type="spellStart"/>
      <w:r w:rsidRPr="00893098">
        <w:t>vakmedia</w:t>
      </w:r>
      <w:proofErr w:type="spellEnd"/>
      <w:r>
        <w:t xml:space="preserve"> aandacht voor gevraagd. Zo hebben bijvoorbeeld</w:t>
      </w:r>
      <w:r w:rsidRPr="00893098">
        <w:t xml:space="preserve"> de regeringscommissaris en de (voormalig) voorzitter van MKB-Nederland een gezamenlijk opiniestuk</w:t>
      </w:r>
      <w:r>
        <w:t xml:space="preserve"> gepubliceerd</w:t>
      </w:r>
      <w:r w:rsidRPr="00893098">
        <w:t xml:space="preserve"> waarin de noodzaak van tijdige omzetting publiekelijk is benadrukt</w:t>
      </w:r>
      <w:r>
        <w:t>.</w:t>
      </w:r>
      <w:r>
        <w:rPr>
          <w:rStyle w:val="Voetnootmarkering"/>
        </w:rPr>
        <w:footnoteReference w:id="18"/>
      </w:r>
      <w:r w:rsidRPr="00893098">
        <w:t xml:space="preserve"> </w:t>
      </w:r>
    </w:p>
    <w:p w:rsidRPr="00E711C8" w:rsidR="00157688" w:rsidP="00BE02B0" w:rsidRDefault="00157688" w14:paraId="53112FFA" w14:textId="77777777">
      <w:pPr>
        <w:pStyle w:val="Lijstalinea"/>
      </w:pPr>
    </w:p>
    <w:p w:rsidR="00157688" w:rsidP="00BE02B0" w:rsidRDefault="00157688" w14:paraId="556A6229" w14:textId="7717DF6A">
      <w:r w:rsidRPr="00893098">
        <w:t>VNO-NCW</w:t>
      </w:r>
      <w:r w:rsidR="005C2C03">
        <w:t xml:space="preserve">, </w:t>
      </w:r>
      <w:r w:rsidRPr="00893098">
        <w:t xml:space="preserve">MKB-Nederland en </w:t>
      </w:r>
      <w:proofErr w:type="spellStart"/>
      <w:r w:rsidRPr="00893098">
        <w:t>Adfiz</w:t>
      </w:r>
      <w:proofErr w:type="spellEnd"/>
      <w:r w:rsidRPr="00893098">
        <w:t xml:space="preserve"> hebben een urgentiebrief verspreid onder hun leden. De</w:t>
      </w:r>
      <w:r w:rsidR="00C9033E">
        <w:t xml:space="preserve"> Autoriteit Financiële Markten</w:t>
      </w:r>
      <w:r w:rsidRPr="00893098">
        <w:t xml:space="preserve"> </w:t>
      </w:r>
      <w:r w:rsidR="00C9033E">
        <w:t>(</w:t>
      </w:r>
      <w:r w:rsidRPr="00893098">
        <w:t>AFM</w:t>
      </w:r>
      <w:r w:rsidR="00C9033E">
        <w:t>)</w:t>
      </w:r>
      <w:r w:rsidRPr="00893098">
        <w:t xml:space="preserve"> heeft alle pensioenadviseurs een brief gestuurd om de urgentie van de transitie en de verantwoordelijkheid die zij daarin dragen</w:t>
      </w:r>
      <w:r>
        <w:t xml:space="preserve"> onder de aandacht te brengen</w:t>
      </w:r>
      <w:r w:rsidRPr="00893098">
        <w:t xml:space="preserve">. Verzekeraars en </w:t>
      </w:r>
      <w:proofErr w:type="spellStart"/>
      <w:r w:rsidRPr="00893098">
        <w:t>PPI’s</w:t>
      </w:r>
      <w:proofErr w:type="spellEnd"/>
      <w:r w:rsidRPr="00893098">
        <w:t xml:space="preserve"> intensiveren hun inzet om werkgevers en adviseurs gericht te informeren en te ondersteunen bij de tijdige omzetting van pensioenregelingen. </w:t>
      </w:r>
      <w:r>
        <w:t>Daarnaast</w:t>
      </w:r>
      <w:r w:rsidRPr="00893098">
        <w:t xml:space="preserve"> worden vanuit verschillende organisaties online en fysieke bijeenkomsten georganiseerd om werkgevers en adviseurs te informeren en handelingsperspectief te bieden. Ook zijn VNO-NCW en MKB-Nederland opnieuw gestart met een voucherregeling</w:t>
      </w:r>
      <w:r>
        <w:t xml:space="preserve"> </w:t>
      </w:r>
      <w:r w:rsidRPr="00893098">
        <w:t xml:space="preserve">waarmee werkgevers </w:t>
      </w:r>
      <w:r w:rsidRPr="00CD2917">
        <w:t>tot € 555</w:t>
      </w:r>
      <w:r w:rsidRPr="00893098">
        <w:t xml:space="preserve"> aan advieskosten kunnen terugvragen voor het </w:t>
      </w:r>
      <w:proofErr w:type="spellStart"/>
      <w:r w:rsidRPr="00893098">
        <w:t>Wtp-proof</w:t>
      </w:r>
      <w:proofErr w:type="spellEnd"/>
      <w:r w:rsidRPr="00893098">
        <w:t xml:space="preserve"> maken van hun pensioenregeling.</w:t>
      </w:r>
      <w:r w:rsidR="00F43D45">
        <w:rPr>
          <w:rStyle w:val="Voetnootmarkering"/>
        </w:rPr>
        <w:footnoteReference w:id="19"/>
      </w:r>
    </w:p>
    <w:p w:rsidRPr="00893098" w:rsidR="00157688" w:rsidP="00BE02B0" w:rsidRDefault="00157688" w14:paraId="6D449EA7" w14:textId="77777777">
      <w:pPr>
        <w:pStyle w:val="Lijstalinea"/>
      </w:pPr>
    </w:p>
    <w:p w:rsidRPr="00706DCB" w:rsidR="00157688" w:rsidP="00BE02B0" w:rsidRDefault="00157688" w14:paraId="7C874BC0" w14:textId="77777777">
      <w:pPr>
        <w:rPr>
          <w:i/>
        </w:rPr>
      </w:pPr>
      <w:r w:rsidRPr="00706DCB">
        <w:rPr>
          <w:i/>
        </w:rPr>
        <w:t>Monitoring en vervolg</w:t>
      </w:r>
    </w:p>
    <w:p w:rsidR="00157688" w:rsidP="00BE02B0" w:rsidRDefault="00157688" w14:paraId="6D71F1EB" w14:textId="371A2DBA">
      <w:r w:rsidRPr="00893098">
        <w:t xml:space="preserve">De voortgang van de transitie </w:t>
      </w:r>
      <w:r>
        <w:t xml:space="preserve">van regelingen uitgevoerd door verzekeraars en </w:t>
      </w:r>
      <w:proofErr w:type="spellStart"/>
      <w:r>
        <w:t>PPI’s</w:t>
      </w:r>
      <w:proofErr w:type="spellEnd"/>
      <w:r>
        <w:t xml:space="preserve"> </w:t>
      </w:r>
      <w:r w:rsidRPr="00893098">
        <w:t>wordt inmiddels vier keer per jaar gemonitord. Hierdoor ontstaat een actueel beeld van de ontwikkeling van de omzettingen. Dit maakt het mogelijk zo nodig aanvullende maatregelen te treffen of de aanpak bij te sturen als dat nodig blijkt.</w:t>
      </w:r>
    </w:p>
    <w:p w:rsidRPr="00893098" w:rsidR="00157688" w:rsidP="00BE02B0" w:rsidRDefault="00157688" w14:paraId="475AB73C" w14:textId="77777777">
      <w:pPr>
        <w:pStyle w:val="Lijstalinea"/>
      </w:pPr>
    </w:p>
    <w:p w:rsidRPr="00893098" w:rsidR="00157688" w:rsidP="00BE02B0" w:rsidRDefault="00157688" w14:paraId="7E34642A" w14:textId="0C37646A">
      <w:r w:rsidRPr="00893098">
        <w:t xml:space="preserve">Ik blijf de voortgang </w:t>
      </w:r>
      <w:r>
        <w:t>en de arbeidsvoorwaardelijke keuzes die worden gemaakt</w:t>
      </w:r>
      <w:r w:rsidRPr="00893098">
        <w:t xml:space="preserve"> nauwgezet volgen. Daarbij blijft het tempo van de omzettingen nadrukkelijk een aandachtspunt. </w:t>
      </w:r>
    </w:p>
    <w:p w:rsidRPr="00157688" w:rsidR="00157688" w:rsidP="00BE02B0" w:rsidRDefault="00157688" w14:paraId="3AF3AAA0" w14:textId="77777777">
      <w:pPr>
        <w:pStyle w:val="Lijstalinea"/>
        <w:rPr>
          <w:b/>
          <w:bCs/>
          <w:sz w:val="20"/>
          <w:szCs w:val="20"/>
        </w:rPr>
      </w:pPr>
    </w:p>
    <w:p w:rsidR="0078218D" w:rsidP="00BE02B0" w:rsidRDefault="0078218D" w14:paraId="6F139091" w14:textId="50556400">
      <w:r w:rsidRPr="00D62EEC">
        <w:rPr>
          <w:b/>
          <w:bCs/>
        </w:rPr>
        <w:t>3. Advies van de regeringscommissaris</w:t>
      </w:r>
      <w:r w:rsidRPr="00AF47A5">
        <w:t xml:space="preserve"> </w:t>
      </w:r>
    </w:p>
    <w:p w:rsidR="00440B0A" w:rsidP="00BE02B0" w:rsidRDefault="001400C8" w14:paraId="4C39F9F7" w14:textId="2FE4588D">
      <w:r>
        <w:t>Gedurende de pensioentransitie brengt d</w:t>
      </w:r>
      <w:r w:rsidRPr="00C15FBA">
        <w:t xml:space="preserve">e regeringscommissaris </w:t>
      </w:r>
      <w:r>
        <w:t xml:space="preserve">tenminste </w:t>
      </w:r>
      <w:r w:rsidR="00565F95">
        <w:t>tweemaal</w:t>
      </w:r>
      <w:r>
        <w:t xml:space="preserve"> per jaar </w:t>
      </w:r>
      <w:r w:rsidRPr="00C15FBA">
        <w:t>onafhankelijk advies uit over de voortgang van de transitie.</w:t>
      </w:r>
      <w:r>
        <w:t xml:space="preserve"> Op 18 juni 2026 heeft zij haar vijfde reguliere advies uitgebracht. </w:t>
      </w:r>
      <w:r w:rsidRPr="001400C8">
        <w:t xml:space="preserve">Het advies is gebaseerd op </w:t>
      </w:r>
      <w:r>
        <w:t xml:space="preserve">een combinatie van </w:t>
      </w:r>
      <w:r w:rsidRPr="001400C8">
        <w:t xml:space="preserve">monitoringsinformatie </w:t>
      </w:r>
      <w:r>
        <w:t xml:space="preserve">en </w:t>
      </w:r>
      <w:r w:rsidRPr="001400C8">
        <w:t xml:space="preserve">een reeks van </w:t>
      </w:r>
      <w:r w:rsidRPr="001400C8">
        <w:lastRenderedPageBreak/>
        <w:t xml:space="preserve">gesprekken die </w:t>
      </w:r>
      <w:r>
        <w:t xml:space="preserve">zij </w:t>
      </w:r>
      <w:r w:rsidRPr="001400C8">
        <w:t xml:space="preserve">in de pensioensector heeft gevoerd. </w:t>
      </w:r>
      <w:r w:rsidRPr="004C3279" w:rsidR="004C3279">
        <w:t>In deze voortgangsrapportage maak ik dankbaar gebruik van haar advie</w:t>
      </w:r>
      <w:r w:rsidR="004C3279">
        <w:t>s</w:t>
      </w:r>
      <w:r w:rsidRPr="004C3279" w:rsidR="004C3279">
        <w:t>.</w:t>
      </w:r>
    </w:p>
    <w:p w:rsidR="00440B0A" w:rsidP="00BE02B0" w:rsidRDefault="00440B0A" w14:paraId="51059599" w14:textId="77777777"/>
    <w:p w:rsidR="001400C8" w:rsidP="00BE02B0" w:rsidRDefault="00440B0A" w14:paraId="2F002255" w14:textId="0BC8B9BB">
      <w:r w:rsidRPr="00440B0A">
        <w:t xml:space="preserve">In dit </w:t>
      </w:r>
      <w:r>
        <w:t xml:space="preserve">hoofdstuk </w:t>
      </w:r>
      <w:r w:rsidRPr="00440B0A">
        <w:t>wordt</w:t>
      </w:r>
      <w:r>
        <w:t xml:space="preserve"> achtereenvolgens ingegaan op een aantal </w:t>
      </w:r>
      <w:r w:rsidRPr="00440B0A">
        <w:t>specifieke observaties en thema</w:t>
      </w:r>
      <w:r>
        <w:t>’</w:t>
      </w:r>
      <w:r w:rsidRPr="00440B0A">
        <w:t xml:space="preserve">s </w:t>
      </w:r>
      <w:r>
        <w:t>die de aandacht vragen</w:t>
      </w:r>
      <w:r w:rsidR="00565F95">
        <w:t>. Ook</w:t>
      </w:r>
      <w:r w:rsidDel="00EE6D20" w:rsidR="004C3279">
        <w:t xml:space="preserve"> </w:t>
      </w:r>
      <w:r w:rsidR="00565F95">
        <w:t>wordt</w:t>
      </w:r>
      <w:r w:rsidR="004C3279">
        <w:t xml:space="preserve"> </w:t>
      </w:r>
      <w:r w:rsidR="00565F95">
        <w:t xml:space="preserve">stilgestaan bij het </w:t>
      </w:r>
      <w:r w:rsidRPr="00440B0A">
        <w:t xml:space="preserve">advies over </w:t>
      </w:r>
      <w:r w:rsidR="004C3279">
        <w:t xml:space="preserve">de uiterste transitiedatum, </w:t>
      </w:r>
      <w:r w:rsidRPr="00440B0A">
        <w:t>1</w:t>
      </w:r>
      <w:r w:rsidR="004C3279">
        <w:t xml:space="preserve"> januari </w:t>
      </w:r>
      <w:r w:rsidRPr="00440B0A">
        <w:t>2028.</w:t>
      </w:r>
    </w:p>
    <w:p w:rsidR="001400C8" w:rsidP="00BE02B0" w:rsidRDefault="001400C8" w14:paraId="5DDF8E77" w14:textId="77777777"/>
    <w:p w:rsidR="004C3279" w:rsidP="00BE02B0" w:rsidRDefault="004C3279" w14:paraId="03AD8B55" w14:textId="01CEBC20">
      <w:pPr>
        <w:rPr>
          <w:i/>
          <w:iCs/>
        </w:rPr>
      </w:pPr>
      <w:r>
        <w:rPr>
          <w:i/>
          <w:iCs/>
        </w:rPr>
        <w:t>Specifieke observaties en thema’s</w:t>
      </w:r>
    </w:p>
    <w:p w:rsidR="00AF5D58" w:rsidP="008C378F" w:rsidRDefault="00AF5D58" w14:paraId="6B28068E" w14:textId="77777777"/>
    <w:p w:rsidRPr="00AF5D58" w:rsidR="00AF5D58" w:rsidP="008C378F" w:rsidRDefault="00AF5D58" w14:paraId="354BA068" w14:textId="38425FEE">
      <w:pPr>
        <w:rPr>
          <w:u w:val="single"/>
        </w:rPr>
      </w:pPr>
      <w:r>
        <w:rPr>
          <w:u w:val="single"/>
        </w:rPr>
        <w:t xml:space="preserve">Pensioenregelingen uitgevoerd door verzekeraars en </w:t>
      </w:r>
      <w:proofErr w:type="spellStart"/>
      <w:r>
        <w:rPr>
          <w:u w:val="single"/>
        </w:rPr>
        <w:t>PPI’s</w:t>
      </w:r>
      <w:proofErr w:type="spellEnd"/>
    </w:p>
    <w:p w:rsidRPr="00A624BF" w:rsidR="00A624BF" w:rsidP="00A624BF" w:rsidRDefault="008C378F" w14:paraId="048E6ABD" w14:textId="4C9CE6FA">
      <w:r>
        <w:t xml:space="preserve">Van de contracten die omgezet moeten worden bij verzekeraars en </w:t>
      </w:r>
      <w:proofErr w:type="spellStart"/>
      <w:r>
        <w:t>PPI’s</w:t>
      </w:r>
      <w:proofErr w:type="spellEnd"/>
      <w:r>
        <w:t xml:space="preserve"> is op </w:t>
      </w:r>
      <w:r w:rsidR="002C4ADB">
        <w:t xml:space="preserve">de </w:t>
      </w:r>
      <w:r w:rsidRPr="004C3279" w:rsidR="004C3279">
        <w:t xml:space="preserve">peildatum </w:t>
      </w:r>
      <w:r w:rsidR="002C4ADB">
        <w:t xml:space="preserve">van </w:t>
      </w:r>
      <w:r w:rsidRPr="004C3279" w:rsidR="004C3279">
        <w:t xml:space="preserve">1 januari 2026 </w:t>
      </w:r>
      <w:r>
        <w:t xml:space="preserve">respectievelijk 26% en </w:t>
      </w:r>
      <w:r w:rsidRPr="004C3279" w:rsidR="004C3279">
        <w:t xml:space="preserve">45% </w:t>
      </w:r>
      <w:r>
        <w:t xml:space="preserve">omgezet. </w:t>
      </w:r>
      <w:r w:rsidR="00A65BBE">
        <w:t>Daarnaast is te zien dat er qua aantal omzettingen zowel een piek o</w:t>
      </w:r>
      <w:r w:rsidRPr="004C3279" w:rsidR="00A65BBE">
        <w:t xml:space="preserve">p 1 januari 2027 </w:t>
      </w:r>
      <w:r w:rsidR="00A65BBE">
        <w:t xml:space="preserve">als op </w:t>
      </w:r>
      <w:r w:rsidRPr="004C3279" w:rsidR="00A65BBE">
        <w:t xml:space="preserve">1 januari 2028 </w:t>
      </w:r>
      <w:r w:rsidR="00A65BBE">
        <w:t>wordt verwacht.</w:t>
      </w:r>
      <w:r w:rsidRPr="00A65BBE" w:rsidR="00A65BBE">
        <w:t xml:space="preserve"> </w:t>
      </w:r>
      <w:r w:rsidR="00A65BBE">
        <w:t xml:space="preserve">Gezien het feit dat contracten veelal op 1 januari van een jaar aflopen, is dat ook een logisch beeld. </w:t>
      </w:r>
      <w:r>
        <w:t xml:space="preserve">In paragraaf 4.2 </w:t>
      </w:r>
      <w:r w:rsidR="002C4ADB">
        <w:t xml:space="preserve">van deze voortgangsrapportage </w:t>
      </w:r>
      <w:r>
        <w:t>wordt nader ingegaan op de onderliggende cijfers.</w:t>
      </w:r>
      <w:r w:rsidR="00F93859">
        <w:t xml:space="preserve"> </w:t>
      </w:r>
      <w:r>
        <w:t xml:space="preserve">De </w:t>
      </w:r>
      <w:r w:rsidRPr="00F52448" w:rsidR="004C3279">
        <w:t>grootste zorg</w:t>
      </w:r>
      <w:r w:rsidR="004C3279">
        <w:t xml:space="preserve"> van de regeringscommissaris </w:t>
      </w:r>
      <w:r>
        <w:t>richt zich op de groep</w:t>
      </w:r>
      <w:r w:rsidR="005B5540">
        <w:t xml:space="preserve"> </w:t>
      </w:r>
      <w:r w:rsidRPr="00F52448" w:rsidR="004C3279">
        <w:t xml:space="preserve">werkgevers die nog </w:t>
      </w:r>
      <w:r w:rsidR="004C3279">
        <w:t>niet</w:t>
      </w:r>
      <w:r w:rsidRPr="00F52448" w:rsidR="004C3279">
        <w:t xml:space="preserve"> in actie zijn gekomen</w:t>
      </w:r>
      <w:r w:rsidR="0058279C">
        <w:t>. En ook de groep</w:t>
      </w:r>
      <w:r w:rsidR="00A624BF">
        <w:t xml:space="preserve"> werkgevers die inmiddels geen adviseur meer hebben</w:t>
      </w:r>
      <w:r w:rsidR="0058279C">
        <w:t>, vraagt om aandacht</w:t>
      </w:r>
      <w:r w:rsidRPr="00F52448" w:rsidR="004C3279">
        <w:t xml:space="preserve">. </w:t>
      </w:r>
      <w:r w:rsidR="004C3279">
        <w:t xml:space="preserve">Het risico dat de </w:t>
      </w:r>
      <w:r w:rsidR="00A624BF">
        <w:t xml:space="preserve">(nieuwe) </w:t>
      </w:r>
      <w:r w:rsidR="004C3279">
        <w:t xml:space="preserve">adviseurs hen niet meer tijdig kunnen bedienen, neemt toe. </w:t>
      </w:r>
      <w:bookmarkStart w:name="3._Bespreking_ontwikkelingen" w:id="9"/>
      <w:bookmarkStart w:name="3.1_Verzekerde_regelingen" w:id="10"/>
      <w:bookmarkEnd w:id="9"/>
      <w:bookmarkEnd w:id="10"/>
    </w:p>
    <w:p w:rsidRPr="00386A02" w:rsidR="008C378F" w:rsidP="008C378F" w:rsidRDefault="008C378F" w14:paraId="6628729B" w14:textId="77777777"/>
    <w:p w:rsidRPr="004C3279" w:rsidR="004C3279" w:rsidP="00386A02" w:rsidRDefault="008C378F" w14:paraId="3743851C" w14:textId="5AB2A49B">
      <w:pPr>
        <w:rPr>
          <w:i/>
          <w:iCs/>
        </w:rPr>
      </w:pPr>
      <w:r w:rsidRPr="00386A02">
        <w:t xml:space="preserve">De regeringscommissaris geeft aan dat </w:t>
      </w:r>
      <w:r w:rsidR="00C73921">
        <w:t>het aantal adviseurs beperkt is en</w:t>
      </w:r>
      <w:r w:rsidRPr="00386A02">
        <w:t xml:space="preserve"> maatwerk in advisering kan helpen de werklast </w:t>
      </w:r>
      <w:r w:rsidR="00C73921">
        <w:t xml:space="preserve">voor adviseurs </w:t>
      </w:r>
      <w:r w:rsidRPr="00386A02">
        <w:t xml:space="preserve">te verminderen. </w:t>
      </w:r>
      <w:r w:rsidRPr="004C3279" w:rsidR="00386A02">
        <w:t>Een</w:t>
      </w:r>
      <w:r w:rsidRPr="00386A02" w:rsidR="00386A02">
        <w:t xml:space="preserve"> </w:t>
      </w:r>
      <w:r w:rsidRPr="004C3279" w:rsidR="00386A02">
        <w:t>adviestraject</w:t>
      </w:r>
      <w:r w:rsidRPr="00386A02" w:rsidR="00386A02">
        <w:t xml:space="preserve"> </w:t>
      </w:r>
      <w:r w:rsidRPr="004C3279" w:rsidR="00386A02">
        <w:t>op maat</w:t>
      </w:r>
      <w:r w:rsidRPr="00386A02" w:rsidR="00386A02">
        <w:t xml:space="preserve"> </w:t>
      </w:r>
      <w:r w:rsidRPr="004C3279" w:rsidR="00386A02">
        <w:t>kan</w:t>
      </w:r>
      <w:r w:rsidRPr="00386A02" w:rsidR="00386A02">
        <w:t xml:space="preserve"> immers </w:t>
      </w:r>
      <w:r w:rsidRPr="004C3279" w:rsidR="00386A02">
        <w:t xml:space="preserve">het aantal </w:t>
      </w:r>
      <w:proofErr w:type="spellStart"/>
      <w:r w:rsidRPr="004C3279" w:rsidR="00386A02">
        <w:t>adviesuren</w:t>
      </w:r>
      <w:proofErr w:type="spellEnd"/>
      <w:r w:rsidRPr="00386A02" w:rsidR="00386A02">
        <w:t xml:space="preserve"> </w:t>
      </w:r>
      <w:r w:rsidRPr="004C3279" w:rsidR="00386A02">
        <w:t>verminderen en daardoor mogelijk ook</w:t>
      </w:r>
      <w:r w:rsidRPr="00386A02" w:rsidR="00386A02">
        <w:t xml:space="preserve"> </w:t>
      </w:r>
      <w:r w:rsidRPr="004C3279" w:rsidR="00386A02">
        <w:t xml:space="preserve">de kosten </w:t>
      </w:r>
      <w:r w:rsidRPr="00386A02" w:rsidR="00386A02">
        <w:t>laag houden</w:t>
      </w:r>
      <w:r w:rsidRPr="004C3279" w:rsidR="00386A02">
        <w:t>. Dit kan drempelverlagend werken,</w:t>
      </w:r>
      <w:r w:rsidRPr="00386A02" w:rsidR="00386A02">
        <w:t xml:space="preserve"> </w:t>
      </w:r>
      <w:r w:rsidRPr="004C3279" w:rsidR="00386A02">
        <w:t>met name</w:t>
      </w:r>
      <w:r w:rsidRPr="00386A02" w:rsidR="00386A02">
        <w:t xml:space="preserve"> </w:t>
      </w:r>
      <w:r w:rsidRPr="004C3279" w:rsidR="00386A02">
        <w:t>voor</w:t>
      </w:r>
      <w:r w:rsidRPr="00386A02" w:rsidR="00386A02">
        <w:t xml:space="preserve"> </w:t>
      </w:r>
      <w:r w:rsidRPr="004C3279" w:rsidR="00386A02">
        <w:t>kleine werkgevers.</w:t>
      </w:r>
      <w:r w:rsidRPr="00386A02" w:rsidR="00386A02">
        <w:t xml:space="preserve"> Ik roep de sector dan ook op om </w:t>
      </w:r>
      <w:r w:rsidR="00D11A04">
        <w:t>hier</w:t>
      </w:r>
      <w:r w:rsidRPr="00386A02" w:rsidR="00D11A04">
        <w:t xml:space="preserve"> </w:t>
      </w:r>
      <w:r w:rsidRPr="00386A02" w:rsidR="00386A02">
        <w:t>waar mogelijk gebruik van te maken.</w:t>
      </w:r>
      <w:r w:rsidR="00386A02">
        <w:rPr>
          <w:i/>
          <w:iCs/>
        </w:rPr>
        <w:t xml:space="preserve"> </w:t>
      </w:r>
      <w:r>
        <w:t xml:space="preserve">Daarnaast </w:t>
      </w:r>
      <w:r w:rsidR="00C73921">
        <w:t>ondersteunt de regeringscommissaris de</w:t>
      </w:r>
      <w:r w:rsidRPr="008C378F">
        <w:t xml:space="preserve"> </w:t>
      </w:r>
      <w:r>
        <w:t xml:space="preserve">gecoördineerde aanpak van de betrokken partijen, zoals in hoofdstuk 2 </w:t>
      </w:r>
      <w:r w:rsidR="00D11A04">
        <w:t xml:space="preserve">van deze voortgangsrapportage </w:t>
      </w:r>
      <w:r w:rsidRPr="00386A02">
        <w:t>beschreven</w:t>
      </w:r>
      <w:r w:rsidR="00C73921">
        <w:t xml:space="preserve">. Deze </w:t>
      </w:r>
      <w:r w:rsidR="00C67827">
        <w:t xml:space="preserve">aanpak </w:t>
      </w:r>
      <w:r w:rsidR="00C73921">
        <w:t>kan bijdragen</w:t>
      </w:r>
      <w:r w:rsidRPr="00386A02">
        <w:t xml:space="preserve"> aan het realiseren van het</w:t>
      </w:r>
      <w:r w:rsidRPr="00386A02" w:rsidR="00386A02">
        <w:t xml:space="preserve"> omzetten van contracten. In lijn met </w:t>
      </w:r>
      <w:r w:rsidR="00D11A04">
        <w:t>het</w:t>
      </w:r>
      <w:r w:rsidRPr="00386A02" w:rsidR="00386A02">
        <w:t xml:space="preserve"> advies van de regeringscommissaris zal ik samen met de betrokken partijen </w:t>
      </w:r>
      <w:r w:rsidR="00386A02">
        <w:t xml:space="preserve">de </w:t>
      </w:r>
      <w:r w:rsidRPr="004C3279" w:rsidR="004C3279">
        <w:t xml:space="preserve">gecoördineerde actie voortzetten en blijven zoeken naar manieren om werkgevers te ondersteunen en te activeren. </w:t>
      </w:r>
      <w:r w:rsidR="00386A02">
        <w:t>Dit om te voorkomen dat werkgevers niet tijdig in actie komen, waardoor de werknemer</w:t>
      </w:r>
      <w:r w:rsidR="00D11A04">
        <w:t>s</w:t>
      </w:r>
      <w:r w:rsidR="00386A02">
        <w:t xml:space="preserve"> en de werkgevers, zoals toegelicht in haar advies, te maken krijgen met grote</w:t>
      </w:r>
      <w:r w:rsidRPr="004C3279" w:rsidR="004C3279">
        <w:rPr>
          <w:i/>
          <w:iCs/>
        </w:rPr>
        <w:t xml:space="preserve"> </w:t>
      </w:r>
      <w:r w:rsidRPr="00386A02" w:rsidR="00386A02">
        <w:t>(fiscale)</w:t>
      </w:r>
      <w:r w:rsidR="00D11A04">
        <w:t xml:space="preserve"> </w:t>
      </w:r>
      <w:r w:rsidRPr="004C3279" w:rsidR="004C3279">
        <w:t>consequenties</w:t>
      </w:r>
      <w:r w:rsidR="00386A02">
        <w:t>.</w:t>
      </w:r>
    </w:p>
    <w:p w:rsidR="004C3279" w:rsidP="004C3279" w:rsidRDefault="004C3279" w14:paraId="34566554" w14:textId="77777777">
      <w:pPr>
        <w:rPr>
          <w:i/>
          <w:iCs/>
        </w:rPr>
      </w:pPr>
    </w:p>
    <w:p w:rsidR="00AF5D58" w:rsidP="004C3279" w:rsidRDefault="00AF5D58" w14:paraId="27981437" w14:textId="366B973B">
      <w:r>
        <w:rPr>
          <w:u w:val="single"/>
        </w:rPr>
        <w:t>Pensioenregelingen uitgevoerd door pensioenfondsen</w:t>
      </w:r>
    </w:p>
    <w:p w:rsidR="00AF5D58" w:rsidP="004C3279" w:rsidRDefault="00AF5D58" w14:paraId="2B2816AF" w14:textId="068CFC65">
      <w:r w:rsidRPr="00AF5D58">
        <w:t>Wanneer de transitie</w:t>
      </w:r>
      <w:r>
        <w:t xml:space="preserve"> volgen</w:t>
      </w:r>
      <w:r w:rsidR="00565F95">
        <w:t>s</w:t>
      </w:r>
      <w:r>
        <w:t xml:space="preserve"> planning blijft verlopen </w:t>
      </w:r>
      <w:r w:rsidR="00C73921">
        <w:t>zal</w:t>
      </w:r>
      <w:r>
        <w:t xml:space="preserve"> medio 2027 </w:t>
      </w:r>
      <w:r w:rsidRPr="00AF5D58">
        <w:t xml:space="preserve">96% van de deelnemers </w:t>
      </w:r>
      <w:r>
        <w:t xml:space="preserve">met een regeling uitgevoerd door een pensioenfonds </w:t>
      </w:r>
      <w:r w:rsidRPr="00AF5D58">
        <w:t xml:space="preserve">over </w:t>
      </w:r>
      <w:r w:rsidR="00C73921">
        <w:t xml:space="preserve">zijn </w:t>
      </w:r>
      <w:r w:rsidRPr="00AF5D58">
        <w:t xml:space="preserve">naar </w:t>
      </w:r>
      <w:r w:rsidR="00565F95">
        <w:t>het nieuwe pensioenstelsel</w:t>
      </w:r>
      <w:r w:rsidRPr="00AF5D58">
        <w:t xml:space="preserve">. </w:t>
      </w:r>
      <w:r w:rsidRPr="004C3279">
        <w:t xml:space="preserve">Dat is een </w:t>
      </w:r>
      <w:r>
        <w:t xml:space="preserve">enorme </w:t>
      </w:r>
      <w:r w:rsidRPr="004C3279">
        <w:t>prestatie</w:t>
      </w:r>
      <w:r>
        <w:t xml:space="preserve"> </w:t>
      </w:r>
      <w:r w:rsidRPr="004C3279">
        <w:t xml:space="preserve">van de </w:t>
      </w:r>
      <w:r>
        <w:t xml:space="preserve">bij de transitie betrokken partijen. In paragraaf 4.1 wordt hier nader op in gegaan. </w:t>
      </w:r>
      <w:r w:rsidR="008577CB">
        <w:t xml:space="preserve">De pensioenfondsen die de transitie nog moeten maken, </w:t>
      </w:r>
      <w:r w:rsidR="00B5119E">
        <w:t xml:space="preserve">kunnen hun </w:t>
      </w:r>
      <w:r w:rsidR="008577CB">
        <w:t xml:space="preserve">voordeel </w:t>
      </w:r>
      <w:r w:rsidR="00B5119E">
        <w:t>doen met de ervaringen van eerder ingevaren pensioenfondsen, de ervaring van hun adviseur of van hun</w:t>
      </w:r>
      <w:r w:rsidR="008577CB">
        <w:t xml:space="preserve"> PUO </w:t>
      </w:r>
      <w:proofErr w:type="gramStart"/>
      <w:r w:rsidR="00B5119E">
        <w:t>indien</w:t>
      </w:r>
      <w:proofErr w:type="gramEnd"/>
      <w:r w:rsidR="00B5119E">
        <w:t xml:space="preserve"> deze de transitie</w:t>
      </w:r>
      <w:r w:rsidR="008577CB">
        <w:t xml:space="preserve"> </w:t>
      </w:r>
      <w:r w:rsidR="00B5119E">
        <w:t xml:space="preserve">al eens </w:t>
      </w:r>
      <w:r w:rsidR="00DB5F00">
        <w:t>heeft</w:t>
      </w:r>
      <w:r w:rsidR="00B5119E">
        <w:t xml:space="preserve"> </w:t>
      </w:r>
      <w:r w:rsidR="008577CB">
        <w:t>doormaakt</w:t>
      </w:r>
      <w:r w:rsidR="00B5119E">
        <w:t>.</w:t>
      </w:r>
      <w:r w:rsidR="008577CB">
        <w:t xml:space="preserve"> </w:t>
      </w:r>
      <w:r w:rsidR="00B5119E">
        <w:t>Dit kan leiden tot een</w:t>
      </w:r>
      <w:r w:rsidR="008577CB">
        <w:t xml:space="preserve"> </w:t>
      </w:r>
      <w:r w:rsidRPr="008577CB" w:rsidR="008577CB">
        <w:t xml:space="preserve">versnelling die nodig is om de transitie als geheel tijdig af te ronden. </w:t>
      </w:r>
      <w:r w:rsidR="008577CB">
        <w:t xml:space="preserve">Daarbij verwacht de regeringscommissaris dat naarmate </w:t>
      </w:r>
      <w:r w:rsidRPr="008577CB" w:rsidR="008577CB">
        <w:t>een transitie geautomatiseerd en zonder ‘</w:t>
      </w:r>
      <w:proofErr w:type="spellStart"/>
      <w:r w:rsidRPr="008577CB" w:rsidR="008577CB">
        <w:t>work-arounds</w:t>
      </w:r>
      <w:proofErr w:type="spellEnd"/>
      <w:r w:rsidRPr="008577CB" w:rsidR="008577CB">
        <w:t>’ plaatsvind</w:t>
      </w:r>
      <w:r w:rsidR="008577CB">
        <w:t>t</w:t>
      </w:r>
      <w:r w:rsidR="00744028">
        <w:t xml:space="preserve">, </w:t>
      </w:r>
      <w:r w:rsidR="00014B66">
        <w:t>de hoeveelheid nawerk afneemt</w:t>
      </w:r>
      <w:r w:rsidR="00744028">
        <w:t>.</w:t>
      </w:r>
      <w:r w:rsidR="008577CB">
        <w:t xml:space="preserve"> </w:t>
      </w:r>
      <w:r w:rsidR="00787CC3">
        <w:t>Een aantal</w:t>
      </w:r>
      <w:r w:rsidR="008577CB">
        <w:t xml:space="preserve"> </w:t>
      </w:r>
      <w:r>
        <w:t xml:space="preserve">pensioenfondsen </w:t>
      </w:r>
      <w:r w:rsidR="00787CC3">
        <w:t xml:space="preserve">is </w:t>
      </w:r>
      <w:r>
        <w:t xml:space="preserve">geconfronteerd met het feit dat hun </w:t>
      </w:r>
      <w:r w:rsidR="0046416B">
        <w:t xml:space="preserve">PUO </w:t>
      </w:r>
      <w:r>
        <w:t xml:space="preserve">gaat stoppen. </w:t>
      </w:r>
      <w:r w:rsidR="008577CB">
        <w:t xml:space="preserve">Om de transitie tijdig af te kunnen ronden, moeten zij </w:t>
      </w:r>
      <w:r w:rsidRPr="008577CB" w:rsidR="008577CB">
        <w:t xml:space="preserve">rond de zomer van 2026 </w:t>
      </w:r>
      <w:r>
        <w:t xml:space="preserve">een keuze maken voor een andere </w:t>
      </w:r>
      <w:r w:rsidRPr="00AF3164" w:rsidR="00AF3164">
        <w:t>uitvoeringsmodaliteit</w:t>
      </w:r>
      <w:r w:rsidR="00565F95">
        <w:t>.</w:t>
      </w:r>
      <w:r>
        <w:t xml:space="preserve"> De regeringscommissaris heeft goede hoop </w:t>
      </w:r>
      <w:r w:rsidRPr="007D2140">
        <w:t xml:space="preserve">dat dit </w:t>
      </w:r>
      <w:r>
        <w:t xml:space="preserve">op tijd </w:t>
      </w:r>
      <w:r w:rsidRPr="007D2140">
        <w:t>gaat lukken.</w:t>
      </w:r>
      <w:r w:rsidR="00C43281">
        <w:t xml:space="preserve"> </w:t>
      </w:r>
      <w:r w:rsidR="00203A58">
        <w:t xml:space="preserve">Ik onderschrijf het belang hiervan en roep partijen op, voor zover zij dat nog niet doen, om keuzes te maken zodat zij tijdig over kunnen naar het nieuwe pensioenstelsel. </w:t>
      </w:r>
    </w:p>
    <w:p w:rsidRPr="004C3279" w:rsidR="00AF5D58" w:rsidP="004C3279" w:rsidRDefault="00AF5D58" w14:paraId="18CB20BF" w14:textId="77777777">
      <w:pPr>
        <w:rPr>
          <w:i/>
          <w:iCs/>
        </w:rPr>
      </w:pPr>
    </w:p>
    <w:p w:rsidR="00A935F9" w:rsidP="00BE02B0" w:rsidRDefault="00A935F9" w14:paraId="4A0C99E8" w14:textId="77777777">
      <w:pPr>
        <w:rPr>
          <w:u w:val="single"/>
        </w:rPr>
      </w:pPr>
    </w:p>
    <w:p w:rsidR="001400C8" w:rsidP="00BE02B0" w:rsidRDefault="00203A58" w14:paraId="2355A0E8" w14:textId="6F5C7BF7">
      <w:pPr>
        <w:rPr>
          <w:u w:val="single"/>
        </w:rPr>
      </w:pPr>
      <w:r>
        <w:rPr>
          <w:u w:val="single"/>
        </w:rPr>
        <w:t>Toezichthouders</w:t>
      </w:r>
    </w:p>
    <w:p w:rsidR="001A1780" w:rsidP="00BE02B0" w:rsidRDefault="00203A58" w14:paraId="773D672F" w14:textId="2B2523DF">
      <w:r w:rsidRPr="00AE65C9">
        <w:t xml:space="preserve">DNB </w:t>
      </w:r>
      <w:r>
        <w:t xml:space="preserve">en AFM beschikken over </w:t>
      </w:r>
      <w:r w:rsidRPr="00AE65C9">
        <w:t>voldoende capaciteit om de implementatie</w:t>
      </w:r>
      <w:r>
        <w:t>- respectievelijk communicatie</w:t>
      </w:r>
      <w:r w:rsidRPr="00AE65C9">
        <w:t xml:space="preserve">plannen te beoordelen. </w:t>
      </w:r>
      <w:r>
        <w:t xml:space="preserve">DNB gaat, met het oog op de resterende transitieperiode, </w:t>
      </w:r>
      <w:r w:rsidRPr="00AE65C9">
        <w:t>strenger toezien op het tijdig aanleveren</w:t>
      </w:r>
      <w:r>
        <w:t xml:space="preserve"> van</w:t>
      </w:r>
      <w:r w:rsidRPr="00AE65C9">
        <w:t xml:space="preserve"> implementatieplannen</w:t>
      </w:r>
      <w:r>
        <w:t xml:space="preserve"> in het laatste jaar. Dat betekent dat </w:t>
      </w:r>
      <w:r w:rsidR="00787CC3">
        <w:t xml:space="preserve">DNB verwacht </w:t>
      </w:r>
      <w:r>
        <w:t xml:space="preserve">dat de plannen uiterlijk 12 maanden voor de beoogde transitiedatum ter toetsing aan DNB </w:t>
      </w:r>
      <w:r w:rsidR="00787CC3">
        <w:t>zijn ingediend</w:t>
      </w:r>
      <w:r>
        <w:t xml:space="preserve">. </w:t>
      </w:r>
      <w:r w:rsidR="001A1780">
        <w:t xml:space="preserve">Om de beoordelingen soepeler te laten verlopen, investeert </w:t>
      </w:r>
      <w:r w:rsidRPr="001A1780" w:rsidR="001A1780">
        <w:t xml:space="preserve">DNB in het verspreiden van kennis over wat wordt </w:t>
      </w:r>
      <w:r w:rsidRPr="001A1780" w:rsidR="00565F95">
        <w:t xml:space="preserve">verwacht </w:t>
      </w:r>
      <w:r w:rsidRPr="001A1780" w:rsidR="001A1780">
        <w:t>in het kader van de beoordeling en organiseert hiervoor</w:t>
      </w:r>
      <w:r w:rsidR="001A1780">
        <w:t xml:space="preserve"> onder andere</w:t>
      </w:r>
      <w:r w:rsidRPr="001A1780" w:rsidR="001A1780">
        <w:t xml:space="preserve"> samen met </w:t>
      </w:r>
      <w:r w:rsidR="00565F95">
        <w:t xml:space="preserve">de </w:t>
      </w:r>
      <w:r w:rsidRPr="001A1780" w:rsidR="001A1780">
        <w:t xml:space="preserve">Pensioenfederatie zogeheten ‘ronde tafels’. </w:t>
      </w:r>
    </w:p>
    <w:p w:rsidR="001A1780" w:rsidP="00BE02B0" w:rsidRDefault="001A1780" w14:paraId="35AD3149" w14:textId="77777777"/>
    <w:p w:rsidRPr="001A1780" w:rsidR="001A1780" w:rsidP="001A1780" w:rsidRDefault="00203A58" w14:paraId="15D5EBFC" w14:textId="0918EC13">
      <w:r w:rsidRPr="00AE65C9">
        <w:t xml:space="preserve">Ook de AFM is toegerust om de komende </w:t>
      </w:r>
      <w:r w:rsidR="00565F95">
        <w:t xml:space="preserve">tijd de </w:t>
      </w:r>
      <w:r w:rsidRPr="00AE65C9">
        <w:t>beoordelingen uit te voeren. De kwaliteit van de communicatieplannen</w:t>
      </w:r>
      <w:r w:rsidR="00557538">
        <w:t xml:space="preserve"> is voldoende, </w:t>
      </w:r>
      <w:r w:rsidRPr="00AE65C9">
        <w:t>maar er is nog ruimte voor verbetering</w:t>
      </w:r>
      <w:r w:rsidR="001A1780">
        <w:t xml:space="preserve">. Ook ziet de AFM nog een wisselende kwaliteit </w:t>
      </w:r>
      <w:r w:rsidRPr="00AE65C9">
        <w:t>van de (prognose) transitieoverzichten.</w:t>
      </w:r>
      <w:r w:rsidR="001A1780">
        <w:t xml:space="preserve"> In hoofdstuk 5 </w:t>
      </w:r>
      <w:r w:rsidR="007A27A6">
        <w:t xml:space="preserve">van deze voortgangsrapportage </w:t>
      </w:r>
      <w:r w:rsidR="001A1780">
        <w:t xml:space="preserve">ga ik uitgebreid in op de ervaringen van deelnemers met de transitie. Ik roep </w:t>
      </w:r>
      <w:r w:rsidRPr="001A1780" w:rsidR="001A1780">
        <w:t xml:space="preserve">pensioenfondsen, verzekeraars en </w:t>
      </w:r>
      <w:proofErr w:type="spellStart"/>
      <w:r w:rsidRPr="001A1780" w:rsidR="001A1780">
        <w:t>PPI’s</w:t>
      </w:r>
      <w:proofErr w:type="spellEnd"/>
      <w:r w:rsidRPr="001A1780" w:rsidR="001A1780">
        <w:t xml:space="preserve"> op hun transitieoverzichten te verbeteren door gebruik te maken van de</w:t>
      </w:r>
      <w:r w:rsidR="00565F95">
        <w:t xml:space="preserve"> </w:t>
      </w:r>
      <w:r w:rsidRPr="001A1780" w:rsidR="001A1780">
        <w:t xml:space="preserve">informatie die ter beschikking wordt gesteld door </w:t>
      </w:r>
      <w:r w:rsidR="00565F95">
        <w:t xml:space="preserve">de </w:t>
      </w:r>
      <w:r w:rsidRPr="001A1780" w:rsidR="001A1780">
        <w:t>Pensioenfederatie en de AFM.</w:t>
      </w:r>
      <w:r w:rsidRPr="001A1780" w:rsidR="001A1780">
        <w:rPr>
          <w:rStyle w:val="Voetnootmarkering"/>
        </w:rPr>
        <w:footnoteReference w:id="20"/>
      </w:r>
      <w:r w:rsidRPr="001A1780" w:rsidR="001A1780">
        <w:t xml:space="preserve"> Op die manier verbetert de deelnemersinformatie.</w:t>
      </w:r>
    </w:p>
    <w:p w:rsidR="001A1780" w:rsidP="00BE02B0" w:rsidRDefault="001A1780" w14:paraId="2C1D8472" w14:textId="77777777">
      <w:pPr>
        <w:rPr>
          <w:u w:val="single"/>
        </w:rPr>
      </w:pPr>
    </w:p>
    <w:p w:rsidR="00547F36" w:rsidP="00547F36" w:rsidRDefault="004123CC" w14:paraId="3530984A" w14:textId="3E170E7F">
      <w:r>
        <w:rPr>
          <w:i/>
          <w:iCs/>
        </w:rPr>
        <w:t>Uiterste transitiedatum</w:t>
      </w:r>
    </w:p>
    <w:p w:rsidRPr="0071135C" w:rsidR="00547F36" w:rsidP="00547F36" w:rsidRDefault="00547F36" w14:paraId="53863581" w14:textId="7078BF8C">
      <w:pPr>
        <w:rPr>
          <w:u w:val="single"/>
        </w:rPr>
      </w:pPr>
      <w:bookmarkStart w:name="_Hlk233030991" w:id="11"/>
      <w:r>
        <w:t xml:space="preserve">De regeringscommissaris constateert </w:t>
      </w:r>
      <w:r w:rsidRPr="00547F36">
        <w:t xml:space="preserve">dat er met volle kracht wordt doorgewerkt om de uiterste </w:t>
      </w:r>
      <w:r w:rsidR="00565F95">
        <w:t>transitiedatum</w:t>
      </w:r>
      <w:r w:rsidRPr="00547F36" w:rsidR="00565F95">
        <w:t xml:space="preserve"> </w:t>
      </w:r>
      <w:r w:rsidRPr="00547F36">
        <w:t>te halen.</w:t>
      </w:r>
      <w:r>
        <w:t xml:space="preserve"> Zij geeft aan dat de hierbij betrokken partijen</w:t>
      </w:r>
      <w:r w:rsidRPr="00547F36">
        <w:t xml:space="preserve"> </w:t>
      </w:r>
      <w:r>
        <w:t>voldoende tijd hebben, m</w:t>
      </w:r>
      <w:r w:rsidRPr="00547F36">
        <w:t xml:space="preserve">aar </w:t>
      </w:r>
      <w:r>
        <w:t xml:space="preserve">dat </w:t>
      </w:r>
      <w:r w:rsidRPr="00547F36">
        <w:t xml:space="preserve">sommige partijen wel op </w:t>
      </w:r>
      <w:r w:rsidR="00565F95">
        <w:t>het</w:t>
      </w:r>
      <w:r w:rsidRPr="00547F36" w:rsidR="00565F95">
        <w:t xml:space="preserve"> </w:t>
      </w:r>
      <w:r w:rsidRPr="00547F36">
        <w:t>kritieke pad</w:t>
      </w:r>
      <w:r>
        <w:t xml:space="preserve"> zitten.</w:t>
      </w:r>
      <w:r w:rsidR="004123CC">
        <w:t xml:space="preserve"> Alles afwegend ziet</w:t>
      </w:r>
      <w:r w:rsidRPr="00763674" w:rsidDel="004123CC" w:rsidR="004123CC">
        <w:t xml:space="preserve"> </w:t>
      </w:r>
      <w:r w:rsidRPr="00763674" w:rsidR="004123CC">
        <w:t>de regeringscommissaris</w:t>
      </w:r>
      <w:r w:rsidRPr="00763674" w:rsidDel="004123CC" w:rsidR="004123CC">
        <w:t xml:space="preserve"> </w:t>
      </w:r>
      <w:r w:rsidRPr="00763674" w:rsidR="004123CC">
        <w:t>geen aanleiding te adviseren de uiterste transitiedatum te verschuiven.</w:t>
      </w:r>
      <w:r w:rsidR="004123CC">
        <w:t xml:space="preserve"> </w:t>
      </w:r>
      <w:r w:rsidRPr="00547F36">
        <w:t xml:space="preserve">In </w:t>
      </w:r>
      <w:r w:rsidR="006D42F8">
        <w:t>het</w:t>
      </w:r>
      <w:r w:rsidRPr="00547F36">
        <w:t xml:space="preserve"> voorjaar </w:t>
      </w:r>
      <w:r w:rsidR="006D42F8">
        <w:t xml:space="preserve">van </w:t>
      </w:r>
      <w:r w:rsidRPr="00547F36">
        <w:t xml:space="preserve">2027 zal duidelijk </w:t>
      </w:r>
      <w:r w:rsidR="0058279C">
        <w:t xml:space="preserve">worden </w:t>
      </w:r>
      <w:r w:rsidRPr="00547F36">
        <w:t xml:space="preserve">in hoeverre </w:t>
      </w:r>
      <w:r w:rsidR="0058279C">
        <w:t xml:space="preserve">de </w:t>
      </w:r>
      <w:r w:rsidR="006D42F8">
        <w:t xml:space="preserve">op 1 januari 2027 </w:t>
      </w:r>
      <w:r w:rsidR="0058279C">
        <w:t>geplande transitie</w:t>
      </w:r>
      <w:r w:rsidR="006D42F8">
        <w:t>s</w:t>
      </w:r>
      <w:r w:rsidR="0058279C">
        <w:t xml:space="preserve"> gerealiseerd </w:t>
      </w:r>
      <w:r w:rsidRPr="00547F36">
        <w:t>zijn</w:t>
      </w:r>
      <w:r w:rsidR="0058279C">
        <w:t>.</w:t>
      </w:r>
      <w:r w:rsidRPr="00547F36">
        <w:t xml:space="preserve"> </w:t>
      </w:r>
      <w:r>
        <w:t xml:space="preserve">Dat is dan ook </w:t>
      </w:r>
      <w:r w:rsidR="006D42F8">
        <w:t>de periode waarin</w:t>
      </w:r>
      <w:r>
        <w:t xml:space="preserve"> </w:t>
      </w:r>
      <w:r w:rsidR="007F6C03">
        <w:t>bezien</w:t>
      </w:r>
      <w:r>
        <w:t xml:space="preserve"> word</w:t>
      </w:r>
      <w:r w:rsidR="007F6C03">
        <w:t>t</w:t>
      </w:r>
      <w:r>
        <w:t xml:space="preserve"> in hoeverre de transitie op 1 januari 2028 </w:t>
      </w:r>
      <w:r w:rsidR="00565F95">
        <w:t>volledig</w:t>
      </w:r>
      <w:r>
        <w:t xml:space="preserve"> gerealiseerd kan worden. In navolging van het advies van de regeringscommissaris zal ik dan ook op de a</w:t>
      </w:r>
      <w:r w:rsidRPr="001866DA">
        <w:t>ankomende weegmomenten,</w:t>
      </w:r>
      <w:r>
        <w:t xml:space="preserve"> begin en medio 20</w:t>
      </w:r>
      <w:r w:rsidRPr="001866DA">
        <w:t xml:space="preserve">27, </w:t>
      </w:r>
      <w:r w:rsidR="0058279C">
        <w:t>na overleg</w:t>
      </w:r>
      <w:r w:rsidRPr="001866DA">
        <w:t xml:space="preserve"> met de toezichthouders bezien hoe de transitie ervoor staat en/of er aanvullende maatregelen nodig zijn om de transitie tijdig te realiseren. </w:t>
      </w:r>
      <w:r>
        <w:t>Het advies van de regeringscommissaris is daarbij van groot belang.</w:t>
      </w:r>
    </w:p>
    <w:p w:rsidR="00547F36" w:rsidP="00547F36" w:rsidRDefault="00547F36" w14:paraId="0E2599B4" w14:textId="77777777"/>
    <w:p w:rsidR="00B61281" w:rsidP="00BF7BD6" w:rsidRDefault="00B5119E" w14:paraId="764FC94F" w14:textId="00CACDB9">
      <w:r>
        <w:t>Ook zal ik i</w:t>
      </w:r>
      <w:r w:rsidR="006A0165">
        <w:t xml:space="preserve">n lijn met </w:t>
      </w:r>
      <w:r w:rsidR="00155A6C">
        <w:t>het</w:t>
      </w:r>
      <w:r w:rsidR="006A0165">
        <w:t xml:space="preserve"> advies van de regeringscommissaris samen met de betrokken partijen de komende tijd gebruiken om </w:t>
      </w:r>
      <w:r w:rsidRPr="006A0165" w:rsidR="006A0165">
        <w:t>oplossingsrichtingen te verkennen</w:t>
      </w:r>
      <w:r w:rsidR="006A0165">
        <w:t xml:space="preserve"> </w:t>
      </w:r>
      <w:r w:rsidRPr="006A0165" w:rsidR="006A0165">
        <w:t xml:space="preserve">zodat </w:t>
      </w:r>
      <w:r w:rsidR="006A0165">
        <w:t xml:space="preserve">zoveel mogelijk wordt voorkomen dat </w:t>
      </w:r>
      <w:r w:rsidRPr="006A0165" w:rsidR="006A0165">
        <w:t>deelnemers te</w:t>
      </w:r>
      <w:r w:rsidR="006A0165">
        <w:t xml:space="preserve"> </w:t>
      </w:r>
      <w:r w:rsidRPr="006A0165" w:rsidR="006A0165">
        <w:t>maken krijgen met ver</w:t>
      </w:r>
      <w:r w:rsidR="00565F95">
        <w:t>re</w:t>
      </w:r>
      <w:r w:rsidRPr="006A0165" w:rsidR="006A0165">
        <w:t>gaande fiscale conseque</w:t>
      </w:r>
      <w:r w:rsidR="006A0165">
        <w:t>n</w:t>
      </w:r>
      <w:r w:rsidRPr="006A0165" w:rsidR="006A0165">
        <w:t xml:space="preserve">ties. </w:t>
      </w:r>
    </w:p>
    <w:p w:rsidRPr="00763674" w:rsidR="000D57C4" w:rsidP="000D57C4" w:rsidRDefault="000D57C4" w14:paraId="24208073" w14:textId="77777777">
      <w:pPr>
        <w:pStyle w:val="Geenafstand"/>
        <w:rPr>
          <w:lang w:val="nl-NL"/>
        </w:rPr>
      </w:pPr>
      <w:bookmarkStart w:name="5._Conclusie" w:id="12"/>
      <w:bookmarkEnd w:id="11"/>
      <w:bookmarkEnd w:id="12"/>
    </w:p>
    <w:p w:rsidR="0078218D" w:rsidP="00BE02B0" w:rsidRDefault="0078218D" w14:paraId="3564D373" w14:textId="77777777">
      <w:r w:rsidRPr="00D62EEC">
        <w:rPr>
          <w:b/>
          <w:bCs/>
        </w:rPr>
        <w:t>4. Voortgang transitie</w:t>
      </w:r>
      <w:r w:rsidRPr="00AF47A5">
        <w:t xml:space="preserve"> </w:t>
      </w:r>
    </w:p>
    <w:p w:rsidR="00246DBB" w:rsidP="00BE02B0" w:rsidRDefault="0050362E" w14:paraId="7EDEFB4E" w14:textId="7A82C191">
      <w:pPr>
        <w:pStyle w:val="WitregelW1bodytekst"/>
        <w:spacing w:line="240" w:lineRule="atLeast"/>
      </w:pPr>
      <w:r>
        <w:t>De pensioentransitie is op stoom. De sector bevindt zich in verschillende fase</w:t>
      </w:r>
      <w:r w:rsidR="00246DBB">
        <w:t>s</w:t>
      </w:r>
      <w:r>
        <w:t xml:space="preserve"> van de transitie</w:t>
      </w:r>
      <w:r w:rsidR="00246DBB">
        <w:t>:</w:t>
      </w:r>
      <w:r>
        <w:t xml:space="preserve"> </w:t>
      </w:r>
    </w:p>
    <w:p w:rsidR="00246DBB" w:rsidP="00BE02B0" w:rsidRDefault="00C9033E" w14:paraId="571DBE8D" w14:textId="0149826D">
      <w:pPr>
        <w:pStyle w:val="WitregelW1bodytekst"/>
        <w:numPr>
          <w:ilvl w:val="0"/>
          <w:numId w:val="24"/>
        </w:numPr>
        <w:spacing w:line="240" w:lineRule="atLeast"/>
      </w:pPr>
      <w:r>
        <w:t>De</w:t>
      </w:r>
      <w:r w:rsidR="0050362E">
        <w:t xml:space="preserve"> eerste groep pensioenuitvoerders heeft in de afgelopen drie jaar de transitie gerealiseerd en doet nu ervaring op in het nieuwe pensioenstelsel. </w:t>
      </w:r>
    </w:p>
    <w:p w:rsidR="00246DBB" w:rsidP="00BE02B0" w:rsidRDefault="00C9033E" w14:paraId="439CE8F6" w14:textId="066FDD6F">
      <w:pPr>
        <w:pStyle w:val="WitregelW1bodytekst"/>
        <w:numPr>
          <w:ilvl w:val="0"/>
          <w:numId w:val="24"/>
        </w:numPr>
        <w:spacing w:line="240" w:lineRule="atLeast"/>
      </w:pPr>
      <w:r>
        <w:t>De</w:t>
      </w:r>
      <w:r w:rsidR="0050362E">
        <w:t xml:space="preserve"> tweede groep is momenteel de voorbereidingen aan het treffen om de transitie op de voorgenomen transitiedatum te realiseren. </w:t>
      </w:r>
    </w:p>
    <w:p w:rsidR="00DA4428" w:rsidP="00DA4428" w:rsidRDefault="00C9033E" w14:paraId="16752227" w14:textId="75665D14">
      <w:pPr>
        <w:pStyle w:val="WitregelW1bodytekst"/>
        <w:numPr>
          <w:ilvl w:val="0"/>
          <w:numId w:val="24"/>
        </w:numPr>
        <w:spacing w:line="240" w:lineRule="atLeast"/>
      </w:pPr>
      <w:r>
        <w:t>De</w:t>
      </w:r>
      <w:r w:rsidR="0050362E">
        <w:t xml:space="preserve"> derde groep</w:t>
      </w:r>
      <w:r w:rsidR="00D060FD">
        <w:t xml:space="preserve">, met name bestaande uit verzekeraars en </w:t>
      </w:r>
      <w:proofErr w:type="spellStart"/>
      <w:r w:rsidR="00D060FD">
        <w:t>PP</w:t>
      </w:r>
      <w:r w:rsidR="00435BB8">
        <w:t>I</w:t>
      </w:r>
      <w:r w:rsidR="00D060FD">
        <w:t>’s</w:t>
      </w:r>
      <w:proofErr w:type="spellEnd"/>
      <w:r w:rsidR="00D060FD">
        <w:t>,</w:t>
      </w:r>
      <w:r w:rsidR="0050362E">
        <w:t xml:space="preserve"> </w:t>
      </w:r>
      <w:r w:rsidR="00DA4428">
        <w:t xml:space="preserve">heeft al een deel van de transitie gerealiseerd, maar wacht voor het overige deel nog op </w:t>
      </w:r>
      <w:r w:rsidR="00DA4428">
        <w:lastRenderedPageBreak/>
        <w:t>besluiten van de werkgevers.</w:t>
      </w:r>
      <w:r w:rsidR="00CD2516">
        <w:t xml:space="preserve"> Zoals in hoofdstuk 2 is beschreven zetten </w:t>
      </w:r>
      <w:r w:rsidRPr="00CD2516" w:rsidR="00CD2516">
        <w:t>adviseurs</w:t>
      </w:r>
      <w:r w:rsidR="00CD2516">
        <w:t xml:space="preserve">, verzekeraars en </w:t>
      </w:r>
      <w:proofErr w:type="spellStart"/>
      <w:r w:rsidR="00CD2516">
        <w:t>PPI’s</w:t>
      </w:r>
      <w:proofErr w:type="spellEnd"/>
      <w:r w:rsidR="00CD2516">
        <w:t xml:space="preserve"> in op het ondersteunen, motiveren en activeren van werkgevers. </w:t>
      </w:r>
    </w:p>
    <w:p w:rsidR="0078218D" w:rsidP="00BE02B0" w:rsidRDefault="00C9033E" w14:paraId="2EAA4095" w14:textId="11707861">
      <w:pPr>
        <w:pStyle w:val="WitregelW1bodytekst"/>
        <w:numPr>
          <w:ilvl w:val="0"/>
          <w:numId w:val="24"/>
        </w:numPr>
        <w:spacing w:line="240" w:lineRule="atLeast"/>
      </w:pPr>
      <w:r>
        <w:t>De</w:t>
      </w:r>
      <w:r w:rsidR="004C1A86">
        <w:t xml:space="preserve"> </w:t>
      </w:r>
      <w:r w:rsidR="00246DBB">
        <w:t xml:space="preserve">vierde </w:t>
      </w:r>
      <w:r w:rsidR="004C1A86">
        <w:t>groep</w:t>
      </w:r>
      <w:r w:rsidR="004C4DB7">
        <w:t xml:space="preserve">, bestaande uit zowel pensioenfondsen als verzekeraars en </w:t>
      </w:r>
      <w:proofErr w:type="spellStart"/>
      <w:r w:rsidR="004C4DB7">
        <w:t>PPI’s</w:t>
      </w:r>
      <w:proofErr w:type="spellEnd"/>
      <w:r w:rsidR="004C4DB7">
        <w:t>,</w:t>
      </w:r>
      <w:r w:rsidR="004C1A86">
        <w:t xml:space="preserve"> moet in de resterende tijd tot 1 januari 2028 hard aan de slag om tijdig over te stappen naar het nieuwe pensioenstelsel. Zij </w:t>
      </w:r>
      <w:r w:rsidR="00246DBB">
        <w:t xml:space="preserve">moeten </w:t>
      </w:r>
      <w:r w:rsidR="004C1A86">
        <w:t xml:space="preserve">de komende tijd keuzes maken en in de resterende anderhalf jaar de benodigde stappen zetten.  </w:t>
      </w:r>
      <w:r w:rsidR="0050362E">
        <w:t xml:space="preserve"> </w:t>
      </w:r>
    </w:p>
    <w:p w:rsidR="0050362E" w:rsidP="00BE02B0" w:rsidRDefault="0050362E" w14:paraId="6589AA40" w14:textId="77777777"/>
    <w:p w:rsidRPr="00B05CD4" w:rsidR="00180316" w:rsidP="00BE02B0" w:rsidRDefault="00B05CD4" w14:paraId="6143FEEA" w14:textId="5DCBCC0C">
      <w:r w:rsidRPr="00B05CD4">
        <w:t xml:space="preserve">Dit hoofdstuk gaat </w:t>
      </w:r>
      <w:r w:rsidR="00180316">
        <w:t xml:space="preserve">achtereenvolgens in op de stand van de transitie bij </w:t>
      </w:r>
    </w:p>
    <w:p w:rsidR="00B05CD4" w:rsidP="00BE02B0" w:rsidRDefault="00C9033E" w14:paraId="10FEAEC2" w14:textId="4DCF8B6D">
      <w:proofErr w:type="gramStart"/>
      <w:r>
        <w:t>p</w:t>
      </w:r>
      <w:r w:rsidRPr="00B05CD4" w:rsidR="00B05CD4">
        <w:t>ensioenfondsen</w:t>
      </w:r>
      <w:proofErr w:type="gramEnd"/>
      <w:r w:rsidR="00180316">
        <w:t xml:space="preserve"> en verzekeraars en </w:t>
      </w:r>
      <w:proofErr w:type="spellStart"/>
      <w:r w:rsidR="00180316">
        <w:t>PPI’s</w:t>
      </w:r>
      <w:proofErr w:type="spellEnd"/>
      <w:r w:rsidRPr="00B05CD4" w:rsidR="00B05CD4">
        <w:t xml:space="preserve"> (paragraaf 4.</w:t>
      </w:r>
      <w:r w:rsidR="009F01DA">
        <w:t>1</w:t>
      </w:r>
      <w:r w:rsidR="00180316">
        <w:t xml:space="preserve"> en 4.</w:t>
      </w:r>
      <w:r w:rsidR="009F01DA">
        <w:t>2</w:t>
      </w:r>
      <w:r w:rsidR="00180316">
        <w:t>), de kosten die met de transitie naar het nieuwe pensioenstelsel gepaard gaan (paragraaf 4.</w:t>
      </w:r>
      <w:r w:rsidR="009F01DA">
        <w:t>3</w:t>
      </w:r>
      <w:r w:rsidR="00180316">
        <w:t>)</w:t>
      </w:r>
      <w:r w:rsidR="00417F6E">
        <w:t>, het compensatievraagstuk (paragraaf 4.</w:t>
      </w:r>
      <w:r w:rsidR="009F01DA">
        <w:t>4</w:t>
      </w:r>
      <w:r w:rsidR="00417F6E">
        <w:t xml:space="preserve">) </w:t>
      </w:r>
      <w:r w:rsidR="00180316">
        <w:t>en de transitiecommissie (paragraaf 4.</w:t>
      </w:r>
      <w:r w:rsidR="009F01DA">
        <w:t>5</w:t>
      </w:r>
      <w:r w:rsidR="00180316">
        <w:t xml:space="preserve">). </w:t>
      </w:r>
      <w:r w:rsidRPr="00B05CD4" w:rsidR="00B05CD4">
        <w:t xml:space="preserve"> </w:t>
      </w:r>
    </w:p>
    <w:p w:rsidR="009F01DA" w:rsidP="00BE02B0" w:rsidRDefault="009F01DA" w14:paraId="7BE49475" w14:textId="77777777">
      <w:pPr>
        <w:rPr>
          <w:b/>
          <w:bCs/>
        </w:rPr>
      </w:pPr>
    </w:p>
    <w:p w:rsidRPr="005A1810" w:rsidR="005A1810" w:rsidP="00BE02B0" w:rsidRDefault="006F2178" w14:paraId="0B5ECEF8" w14:textId="4B723761">
      <w:pPr>
        <w:pStyle w:val="WitregelW1bodytekst"/>
        <w:spacing w:line="240" w:lineRule="atLeast"/>
        <w:rPr>
          <w:b/>
          <w:bCs/>
        </w:rPr>
      </w:pPr>
      <w:r w:rsidRPr="006F2178">
        <w:rPr>
          <w:b/>
          <w:bCs/>
        </w:rPr>
        <w:t xml:space="preserve">4.1 </w:t>
      </w:r>
      <w:r w:rsidRPr="005A1810" w:rsidR="005A1810">
        <w:rPr>
          <w:b/>
          <w:bCs/>
        </w:rPr>
        <w:t>Pensioenfondsen</w:t>
      </w:r>
    </w:p>
    <w:p w:rsidR="00246DBB" w:rsidP="00BE02B0" w:rsidRDefault="00C9033E" w14:paraId="5265002D" w14:textId="3533A8FA">
      <w:r w:rsidRPr="00561255">
        <w:t>Pensioenfondsen bevinden zich momenteel in verschillende fases van de transitie. De eerste</w:t>
      </w:r>
      <w:r w:rsidRPr="00561255" w:rsidR="0070121B">
        <w:t xml:space="preserve"> </w:t>
      </w:r>
      <w:r w:rsidRPr="00933906" w:rsidR="0070121B">
        <w:t>vier</w:t>
      </w:r>
      <w:r w:rsidRPr="00561255" w:rsidR="0070121B">
        <w:t xml:space="preserve"> pensioenfondsen/</w:t>
      </w:r>
      <w:r w:rsidR="005B4407">
        <w:t>-</w:t>
      </w:r>
      <w:r w:rsidRPr="00561255" w:rsidR="0070121B">
        <w:t xml:space="preserve">kringen </w:t>
      </w:r>
      <w:r w:rsidRPr="00561255">
        <w:t xml:space="preserve">zijn </w:t>
      </w:r>
      <w:r w:rsidRPr="00561255" w:rsidR="0070121B">
        <w:t xml:space="preserve">in de eerste helft van 2025 </w:t>
      </w:r>
      <w:r w:rsidRPr="00561255">
        <w:t xml:space="preserve">ingevaren </w:t>
      </w:r>
      <w:r w:rsidRPr="00561255" w:rsidR="0070121B">
        <w:t xml:space="preserve">en zij </w:t>
      </w:r>
      <w:r w:rsidRPr="00561255">
        <w:t xml:space="preserve">opereren inmiddels in het nieuwe stelsel. Daarnaast hebben </w:t>
      </w:r>
      <w:r w:rsidRPr="00933906" w:rsidR="008E3962">
        <w:t>3</w:t>
      </w:r>
      <w:r w:rsidR="001A6EB9">
        <w:t>8</w:t>
      </w:r>
      <w:r w:rsidRPr="00561255" w:rsidR="0070121B">
        <w:t xml:space="preserve"> pensioen</w:t>
      </w:r>
      <w:r w:rsidRPr="00561255">
        <w:t>fondsen</w:t>
      </w:r>
      <w:r w:rsidRPr="00561255" w:rsidR="0070121B">
        <w:t>/</w:t>
      </w:r>
      <w:r w:rsidR="005B4407">
        <w:t>-</w:t>
      </w:r>
      <w:r w:rsidRPr="00561255" w:rsidR="0070121B">
        <w:t>kringen</w:t>
      </w:r>
      <w:r w:rsidRPr="00561255">
        <w:t xml:space="preserve"> het afgelopen jaar de overstap gemaakt. De deelnemers van deze </w:t>
      </w:r>
      <w:r w:rsidR="00BE02B0">
        <w:t>pensioen</w:t>
      </w:r>
      <w:r w:rsidRPr="00561255">
        <w:t xml:space="preserve">fondsen hebben recent of ontvangen binnenkort de definitieve transitie-informatie. En een aantal pensioenfondsen is bezig met het verzorgen van de nazorg. </w:t>
      </w:r>
      <w:r w:rsidR="00140F82">
        <w:t>U</w:t>
      </w:r>
      <w:r w:rsidR="00561255">
        <w:t xml:space="preserve">it de transitiemonitor </w:t>
      </w:r>
      <w:r w:rsidR="00140F82">
        <w:t xml:space="preserve">blijkt dat partijen aangeven dat </w:t>
      </w:r>
      <w:r w:rsidRPr="00140F82" w:rsidR="00140F82">
        <w:t xml:space="preserve">het nazorgtraject werkbaar en beheerst </w:t>
      </w:r>
      <w:r w:rsidR="00140F82">
        <w:t xml:space="preserve">verloopt. </w:t>
      </w:r>
      <w:r w:rsidRPr="00140F82" w:rsidR="00140F82">
        <w:t>Een belangrijke succesfactor die daarbij wordt genoemd, is een goede en tijdige voorbereiding.</w:t>
      </w:r>
      <w:r w:rsidR="008E3962">
        <w:t xml:space="preserve"> </w:t>
      </w:r>
      <w:r w:rsidRPr="00561255">
        <w:t xml:space="preserve">Op 1 juli zijn er nog eens </w:t>
      </w:r>
      <w:r w:rsidRPr="00933906" w:rsidR="008E3962">
        <w:t>acht</w:t>
      </w:r>
      <w:r w:rsidRPr="00561255">
        <w:t xml:space="preserve"> </w:t>
      </w:r>
      <w:r w:rsidRPr="00561255" w:rsidR="0070121B">
        <w:t>pensioenfondsen/</w:t>
      </w:r>
      <w:r w:rsidR="005B4407">
        <w:t>-</w:t>
      </w:r>
      <w:r w:rsidRPr="00561255" w:rsidR="0070121B">
        <w:t xml:space="preserve">kringen </w:t>
      </w:r>
      <w:r w:rsidRPr="00561255">
        <w:t>overgestapt</w:t>
      </w:r>
      <w:r w:rsidRPr="00561255" w:rsidR="00442125">
        <w:t xml:space="preserve">. </w:t>
      </w:r>
    </w:p>
    <w:p w:rsidR="00246DBB" w:rsidP="00BE02B0" w:rsidRDefault="00246DBB" w14:paraId="020002E0" w14:textId="77777777"/>
    <w:p w:rsidRPr="005A1810" w:rsidR="00442125" w:rsidP="00BE02B0" w:rsidRDefault="00246DBB" w14:paraId="72FF766D" w14:textId="632DAB7D">
      <w:r>
        <w:t>P</w:t>
      </w:r>
      <w:r w:rsidR="00442125">
        <w:t xml:space="preserve">er 1 juli 2026 </w:t>
      </w:r>
      <w:r w:rsidR="002C319A">
        <w:t xml:space="preserve">heeft </w:t>
      </w:r>
      <w:r w:rsidR="00442125">
        <w:t>DNB</w:t>
      </w:r>
      <w:r w:rsidR="00D91D2B">
        <w:t xml:space="preserve"> in totaal </w:t>
      </w:r>
      <w:r w:rsidR="00B95055">
        <w:t>43</w:t>
      </w:r>
      <w:r>
        <w:t xml:space="preserve"> </w:t>
      </w:r>
      <w:r w:rsidRPr="005A1810" w:rsidR="00442125">
        <w:t>invaarbesluiten goedgekeurd</w:t>
      </w:r>
      <w:r w:rsidR="00442125">
        <w:t xml:space="preserve">. </w:t>
      </w:r>
      <w:r w:rsidR="000B680A">
        <w:t xml:space="preserve">In totaal zijn inmiddels </w:t>
      </w:r>
      <w:r w:rsidRPr="00CC2F95" w:rsidR="00B95055">
        <w:t>42</w:t>
      </w:r>
      <w:r w:rsidR="000B680A">
        <w:t xml:space="preserve"> pensioenfondsen ingevaren, goed voor </w:t>
      </w:r>
      <w:r w:rsidR="00CC2F95">
        <w:t xml:space="preserve">ruim </w:t>
      </w:r>
      <w:r w:rsidRPr="00CC2F95" w:rsidR="000B680A">
        <w:t>10</w:t>
      </w:r>
      <w:r w:rsidR="00CC2F95">
        <w:t xml:space="preserve"> </w:t>
      </w:r>
      <w:r w:rsidR="000B680A">
        <w:t xml:space="preserve">miljoen deelnemers. </w:t>
      </w:r>
      <w:r w:rsidR="00442125">
        <w:t>D</w:t>
      </w:r>
      <w:r w:rsidR="000B680A">
        <w:t>i</w:t>
      </w:r>
      <w:r w:rsidR="00442125">
        <w:t xml:space="preserve">t komt </w:t>
      </w:r>
      <w:r w:rsidR="002C319A">
        <w:t xml:space="preserve">neer </w:t>
      </w:r>
      <w:r w:rsidRPr="005A1810" w:rsidR="00442125">
        <w:t xml:space="preserve">op </w:t>
      </w:r>
      <w:r w:rsidR="00CC2F95">
        <w:t>55</w:t>
      </w:r>
      <w:r w:rsidRPr="00CC2F95" w:rsidR="00442125">
        <w:t>%</w:t>
      </w:r>
      <w:r w:rsidRPr="005A1810" w:rsidR="00442125">
        <w:t xml:space="preserve"> van </w:t>
      </w:r>
      <w:r w:rsidR="00CC2F95">
        <w:t>het totaal aantal deelnemers dat overgaat naar het nieuwe pensioenstelsel.</w:t>
      </w:r>
    </w:p>
    <w:p w:rsidR="000B680A" w:rsidP="00BE02B0" w:rsidRDefault="000B680A" w14:paraId="0A18838D" w14:textId="1B3860AD"/>
    <w:p w:rsidR="009754CE" w:rsidP="00BE02B0" w:rsidRDefault="009754CE" w14:paraId="69833A0B" w14:textId="05B741B0">
      <w:r>
        <w:t xml:space="preserve">Van de fondsen die </w:t>
      </w:r>
      <w:r w:rsidR="000B680A">
        <w:t xml:space="preserve">uiterlijk </w:t>
      </w:r>
      <w:r>
        <w:t>30 juni 2027</w:t>
      </w:r>
      <w:r w:rsidR="000B680A">
        <w:t xml:space="preserve"> willen </w:t>
      </w:r>
      <w:r>
        <w:t xml:space="preserve">invaren, hebben </w:t>
      </w:r>
      <w:r w:rsidRPr="00ED037A" w:rsidR="004A6520">
        <w:t>41</w:t>
      </w:r>
      <w:r w:rsidRPr="00ED037A">
        <w:t xml:space="preserve"> van de </w:t>
      </w:r>
      <w:r w:rsidRPr="00ED037A" w:rsidR="004A6520">
        <w:t>42</w:t>
      </w:r>
      <w:r>
        <w:t xml:space="preserve"> pensioenfondsen/</w:t>
      </w:r>
      <w:r w:rsidR="005B4407">
        <w:t>-</w:t>
      </w:r>
      <w:r>
        <w:t>kringen een invaarmelding ingediend bij DNB</w:t>
      </w:r>
      <w:r w:rsidR="000B680A">
        <w:t xml:space="preserve">. </w:t>
      </w:r>
      <w:r w:rsidR="00D91D2B">
        <w:t>Eén</w:t>
      </w:r>
      <w:r>
        <w:t xml:space="preserve"> </w:t>
      </w:r>
      <w:r w:rsidR="000B680A">
        <w:t xml:space="preserve">van deze fondsen </w:t>
      </w:r>
      <w:r>
        <w:t>he</w:t>
      </w:r>
      <w:r w:rsidR="0098485F">
        <w:t>eft</w:t>
      </w:r>
      <w:r>
        <w:t xml:space="preserve"> inmiddels ook de beschikking van DNB ontvangen. </w:t>
      </w:r>
    </w:p>
    <w:p w:rsidR="009754CE" w:rsidP="00BE02B0" w:rsidRDefault="009754CE" w14:paraId="17E5FC3E" w14:textId="77777777"/>
    <w:p w:rsidRPr="00442125" w:rsidR="00442125" w:rsidP="00BE02B0" w:rsidRDefault="00442125" w14:paraId="13E6C584" w14:textId="52543C82">
      <w:pPr>
        <w:rPr>
          <w:i/>
          <w:iCs/>
        </w:rPr>
      </w:pPr>
      <w:r>
        <w:rPr>
          <w:i/>
          <w:iCs/>
        </w:rPr>
        <w:t>Invaardata</w:t>
      </w:r>
    </w:p>
    <w:p w:rsidR="001751AC" w:rsidP="00BE02B0" w:rsidRDefault="00542454" w14:paraId="33956349" w14:textId="5DBD958E">
      <w:r>
        <w:t xml:space="preserve">Er zijn, zoals </w:t>
      </w:r>
      <w:r w:rsidR="002C319A">
        <w:t>te zien in</w:t>
      </w:r>
      <w:r>
        <w:t xml:space="preserve"> figuur 2, </w:t>
      </w:r>
      <w:r w:rsidR="009754CE">
        <w:t>pensioenfondsen/</w:t>
      </w:r>
      <w:r w:rsidR="005B4407">
        <w:t>-</w:t>
      </w:r>
      <w:r w:rsidR="009754CE">
        <w:t xml:space="preserve">kringen </w:t>
      </w:r>
      <w:r>
        <w:t>die sinds de vorige rapportage hun voorgenomen invaardatum (verder) hebben verschoven en/of in deze periode hebben vastgesteld. Daarmee neemt het aantal pensioenfondsen/</w:t>
      </w:r>
      <w:r w:rsidR="00D91D2B">
        <w:t xml:space="preserve">     </w:t>
      </w:r>
      <w:r w:rsidR="005B4407">
        <w:t>-</w:t>
      </w:r>
      <w:r>
        <w:t>kringen dat op de uiterste transitiedatum van 1 januari 2028 invaart toe tot 33</w:t>
      </w:r>
      <w:r w:rsidR="007A5393">
        <w:t xml:space="preserve"> pensioenfondsen/-kringen</w:t>
      </w:r>
      <w:r>
        <w:t>.</w:t>
      </w:r>
      <w:r>
        <w:rPr>
          <w:rStyle w:val="Voetnootmarkering"/>
        </w:rPr>
        <w:footnoteReference w:id="21"/>
      </w:r>
      <w:r w:rsidR="007A5393">
        <w:t xml:space="preserve"> Dat komt</w:t>
      </w:r>
      <w:r w:rsidR="002C1D3B">
        <w:t xml:space="preserve"> ongeveer</w:t>
      </w:r>
      <w:r w:rsidR="007A5393">
        <w:t xml:space="preserve"> neer op 570.000 deelnemers. </w:t>
      </w:r>
      <w:r w:rsidR="00D91D2B">
        <w:t xml:space="preserve">    </w:t>
      </w:r>
      <w:r>
        <w:t xml:space="preserve">1 januari 2027 </w:t>
      </w:r>
      <w:r w:rsidR="00EF60DB">
        <w:t xml:space="preserve">is </w:t>
      </w:r>
      <w:r>
        <w:t>op dit moment qua aantal pensioenfondsen/</w:t>
      </w:r>
      <w:r w:rsidR="005B4407">
        <w:t>-</w:t>
      </w:r>
      <w:r>
        <w:t xml:space="preserve">kringen het meest voorkomende transitiemoment. </w:t>
      </w:r>
      <w:r w:rsidRPr="00542454">
        <w:t xml:space="preserve">Tot slot vaart een beperkt aantal pensioenfondsen niet in. Daar zijn zoals in </w:t>
      </w:r>
      <w:r>
        <w:t xml:space="preserve">een </w:t>
      </w:r>
      <w:r w:rsidRPr="00542454">
        <w:t>vorige voortgangsrapportage toegelicht verschillende redenen voor.</w:t>
      </w:r>
      <w:r>
        <w:rPr>
          <w:rStyle w:val="Voetnootmarkering"/>
        </w:rPr>
        <w:footnoteReference w:id="22"/>
      </w:r>
    </w:p>
    <w:p w:rsidR="00053AD7" w:rsidP="00BE02B0" w:rsidRDefault="00053AD7" w14:paraId="640DAE5D" w14:textId="77777777">
      <w:pPr>
        <w:rPr>
          <w:b/>
          <w:bCs/>
        </w:rPr>
      </w:pPr>
    </w:p>
    <w:p w:rsidR="004215D2" w:rsidP="00BE02B0" w:rsidRDefault="004215D2" w14:paraId="08F542A4" w14:textId="77777777">
      <w:pPr>
        <w:rPr>
          <w:b/>
          <w:bCs/>
        </w:rPr>
      </w:pPr>
    </w:p>
    <w:p w:rsidR="004215D2" w:rsidP="00BE02B0" w:rsidRDefault="004215D2" w14:paraId="4070AB08" w14:textId="77777777">
      <w:pPr>
        <w:rPr>
          <w:b/>
          <w:bCs/>
        </w:rPr>
      </w:pPr>
    </w:p>
    <w:p w:rsidR="00A14A9D" w:rsidP="00BE02B0" w:rsidRDefault="00A14A9D" w14:paraId="163672B6" w14:textId="77777777">
      <w:pPr>
        <w:rPr>
          <w:b/>
          <w:bCs/>
        </w:rPr>
      </w:pPr>
    </w:p>
    <w:p w:rsidR="00A14A9D" w:rsidP="00BE02B0" w:rsidRDefault="00A14A9D" w14:paraId="0D608ABC" w14:textId="77777777">
      <w:pPr>
        <w:rPr>
          <w:b/>
          <w:bCs/>
        </w:rPr>
      </w:pPr>
    </w:p>
    <w:p w:rsidR="00A14A9D" w:rsidP="00BE02B0" w:rsidRDefault="00A14A9D" w14:paraId="7DCFCBF3" w14:textId="77777777">
      <w:pPr>
        <w:rPr>
          <w:b/>
          <w:bCs/>
        </w:rPr>
      </w:pPr>
    </w:p>
    <w:p w:rsidRPr="001751AC" w:rsidR="001751AC" w:rsidP="00BE02B0" w:rsidRDefault="001751AC" w14:paraId="188664E2" w14:textId="7E00BFEC">
      <w:pPr>
        <w:rPr>
          <w:b/>
          <w:bCs/>
        </w:rPr>
      </w:pPr>
      <w:r w:rsidRPr="001751AC">
        <w:rPr>
          <w:b/>
          <w:bCs/>
        </w:rPr>
        <w:t>Figuur 2: Invaardata Pensioenfondsen</w:t>
      </w:r>
      <w:r>
        <w:rPr>
          <w:rStyle w:val="Voetnootmarkering"/>
          <w:b/>
          <w:bCs/>
        </w:rPr>
        <w:footnoteReference w:id="23"/>
      </w:r>
    </w:p>
    <w:p w:rsidR="00CB5E9E" w:rsidP="00BE02B0" w:rsidRDefault="001751AC" w14:paraId="42CD6C65" w14:textId="77777777">
      <w:r>
        <w:rPr>
          <w:noProof/>
        </w:rPr>
        <w:drawing>
          <wp:inline distT="0" distB="0" distL="0" distR="0">
            <wp:extent cx="4305300" cy="2349500"/>
            <wp:effectExtent l="0" t="0" r="0" b="12700"/>
            <wp:docPr id="1902273706" name="Grafiek 1">
              <a:extLst xmlns:a="http://schemas.openxmlformats.org/drawingml/2006/main">
                <a:ext uri="{FF2B5EF4-FFF2-40B4-BE49-F238E27FC236}">
                  <a16:creationId xmlns:a16="http://schemas.microsoft.com/office/drawing/2014/main" id="{AF570431-A5A1-03C2-656A-54591819D7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524714" w:rsidR="00194D9F" w:rsidP="00BE02B0" w:rsidRDefault="00194D9F" w14:paraId="6BD2C071" w14:textId="3BB0BF4F">
      <w:pPr>
        <w:pStyle w:val="Geenafstand"/>
        <w:spacing w:line="240" w:lineRule="atLeast"/>
        <w:rPr>
          <w:sz w:val="16"/>
          <w:szCs w:val="16"/>
          <w:lang w:val="nl-NL"/>
        </w:rPr>
      </w:pPr>
      <w:r w:rsidRPr="00524714">
        <w:rPr>
          <w:sz w:val="16"/>
          <w:szCs w:val="16"/>
          <w:lang w:val="nl-NL"/>
        </w:rPr>
        <w:t xml:space="preserve">Bron: </w:t>
      </w:r>
      <w:proofErr w:type="spellStart"/>
      <w:r>
        <w:rPr>
          <w:sz w:val="16"/>
          <w:szCs w:val="16"/>
          <w:lang w:val="nl-NL"/>
        </w:rPr>
        <w:t>Wtp</w:t>
      </w:r>
      <w:proofErr w:type="spellEnd"/>
      <w:r>
        <w:rPr>
          <w:sz w:val="16"/>
          <w:szCs w:val="16"/>
          <w:lang w:val="nl-NL"/>
        </w:rPr>
        <w:t>-uitvraag van Q2-2026</w:t>
      </w:r>
      <w:r w:rsidRPr="00524714">
        <w:rPr>
          <w:sz w:val="16"/>
          <w:szCs w:val="16"/>
          <w:lang w:val="nl-NL"/>
        </w:rPr>
        <w:t>, De Nederlandsche Bank</w:t>
      </w:r>
    </w:p>
    <w:p w:rsidR="00CB5E9E" w:rsidP="00BE02B0" w:rsidRDefault="00CB5E9E" w14:paraId="4C4384DF" w14:textId="77777777"/>
    <w:p w:rsidRPr="00442125" w:rsidR="00442125" w:rsidP="00BE02B0" w:rsidRDefault="00442125" w14:paraId="4360C515" w14:textId="29771E28">
      <w:pPr>
        <w:rPr>
          <w:i/>
          <w:iCs/>
        </w:rPr>
      </w:pPr>
      <w:r>
        <w:rPr>
          <w:i/>
          <w:iCs/>
        </w:rPr>
        <w:t>Parti</w:t>
      </w:r>
      <w:r w:rsidR="000B680A">
        <w:rPr>
          <w:i/>
          <w:iCs/>
        </w:rPr>
        <w:t>ë</w:t>
      </w:r>
      <w:r>
        <w:rPr>
          <w:i/>
          <w:iCs/>
        </w:rPr>
        <w:t>le beoordelingen</w:t>
      </w:r>
    </w:p>
    <w:p w:rsidR="00442125" w:rsidP="00BE02B0" w:rsidRDefault="000B680A" w14:paraId="02CD628B" w14:textId="0B2F0766">
      <w:r>
        <w:t xml:space="preserve">Zodra </w:t>
      </w:r>
      <w:r w:rsidR="00442125">
        <w:t xml:space="preserve">DNB een invaarmelding ontvangt, start het beoordelingsproces. </w:t>
      </w:r>
      <w:r w:rsidR="00E26CDC">
        <w:t>V</w:t>
      </w:r>
      <w:r w:rsidRPr="00E26CDC" w:rsidR="00E26CDC">
        <w:t xml:space="preserve">oorafgaand aan de invaarmelding </w:t>
      </w:r>
      <w:r w:rsidR="00E26CDC">
        <w:t xml:space="preserve">kunnen </w:t>
      </w:r>
      <w:r w:rsidRPr="00E26CDC" w:rsidR="00E26CDC">
        <w:t xml:space="preserve">pensioenfondsen </w:t>
      </w:r>
      <w:r w:rsidR="00E26CDC">
        <w:t>o</w:t>
      </w:r>
      <w:r w:rsidR="00442125">
        <w:t>m</w:t>
      </w:r>
      <w:r w:rsidRPr="00053AD7" w:rsidR="00442125">
        <w:t xml:space="preserve"> </w:t>
      </w:r>
      <w:r w:rsidR="00E26CDC">
        <w:t xml:space="preserve">het invaarproces </w:t>
      </w:r>
      <w:r w:rsidR="00442125">
        <w:t xml:space="preserve">soepeler te laten verlopen </w:t>
      </w:r>
      <w:r w:rsidR="00E26CDC">
        <w:t>e</w:t>
      </w:r>
      <w:r w:rsidRPr="00053AD7" w:rsidR="00E26CDC">
        <w:t>en partiële beoordeling</w:t>
      </w:r>
      <w:r w:rsidR="00E26CDC">
        <w:t xml:space="preserve"> aanvragen.</w:t>
      </w:r>
      <w:r w:rsidR="00442125">
        <w:t xml:space="preserve"> </w:t>
      </w:r>
      <w:r>
        <w:t>Dit</w:t>
      </w:r>
      <w:r w:rsidRPr="00053AD7" w:rsidR="00442125">
        <w:t xml:space="preserve"> geeft een pensioenfonds helderheid van DNB over deelonderwerpen waarover de besluitvorming door de betrokken partijen al is afgerond</w:t>
      </w:r>
      <w:r w:rsidR="00442125">
        <w:t>. Een parti</w:t>
      </w:r>
      <w:r>
        <w:t>ë</w:t>
      </w:r>
      <w:r w:rsidR="00442125">
        <w:t xml:space="preserve">le beoordeling kan gericht zijn op datakwaliteit, het contract en de risicohouding. </w:t>
      </w:r>
      <w:r>
        <w:t xml:space="preserve">Dit leidt </w:t>
      </w:r>
      <w:r w:rsidRPr="00053AD7" w:rsidR="00442125">
        <w:t>tot spreiding van transitiewerkzaamheden in de tijd</w:t>
      </w:r>
      <w:r w:rsidR="00442125">
        <w:t xml:space="preserve">. </w:t>
      </w:r>
      <w:r w:rsidRPr="00254472" w:rsidR="00442125">
        <w:t>Op het moment van de DNB</w:t>
      </w:r>
      <w:r w:rsidR="00A2740E">
        <w:t>-</w:t>
      </w:r>
      <w:r w:rsidRPr="00254472" w:rsidR="00442125">
        <w:t xml:space="preserve">uitvraag </w:t>
      </w:r>
      <w:r w:rsidR="00442125">
        <w:t xml:space="preserve">hebben </w:t>
      </w:r>
      <w:r w:rsidRPr="00826CBE" w:rsidR="00442125">
        <w:t>68</w:t>
      </w:r>
      <w:r w:rsidRPr="00254472" w:rsidR="00442125">
        <w:t xml:space="preserve"> unieke</w:t>
      </w:r>
      <w:r w:rsidR="00442125">
        <w:t xml:space="preserve"> pensioen</w:t>
      </w:r>
      <w:r w:rsidRPr="00254472" w:rsidR="00442125">
        <w:t>fondsen/</w:t>
      </w:r>
      <w:r w:rsidR="005B4407">
        <w:t>-</w:t>
      </w:r>
      <w:r w:rsidRPr="00254472" w:rsidR="00442125">
        <w:t xml:space="preserve">kringen </w:t>
      </w:r>
      <w:r w:rsidR="00442125">
        <w:t>gezamenlijk</w:t>
      </w:r>
      <w:r w:rsidRPr="00254472" w:rsidR="00442125">
        <w:t xml:space="preserve"> </w:t>
      </w:r>
      <w:r w:rsidRPr="00826CBE" w:rsidR="00442125">
        <w:t>113</w:t>
      </w:r>
      <w:r w:rsidRPr="00254472" w:rsidR="00442125">
        <w:t xml:space="preserve"> partiële beoordelingen aangevraagd</w:t>
      </w:r>
      <w:r w:rsidR="00442125">
        <w:t xml:space="preserve">. </w:t>
      </w:r>
      <w:r w:rsidR="00A2740E">
        <w:t xml:space="preserve">Hiervan zijn er inmiddels </w:t>
      </w:r>
      <w:r w:rsidRPr="00826CBE" w:rsidR="00442125">
        <w:t>90</w:t>
      </w:r>
      <w:r w:rsidR="00442125">
        <w:t xml:space="preserve"> </w:t>
      </w:r>
      <w:r w:rsidRPr="00254472" w:rsidR="00442125">
        <w:t>afgerond.</w:t>
      </w:r>
      <w:r w:rsidR="00442125">
        <w:rPr>
          <w:rStyle w:val="Voetnootmarkering"/>
        </w:rPr>
        <w:footnoteReference w:id="24"/>
      </w:r>
    </w:p>
    <w:p w:rsidR="00442125" w:rsidP="00BE02B0" w:rsidRDefault="00442125" w14:paraId="24058509" w14:textId="77777777"/>
    <w:p w:rsidRPr="00442125" w:rsidR="00442125" w:rsidP="00BE02B0" w:rsidRDefault="00442125" w14:paraId="0CDA4E11" w14:textId="175AD7BC">
      <w:pPr>
        <w:rPr>
          <w:i/>
          <w:iCs/>
        </w:rPr>
      </w:pPr>
      <w:r>
        <w:rPr>
          <w:i/>
          <w:iCs/>
        </w:rPr>
        <w:t>Overbruggingsplan</w:t>
      </w:r>
    </w:p>
    <w:p w:rsidRPr="00CB5E9E" w:rsidR="00CB5E9E" w:rsidP="00BE02B0" w:rsidRDefault="00CB5E9E" w14:paraId="212379C8" w14:textId="733D100E">
      <w:proofErr w:type="gramStart"/>
      <w:r>
        <w:t>T</w:t>
      </w:r>
      <w:r w:rsidR="00093257">
        <w:t>evens</w:t>
      </w:r>
      <w:proofErr w:type="gramEnd"/>
      <w:r>
        <w:t xml:space="preserve"> dient opgemerkt te worden dat v</w:t>
      </w:r>
      <w:r w:rsidRPr="00CB5E9E">
        <w:t xml:space="preserve">anaf de inwerkingtreding van </w:t>
      </w:r>
      <w:r w:rsidR="00A2740E">
        <w:t xml:space="preserve">de </w:t>
      </w:r>
      <w:proofErr w:type="spellStart"/>
      <w:r w:rsidRPr="00CB5E9E">
        <w:t>W</w:t>
      </w:r>
      <w:r w:rsidR="00A2740E">
        <w:t>tp</w:t>
      </w:r>
      <w:proofErr w:type="spellEnd"/>
      <w:r>
        <w:t xml:space="preserve"> tot aan het </w:t>
      </w:r>
      <w:r w:rsidR="00A2740E">
        <w:t xml:space="preserve">moment van </w:t>
      </w:r>
      <w:r>
        <w:t xml:space="preserve">invaren een </w:t>
      </w:r>
      <w:r w:rsidRPr="00CB5E9E">
        <w:t>overgangsfase</w:t>
      </w:r>
      <w:r w:rsidR="0063521C">
        <w:t xml:space="preserve"> geldt.</w:t>
      </w:r>
      <w:r>
        <w:t xml:space="preserve"> </w:t>
      </w:r>
      <w:r w:rsidRPr="00CB5E9E">
        <w:t xml:space="preserve">Het financieel toetsingskader pensioenfondsen </w:t>
      </w:r>
      <w:r>
        <w:t xml:space="preserve">(FTK) </w:t>
      </w:r>
      <w:r w:rsidR="0063521C">
        <w:t xml:space="preserve">is </w:t>
      </w:r>
      <w:r w:rsidRPr="00CB5E9E">
        <w:t>hiervoor</w:t>
      </w:r>
      <w:r w:rsidR="00F93859">
        <w:t xml:space="preserve">, als onderdeel van het </w:t>
      </w:r>
      <w:proofErr w:type="spellStart"/>
      <w:r w:rsidR="00F93859">
        <w:t>Wtp</w:t>
      </w:r>
      <w:proofErr w:type="spellEnd"/>
      <w:r w:rsidR="00F93859">
        <w:t>-wetstraject,</w:t>
      </w:r>
      <w:r w:rsidRPr="00CB5E9E">
        <w:t xml:space="preserve"> gedurende de overgangsfase tijdelijk aangepast.</w:t>
      </w:r>
      <w:r w:rsidRPr="00CB5E9E">
        <w:rPr>
          <w:rFonts w:ascii="Arial" w:hAnsi="Arial" w:cs="Arial"/>
          <w:color w:val="394251"/>
          <w:shd w:val="clear" w:color="auto" w:fill="FFFFFF"/>
        </w:rPr>
        <w:t xml:space="preserve"> </w:t>
      </w:r>
      <w:r w:rsidR="0063521C">
        <w:t>Om van het gewijzigde F</w:t>
      </w:r>
      <w:r w:rsidR="002C319A">
        <w:t>TK</w:t>
      </w:r>
      <w:r w:rsidR="0063521C">
        <w:t xml:space="preserve"> gebruik te kunnen maken, </w:t>
      </w:r>
      <w:r w:rsidRPr="00CB5E9E">
        <w:t>dient een pensioenfonds een concreet en haalbaar overbruggingsplan ter instemming in bij DNB</w:t>
      </w:r>
      <w:r>
        <w:t>. Op die manier kan het pensioenfonds/</w:t>
      </w:r>
      <w:r w:rsidR="005B4407">
        <w:t>-</w:t>
      </w:r>
      <w:r>
        <w:t>kring</w:t>
      </w:r>
      <w:r w:rsidRPr="00CB5E9E">
        <w:t>, voor zover relevant,</w:t>
      </w:r>
      <w:r>
        <w:t xml:space="preserve"> </w:t>
      </w:r>
      <w:r w:rsidRPr="00CB5E9E">
        <w:t xml:space="preserve">afzien van het jaarlijks indienen van een herstelplan en </w:t>
      </w:r>
      <w:r>
        <w:t xml:space="preserve">zijn </w:t>
      </w:r>
      <w:r w:rsidRPr="00CB5E9E">
        <w:t>de bestaande wettelijke voorwaarden voor toeslagverlening deels niet van toepassing.</w:t>
      </w:r>
      <w:r>
        <w:t xml:space="preserve"> </w:t>
      </w:r>
      <w:r w:rsidR="0063521C">
        <w:t>P</w:t>
      </w:r>
      <w:r w:rsidRPr="00CB5E9E">
        <w:t>ensioenfondsen</w:t>
      </w:r>
      <w:r>
        <w:t>/</w:t>
      </w:r>
      <w:r w:rsidR="002C319A">
        <w:t>-</w:t>
      </w:r>
      <w:r>
        <w:t>kringen</w:t>
      </w:r>
      <w:r w:rsidRPr="00CB5E9E">
        <w:t xml:space="preserve"> die hun invaarmelding nog niet</w:t>
      </w:r>
      <w:r>
        <w:t xml:space="preserve"> hadden </w:t>
      </w:r>
      <w:r w:rsidR="00C70707">
        <w:t>in</w:t>
      </w:r>
      <w:r>
        <w:t xml:space="preserve">gediend, hadden tot </w:t>
      </w:r>
      <w:r w:rsidRPr="00CB5E9E">
        <w:t xml:space="preserve">1 april 2026 </w:t>
      </w:r>
      <w:r>
        <w:t xml:space="preserve">de tijd om een overbruggingsplan in te dienen. </w:t>
      </w:r>
      <w:r w:rsidR="002C319A">
        <w:t>In t</w:t>
      </w:r>
      <w:r w:rsidRPr="00CB5E9E">
        <w:t xml:space="preserve">otaal hebben </w:t>
      </w:r>
      <w:r w:rsidRPr="00826CBE">
        <w:t>7</w:t>
      </w:r>
      <w:r w:rsidRPr="00CB5E9E">
        <w:t xml:space="preserve"> pensioenfondsen</w:t>
      </w:r>
      <w:r>
        <w:t>/</w:t>
      </w:r>
      <w:r w:rsidR="002C319A">
        <w:t>-</w:t>
      </w:r>
      <w:r>
        <w:t>kringen</w:t>
      </w:r>
      <w:r w:rsidRPr="00CB5E9E">
        <w:t xml:space="preserve"> een overbruggingsplan ingediend voor 2026.</w:t>
      </w:r>
    </w:p>
    <w:p w:rsidR="005A1810" w:rsidP="00BE02B0" w:rsidRDefault="005A1810" w14:paraId="6105104D" w14:textId="2857AE86"/>
    <w:p w:rsidRPr="00B032B5" w:rsidR="00C0124F" w:rsidP="00BE02B0" w:rsidRDefault="00C0124F" w14:paraId="43A556C1" w14:textId="49AE4F31">
      <w:pPr>
        <w:rPr>
          <w:i/>
          <w:iCs/>
        </w:rPr>
      </w:pPr>
      <w:r w:rsidRPr="00B032B5">
        <w:rPr>
          <w:i/>
          <w:iCs/>
        </w:rPr>
        <w:t>Arbeidsvoorwaardelijke afspraken</w:t>
      </w:r>
    </w:p>
    <w:p w:rsidR="00826CBE" w:rsidP="00BE02B0" w:rsidRDefault="00C0124F" w14:paraId="45B99EB9" w14:textId="7EB9ADA1">
      <w:r>
        <w:t xml:space="preserve">Aangezien de arbeidsvoorwaardelijke fase voor pensioenregelingen uitgevoerd door pensioenfondsen per 1 januari </w:t>
      </w:r>
      <w:r w:rsidR="00826CBE">
        <w:t xml:space="preserve">2025 </w:t>
      </w:r>
      <w:r>
        <w:t>afgerond diende te zijn, wordt in deze voortgangsrapportage niet nader ingegaan op de</w:t>
      </w:r>
      <w:r w:rsidR="00826CBE">
        <w:t xml:space="preserve"> door hen gemaakte </w:t>
      </w:r>
      <w:r>
        <w:lastRenderedPageBreak/>
        <w:t xml:space="preserve">arbeidsvoorwaardelijke afspraken. Hiervoor wordt verwezen naar de voorgaande voortgangsrapportages. </w:t>
      </w:r>
    </w:p>
    <w:p w:rsidR="00826CBE" w:rsidP="00BE02B0" w:rsidRDefault="00826CBE" w14:paraId="516C13EC" w14:textId="77777777"/>
    <w:p w:rsidR="00C0124F" w:rsidP="00BE02B0" w:rsidRDefault="00C0124F" w14:paraId="0932D16C" w14:textId="2314C327">
      <w:r w:rsidRPr="000F7785">
        <w:t>Aan de Eerste Kamer is toegezegd jaarlijks informatie te verstrekken over de ontwikkeling van de pensioenpremies op basis van een jaarlijkse premierapportage van DNB.</w:t>
      </w:r>
      <w:r w:rsidRPr="000F7785">
        <w:rPr>
          <w:rStyle w:val="Voetnootmarkering"/>
        </w:rPr>
        <w:footnoteReference w:id="25"/>
      </w:r>
      <w:r w:rsidRPr="000F7785">
        <w:t xml:space="preserve"> Omdat veel pensioenfondsen in 2026 zijn overgestapt naar de gewijzigde pensioenregeling, zijn er geen representatieve premiecijfers voor 2026 beschikbaar. </w:t>
      </w:r>
      <w:r>
        <w:t xml:space="preserve">In Box </w:t>
      </w:r>
      <w:r w:rsidR="00B032B5">
        <w:t>1</w:t>
      </w:r>
      <w:r>
        <w:t xml:space="preserve"> wordt dit nader toegelicht.</w:t>
      </w:r>
    </w:p>
    <w:p w:rsidR="00C0124F" w:rsidP="00BE02B0" w:rsidRDefault="00C0124F" w14:paraId="61DD6CDD" w14:textId="77777777"/>
    <w:p w:rsidRPr="008B2CD5" w:rsidR="00C0124F" w:rsidP="00BE02B0" w:rsidRDefault="00C0124F" w14:paraId="027BF225" w14:textId="46313736">
      <w:r w:rsidRPr="008B2CD5">
        <w:t xml:space="preserve">Box </w:t>
      </w:r>
      <w:r w:rsidRPr="008B2CD5" w:rsidR="00B032B5">
        <w:t>1</w:t>
      </w:r>
      <w:r w:rsidRPr="008B2CD5">
        <w:t>: Premieontwikkeling Pensioenfondsen</w:t>
      </w:r>
    </w:p>
    <w:p w:rsidRPr="000F7785" w:rsidR="00C0124F" w:rsidP="00BE02B0" w:rsidRDefault="00FB2150" w14:paraId="68053A26" w14:textId="1BA04E84">
      <w:pPr>
        <w:pBdr>
          <w:top w:val="single" w:color="auto" w:sz="4" w:space="1"/>
          <w:left w:val="single" w:color="auto" w:sz="4" w:space="4"/>
          <w:bottom w:val="single" w:color="auto" w:sz="4" w:space="1"/>
          <w:right w:val="single" w:color="auto" w:sz="4" w:space="4"/>
        </w:pBdr>
      </w:pPr>
      <w:r>
        <w:t xml:space="preserve">In 2026 zijn </w:t>
      </w:r>
      <w:r w:rsidRPr="000F7785">
        <w:t>veel pensioenfondsen overgestapt naar de gewijzigde pensioenregeling</w:t>
      </w:r>
      <w:r>
        <w:t xml:space="preserve">. Dat leidt </w:t>
      </w:r>
      <w:proofErr w:type="gramStart"/>
      <w:r>
        <w:t>er toe</w:t>
      </w:r>
      <w:proofErr w:type="gramEnd"/>
      <w:r>
        <w:t xml:space="preserve"> dat </w:t>
      </w:r>
      <w:r w:rsidRPr="000F7785">
        <w:t>er geen representatieve premiecijfers voor 2026 beschikbaar</w:t>
      </w:r>
      <w:r>
        <w:t xml:space="preserve"> zijn</w:t>
      </w:r>
      <w:r w:rsidRPr="000F7785">
        <w:t xml:space="preserve">. </w:t>
      </w:r>
      <w:r w:rsidRPr="000F7785" w:rsidR="00C0124F">
        <w:t xml:space="preserve">De premierapportages worden ex-ante gerapporteerd. Voor 2026 is er alleen een premierapportage bij de (nog) niet ingevaren fondsen uitgevraagd. Dat betekent dat er voor de ingevaren fondsen geen ex-ante premiegegevens beschikbaar zijn voor 2026. Dit is onvoldoende representatief om de ontwikkeling van de pensioenpremies voor de gehele sector in kaart te brengen en te vergelijken met voorgaande jaren. </w:t>
      </w:r>
      <w:r w:rsidR="008B2CD5">
        <w:t xml:space="preserve">En </w:t>
      </w:r>
      <w:r w:rsidRPr="000F7785" w:rsidR="00C0124F">
        <w:t>betekent dat voor het jaar 2026 de premieontwikkeling voor de gehele sector alleen ex-post kan worden vastgesteld en pas, na indiening van de jaarstaten over 2026, vanaf 2027 beschikbaar is.</w:t>
      </w:r>
    </w:p>
    <w:p w:rsidRPr="000F7785" w:rsidR="00C0124F" w:rsidP="00BE02B0" w:rsidRDefault="00C0124F" w14:paraId="2B94B34D" w14:textId="77777777">
      <w:pPr>
        <w:pBdr>
          <w:top w:val="single" w:color="auto" w:sz="4" w:space="1"/>
          <w:left w:val="single" w:color="auto" w:sz="4" w:space="4"/>
          <w:bottom w:val="single" w:color="auto" w:sz="4" w:space="1"/>
          <w:right w:val="single" w:color="auto" w:sz="4" w:space="4"/>
        </w:pBdr>
      </w:pPr>
    </w:p>
    <w:p w:rsidRPr="000F7785" w:rsidR="00C0124F" w:rsidP="00BE02B0" w:rsidRDefault="00C0124F" w14:paraId="02AF663F" w14:textId="6776A724">
      <w:pPr>
        <w:pBdr>
          <w:top w:val="single" w:color="auto" w:sz="4" w:space="1"/>
          <w:left w:val="single" w:color="auto" w:sz="4" w:space="4"/>
          <w:bottom w:val="single" w:color="auto" w:sz="4" w:space="1"/>
          <w:right w:val="single" w:color="auto" w:sz="4" w:space="4"/>
        </w:pBdr>
      </w:pPr>
      <w:r w:rsidRPr="000F7785">
        <w:t xml:space="preserve">DNB zal vanaf 2027 starten met een nieuwe premierapportage voor </w:t>
      </w:r>
      <w:r w:rsidR="008B2CD5">
        <w:t>pensioen</w:t>
      </w:r>
      <w:r w:rsidRPr="000F7785">
        <w:t xml:space="preserve">fondsen die zijn overgestapt op de gewijzigde pensioenregeling, waardoor de premies ten behoeve van de premieontwikkeling weer ex-ante kunnen worden verstrekt. </w:t>
      </w:r>
      <w:proofErr w:type="gramStart"/>
      <w:r w:rsidRPr="000F7785">
        <w:t>Conform</w:t>
      </w:r>
      <w:proofErr w:type="gramEnd"/>
      <w:r w:rsidRPr="000F7785">
        <w:t xml:space="preserve"> de toezegging aan de Eerste Kamer wordt in 2027 weer informatie verstrekt over de ontwikkeling van de pensioenpremies, op basis van onder andere deze nieuwe rapportage.</w:t>
      </w:r>
    </w:p>
    <w:p w:rsidR="00C0124F" w:rsidP="00BE02B0" w:rsidRDefault="00C0124F" w14:paraId="64C6AAE0" w14:textId="77777777"/>
    <w:p w:rsidR="00180316" w:rsidP="00BE02B0" w:rsidRDefault="00180316" w14:paraId="02D57255" w14:textId="0ED66C40">
      <w:pPr>
        <w:rPr>
          <w:b/>
          <w:bCs/>
        </w:rPr>
      </w:pPr>
      <w:bookmarkStart w:name="_Hlk231979689" w:id="13"/>
      <w:r>
        <w:rPr>
          <w:b/>
          <w:bCs/>
        </w:rPr>
        <w:t>4.</w:t>
      </w:r>
      <w:r w:rsidR="00F8359E">
        <w:rPr>
          <w:b/>
          <w:bCs/>
        </w:rPr>
        <w:t>2</w:t>
      </w:r>
      <w:r>
        <w:rPr>
          <w:b/>
          <w:bCs/>
        </w:rPr>
        <w:t xml:space="preserve"> Verzekeraars en </w:t>
      </w:r>
      <w:proofErr w:type="spellStart"/>
      <w:r>
        <w:rPr>
          <w:b/>
          <w:bCs/>
        </w:rPr>
        <w:t>PPI’s</w:t>
      </w:r>
      <w:proofErr w:type="spellEnd"/>
    </w:p>
    <w:p w:rsidR="00245CCC" w:rsidP="00BE02B0" w:rsidRDefault="008E4624" w14:paraId="4DBB96B2" w14:textId="756A92A9">
      <w:pPr>
        <w:pStyle w:val="Geenafstand"/>
        <w:spacing w:line="240" w:lineRule="atLeast"/>
        <w:rPr>
          <w:szCs w:val="18"/>
          <w:lang w:val="nl-NL"/>
        </w:rPr>
      </w:pPr>
      <w:r>
        <w:rPr>
          <w:szCs w:val="18"/>
          <w:lang w:val="nl-NL"/>
        </w:rPr>
        <w:t>Uit de t</w:t>
      </w:r>
      <w:r w:rsidRPr="008E4624">
        <w:rPr>
          <w:szCs w:val="18"/>
          <w:lang w:val="nl-NL"/>
        </w:rPr>
        <w:t>ransitierapportage</w:t>
      </w:r>
      <w:r w:rsidR="002C319A">
        <w:rPr>
          <w:szCs w:val="18"/>
          <w:lang w:val="nl-NL"/>
        </w:rPr>
        <w:t xml:space="preserve"> van DNB over </w:t>
      </w:r>
      <w:r w:rsidRPr="008E4624" w:rsidR="002C319A">
        <w:rPr>
          <w:szCs w:val="18"/>
          <w:lang w:val="nl-NL"/>
        </w:rPr>
        <w:t xml:space="preserve">verzekeraars en </w:t>
      </w:r>
      <w:proofErr w:type="spellStart"/>
      <w:r w:rsidR="002C319A">
        <w:rPr>
          <w:szCs w:val="18"/>
          <w:lang w:val="nl-NL"/>
        </w:rPr>
        <w:t>PPI’s</w:t>
      </w:r>
      <w:proofErr w:type="spellEnd"/>
      <w:r w:rsidR="002C319A">
        <w:rPr>
          <w:szCs w:val="18"/>
          <w:lang w:val="nl-NL"/>
        </w:rPr>
        <w:t xml:space="preserve"> over het eerste kwartaal van 2026</w:t>
      </w:r>
      <w:r w:rsidRPr="008E4624">
        <w:rPr>
          <w:szCs w:val="18"/>
          <w:lang w:val="nl-NL"/>
        </w:rPr>
        <w:t xml:space="preserve"> </w:t>
      </w:r>
      <w:r w:rsidR="002C319A">
        <w:rPr>
          <w:szCs w:val="18"/>
          <w:lang w:val="nl-NL"/>
        </w:rPr>
        <w:t>blijkt dat</w:t>
      </w:r>
      <w:r w:rsidRPr="008E4624" w:rsidR="00245CCC">
        <w:rPr>
          <w:szCs w:val="18"/>
          <w:lang w:val="nl-NL"/>
        </w:rPr>
        <w:t xml:space="preserve"> </w:t>
      </w:r>
      <w:r w:rsidR="00245CCC">
        <w:rPr>
          <w:szCs w:val="18"/>
          <w:lang w:val="nl-NL"/>
        </w:rPr>
        <w:t>per 1 januari 2026</w:t>
      </w:r>
      <w:r w:rsidR="00411E80">
        <w:rPr>
          <w:szCs w:val="18"/>
          <w:lang w:val="nl-NL"/>
        </w:rPr>
        <w:t xml:space="preserve"> </w:t>
      </w:r>
      <w:r w:rsidRPr="00411E80" w:rsidR="00411E80">
        <w:rPr>
          <w:szCs w:val="18"/>
          <w:lang w:val="nl-NL"/>
        </w:rPr>
        <w:t>32%</w:t>
      </w:r>
      <w:r w:rsidRPr="00FE51CD" w:rsidR="00FE51CD">
        <w:rPr>
          <w:szCs w:val="18"/>
          <w:lang w:val="nl-NL"/>
        </w:rPr>
        <w:t xml:space="preserve"> </w:t>
      </w:r>
      <w:r w:rsidR="00FE51CD">
        <w:rPr>
          <w:szCs w:val="18"/>
          <w:lang w:val="nl-NL"/>
        </w:rPr>
        <w:t xml:space="preserve">van het totaal bij verzekeraars en </w:t>
      </w:r>
      <w:proofErr w:type="spellStart"/>
      <w:r w:rsidR="00FE51CD">
        <w:rPr>
          <w:szCs w:val="18"/>
          <w:lang w:val="nl-NL"/>
        </w:rPr>
        <w:t>PPI’s</w:t>
      </w:r>
      <w:proofErr w:type="spellEnd"/>
      <w:r w:rsidR="00FE51CD">
        <w:rPr>
          <w:szCs w:val="18"/>
          <w:lang w:val="nl-NL"/>
        </w:rPr>
        <w:t xml:space="preserve"> om te zetten regelingen is omgezet. Uitgesplitst naar verzekeraars en </w:t>
      </w:r>
      <w:proofErr w:type="spellStart"/>
      <w:r w:rsidR="00FE51CD">
        <w:rPr>
          <w:szCs w:val="18"/>
          <w:lang w:val="nl-NL"/>
        </w:rPr>
        <w:t>PPI’s</w:t>
      </w:r>
      <w:proofErr w:type="spellEnd"/>
      <w:r w:rsidR="00FE51CD">
        <w:rPr>
          <w:szCs w:val="18"/>
          <w:lang w:val="nl-NL"/>
        </w:rPr>
        <w:t xml:space="preserve"> komt dat neer op </w:t>
      </w:r>
      <w:r w:rsidRPr="000D35E6" w:rsidR="00FE51CD">
        <w:rPr>
          <w:szCs w:val="18"/>
          <w:lang w:val="nl-NL"/>
        </w:rPr>
        <w:t>26%</w:t>
      </w:r>
      <w:r w:rsidR="00FE51CD">
        <w:rPr>
          <w:szCs w:val="18"/>
          <w:lang w:val="nl-NL"/>
        </w:rPr>
        <w:t xml:space="preserve"> respectievelijk </w:t>
      </w:r>
      <w:r w:rsidRPr="000D35E6" w:rsidR="00FE51CD">
        <w:rPr>
          <w:szCs w:val="18"/>
          <w:lang w:val="nl-NL"/>
        </w:rPr>
        <w:t>45%</w:t>
      </w:r>
      <w:r w:rsidR="00FE51CD">
        <w:rPr>
          <w:szCs w:val="18"/>
          <w:lang w:val="nl-NL"/>
        </w:rPr>
        <w:t>.</w:t>
      </w:r>
      <w:r w:rsidRPr="00050FB3" w:rsidR="00FE51CD">
        <w:rPr>
          <w:rStyle w:val="Voetnootmarkering"/>
          <w:szCs w:val="18"/>
          <w:lang w:val="nl-NL"/>
        </w:rPr>
        <w:footnoteReference w:id="26"/>
      </w:r>
      <w:r w:rsidRPr="000D35E6" w:rsidR="00FE51CD">
        <w:rPr>
          <w:szCs w:val="18"/>
          <w:vertAlign w:val="superscript"/>
          <w:lang w:val="nl-NL"/>
        </w:rPr>
        <w:t>,</w:t>
      </w:r>
      <w:r w:rsidR="00FE51CD">
        <w:rPr>
          <w:rStyle w:val="Voetnootmarkering"/>
          <w:szCs w:val="18"/>
          <w:lang w:val="nl-NL"/>
        </w:rPr>
        <w:footnoteReference w:id="27"/>
      </w:r>
      <w:r w:rsidR="00FE51CD">
        <w:rPr>
          <w:szCs w:val="18"/>
          <w:lang w:val="nl-NL"/>
        </w:rPr>
        <w:t xml:space="preserve"> </w:t>
      </w:r>
      <w:r w:rsidR="00245CCC">
        <w:rPr>
          <w:szCs w:val="18"/>
          <w:lang w:val="nl-NL"/>
        </w:rPr>
        <w:t xml:space="preserve">Om het contract aan te passen kan de werkgever het contract omzetten bij dezelfde </w:t>
      </w:r>
      <w:r w:rsidRPr="00534323" w:rsidR="00534323">
        <w:rPr>
          <w:szCs w:val="18"/>
          <w:lang w:val="nl-NL"/>
        </w:rPr>
        <w:t>pensioenuitvoerder</w:t>
      </w:r>
      <w:r w:rsidR="00411E80">
        <w:rPr>
          <w:szCs w:val="18"/>
          <w:lang w:val="nl-NL"/>
        </w:rPr>
        <w:t xml:space="preserve"> of</w:t>
      </w:r>
      <w:r w:rsidR="00FE51CD">
        <w:rPr>
          <w:szCs w:val="18"/>
          <w:lang w:val="nl-NL"/>
        </w:rPr>
        <w:t xml:space="preserve"> </w:t>
      </w:r>
      <w:r w:rsidRPr="00534323" w:rsidR="00534323">
        <w:rPr>
          <w:szCs w:val="18"/>
          <w:lang w:val="nl-NL"/>
        </w:rPr>
        <w:t xml:space="preserve">een nieuw contract afspreken bij dezelfde </w:t>
      </w:r>
      <w:r w:rsidR="00245CCC">
        <w:rPr>
          <w:szCs w:val="18"/>
          <w:lang w:val="nl-NL"/>
        </w:rPr>
        <w:t xml:space="preserve">of bij een andere pensioenuitvoerder. </w:t>
      </w:r>
    </w:p>
    <w:p w:rsidR="00245CCC" w:rsidP="00BE02B0" w:rsidRDefault="00245CCC" w14:paraId="3090F751" w14:textId="77777777">
      <w:pPr>
        <w:pStyle w:val="Geenafstand"/>
        <w:spacing w:line="240" w:lineRule="atLeast"/>
        <w:rPr>
          <w:szCs w:val="18"/>
          <w:lang w:val="nl-NL"/>
        </w:rPr>
      </w:pPr>
    </w:p>
    <w:p w:rsidR="00245CCC" w:rsidP="00BE02B0" w:rsidRDefault="00245CCC" w14:paraId="446CB14C" w14:textId="2667ED46">
      <w:pPr>
        <w:pStyle w:val="Geenafstand"/>
        <w:spacing w:line="240" w:lineRule="atLeast"/>
        <w:rPr>
          <w:szCs w:val="18"/>
          <w:lang w:val="nl-NL"/>
        </w:rPr>
      </w:pPr>
      <w:r>
        <w:rPr>
          <w:szCs w:val="18"/>
          <w:lang w:val="nl-NL"/>
        </w:rPr>
        <w:t xml:space="preserve">Figuur </w:t>
      </w:r>
      <w:r w:rsidR="005B4407">
        <w:rPr>
          <w:szCs w:val="18"/>
          <w:lang w:val="nl-NL"/>
        </w:rPr>
        <w:t>3</w:t>
      </w:r>
      <w:r>
        <w:rPr>
          <w:szCs w:val="18"/>
          <w:lang w:val="nl-NL"/>
        </w:rPr>
        <w:t xml:space="preserve"> geeft het aantal nieuwe contracten</w:t>
      </w:r>
      <w:r w:rsidR="008139C9">
        <w:rPr>
          <w:szCs w:val="18"/>
          <w:lang w:val="nl-NL"/>
        </w:rPr>
        <w:t xml:space="preserve">, </w:t>
      </w:r>
      <w:r>
        <w:rPr>
          <w:szCs w:val="18"/>
          <w:lang w:val="nl-NL"/>
        </w:rPr>
        <w:t xml:space="preserve">het aantal </w:t>
      </w:r>
      <w:proofErr w:type="gramStart"/>
      <w:r>
        <w:rPr>
          <w:szCs w:val="18"/>
          <w:lang w:val="nl-NL"/>
        </w:rPr>
        <w:t>reeds</w:t>
      </w:r>
      <w:proofErr w:type="gramEnd"/>
      <w:r>
        <w:rPr>
          <w:szCs w:val="18"/>
          <w:lang w:val="nl-NL"/>
        </w:rPr>
        <w:t xml:space="preserve"> omgezette contracten en het naar verwachting nog om te zetten contracten weer.</w:t>
      </w:r>
      <w:r w:rsidR="008139C9">
        <w:rPr>
          <w:rStyle w:val="Voetnootmarkering"/>
          <w:szCs w:val="18"/>
          <w:lang w:val="nl-NL"/>
        </w:rPr>
        <w:footnoteReference w:id="28"/>
      </w:r>
      <w:r>
        <w:rPr>
          <w:szCs w:val="18"/>
          <w:lang w:val="nl-NL"/>
        </w:rPr>
        <w:t xml:space="preserve"> Hieruit blijkt dat tot 1 januari 2028 nog zo’n 44.000 contracten omgezet moeten worden </w:t>
      </w:r>
      <w:r>
        <w:rPr>
          <w:szCs w:val="18"/>
          <w:lang w:val="nl-NL"/>
        </w:rPr>
        <w:lastRenderedPageBreak/>
        <w:t xml:space="preserve">om te voldoen aan de nieuwe pensioenregels. Figuur </w:t>
      </w:r>
      <w:r w:rsidRPr="005B4407" w:rsidR="005B4407">
        <w:rPr>
          <w:szCs w:val="18"/>
          <w:lang w:val="nl-NL"/>
        </w:rPr>
        <w:t xml:space="preserve">4 </w:t>
      </w:r>
      <w:r>
        <w:rPr>
          <w:szCs w:val="18"/>
          <w:lang w:val="nl-NL"/>
        </w:rPr>
        <w:t xml:space="preserve">laat zien hoe deze omzettingen naar verwachting over de resterende transitieperiode per kwartaal zijn verdeeld. Van deze contracten zal </w:t>
      </w:r>
      <w:proofErr w:type="gramStart"/>
      <w:r>
        <w:rPr>
          <w:szCs w:val="18"/>
          <w:lang w:val="nl-NL"/>
        </w:rPr>
        <w:t>circa</w:t>
      </w:r>
      <w:proofErr w:type="gramEnd"/>
      <w:r>
        <w:rPr>
          <w:szCs w:val="18"/>
          <w:lang w:val="nl-NL"/>
        </w:rPr>
        <w:t xml:space="preserve"> </w:t>
      </w:r>
      <w:r w:rsidRPr="00411E80" w:rsidR="00582A4C">
        <w:rPr>
          <w:szCs w:val="18"/>
          <w:lang w:val="nl-NL"/>
        </w:rPr>
        <w:t>63</w:t>
      </w:r>
      <w:r w:rsidRPr="00411E80">
        <w:rPr>
          <w:szCs w:val="18"/>
          <w:lang w:val="nl-NL"/>
        </w:rPr>
        <w:t>%</w:t>
      </w:r>
      <w:r>
        <w:rPr>
          <w:szCs w:val="18"/>
          <w:lang w:val="nl-NL"/>
        </w:rPr>
        <w:t xml:space="preserve"> naar verwachting gebruikmaken </w:t>
      </w:r>
      <w:r w:rsidR="00050FB3">
        <w:rPr>
          <w:szCs w:val="18"/>
          <w:lang w:val="nl-NL"/>
        </w:rPr>
        <w:t>eerbiedigende werking</w:t>
      </w:r>
      <w:r>
        <w:rPr>
          <w:szCs w:val="18"/>
          <w:lang w:val="nl-NL"/>
        </w:rPr>
        <w:t xml:space="preserve">. </w:t>
      </w:r>
    </w:p>
    <w:p w:rsidR="00245CCC" w:rsidP="00BE02B0" w:rsidRDefault="00245CCC" w14:paraId="18DA8668" w14:textId="77777777">
      <w:pPr>
        <w:pStyle w:val="Geenafstand"/>
        <w:spacing w:line="240" w:lineRule="atLeast"/>
        <w:rPr>
          <w:szCs w:val="18"/>
          <w:lang w:val="nl-NL"/>
        </w:rPr>
      </w:pPr>
    </w:p>
    <w:p w:rsidRPr="00710F5A" w:rsidR="00245CCC" w:rsidP="00BE02B0" w:rsidRDefault="00245CCC" w14:paraId="1262F670" w14:textId="14894818">
      <w:pPr>
        <w:pStyle w:val="Geenafstand"/>
        <w:spacing w:line="240" w:lineRule="atLeast"/>
        <w:rPr>
          <w:lang w:val="nl-NL"/>
        </w:rPr>
      </w:pPr>
      <w:r>
        <w:rPr>
          <w:lang w:val="nl-NL"/>
        </w:rPr>
        <w:t xml:space="preserve">Verzekeraars en </w:t>
      </w:r>
      <w:proofErr w:type="spellStart"/>
      <w:r>
        <w:rPr>
          <w:lang w:val="nl-NL"/>
        </w:rPr>
        <w:t>PPI’s</w:t>
      </w:r>
      <w:proofErr w:type="spellEnd"/>
      <w:r>
        <w:rPr>
          <w:lang w:val="nl-NL"/>
        </w:rPr>
        <w:t xml:space="preserve"> geven aan dat de transitie </w:t>
      </w:r>
      <w:r w:rsidR="00C733B1">
        <w:rPr>
          <w:lang w:val="nl-NL"/>
        </w:rPr>
        <w:t>van de verzekerde regelingen</w:t>
      </w:r>
      <w:r>
        <w:rPr>
          <w:lang w:val="nl-NL"/>
        </w:rPr>
        <w:t xml:space="preserve"> in hun ogen als geheel traag verloopt, met diverse gevolgen voor planning en capaciteit.</w:t>
      </w:r>
      <w:r>
        <w:rPr>
          <w:rStyle w:val="Voetnootmarkering"/>
          <w:lang w:val="nl-NL"/>
        </w:rPr>
        <w:footnoteReference w:id="29"/>
      </w:r>
      <w:r>
        <w:rPr>
          <w:lang w:val="nl-NL"/>
        </w:rPr>
        <w:t xml:space="preserve"> Ook geven zij aan dat de strakke tijdlijnen van de transitie door de markt nog niet altijd voldoende worden gevoeld. Om werkgevers te activeren om deze omzetting ook daadwerkelijk te bewerkstelligen wordt si</w:t>
      </w:r>
      <w:r w:rsidRPr="00E14B59">
        <w:rPr>
          <w:lang w:val="nl-NL"/>
        </w:rPr>
        <w:t>nds v</w:t>
      </w:r>
      <w:r>
        <w:rPr>
          <w:lang w:val="nl-NL"/>
        </w:rPr>
        <w:t xml:space="preserve">orig jaar zomer ingezet op het activeren van </w:t>
      </w:r>
      <w:r w:rsidRPr="00E14B59">
        <w:rPr>
          <w:lang w:val="nl-NL"/>
        </w:rPr>
        <w:t xml:space="preserve">werkgevers om zo snel mogelijk </w:t>
      </w:r>
      <w:r>
        <w:rPr>
          <w:lang w:val="nl-NL"/>
        </w:rPr>
        <w:t xml:space="preserve">aan de slag te gaan </w:t>
      </w:r>
      <w:r w:rsidRPr="00E14B59">
        <w:rPr>
          <w:lang w:val="nl-NL"/>
        </w:rPr>
        <w:t>met het omzetten van hun pensioenregelingen.</w:t>
      </w:r>
      <w:r>
        <w:rPr>
          <w:lang w:val="nl-NL"/>
        </w:rPr>
        <w:t xml:space="preserve"> In hoofdstuk 2 van deze voortgangsrapportage is hier uitgebreid op ingegaan. </w:t>
      </w:r>
    </w:p>
    <w:p w:rsidR="00F8359E" w:rsidP="00BE02B0" w:rsidRDefault="00F8359E" w14:paraId="47B391FF" w14:textId="6785897F">
      <w:pPr>
        <w:rPr>
          <w:rFonts w:eastAsiaTheme="minorHAnsi" w:cstheme="minorBidi"/>
          <w:b/>
          <w:bCs/>
          <w:color w:val="auto"/>
          <w:lang w:eastAsia="en-US"/>
        </w:rPr>
      </w:pPr>
    </w:p>
    <w:p w:rsidR="00245CCC" w:rsidP="00BF7BD6" w:rsidRDefault="00245CCC" w14:paraId="03CFBA05" w14:textId="04465A72">
      <w:pPr>
        <w:rPr>
          <w:b/>
          <w:bCs/>
        </w:rPr>
      </w:pPr>
      <w:r w:rsidRPr="00524714">
        <w:rPr>
          <w:b/>
        </w:rPr>
        <w:t xml:space="preserve">Figuur </w:t>
      </w:r>
      <w:r w:rsidR="005B4407">
        <w:rPr>
          <w:b/>
          <w:bCs/>
        </w:rPr>
        <w:t>3</w:t>
      </w:r>
      <w:r w:rsidRPr="00524714">
        <w:rPr>
          <w:b/>
          <w:bCs/>
        </w:rPr>
        <w:t xml:space="preserve">: </w:t>
      </w:r>
      <w:r w:rsidRPr="00F13F29">
        <w:rPr>
          <w:b/>
          <w:bCs/>
        </w:rPr>
        <w:t xml:space="preserve">Stand van zaken omzetting </w:t>
      </w:r>
      <w:r w:rsidRPr="00F13F29" w:rsidR="00F13F29">
        <w:rPr>
          <w:b/>
          <w:bCs/>
        </w:rPr>
        <w:t xml:space="preserve">aantal </w:t>
      </w:r>
      <w:r w:rsidRPr="00F13F29">
        <w:rPr>
          <w:b/>
          <w:bCs/>
        </w:rPr>
        <w:t>contracten</w:t>
      </w:r>
    </w:p>
    <w:p w:rsidR="00546949" w:rsidP="00BE02B0" w:rsidRDefault="00546949" w14:paraId="26DC10EA" w14:textId="6BA8E4AF">
      <w:pPr>
        <w:pStyle w:val="Geenafstand"/>
        <w:spacing w:line="240" w:lineRule="atLeast"/>
        <w:rPr>
          <w:b/>
          <w:bCs/>
          <w:szCs w:val="18"/>
          <w:lang w:val="nl-NL"/>
        </w:rPr>
      </w:pPr>
      <w:r>
        <w:rPr>
          <w:noProof/>
        </w:rPr>
        <w:drawing>
          <wp:inline distT="0" distB="0" distL="0" distR="0">
            <wp:extent cx="4460875" cy="2955925"/>
            <wp:effectExtent l="0" t="0" r="0" b="6350"/>
            <wp:docPr id="1270067161" name="Grafiek 1">
              <a:extLst xmlns:a="http://schemas.openxmlformats.org/drawingml/2006/main">
                <a:ext uri="{FF2B5EF4-FFF2-40B4-BE49-F238E27FC236}">
                  <a16:creationId xmlns:a16="http://schemas.microsoft.com/office/drawing/2014/main" id="{4FA75775-79A1-F6DE-CC7E-25C5D45F69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524714" w:rsidR="00546949" w:rsidP="00BE02B0" w:rsidRDefault="00546949" w14:paraId="0C98E46A" w14:textId="77777777">
      <w:pPr>
        <w:pStyle w:val="Geenafstand"/>
        <w:spacing w:line="240" w:lineRule="atLeast"/>
        <w:rPr>
          <w:sz w:val="16"/>
          <w:szCs w:val="16"/>
          <w:lang w:val="nl-NL"/>
        </w:rPr>
      </w:pPr>
      <w:r w:rsidRPr="00524714">
        <w:rPr>
          <w:sz w:val="16"/>
          <w:szCs w:val="16"/>
          <w:lang w:val="nl-NL"/>
        </w:rPr>
        <w:t xml:space="preserve">Bron: Transitierapportage voor verzekeraars en </w:t>
      </w:r>
      <w:proofErr w:type="spellStart"/>
      <w:r w:rsidRPr="00524714">
        <w:rPr>
          <w:sz w:val="16"/>
          <w:szCs w:val="16"/>
          <w:lang w:val="nl-NL"/>
        </w:rPr>
        <w:t>PPI’s</w:t>
      </w:r>
      <w:proofErr w:type="spellEnd"/>
      <w:r w:rsidRPr="00524714">
        <w:rPr>
          <w:sz w:val="16"/>
          <w:szCs w:val="16"/>
          <w:lang w:val="nl-NL"/>
        </w:rPr>
        <w:t xml:space="preserve"> 2026Q1, De Nederlandsche Bank</w:t>
      </w:r>
      <w:r>
        <w:rPr>
          <w:rStyle w:val="Voetnootmarkering"/>
          <w:sz w:val="16"/>
          <w:szCs w:val="16"/>
          <w:lang w:val="nl-NL"/>
        </w:rPr>
        <w:footnoteReference w:id="30"/>
      </w:r>
    </w:p>
    <w:p w:rsidR="00546949" w:rsidP="00BE02B0" w:rsidRDefault="00546949" w14:paraId="2E144296" w14:textId="77777777">
      <w:pPr>
        <w:pStyle w:val="Geenafstand"/>
        <w:spacing w:line="240" w:lineRule="atLeast"/>
        <w:rPr>
          <w:b/>
          <w:bCs/>
          <w:szCs w:val="18"/>
          <w:lang w:val="nl-NL"/>
        </w:rPr>
      </w:pPr>
    </w:p>
    <w:p w:rsidR="00BF7BD6" w:rsidRDefault="00BF7BD6" w14:paraId="0AC79BF5" w14:textId="77777777">
      <w:pPr>
        <w:spacing w:line="240" w:lineRule="auto"/>
        <w:rPr>
          <w:rFonts w:eastAsiaTheme="minorHAnsi" w:cstheme="minorBidi"/>
          <w:b/>
          <w:bCs/>
          <w:color w:val="auto"/>
          <w:szCs w:val="22"/>
          <w:lang w:eastAsia="en-US"/>
        </w:rPr>
      </w:pPr>
      <w:r>
        <w:rPr>
          <w:b/>
          <w:bCs/>
        </w:rPr>
        <w:br w:type="page"/>
      </w:r>
    </w:p>
    <w:p w:rsidR="00245CCC" w:rsidP="00BE02B0" w:rsidRDefault="00245CCC" w14:paraId="08FEF9B6" w14:textId="395847CF">
      <w:pPr>
        <w:pStyle w:val="Geenafstand"/>
        <w:spacing w:line="240" w:lineRule="atLeast"/>
        <w:rPr>
          <w:b/>
          <w:bCs/>
          <w:lang w:val="nl-NL"/>
        </w:rPr>
      </w:pPr>
      <w:r w:rsidRPr="00524714">
        <w:rPr>
          <w:b/>
          <w:bCs/>
          <w:lang w:val="nl-NL"/>
        </w:rPr>
        <w:lastRenderedPageBreak/>
        <w:t xml:space="preserve">Figuur </w:t>
      </w:r>
      <w:r w:rsidR="005B4407">
        <w:rPr>
          <w:b/>
          <w:bCs/>
          <w:lang w:val="nl-NL"/>
        </w:rPr>
        <w:t>4</w:t>
      </w:r>
      <w:r w:rsidRPr="00524714">
        <w:rPr>
          <w:b/>
          <w:bCs/>
          <w:lang w:val="nl-NL"/>
        </w:rPr>
        <w:t>: Verwachte omzettingen per kwartaal</w:t>
      </w:r>
      <w:r>
        <w:rPr>
          <w:b/>
          <w:bCs/>
          <w:lang w:val="nl-NL"/>
        </w:rPr>
        <w:t xml:space="preserve"> (aantal werkgevers)</w:t>
      </w:r>
    </w:p>
    <w:p w:rsidRPr="00524714" w:rsidR="00524714" w:rsidP="00BE02B0" w:rsidRDefault="00245CCC" w14:paraId="44165280" w14:textId="4CC101F3">
      <w:pPr>
        <w:pStyle w:val="Geenafstand"/>
        <w:spacing w:line="240" w:lineRule="atLeast"/>
        <w:rPr>
          <w:b/>
          <w:bCs/>
          <w:lang w:val="nl-NL"/>
        </w:rPr>
      </w:pPr>
      <w:r>
        <w:rPr>
          <w:noProof/>
          <w14:ligatures w14:val="standardContextual"/>
        </w:rPr>
        <w:drawing>
          <wp:inline distT="0" distB="0" distL="0" distR="0">
            <wp:extent cx="4572000" cy="2743200"/>
            <wp:effectExtent l="0" t="0" r="0" b="0"/>
            <wp:docPr id="631172607" name="Grafiek 1">
              <a:extLst xmlns:a="http://schemas.openxmlformats.org/drawingml/2006/main">
                <a:ext uri="{FF2B5EF4-FFF2-40B4-BE49-F238E27FC236}">
                  <a16:creationId xmlns:a16="http://schemas.microsoft.com/office/drawing/2014/main" id="{E0E4B90C-2962-A267-D84F-76D830890B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24714" w:rsidR="00524714">
        <w:rPr>
          <w:b/>
          <w:bCs/>
          <w:lang w:val="nl-NL"/>
        </w:rPr>
        <w:t xml:space="preserve"> </w:t>
      </w:r>
    </w:p>
    <w:p w:rsidRPr="00524714" w:rsidR="00CC5B11" w:rsidP="00BE02B0" w:rsidRDefault="00CC5B11" w14:paraId="1199B1BE" w14:textId="426A3665">
      <w:pPr>
        <w:pStyle w:val="Geenafstand"/>
        <w:spacing w:line="240" w:lineRule="atLeast"/>
        <w:rPr>
          <w:sz w:val="16"/>
          <w:szCs w:val="16"/>
          <w:lang w:val="nl-NL"/>
        </w:rPr>
      </w:pPr>
      <w:r w:rsidRPr="00524714">
        <w:rPr>
          <w:sz w:val="16"/>
          <w:szCs w:val="16"/>
          <w:lang w:val="nl-NL"/>
        </w:rPr>
        <w:t xml:space="preserve">Bron: Transitierapportage voor verzekeraars en </w:t>
      </w:r>
      <w:proofErr w:type="spellStart"/>
      <w:r w:rsidRPr="00524714">
        <w:rPr>
          <w:sz w:val="16"/>
          <w:szCs w:val="16"/>
          <w:lang w:val="nl-NL"/>
        </w:rPr>
        <w:t>PPI’s</w:t>
      </w:r>
      <w:proofErr w:type="spellEnd"/>
      <w:r w:rsidRPr="00524714">
        <w:rPr>
          <w:sz w:val="16"/>
          <w:szCs w:val="16"/>
          <w:lang w:val="nl-NL"/>
        </w:rPr>
        <w:t xml:space="preserve"> 2026Q1, De Nederlandsche Bank</w:t>
      </w:r>
    </w:p>
    <w:p w:rsidR="00524714" w:rsidP="00BE02B0" w:rsidRDefault="00524714" w14:paraId="4D014264" w14:textId="77777777">
      <w:pPr>
        <w:pStyle w:val="Geenafstand"/>
        <w:spacing w:line="240" w:lineRule="atLeast"/>
        <w:rPr>
          <w:lang w:val="nl-NL"/>
        </w:rPr>
      </w:pPr>
    </w:p>
    <w:bookmarkEnd w:id="13"/>
    <w:p w:rsidRPr="000106B0" w:rsidR="00245CCC" w:rsidP="00BE02B0" w:rsidRDefault="00245CCC" w14:paraId="65492CC2" w14:textId="77777777">
      <w:pPr>
        <w:rPr>
          <w:i/>
          <w:iCs/>
        </w:rPr>
      </w:pPr>
      <w:r>
        <w:rPr>
          <w:i/>
          <w:iCs/>
        </w:rPr>
        <w:t>Arbeidsvoorwaardelijke afspraken</w:t>
      </w:r>
    </w:p>
    <w:p w:rsidR="00245CCC" w:rsidP="00BE02B0" w:rsidRDefault="00245CCC" w14:paraId="4346F49B" w14:textId="7032A484">
      <w:r>
        <w:t>De werkgever en de betrokken adviseur nemen in de arbeidsvoorwaardelijke fase het initiatief tot het maken van nieuwe</w:t>
      </w:r>
      <w:r w:rsidRPr="00B05CD4">
        <w:t xml:space="preserve"> </w:t>
      </w:r>
      <w:r>
        <w:t xml:space="preserve">pensioenafspraken. </w:t>
      </w:r>
      <w:r w:rsidR="006811B3">
        <w:t>Vervolgens</w:t>
      </w:r>
      <w:r>
        <w:t xml:space="preserve"> vragen zij daartoe één of meerdere offertes op bij hun huidige en/of bij andere </w:t>
      </w:r>
      <w:r w:rsidRPr="00653A8F">
        <w:t xml:space="preserve">pensioenuitvoerders. Op 1 januari 2026 hadden </w:t>
      </w:r>
      <w:r w:rsidRPr="00653A8F" w:rsidR="00EF5674">
        <w:t xml:space="preserve">ruim </w:t>
      </w:r>
      <w:r w:rsidRPr="00653A8F">
        <w:t>1</w:t>
      </w:r>
      <w:r w:rsidRPr="00653A8F" w:rsidR="00EF5674">
        <w:t>2</w:t>
      </w:r>
      <w:r w:rsidRPr="00653A8F">
        <w:t xml:space="preserve">.000 werkgevers met een pensioenregeling bij een verzekeraar één of meer offertes </w:t>
      </w:r>
      <w:r w:rsidRPr="00653A8F" w:rsidDel="007025A8">
        <w:t xml:space="preserve">bij hun huidige pensioenuitvoerder </w:t>
      </w:r>
      <w:r w:rsidRPr="00653A8F">
        <w:t xml:space="preserve">uitstaan. Bij </w:t>
      </w:r>
      <w:proofErr w:type="spellStart"/>
      <w:r w:rsidRPr="00653A8F">
        <w:t>PPI’s</w:t>
      </w:r>
      <w:proofErr w:type="spellEnd"/>
      <w:r w:rsidRPr="00653A8F">
        <w:t xml:space="preserve"> gaat het om ruim 4.000 werkgevers.</w:t>
      </w:r>
      <w:r>
        <w:t xml:space="preserve"> Meerdere verzekeraars</w:t>
      </w:r>
      <w:r w:rsidR="006C44C3">
        <w:t xml:space="preserve">, </w:t>
      </w:r>
      <w:proofErr w:type="spellStart"/>
      <w:r>
        <w:t>PPI</w:t>
      </w:r>
      <w:r w:rsidR="006C44C3">
        <w:t>’</w:t>
      </w:r>
      <w:r>
        <w:t>s</w:t>
      </w:r>
      <w:proofErr w:type="spellEnd"/>
      <w:r w:rsidR="006C44C3">
        <w:t xml:space="preserve"> en adviseurs</w:t>
      </w:r>
      <w:r>
        <w:t xml:space="preserve"> geven aan dat de </w:t>
      </w:r>
      <w:r w:rsidR="006C44C3">
        <w:t xml:space="preserve">onderlinge </w:t>
      </w:r>
      <w:r>
        <w:t xml:space="preserve">afhankelijkheid </w:t>
      </w:r>
      <w:r w:rsidR="006C44C3">
        <w:t xml:space="preserve">in de keten </w:t>
      </w:r>
      <w:r>
        <w:t xml:space="preserve">een belangrijk risico vormt bij de </w:t>
      </w:r>
      <w:r w:rsidRPr="00B04673">
        <w:t xml:space="preserve">transitie naar het nieuwe </w:t>
      </w:r>
      <w:r w:rsidR="007C6088">
        <w:t>pensioen</w:t>
      </w:r>
      <w:r w:rsidRPr="00B04673">
        <w:t>stelsel</w:t>
      </w:r>
      <w:r>
        <w:t>. Mede daarom wordt</w:t>
      </w:r>
      <w:r w:rsidR="00582A4C">
        <w:t>, zoals in hoofdstuk 2 beschreven,</w:t>
      </w:r>
      <w:r>
        <w:t xml:space="preserve"> ingezet op het aansporen van werkgevers om</w:t>
      </w:r>
      <w:r w:rsidR="006C44C3">
        <w:t>,</w:t>
      </w:r>
      <w:r>
        <w:t xml:space="preserve"> </w:t>
      </w:r>
      <w:r w:rsidR="006C44C3">
        <w:t xml:space="preserve">samen met hun adviseur, </w:t>
      </w:r>
      <w:r>
        <w:t xml:space="preserve">tijdig te starten met de transitie. Het merendeel van de verzekeraars en </w:t>
      </w:r>
      <w:proofErr w:type="spellStart"/>
      <w:r>
        <w:t>PPI’s</w:t>
      </w:r>
      <w:proofErr w:type="spellEnd"/>
      <w:r>
        <w:t xml:space="preserve"> </w:t>
      </w:r>
      <w:r w:rsidR="00504457">
        <w:t>ge</w:t>
      </w:r>
      <w:r w:rsidR="00E3295C">
        <w:t>eft</w:t>
      </w:r>
      <w:r>
        <w:t xml:space="preserve"> daarbij aan dat het contact met de werkgever goed verloopt. </w:t>
      </w:r>
    </w:p>
    <w:p w:rsidR="006C44C3" w:rsidP="00BE02B0" w:rsidRDefault="006C44C3" w14:paraId="16EE76AE" w14:textId="77777777"/>
    <w:p w:rsidRPr="0068739C" w:rsidR="00245CCC" w:rsidP="00BE02B0" w:rsidRDefault="00245CCC" w14:paraId="108F978B" w14:textId="76EA41EB">
      <w:r w:rsidRPr="0068739C">
        <w:t xml:space="preserve">Van de werkgevers met een pensioenregeling bij een verzekeraar of PPI kiest 37% voor een flexibele premieregeling en 63% voor een premie-uitkeringsovereenkomst. Zowel verzekeraars als </w:t>
      </w:r>
      <w:proofErr w:type="spellStart"/>
      <w:r w:rsidRPr="0068739C">
        <w:t>PPI’s</w:t>
      </w:r>
      <w:proofErr w:type="spellEnd"/>
      <w:r w:rsidRPr="0068739C">
        <w:t xml:space="preserve"> geven aan dat de totale premie voor het ouderdomspensioen in de meeste gevallen gelijk blijft. Bij verzekeraars is in 11% van de gevallen sprake van een verhoging en in 3% van een verlaging. Bij </w:t>
      </w:r>
      <w:proofErr w:type="spellStart"/>
      <w:r w:rsidRPr="0068739C">
        <w:t>PPI’s</w:t>
      </w:r>
      <w:proofErr w:type="spellEnd"/>
      <w:r w:rsidRPr="0068739C">
        <w:t xml:space="preserve"> liggen deze percentages op 22% en 5%. </w:t>
      </w:r>
    </w:p>
    <w:p w:rsidRPr="0068739C" w:rsidR="00245CCC" w:rsidP="00BE02B0" w:rsidRDefault="00245CCC" w14:paraId="6FB56E6F" w14:textId="77777777"/>
    <w:p w:rsidR="00245CCC" w:rsidP="00BE02B0" w:rsidRDefault="00245CCC" w14:paraId="1E5A8858" w14:textId="7B840660">
      <w:r w:rsidRPr="0068739C">
        <w:t>Wat betreft het nabestaandenpensioen</w:t>
      </w:r>
      <w:r w:rsidRPr="0068739C" w:rsidDel="007025A8">
        <w:t xml:space="preserve"> </w:t>
      </w:r>
      <w:r w:rsidRPr="0068739C">
        <w:t>geven verzekeraars aan dat dit in alle gevallen zowel vóór als na de pensioendatum onderdeel uitmaakt</w:t>
      </w:r>
      <w:r w:rsidRPr="0068739C" w:rsidDel="007025A8">
        <w:t xml:space="preserve"> </w:t>
      </w:r>
      <w:r w:rsidRPr="0068739C">
        <w:t xml:space="preserve">van de nieuwe </w:t>
      </w:r>
      <w:r w:rsidRPr="0068739C" w:rsidR="00582A4C">
        <w:t>pensioen</w:t>
      </w:r>
      <w:r w:rsidRPr="0068739C">
        <w:t xml:space="preserve">regeling. Bij </w:t>
      </w:r>
      <w:proofErr w:type="spellStart"/>
      <w:r w:rsidRPr="0068739C">
        <w:t>PPI’s</w:t>
      </w:r>
      <w:proofErr w:type="spellEnd"/>
      <w:r w:rsidRPr="0068739C">
        <w:t xml:space="preserve"> geldt dit voor 80% van de gevallen.</w:t>
      </w:r>
      <w:r w:rsidRPr="0068739C" w:rsidDel="00BC4D23">
        <w:t xml:space="preserve"> </w:t>
      </w:r>
      <w:r w:rsidRPr="0068739C">
        <w:t>In de overige 20% van de gevallen is uitsluitend</w:t>
      </w:r>
      <w:r w:rsidRPr="0068739C" w:rsidDel="00BC4D23">
        <w:t xml:space="preserve"> </w:t>
      </w:r>
      <w:r w:rsidRPr="0068739C">
        <w:t>een nabestaandenpensioen voor de pensioendatum opgenomen. De mediaan van het nabestaandenpensioen ligt op 30% van het laatstverdiende salaris.</w:t>
      </w:r>
      <w:r>
        <w:t xml:space="preserve"> </w:t>
      </w:r>
    </w:p>
    <w:p w:rsidR="00245CCC" w:rsidP="00BE02B0" w:rsidRDefault="00245CCC" w14:paraId="122D60BA" w14:textId="77777777">
      <w:pPr>
        <w:rPr>
          <w:b/>
          <w:bCs/>
        </w:rPr>
      </w:pPr>
    </w:p>
    <w:p w:rsidR="00245CCC" w:rsidP="00BE02B0" w:rsidRDefault="00245CCC" w14:paraId="71E4815B" w14:textId="77777777">
      <w:r w:rsidRPr="00B05CD4">
        <w:t xml:space="preserve">Aangezien </w:t>
      </w:r>
      <w:r>
        <w:t xml:space="preserve">de komende tijd nog veel contracten moeten worden omgezet, wordt bovenstaande </w:t>
      </w:r>
      <w:r w:rsidRPr="00B05CD4">
        <w:t xml:space="preserve">informatie </w:t>
      </w:r>
      <w:r>
        <w:t>over de gemaakte arbeidsvoorwaardelijke afspraken in</w:t>
      </w:r>
      <w:r w:rsidRPr="00B05CD4">
        <w:t xml:space="preserve"> de komende periode verder aangevuld</w:t>
      </w:r>
      <w:r>
        <w:t>.</w:t>
      </w:r>
    </w:p>
    <w:p w:rsidR="00B04673" w:rsidP="00BE02B0" w:rsidRDefault="00B04673" w14:paraId="64C49638" w14:textId="77777777">
      <w:pPr>
        <w:rPr>
          <w:b/>
          <w:bCs/>
        </w:rPr>
      </w:pPr>
    </w:p>
    <w:p w:rsidR="00180316" w:rsidP="00BE02B0" w:rsidRDefault="00180316" w14:paraId="7979AFD5" w14:textId="3DD254ED">
      <w:pPr>
        <w:rPr>
          <w:b/>
          <w:bCs/>
        </w:rPr>
      </w:pPr>
      <w:r>
        <w:rPr>
          <w:b/>
          <w:bCs/>
        </w:rPr>
        <w:lastRenderedPageBreak/>
        <w:t>4.</w:t>
      </w:r>
      <w:r w:rsidR="00F8359E">
        <w:rPr>
          <w:b/>
          <w:bCs/>
        </w:rPr>
        <w:t>3</w:t>
      </w:r>
      <w:r>
        <w:rPr>
          <w:b/>
          <w:bCs/>
        </w:rPr>
        <w:t xml:space="preserve"> Kosten</w:t>
      </w:r>
    </w:p>
    <w:p w:rsidR="00BF2471" w:rsidP="00BE02B0" w:rsidRDefault="00EE6134" w14:paraId="19C493C7" w14:textId="450F640E">
      <w:r w:rsidRPr="00245CCC" w:rsidDel="00BC4D23">
        <w:t>In de eerdere voortgangsrapportage</w:t>
      </w:r>
      <w:r w:rsidR="00F63D92">
        <w:t>s</w:t>
      </w:r>
      <w:r w:rsidRPr="00245CCC" w:rsidDel="00BC4D23">
        <w:t xml:space="preserve"> is uitgebreid </w:t>
      </w:r>
      <w:proofErr w:type="gramStart"/>
      <w:r w:rsidRPr="00245CCC" w:rsidDel="00BC4D23">
        <w:t>in gegaan</w:t>
      </w:r>
      <w:proofErr w:type="gramEnd"/>
      <w:r w:rsidRPr="00245CCC" w:rsidDel="00BC4D23">
        <w:t xml:space="preserve"> op de context waarbinnen kosten worden gemaakt</w:t>
      </w:r>
      <w:r w:rsidR="00827B67">
        <w:t xml:space="preserve">. Daarbij dient opgemerkt te worden </w:t>
      </w:r>
      <w:r w:rsidRPr="00245CCC" w:rsidDel="00BC4D23">
        <w:t>dat kosten (vaak)</w:t>
      </w:r>
      <w:r w:rsidR="001447D8">
        <w:t xml:space="preserve"> </w:t>
      </w:r>
      <w:r w:rsidRPr="001447D8" w:rsidR="001447D8">
        <w:t>samenhangen met opbrengsten en risicoblootstelling</w:t>
      </w:r>
      <w:r w:rsidR="00827B67">
        <w:t xml:space="preserve">. </w:t>
      </w:r>
      <w:proofErr w:type="gramStart"/>
      <w:r w:rsidR="00827B67">
        <w:t>Tevens</w:t>
      </w:r>
      <w:proofErr w:type="gramEnd"/>
      <w:r w:rsidR="00827B67">
        <w:t xml:space="preserve"> is ingegaan </w:t>
      </w:r>
      <w:r w:rsidRPr="00245CCC" w:rsidDel="00BC4D23">
        <w:t xml:space="preserve">op </w:t>
      </w:r>
      <w:r w:rsidR="00827B67">
        <w:t xml:space="preserve">de </w:t>
      </w:r>
      <w:r w:rsidRPr="00245CCC" w:rsidDel="00BC4D23">
        <w:t xml:space="preserve">wijze </w:t>
      </w:r>
      <w:r w:rsidR="00827B67">
        <w:t xml:space="preserve">waarop </w:t>
      </w:r>
      <w:r w:rsidRPr="00245CCC" w:rsidDel="00BC4D23">
        <w:t xml:space="preserve">pensioenuitvoerders verantwoording afleggen over de </w:t>
      </w:r>
      <w:r w:rsidR="00827B67">
        <w:t xml:space="preserve">gemaakte </w:t>
      </w:r>
      <w:r w:rsidRPr="00245CCC" w:rsidDel="00BC4D23">
        <w:t xml:space="preserve">kosten. </w:t>
      </w:r>
    </w:p>
    <w:p w:rsidR="00BF2471" w:rsidP="00BE02B0" w:rsidRDefault="00BF2471" w14:paraId="1E67E452" w14:textId="77777777"/>
    <w:p w:rsidRPr="00245CCC" w:rsidR="00180316" w:rsidP="00BE02B0" w:rsidRDefault="00EE6134" w14:paraId="6FF58A40" w14:textId="3D5F532B">
      <w:r w:rsidRPr="00245CCC">
        <w:t xml:space="preserve">Uit de meest recente transitiemonitor blijkt dat pensioenuitvoerders zeer verschillend reageren op de vraag naar de totale kosten die zij </w:t>
      </w:r>
      <w:r w:rsidR="00685426">
        <w:t xml:space="preserve">specifiek </w:t>
      </w:r>
      <w:r w:rsidRPr="00245CCC">
        <w:t>in het kader van de transitie naar het nieuwe pensioenstelsel</w:t>
      </w:r>
      <w:r w:rsidR="00F63D92">
        <w:t xml:space="preserve"> </w:t>
      </w:r>
      <w:r w:rsidRPr="00245CCC" w:rsidR="00F63D92">
        <w:t>maken</w:t>
      </w:r>
      <w:r w:rsidRPr="00245CCC">
        <w:t xml:space="preserve">. Zo zijn er </w:t>
      </w:r>
      <w:r w:rsidRPr="00245CCC" w:rsidR="00600997">
        <w:t>pensioen</w:t>
      </w:r>
      <w:r w:rsidRPr="00245CCC">
        <w:t xml:space="preserve">uitvoerders die aangeven dat de kosten nog niet te bepalen zijn, beperkt zijn of dat zij daar geen uitspraken over doen. </w:t>
      </w:r>
      <w:r w:rsidR="00181219">
        <w:t xml:space="preserve">Ten behoeve van de komende voortgangsrapportage zal worden bezien of de vraagstelling kan worden aangepast zodat een specifieker beeld van de met de transitie gepaard gaande kosten kan worden gegeven. </w:t>
      </w:r>
    </w:p>
    <w:p w:rsidRPr="00245CCC" w:rsidR="00600997" w:rsidP="00BE02B0" w:rsidRDefault="00600997" w14:paraId="531C4FF2" w14:textId="77777777"/>
    <w:p w:rsidRPr="00245CCC" w:rsidR="00600997" w:rsidP="00BE02B0" w:rsidRDefault="00600997" w14:paraId="5E01D79D" w14:textId="6A3D25BD">
      <w:r w:rsidRPr="00245CCC">
        <w:t>De komende tijd worden de jaarverslagen</w:t>
      </w:r>
      <w:r w:rsidRPr="00245CCC" w:rsidR="005D1670">
        <w:t xml:space="preserve"> van 2025</w:t>
      </w:r>
      <w:r w:rsidRPr="00245CCC">
        <w:t xml:space="preserve">, met daarin de kosten, opgesteld. </w:t>
      </w:r>
      <w:r w:rsidRPr="00245CCC" w:rsidR="00245CCC">
        <w:t>Onder andere o</w:t>
      </w:r>
      <w:r w:rsidRPr="00245CCC" w:rsidR="005D1670">
        <w:t xml:space="preserve">p basis van deze jaarverslagen publiceert </w:t>
      </w:r>
      <w:r w:rsidRPr="00245CCC">
        <w:t>actuarieel adviesbureau Bell</w:t>
      </w:r>
      <w:r w:rsidRPr="00245CCC" w:rsidR="005D1670">
        <w:t xml:space="preserve">, naar verwachting in het najaar van 2026, een rapport </w:t>
      </w:r>
      <w:r w:rsidRPr="00245CCC">
        <w:t>over de uitvoeringskosten van alle pensioenfondsen</w:t>
      </w:r>
      <w:r w:rsidRPr="00245CCC" w:rsidR="005D1670">
        <w:t xml:space="preserve">. </w:t>
      </w:r>
      <w:r w:rsidRPr="00245CCC">
        <w:t xml:space="preserve">Hierover wordt u in de volgende voortgangsrapportage monitoring </w:t>
      </w:r>
      <w:proofErr w:type="spellStart"/>
      <w:r w:rsidRPr="00245CCC">
        <w:t>Wtp</w:t>
      </w:r>
      <w:proofErr w:type="spellEnd"/>
      <w:r w:rsidRPr="00245CCC">
        <w:t xml:space="preserve"> (winter 2027) geïnformeerd.</w:t>
      </w:r>
    </w:p>
    <w:p w:rsidR="00BC4D23" w:rsidP="00BE02B0" w:rsidRDefault="00BC4D23" w14:paraId="3375E870" w14:textId="77777777"/>
    <w:p w:rsidR="00442125" w:rsidP="00BE02B0" w:rsidRDefault="00442125" w14:paraId="5B4AC2AB" w14:textId="2548C1ED">
      <w:pPr>
        <w:rPr>
          <w:b/>
          <w:bCs/>
        </w:rPr>
      </w:pPr>
      <w:r>
        <w:rPr>
          <w:b/>
          <w:bCs/>
        </w:rPr>
        <w:t>4.</w:t>
      </w:r>
      <w:r w:rsidR="00F8359E">
        <w:rPr>
          <w:b/>
          <w:bCs/>
        </w:rPr>
        <w:t>4</w:t>
      </w:r>
      <w:r>
        <w:rPr>
          <w:b/>
          <w:bCs/>
        </w:rPr>
        <w:t xml:space="preserve"> Compensatie </w:t>
      </w:r>
    </w:p>
    <w:p w:rsidR="00B032B5" w:rsidP="00BE02B0" w:rsidRDefault="00B032B5" w14:paraId="381122F0" w14:textId="15727342">
      <w:r w:rsidRPr="00B032B5">
        <w:t xml:space="preserve">Een onderwerp </w:t>
      </w:r>
      <w:r w:rsidR="00F63D92">
        <w:t xml:space="preserve">waar </w:t>
      </w:r>
      <w:r w:rsidRPr="00B032B5">
        <w:t xml:space="preserve">de afgelopen periode veel aandacht </w:t>
      </w:r>
      <w:r w:rsidR="00F63D92">
        <w:t xml:space="preserve">voor </w:t>
      </w:r>
      <w:r w:rsidRPr="00B032B5">
        <w:t>is geweest</w:t>
      </w:r>
      <w:r w:rsidR="00F63D92">
        <w:t>,</w:t>
      </w:r>
      <w:r w:rsidRPr="00B032B5">
        <w:t xml:space="preserve"> is de compensatie voor </w:t>
      </w:r>
      <w:r w:rsidR="00F63D92">
        <w:t xml:space="preserve">de </w:t>
      </w:r>
      <w:r w:rsidRPr="00B032B5">
        <w:t xml:space="preserve">afschaffing van de doorsneesystematiek. Hieronder ga ik eerst in op de afspraken die hierover zijn gemaakt, daarna ga ik in op de gesprekken die ik met sociale partners heb gevoerd naar aanleiding van diverse oproepen uit de Kamer. </w:t>
      </w:r>
    </w:p>
    <w:p w:rsidR="00B032B5" w:rsidP="00BE02B0" w:rsidRDefault="00B032B5" w14:paraId="585DA428" w14:textId="77777777"/>
    <w:p w:rsidRPr="00B42A6E" w:rsidR="00D2441B" w:rsidP="00BE02B0" w:rsidRDefault="00D2441B" w14:paraId="1AAA3950" w14:textId="76E88F26">
      <w:r>
        <w:t xml:space="preserve">Van de werkgevers met een regeling uitgevoerde door een verzekeraar of PPI kiest respectievelijk </w:t>
      </w:r>
      <w:r w:rsidRPr="00E21386" w:rsidR="00582A4C">
        <w:t>64%</w:t>
      </w:r>
      <w:r w:rsidRPr="00E21386">
        <w:t xml:space="preserve"> en </w:t>
      </w:r>
      <w:r w:rsidRPr="00E21386" w:rsidR="00582A4C">
        <w:t>60%</w:t>
      </w:r>
      <w:r>
        <w:t xml:space="preserve"> voor eerbiedigende werking. </w:t>
      </w:r>
      <w:r w:rsidR="000B5BFF">
        <w:t xml:space="preserve">Dit betekent dat </w:t>
      </w:r>
      <w:r w:rsidRPr="000B5BFF" w:rsidR="000B5BFF">
        <w:t>dat voor de werknemers die in dienst zijn op het moment van overstap naar het nieuwe pensioenstelsel, de stijgende premie</w:t>
      </w:r>
      <w:r w:rsidR="00E21386">
        <w:t xml:space="preserve"> blijft </w:t>
      </w:r>
      <w:r w:rsidRPr="000B5BFF" w:rsidR="000B5BFF">
        <w:t>gelden.</w:t>
      </w:r>
      <w:r w:rsidR="000B5BFF">
        <w:t xml:space="preserve"> Er is bij eerbiedigende werking dus geen sprake van compensatie, omdat de regeling (zoals die was) geëerbiedigd wordt. Als er wel is gekozen om</w:t>
      </w:r>
      <w:r>
        <w:t xml:space="preserve"> over</w:t>
      </w:r>
      <w:r w:rsidR="000B5BFF">
        <w:t xml:space="preserve"> te </w:t>
      </w:r>
      <w:r>
        <w:t xml:space="preserve">gaan van een progressieve premie naar een vlakke premie </w:t>
      </w:r>
      <w:r w:rsidR="00E21386">
        <w:t xml:space="preserve">dan </w:t>
      </w:r>
      <w:r>
        <w:t xml:space="preserve">is in </w:t>
      </w:r>
      <w:r w:rsidRPr="00E21386">
        <w:t>75%</w:t>
      </w:r>
      <w:r>
        <w:t xml:space="preserve"> </w:t>
      </w:r>
      <w:r w:rsidR="00582A4C">
        <w:t xml:space="preserve">van de contracten uitgevoerd door </w:t>
      </w:r>
      <w:r>
        <w:t xml:space="preserve">verzekeraars en </w:t>
      </w:r>
      <w:r w:rsidR="00582A4C">
        <w:t xml:space="preserve">in </w:t>
      </w:r>
      <w:r w:rsidRPr="00E21386">
        <w:t>80</w:t>
      </w:r>
      <w:r>
        <w:t xml:space="preserve">% </w:t>
      </w:r>
      <w:r w:rsidR="00582A4C">
        <w:t xml:space="preserve">van de contracten uitgevoerd door </w:t>
      </w:r>
      <w:proofErr w:type="spellStart"/>
      <w:r>
        <w:t>PP</w:t>
      </w:r>
      <w:r w:rsidR="00582A4C">
        <w:t>I</w:t>
      </w:r>
      <w:r>
        <w:t>’s</w:t>
      </w:r>
      <w:proofErr w:type="spellEnd"/>
      <w:r>
        <w:t xml:space="preserve"> niet gekozen voor compensatie binnen de pensioenregeling. In de overige gevallen is </w:t>
      </w:r>
      <w:r w:rsidR="00FF2B35">
        <w:t xml:space="preserve">nog </w:t>
      </w:r>
      <w:r>
        <w:t xml:space="preserve">niet duidelijk of een compensatieregeling zal worden getroffen. Wanneer wel voor compensatie wordt gekozen, gebeurt dit meestal buiten de pensioenregeling om, bijvoorbeeld in de vorm van extra brutoloon. </w:t>
      </w:r>
    </w:p>
    <w:p w:rsidR="00D2441B" w:rsidP="00BE02B0" w:rsidRDefault="00D2441B" w14:paraId="0F655FD9" w14:textId="77777777">
      <w:pPr>
        <w:rPr>
          <w:b/>
          <w:bCs/>
        </w:rPr>
      </w:pPr>
    </w:p>
    <w:p w:rsidR="00B032B5" w:rsidP="00BE02B0" w:rsidRDefault="00443897" w14:paraId="16ACE2D9" w14:textId="3A9E5426">
      <w:r w:rsidRPr="00443897">
        <w:t>Voor pensioenregelingen bij pensioenfondsen/</w:t>
      </w:r>
      <w:r w:rsidR="005B4407">
        <w:t>-</w:t>
      </w:r>
      <w:r w:rsidRPr="00443897">
        <w:t xml:space="preserve">kringen </w:t>
      </w:r>
      <w:r w:rsidR="00307502">
        <w:t>die invaren naar de nieuwe pensioenregeling</w:t>
      </w:r>
      <w:r w:rsidRPr="00443897">
        <w:t xml:space="preserve"> </w:t>
      </w:r>
      <w:r>
        <w:t xml:space="preserve">is in </w:t>
      </w:r>
      <w:r w:rsidRPr="00443897">
        <w:t xml:space="preserve">alle gevallen </w:t>
      </w:r>
      <w:r w:rsidR="00E375AE">
        <w:t>-</w:t>
      </w:r>
      <w:r>
        <w:t>al dan niet voorwaardelijk</w:t>
      </w:r>
      <w:r w:rsidR="00E375AE">
        <w:t>-</w:t>
      </w:r>
      <w:r>
        <w:t xml:space="preserve"> </w:t>
      </w:r>
      <w:r w:rsidRPr="00443897">
        <w:t>sprake van een compensatieregeling voor het afschaffen van de doorsnee</w:t>
      </w:r>
      <w:r w:rsidR="005D1670">
        <w:t>systematiek</w:t>
      </w:r>
      <w:r>
        <w:t>.</w:t>
      </w:r>
      <w:r w:rsidR="00E375AE">
        <w:rPr>
          <w:rStyle w:val="Voetnootmarkering"/>
        </w:rPr>
        <w:footnoteReference w:id="31"/>
      </w:r>
      <w:r>
        <w:t xml:space="preserve"> </w:t>
      </w:r>
      <w:r w:rsidR="005D1670">
        <w:t>N</w:t>
      </w:r>
      <w:r w:rsidRPr="00443897">
        <w:t xml:space="preserve">iet </w:t>
      </w:r>
      <w:r w:rsidR="005D1670">
        <w:t>alle deelnemers komen daar</w:t>
      </w:r>
      <w:r w:rsidR="000B5BFF">
        <w:t>voor</w:t>
      </w:r>
      <w:r w:rsidR="005D1670">
        <w:t xml:space="preserve"> in aanmerking</w:t>
      </w:r>
      <w:r w:rsidR="000B5BFF">
        <w:t>, want de afschaffing van de doorsneesystematiek heeft impact op specifieke leeftijdscohorten</w:t>
      </w:r>
      <w:r w:rsidR="005D1670">
        <w:t xml:space="preserve">. </w:t>
      </w:r>
      <w:r w:rsidRPr="00443897">
        <w:t>In algemene zin kan gesteld worden dat naarmate de betreffende leeftijdscohorten meer ‘nadeel ondervinden’ van het afschaffen van de doorsneesystematiek</w:t>
      </w:r>
      <w:r w:rsidR="00E3295C">
        <w:t>,</w:t>
      </w:r>
      <w:r w:rsidRPr="00443897">
        <w:t xml:space="preserve"> zij vaker voor compensatie in aanmerking komen.</w:t>
      </w:r>
      <w:r>
        <w:t xml:space="preserve"> </w:t>
      </w:r>
      <w:r w:rsidR="00543B60">
        <w:t>C</w:t>
      </w:r>
      <w:r w:rsidRPr="00443897">
        <w:t>ompensatie</w:t>
      </w:r>
      <w:r w:rsidR="00543B60">
        <w:t xml:space="preserve"> vindt</w:t>
      </w:r>
      <w:r w:rsidRPr="00443897">
        <w:t xml:space="preserve"> in 92% van de gevallen binnen de pensioenregeling plaats.</w:t>
      </w:r>
      <w:r w:rsidR="00571206">
        <w:rPr>
          <w:rStyle w:val="Voetnootmarkering"/>
        </w:rPr>
        <w:footnoteReference w:id="32"/>
      </w:r>
      <w:r w:rsidR="008863F9">
        <w:t xml:space="preserve"> </w:t>
      </w:r>
    </w:p>
    <w:p w:rsidR="00B032B5" w:rsidP="00BE02B0" w:rsidRDefault="008863F9" w14:paraId="1A6297CF" w14:textId="5EB60A90">
      <w:pPr>
        <w:rPr>
          <w:b/>
          <w:bCs/>
        </w:rPr>
      </w:pPr>
      <w:r>
        <w:lastRenderedPageBreak/>
        <w:t>D</w:t>
      </w:r>
      <w:r w:rsidRPr="00D2441B">
        <w:t xml:space="preserve">e leden Van Ark (CDA) en </w:t>
      </w:r>
      <w:proofErr w:type="spellStart"/>
      <w:r w:rsidRPr="00D2441B">
        <w:t>Patijn</w:t>
      </w:r>
      <w:proofErr w:type="spellEnd"/>
      <w:r w:rsidRPr="00D2441B">
        <w:t xml:space="preserve"> (</w:t>
      </w:r>
      <w:r w:rsidR="00A14A9D">
        <w:t>Pro</w:t>
      </w:r>
      <w:r w:rsidRPr="00D2441B">
        <w:t>)</w:t>
      </w:r>
      <w:r>
        <w:t xml:space="preserve"> hebben aandacht gevraagd voor de groep werknemers die </w:t>
      </w:r>
      <w:r w:rsidRPr="008863F9">
        <w:t>het afgelopen jaar van baan zijn gewisseld of bijvoorbeeld</w:t>
      </w:r>
      <w:r>
        <w:t xml:space="preserve"> door het opnemen van</w:t>
      </w:r>
      <w:r w:rsidR="00E21386">
        <w:t xml:space="preserve"> </w:t>
      </w:r>
      <w:r w:rsidRPr="008863F9">
        <w:t xml:space="preserve">mantelzorg </w:t>
      </w:r>
      <w:r>
        <w:t>geen of minder compensatie ontvangen terwijl zij daar bij voortzetting van hun dienstverband wel voor in aanmerking zouden zijn gekomen</w:t>
      </w:r>
      <w:r w:rsidR="00F63D92">
        <w:t xml:space="preserve">. Zij </w:t>
      </w:r>
      <w:r>
        <w:t>hebben daar</w:t>
      </w:r>
      <w:r w:rsidR="00F63D92">
        <w:t xml:space="preserve">over </w:t>
      </w:r>
      <w:r>
        <w:t xml:space="preserve">een motie ingediend. </w:t>
      </w:r>
    </w:p>
    <w:p w:rsidR="00013E6E" w:rsidP="00397B1D" w:rsidRDefault="00013E6E" w14:paraId="22CDAC96" w14:textId="77777777"/>
    <w:p w:rsidR="00397B1D" w:rsidP="00397B1D" w:rsidRDefault="00397B1D" w14:paraId="2C822D39" w14:textId="234F2A36">
      <w:r w:rsidRPr="00A243E5">
        <w:t xml:space="preserve">In navolging op de motie van de leden Van Ark (CDA) en </w:t>
      </w:r>
      <w:proofErr w:type="spellStart"/>
      <w:r w:rsidRPr="00A243E5">
        <w:t>Patijn</w:t>
      </w:r>
      <w:proofErr w:type="spellEnd"/>
      <w:r w:rsidRPr="00A243E5">
        <w:t xml:space="preserve"> (</w:t>
      </w:r>
      <w:r w:rsidR="00A14A9D">
        <w:t>Pro</w:t>
      </w:r>
      <w:r w:rsidRPr="00A243E5">
        <w:t xml:space="preserve">) </w:t>
      </w:r>
      <w:r>
        <w:t xml:space="preserve">van 18 mei 2026 </w:t>
      </w:r>
      <w:r w:rsidRPr="00A243E5">
        <w:t>heb ik overleg ge</w:t>
      </w:r>
      <w:r w:rsidR="00013E6E">
        <w:t>voerd</w:t>
      </w:r>
      <w:r w:rsidRPr="00A243E5">
        <w:t xml:space="preserve"> met sociale partners over compensatieregelingen.</w:t>
      </w:r>
      <w:r>
        <w:rPr>
          <w:rStyle w:val="Voetnootmarkering"/>
        </w:rPr>
        <w:footnoteReference w:id="33"/>
      </w:r>
      <w:r w:rsidR="00B03D89">
        <w:t xml:space="preserve"> Hieronder is een weerslag van dit overleg weergegeven. </w:t>
      </w:r>
      <w:r>
        <w:t>Tot slot heeft uw Kamer verzocht om te reageren op</w:t>
      </w:r>
      <w:r w:rsidR="00013E6E">
        <w:t xml:space="preserve"> een</w:t>
      </w:r>
      <w:r>
        <w:t xml:space="preserve"> </w:t>
      </w:r>
      <w:r w:rsidRPr="00480393">
        <w:t>burgerbrief over compensatie</w:t>
      </w:r>
      <w:r>
        <w:t xml:space="preserve">. Mijn reactie staat in box </w:t>
      </w:r>
      <w:r w:rsidR="002B318B">
        <w:t>2.</w:t>
      </w:r>
    </w:p>
    <w:p w:rsidR="00F73A6A" w:rsidP="00397B1D" w:rsidRDefault="00F73A6A" w14:paraId="26BE7DED" w14:textId="77777777"/>
    <w:p w:rsidR="00337F13" w:rsidP="00B03D89" w:rsidRDefault="00F73A6A" w14:paraId="6C70265F" w14:textId="77777777">
      <w:pPr>
        <w:rPr>
          <w:i/>
          <w:iCs/>
          <w:u w:val="single"/>
        </w:rPr>
      </w:pPr>
      <w:r w:rsidRPr="00BF7BD6">
        <w:rPr>
          <w:i/>
          <w:iCs/>
          <w:u w:val="single"/>
        </w:rPr>
        <w:t>Weerslag</w:t>
      </w:r>
      <w:r w:rsidRPr="00BF7BD6" w:rsidR="002B318B">
        <w:rPr>
          <w:i/>
          <w:iCs/>
          <w:u w:val="single"/>
        </w:rPr>
        <w:t xml:space="preserve"> </w:t>
      </w:r>
      <w:r w:rsidRPr="00B03D89" w:rsidR="002B318B">
        <w:rPr>
          <w:i/>
          <w:iCs/>
          <w:u w:val="single"/>
        </w:rPr>
        <w:t>gesprek met sociale partners</w:t>
      </w:r>
    </w:p>
    <w:p w:rsidR="00B03D89" w:rsidP="00B03D89" w:rsidRDefault="00445937" w14:paraId="4577C168" w14:textId="3AE2161C">
      <w:r>
        <w:t>In het Pensioenakkoord hebben kabinet en sociale partners afgesproken dat de zogenaamde doorsneesystematiek verdwijnt.</w:t>
      </w:r>
      <w:r w:rsidR="00A53B9A">
        <w:t xml:space="preserve"> Kort gezegd ontving in het oude pensioenstelsel een jonge deelnemer ‘te weinig’ opbouw voor de ingelegde premie en een oudere deelnemer </w:t>
      </w:r>
      <w:r w:rsidR="00112545">
        <w:t>te veel</w:t>
      </w:r>
      <w:r w:rsidR="00A53B9A">
        <w:t xml:space="preserve">. Het ‘nadeel’ aan het begin van de carrière werd </w:t>
      </w:r>
      <w:r w:rsidRPr="00A53B9A" w:rsidR="00A53B9A">
        <w:t>bij blijvende</w:t>
      </w:r>
      <w:r w:rsidR="00A53B9A">
        <w:t xml:space="preserve"> deelname aan de betreffende pensioenregeling goedgemaakt door een later, toekomstig ‘voordeel’. Met de overstap naar het nieuwe pensioenstelsel komt voor deelnemers in bepaalde leeftijdsgroepen dit toekomstige voordeel te vervallen.</w:t>
      </w:r>
      <w:r>
        <w:t xml:space="preserve"> De omvang</w:t>
      </w:r>
      <w:r w:rsidR="00A53B9A">
        <w:t xml:space="preserve"> hiervan</w:t>
      </w:r>
      <w:r>
        <w:t xml:space="preserve"> en daarmee de noodzaak voor compensatie, is afhankelijk van de toekomstige pensioenopbouw van een deelnemer in een specifieke pensioenregeling.</w:t>
      </w:r>
      <w:r>
        <w:rPr>
          <w:rStyle w:val="Voetnootmarkering"/>
        </w:rPr>
        <w:footnoteReference w:id="34"/>
      </w:r>
      <w:r>
        <w:t xml:space="preserve"> Dit dient te worden bezien in samenhang met het voordeel dat een deelnemer ondervindt door de overstap naar het nieuwe stelsel.</w:t>
      </w:r>
      <w:r>
        <w:rPr>
          <w:rStyle w:val="Voetnootmarkering"/>
        </w:rPr>
        <w:footnoteReference w:id="35"/>
      </w:r>
      <w:r>
        <w:rPr>
          <w:vertAlign w:val="superscript"/>
        </w:rPr>
        <w:t>,</w:t>
      </w:r>
      <w:r>
        <w:rPr>
          <w:rStyle w:val="Voetnootmarkering"/>
        </w:rPr>
        <w:footnoteReference w:id="36"/>
      </w:r>
      <w:r>
        <w:t xml:space="preserve"> Dit wordt ook wel de ‘dubbele transitie’ genoemd. Vanwege het </w:t>
      </w:r>
      <w:proofErr w:type="spellStart"/>
      <w:r>
        <w:t>regelingspecifieke</w:t>
      </w:r>
      <w:proofErr w:type="spellEnd"/>
      <w:r>
        <w:t xml:space="preserve"> karakter en de vereiste evenwichtigheid van de transitie als geheel, hebben kabinet en sociale partners in het Pensioenakkoord afgesproken dat decentrale sociale partners bij de overgang naar het nieuwe stelsel oog moeten hebben voor eventuele compensatievraagstukken en daar zo nodig afspraken over moeten maken. En daarvoor was ruimte nodig; een uniforme en wettelijk voorgeschreven compensatieregeling zou de ruimte beperken om voor decentrale partijen tot uitvoerbare, regeling- of sectorspecifieke afspraken te komen. </w:t>
      </w:r>
    </w:p>
    <w:p w:rsidR="00B03D89" w:rsidP="00B03D89" w:rsidRDefault="00B03D89" w14:paraId="1DFF7755" w14:textId="77777777"/>
    <w:p w:rsidR="00B03D89" w:rsidP="00B03D89" w:rsidRDefault="00445937" w14:paraId="6630AAB3" w14:textId="4806ADE2">
      <w:pPr>
        <w:rPr>
          <w:rFonts w:cs="Calibri"/>
        </w:rPr>
      </w:pPr>
      <w:r>
        <w:t xml:space="preserve">Bij de totstandkoming van het Pensioenakkoord hebben kabinet en sociale partners gesproken over de mogelijkheid van één vaste transitiedatum waarop alle pensioenregelingen tegelijkertijd naar het nieuwe stelsel zouden worden overgezet. </w:t>
      </w:r>
      <w:r w:rsidR="00397B1D">
        <w:t xml:space="preserve">Een vaste transitiedatum bleek echter niet uitvoerbaar vanwege de piekbelasting in administratieve, IT- en financieel actuariële uitvoeringscapaciteit bij pensioenfondsen, </w:t>
      </w:r>
      <w:proofErr w:type="spellStart"/>
      <w:r w:rsidR="00397B1D">
        <w:t>PPI’s</w:t>
      </w:r>
      <w:proofErr w:type="spellEnd"/>
      <w:r w:rsidR="00397B1D">
        <w:t xml:space="preserve"> en verzekeraars, maar ook bij grote</w:t>
      </w:r>
      <w:r>
        <w:t xml:space="preserve"> </w:t>
      </w:r>
      <w:proofErr w:type="spellStart"/>
      <w:r>
        <w:t>PUO’s</w:t>
      </w:r>
      <w:proofErr w:type="spellEnd"/>
      <w:r w:rsidR="00397B1D">
        <w:t>, de toezichthouders en adviseurs. Kabinet en sociale partners hebben toen weloverwogen gekozen voor een meerjarige overgangstermijn om de kwaliteit van de transitie te kunnen waarborgen.</w:t>
      </w:r>
      <w:r w:rsidR="00397B1D">
        <w:rPr>
          <w:rStyle w:val="Voetnootmarkering"/>
        </w:rPr>
        <w:footnoteReference w:id="37"/>
      </w:r>
      <w:r w:rsidR="00397B1D">
        <w:t xml:space="preserve"> Hierdoor kan zich een dilemma voordoen. </w:t>
      </w:r>
      <w:r w:rsidR="00397B1D">
        <w:lastRenderedPageBreak/>
        <w:t xml:space="preserve">Namelijk dat het kan voorkomen dat mensen die van baan wisselen deze compensatie niet ontvangen omdat pensioenfondsen op verschillende momenten kunnen invaren in de nieuwe pensioenregeling. Dit speelt als mensen uit dienst treden, of ontslagen worden, voordat het oude pensioenfonds compensatie heeft toegekend en bij de nieuwe baan in dienst gaan nadat het nieuwe pensioenfonds de compensatie heeft toegekend. </w:t>
      </w:r>
      <w:r w:rsidR="00397B1D">
        <w:rPr>
          <w:rFonts w:cs="Calibri"/>
        </w:rPr>
        <w:t>Het gaat hierbij om gevallen waarbij mensen overgaan naar een werkgever die is aangesloten bij een ander pensioenfonds met een andere transitiedatum en waarbij de compensatie niet gespreid, maar ineens toegekend wordt.</w:t>
      </w:r>
      <w:r w:rsidR="00397B1D">
        <w:rPr>
          <w:rStyle w:val="Voetnootmarkering"/>
          <w:rFonts w:cs="Calibri"/>
        </w:rPr>
        <w:footnoteReference w:id="38"/>
      </w:r>
    </w:p>
    <w:p w:rsidRPr="00B03D89" w:rsidR="009D4FF6" w:rsidP="00B03D89" w:rsidRDefault="009D4FF6" w14:paraId="688A9833" w14:textId="77777777">
      <w:pPr>
        <w:rPr>
          <w:rFonts w:cs="Calibri"/>
        </w:rPr>
      </w:pPr>
    </w:p>
    <w:p w:rsidRPr="00B03D89" w:rsidR="00B03D89" w:rsidP="00B03D89" w:rsidRDefault="00397B1D" w14:paraId="625B2732" w14:textId="25552512">
      <w:pPr>
        <w:rPr>
          <w:rFonts w:cs="Calibri"/>
          <w:u w:val="single"/>
        </w:rPr>
      </w:pPr>
      <w:r w:rsidRPr="00B03D89">
        <w:rPr>
          <w:rFonts w:cs="Calibri"/>
          <w:u w:val="single"/>
        </w:rPr>
        <w:t>Compensatie ineens toekennen of spreiden</w:t>
      </w:r>
    </w:p>
    <w:p w:rsidR="00B03D89" w:rsidP="00B03D89" w:rsidRDefault="00397B1D" w14:paraId="08CF03D0" w14:textId="0A84B7DE">
      <w:r>
        <w:rPr>
          <w:rFonts w:cs="Calibri"/>
        </w:rPr>
        <w:t>Spreiden over een aantal jaar kan doelmatig zijn bijvoorbeeld bij een hoge in- en uitstroom van deelnemers en als de compensatie met premie</w:t>
      </w:r>
      <w:r w:rsidDel="00A317A6">
        <w:rPr>
          <w:rFonts w:cs="Calibri"/>
        </w:rPr>
        <w:t xml:space="preserve"> </w:t>
      </w:r>
      <w:r>
        <w:rPr>
          <w:rFonts w:cs="Calibri"/>
        </w:rPr>
        <w:t>wordt gefinancierd. Anderzijds kan het juist voor de uitvoering beter beheersbaar zijn om de compensatie ineens toe te kennen en ook wanneer er op transitiedatum een voldoende dekkingsgraad beschikbaar is. Bovendien kan een gespreide compensatieperiode voor bepaalde deelnemers ook voor een langere periode de arbeidsmobiliteit beperken of tot onduidelijkheid leiden. Daarom is besloten om geen vaste</w:t>
      </w:r>
      <w:r w:rsidR="00A53B9A">
        <w:rPr>
          <w:rFonts w:cs="Calibri"/>
        </w:rPr>
        <w:t>, meerjarige</w:t>
      </w:r>
      <w:r>
        <w:rPr>
          <w:rFonts w:cs="Calibri"/>
        </w:rPr>
        <w:t xml:space="preserve"> compensatieperiode</w:t>
      </w:r>
      <w:r w:rsidR="00A53B9A">
        <w:rPr>
          <w:rFonts w:cs="Calibri"/>
        </w:rPr>
        <w:t xml:space="preserve"> verplichtend</w:t>
      </w:r>
      <w:r>
        <w:rPr>
          <w:rFonts w:cs="Calibri"/>
        </w:rPr>
        <w:t xml:space="preserve"> in de wetgeving vast te leggen en moeten werknemers tijdig in kennis worden gesteld over compensatieregelingen en beoordelen of dit voor hun pensioenopbouw van belang is wanneer zij beslissingen nemen over een nieuwe baan of bijvoorbeeld minder uren werken. Uw Kamer vraagt terecht aandacht voor dit dilemma. Hierover ben ik dan ook in gesprek gegaan met sociale partners, vanuit de gedeelde verantwoordelijkheid die kabinet en sociale partners hebben voor het Pensioenakkoord</w:t>
      </w:r>
      <w:r>
        <w:t>.</w:t>
      </w:r>
    </w:p>
    <w:p w:rsidR="009D4FF6" w:rsidP="00B03D89" w:rsidRDefault="009D4FF6" w14:paraId="0C59412D" w14:textId="77777777">
      <w:pPr>
        <w:rPr>
          <w:rFonts w:cs="Calibri"/>
        </w:rPr>
      </w:pPr>
    </w:p>
    <w:p w:rsidR="00B03D89" w:rsidP="00B03D89" w:rsidRDefault="00397B1D" w14:paraId="53110A56" w14:textId="4ACF2699">
      <w:pPr>
        <w:rPr>
          <w:i/>
          <w:iCs/>
        </w:rPr>
      </w:pPr>
      <w:r>
        <w:rPr>
          <w:rFonts w:cs="Calibri"/>
        </w:rPr>
        <w:t xml:space="preserve">De afspraken die decentrale sociale partners maken met elkaar over de nieuwe pensioenregeling en de overstap, worden vastgelegd in een transitieplan. </w:t>
      </w:r>
      <w:r>
        <w:t xml:space="preserve">Daarin </w:t>
      </w:r>
      <w:r w:rsidRPr="00D57759">
        <w:t xml:space="preserve">worden de keuzes vastgelegd die ten grondslag liggen aan de wijziging van de pensioenovereenkomst en de wijze waarop wordt omgegaan met opgebouwde pensioenaanspraken en pensioenrechten, </w:t>
      </w:r>
      <w:proofErr w:type="gramStart"/>
      <w:r w:rsidRPr="00D57759">
        <w:t>alsmede</w:t>
      </w:r>
      <w:proofErr w:type="gramEnd"/>
      <w:r w:rsidRPr="00D57759">
        <w:t xml:space="preserve"> de verantwoording waarom sprake is van een evenwichtige transitie. Het transitieplan bevat in ieder geval de gemaakte afspraken over compensatie</w:t>
      </w:r>
      <w:r>
        <w:t>.</w:t>
      </w:r>
      <w:r>
        <w:rPr>
          <w:rStyle w:val="Voetnootmarkering"/>
        </w:rPr>
        <w:footnoteReference w:id="39"/>
      </w:r>
      <w:r w:rsidRPr="00D57759">
        <w:t xml:space="preserve"> De pensioenuitvoerder </w:t>
      </w:r>
      <w:r>
        <w:t>moet</w:t>
      </w:r>
      <w:r w:rsidRPr="00D57759">
        <w:t xml:space="preserve"> het transitieplan op zijn website beschikbaar </w:t>
      </w:r>
      <w:r>
        <w:t xml:space="preserve">stellen </w:t>
      </w:r>
      <w:r w:rsidRPr="00D57759">
        <w:t xml:space="preserve">voor de deelnemer, gewezen deelnemer, gewezen partner en pensioengerechtigde. </w:t>
      </w:r>
    </w:p>
    <w:p w:rsidR="009D4FF6" w:rsidP="00B03D89" w:rsidRDefault="009D4FF6" w14:paraId="15B35E0D" w14:textId="77777777">
      <w:pPr>
        <w:rPr>
          <w:u w:val="single"/>
        </w:rPr>
      </w:pPr>
    </w:p>
    <w:p w:rsidRPr="00B03D89" w:rsidR="00B03D89" w:rsidP="00B03D89" w:rsidRDefault="00397B1D" w14:paraId="12CCF072" w14:textId="0B7B5688">
      <w:pPr>
        <w:rPr>
          <w:u w:val="single"/>
        </w:rPr>
      </w:pPr>
      <w:r w:rsidRPr="00B03D89">
        <w:rPr>
          <w:u w:val="single"/>
        </w:rPr>
        <w:t xml:space="preserve">Informatie voor deelnemers </w:t>
      </w:r>
    </w:p>
    <w:p w:rsidR="00B03D89" w:rsidP="00B03D89" w:rsidRDefault="00397B1D" w14:paraId="0C66DB58" w14:textId="0B18EED7">
      <w:r>
        <w:t>Aansluitend verstrekken pensioenfondsen, decentrale sociale partners en werkgevers tijdig aan deelnemers informatie over de aankomende transitie en ook over compensatie en de daaraan gestelde voorwaarden</w:t>
      </w:r>
      <w:r w:rsidRPr="00D57759">
        <w:rPr>
          <w:rFonts w:cs="Calibri"/>
        </w:rPr>
        <w:t>.</w:t>
      </w:r>
      <w:r>
        <w:rPr>
          <w:rFonts w:cs="Calibri"/>
        </w:rPr>
        <w:t xml:space="preserve"> </w:t>
      </w:r>
      <w:r w:rsidRPr="00D57759">
        <w:t xml:space="preserve">De pensioenuitvoerder </w:t>
      </w:r>
      <w:r>
        <w:t>zorgt ervoor</w:t>
      </w:r>
      <w:r w:rsidRPr="00D57759">
        <w:t xml:space="preserve"> dat de</w:t>
      </w:r>
      <w:r>
        <w:t>ze</w:t>
      </w:r>
      <w:r w:rsidRPr="00D57759">
        <w:t xml:space="preserve"> informatie deelnemer</w:t>
      </w:r>
      <w:r>
        <w:t>s</w:t>
      </w:r>
      <w:r w:rsidRPr="00D57759">
        <w:t xml:space="preserve"> inzicht geeft in de gevolgen van belangrijke gebeurtenissen voor het pensioen</w:t>
      </w:r>
      <w:r>
        <w:t>; mensen moeten goed geïnformeerd worden, zodat ze begrijpen wat compensatie betekent.</w:t>
      </w:r>
      <w:r>
        <w:rPr>
          <w:rStyle w:val="Voetnootmarkering"/>
        </w:rPr>
        <w:footnoteReference w:id="40"/>
      </w:r>
      <w:r>
        <w:t xml:space="preserve"> D</w:t>
      </w:r>
      <w:r w:rsidRPr="00D57759">
        <w:t xml:space="preserve">e informatie </w:t>
      </w:r>
      <w:r>
        <w:t xml:space="preserve">moet </w:t>
      </w:r>
      <w:r w:rsidRPr="00D57759">
        <w:t>deelnemer</w:t>
      </w:r>
      <w:r>
        <w:t>s</w:t>
      </w:r>
      <w:r w:rsidRPr="00D57759">
        <w:t xml:space="preserve"> aanzet</w:t>
      </w:r>
      <w:r>
        <w:t>ten</w:t>
      </w:r>
      <w:r w:rsidRPr="00D57759">
        <w:t xml:space="preserve"> tot relevante actie</w:t>
      </w:r>
      <w:r>
        <w:t xml:space="preserve">; in dit geval beslissen over een baanwissel, op basis van de pensioengevolgen en alle andere overwegingen die bij de nieuwe baan een rol spelen, of als mensen voor de transitie overwegen tijdelijk </w:t>
      </w:r>
      <w:r>
        <w:lastRenderedPageBreak/>
        <w:t>minder gaan werken. Informatieverstrekking is daarmee een van de belangrijkste oplossingen voor het genoemde dilemma. Het ministerie zal in de komende periode aanvullende communicatie</w:t>
      </w:r>
      <w:r w:rsidR="00A53B9A">
        <w:t xml:space="preserve"> intensiveren</w:t>
      </w:r>
      <w:r>
        <w:t xml:space="preserve"> om mensen naar </w:t>
      </w:r>
      <w:hyperlink w:history="1" r:id="rId16">
        <w:r w:rsidRPr="000F0828">
          <w:rPr>
            <w:rStyle w:val="Hyperlink"/>
          </w:rPr>
          <w:t>www.pensioenduidelijkheid.nl</w:t>
        </w:r>
      </w:hyperlink>
      <w:r>
        <w:t xml:space="preserve"> te leiden en te wijzen op eventuele gevolgen voor compensatie van arbeidsmarktgedrag. Maar ook zonder de transitie naar de </w:t>
      </w:r>
      <w:proofErr w:type="spellStart"/>
      <w:r>
        <w:t>Wtp</w:t>
      </w:r>
      <w:proofErr w:type="spellEnd"/>
      <w:r>
        <w:t xml:space="preserve"> heeft vrijwel elke baanwissel gevolgen voor de pensioenen van mensen en moeten ze dit meenemen in de afweging.</w:t>
      </w:r>
    </w:p>
    <w:p w:rsidR="009D4FF6" w:rsidP="00B03D89" w:rsidRDefault="009D4FF6" w14:paraId="443C6473" w14:textId="77777777">
      <w:pPr>
        <w:rPr>
          <w:i/>
          <w:iCs/>
        </w:rPr>
      </w:pPr>
    </w:p>
    <w:p w:rsidRPr="00B03D89" w:rsidR="00B03D89" w:rsidP="00B03D89" w:rsidRDefault="00397B1D" w14:paraId="1A9DCFB5" w14:textId="4F745C5D">
      <w:pPr>
        <w:rPr>
          <w:u w:val="single"/>
        </w:rPr>
      </w:pPr>
      <w:proofErr w:type="spellStart"/>
      <w:r w:rsidRPr="00B03D89">
        <w:rPr>
          <w:u w:val="single"/>
        </w:rPr>
        <w:t>Fondsspecifieke</w:t>
      </w:r>
      <w:proofErr w:type="spellEnd"/>
      <w:r w:rsidRPr="00B03D89">
        <w:rPr>
          <w:u w:val="single"/>
        </w:rPr>
        <w:t xml:space="preserve"> aanpak</w:t>
      </w:r>
    </w:p>
    <w:p w:rsidR="00B03D89" w:rsidP="00B03D89" w:rsidRDefault="00397B1D" w14:paraId="31E4FACC" w14:textId="13385143">
      <w:r>
        <w:t xml:space="preserve">Om met de compensatieregeling mensen te bereiken die door de transitie toekomstig opbouwnadeel ondervinden, zijn specifieke oplossingen nodig. Zo worden er afspraken gemaakt </w:t>
      </w:r>
      <w:r w:rsidRPr="00660640">
        <w:t>over dispensatie van de nieuwe regeling</w:t>
      </w:r>
      <w:r>
        <w:t xml:space="preserve"> voor </w:t>
      </w:r>
      <w:r w:rsidRPr="00660640">
        <w:t>werkgevers die wisselen tussen fondsen</w:t>
      </w:r>
      <w:r>
        <w:t xml:space="preserve">. In de metaalsector hebben de van nature al onderling verbonden fondsen PMT en </w:t>
      </w:r>
      <w:proofErr w:type="gramStart"/>
      <w:r>
        <w:t>PME afspraken</w:t>
      </w:r>
      <w:proofErr w:type="gramEnd"/>
      <w:r>
        <w:t xml:space="preserve"> gemaakt om werkgevers dispensatie te kunnen geven. Zo kunnen werknemers toegang behouden tot de compensatieregeling, ook als de werkgever vanwege werkingssfeer naar PMT zou moeten overstappen. Deze aanpak is ook ter sprake gekomen in de recreatiesector. Specifiek </w:t>
      </w:r>
      <w:proofErr w:type="spellStart"/>
      <w:r w:rsidR="00337F13">
        <w:t>B</w:t>
      </w:r>
      <w:r>
        <w:t>pfBOUW</w:t>
      </w:r>
      <w:proofErr w:type="spellEnd"/>
      <w:r>
        <w:t xml:space="preserve"> heeft afgesproken dat ook compensatie beschikbaar is voor mensen met flexibele contracten die voor en na de transitiedatum wel, maar op transitiedatum tijdelijk (en binnen een bepaalde termijn) geen pensioenopbouw hebben in de bouwsector.</w:t>
      </w:r>
      <w:r w:rsidR="00445937">
        <w:t xml:space="preserve"> </w:t>
      </w:r>
      <w:r>
        <w:t>Voorbeelden van maatwerk zi</w:t>
      </w:r>
      <w:r w:rsidR="00445937">
        <w:t xml:space="preserve">jn te zien </w:t>
      </w:r>
      <w:r>
        <w:t>in sociale plannen bij ontslag. In bepaalde gevallen wordt de mogelijkheid voor vrijwillige voortzetting van de pensioenregeling alsnog geregeld als die er niet was, of er worden middelen gevonden waarmee vrijwillige voortzetting betaald kan worden. Er zijn ook sociale plannen waarin met het oog op compensatie, afgesproken is de ontslagdatum na de transitiedatum te laten vallen.</w:t>
      </w:r>
      <w:r>
        <w:rPr>
          <w:rStyle w:val="Voetnootmarkering"/>
        </w:rPr>
        <w:footnoteReference w:id="41"/>
      </w:r>
      <w:r>
        <w:t xml:space="preserve"> Rond arbeidsongeschiktheid </w:t>
      </w:r>
      <w:r w:rsidR="00445937">
        <w:t xml:space="preserve">is te zien </w:t>
      </w:r>
      <w:r>
        <w:t>dat sociale partners in veel gevallen afspraken gemaakt hebben over (gedeeltelijke) premievrije voortzetting van de pensioenopbouw, zodat arbeidsongeschikten actieve deelnemers zijn en toegang hebben tot de compensatieregeling.</w:t>
      </w:r>
    </w:p>
    <w:p w:rsidR="009D4FF6" w:rsidP="00B03D89" w:rsidRDefault="009D4FF6" w14:paraId="31D8ABA2" w14:textId="77777777">
      <w:pPr>
        <w:rPr>
          <w:i/>
          <w:iCs/>
        </w:rPr>
      </w:pPr>
    </w:p>
    <w:p w:rsidRPr="00B03D89" w:rsidR="00B03D89" w:rsidP="00B03D89" w:rsidRDefault="00397B1D" w14:paraId="08F77232" w14:textId="291F903E">
      <w:pPr>
        <w:rPr>
          <w:u w:val="single"/>
        </w:rPr>
      </w:pPr>
      <w:r w:rsidRPr="00B03D89">
        <w:rPr>
          <w:u w:val="single"/>
        </w:rPr>
        <w:t>Overweging</w:t>
      </w:r>
      <w:r w:rsidR="00B45771">
        <w:rPr>
          <w:u w:val="single"/>
        </w:rPr>
        <w:t>en</w:t>
      </w:r>
      <w:r w:rsidRPr="00B03D89">
        <w:rPr>
          <w:u w:val="single"/>
        </w:rPr>
        <w:t xml:space="preserve"> bij alternatieven </w:t>
      </w:r>
    </w:p>
    <w:p w:rsidRPr="00B03D89" w:rsidR="00397B1D" w:rsidP="00B03D89" w:rsidRDefault="00397B1D" w14:paraId="21F42235" w14:textId="1E89E6D0">
      <w:pPr>
        <w:rPr>
          <w:i/>
          <w:iCs/>
        </w:rPr>
      </w:pPr>
      <w:r>
        <w:t>Bij</w:t>
      </w:r>
      <w:r w:rsidRPr="00C859FC">
        <w:t xml:space="preserve"> </w:t>
      </w:r>
      <w:r>
        <w:t>de totstandkoming van het P</w:t>
      </w:r>
      <w:r w:rsidRPr="00C859FC">
        <w:t xml:space="preserve">ensioenakkoord </w:t>
      </w:r>
      <w:r>
        <w:t>en de behandeling van het Wetsvoorstel in de Eerste en Tweede Kamer zijn</w:t>
      </w:r>
      <w:r w:rsidRPr="00C859FC">
        <w:t xml:space="preserve"> </w:t>
      </w:r>
      <w:r>
        <w:t xml:space="preserve">rond het afschaffen van de zogenaamde doorsneesystematiek, en compensatie daarvoor, verschillende </w:t>
      </w:r>
      <w:r w:rsidRPr="00C859FC">
        <w:t xml:space="preserve">alternatieven bezien </w:t>
      </w:r>
      <w:r>
        <w:t xml:space="preserve">en </w:t>
      </w:r>
      <w:r w:rsidRPr="00C859FC">
        <w:t>gewogen</w:t>
      </w:r>
      <w:r>
        <w:t xml:space="preserve">. Steeds was de vraag hoe de groepen die het nodig zouden hebben, bereikt konden worden. De uitkomst is breed gedragen wetgeving waarin er bewust voor is gekozen om ruimte te laten aan de uitvoeringspraktijk. </w:t>
      </w:r>
      <w:r w:rsidDel="00397B1D">
        <w:t xml:space="preserve">In het recente overleg </w:t>
      </w:r>
      <w:r w:rsidDel="00397B1D" w:rsidR="00A14A9D">
        <w:t>hebben sociale</w:t>
      </w:r>
      <w:r w:rsidDel="00397B1D">
        <w:t xml:space="preserve"> partners en ik gesproken over mogelijke alternatieven. Met sociale partners ben ik tot onderstaande overwegingen gekomen:  </w:t>
      </w:r>
    </w:p>
    <w:p w:rsidR="00397B1D" w:rsidP="00B03D89" w:rsidRDefault="00397B1D" w14:paraId="3A00FA70" w14:textId="54F0587A"/>
    <w:p w:rsidR="00397B1D" w:rsidP="00B03D89" w:rsidRDefault="00397B1D" w14:paraId="47D16633" w14:textId="360F982C">
      <w:pPr>
        <w:pStyle w:val="Lijstalinea"/>
        <w:numPr>
          <w:ilvl w:val="0"/>
          <w:numId w:val="23"/>
        </w:numPr>
        <w:autoSpaceDN/>
        <w:spacing w:after="160" w:line="259" w:lineRule="auto"/>
        <w:textAlignment w:val="auto"/>
      </w:pPr>
      <w:r>
        <w:t>Het introduceren van nieuwe eisen aan compensatie-afspraken, al dan niet bovenaf wettelijk opgelegd aan sociale partners en pensioenuitvoerders, zou leiden tot weer nieuwe, complexe uitvoeringsvraagstukken om mensen met een baanwissel achteraf toegang te geven tot compensatieregelingen. In dat geval zouden, bijvoorbeeld, mensen die in 2025 zijn vertrokken bij een fonds dat per 1/1/2026 naar een nieuwe pensioenregeling is overgegaan, alsnog compensatie (kunnen) vragen</w:t>
      </w:r>
      <w:r w:rsidR="00B45771">
        <w:t>.</w:t>
      </w:r>
      <w:r>
        <w:t xml:space="preserve"> Het is uitvoeringstechnisch niet mogelijk en juridisch zeer complex onderscheid te maken tussen groepen die bewust</w:t>
      </w:r>
      <w:r w:rsidR="00B45771">
        <w:t xml:space="preserve"> (bijvoorbeeld omdat de nieuwe betere arbeidsvoorwaarden heeft)</w:t>
      </w:r>
      <w:r>
        <w:t xml:space="preserve"> en groepen </w:t>
      </w:r>
      <w:r>
        <w:lastRenderedPageBreak/>
        <w:t xml:space="preserve">die onbewust hebben afgezien van compensatie. Omdat een dergelijk onderscheid in de praktijk niet te maken is, zou het alternatief een compensatieregeling zijn die achteraf voor elke baanwisselaar openstaat. Dit leidt echter tot enorme kosten die ten laste komen van het betreffende </w:t>
      </w:r>
      <w:r w:rsidR="00B45771">
        <w:t>deelnemers</w:t>
      </w:r>
      <w:r>
        <w:t>collectief</w:t>
      </w:r>
      <w:r>
        <w:rPr>
          <w:rFonts w:cs="Calibri"/>
        </w:rPr>
        <w:t xml:space="preserve">. </w:t>
      </w:r>
    </w:p>
    <w:p w:rsidR="00397B1D" w:rsidP="00B03D89" w:rsidRDefault="00397B1D" w14:paraId="474A7AE8" w14:textId="3304A49C">
      <w:pPr>
        <w:pStyle w:val="Lijstalinea"/>
        <w:numPr>
          <w:ilvl w:val="0"/>
          <w:numId w:val="23"/>
        </w:numPr>
        <w:autoSpaceDN/>
        <w:spacing w:after="160" w:line="259" w:lineRule="auto"/>
        <w:textAlignment w:val="auto"/>
      </w:pPr>
      <w:r>
        <w:t>Omgekeerd geredeneerd, is het niet de bedoeling dat mensen twee of misschien drie keer deelnemen aan een compensatieregeling die compensatie ineens toekent op de transitiedatum. Dat is immers vanwege (opeenvolgende) baanwissel</w:t>
      </w:r>
      <w:r w:rsidR="00B45771">
        <w:t>ingen</w:t>
      </w:r>
      <w:r>
        <w:t xml:space="preserve"> niet uit te sluiten. Het zou uitvoeringstechnisch ondoenlijk zijn en juridisch waarschijnlijk onhaalbaar om dubbele en verdere compensatie terug te vorderen bij deze mensen.</w:t>
      </w:r>
    </w:p>
    <w:p w:rsidR="00397B1D" w:rsidP="00B03D89" w:rsidRDefault="00397B1D" w14:paraId="0F5A01F5" w14:textId="73033C4E">
      <w:pPr>
        <w:pStyle w:val="Lijstalinea"/>
        <w:numPr>
          <w:ilvl w:val="0"/>
          <w:numId w:val="23"/>
        </w:numPr>
        <w:autoSpaceDN/>
        <w:spacing w:after="160" w:line="259" w:lineRule="auto"/>
        <w:textAlignment w:val="auto"/>
      </w:pPr>
      <w:r>
        <w:t xml:space="preserve">Op dit moment is het in de praktijk beperkt mogelijk om na een baanwissel aan de nieuwe pensioenregeling deel te nemen en </w:t>
      </w:r>
      <w:r w:rsidRPr="00374948">
        <w:rPr>
          <w:i/>
          <w:iCs/>
        </w:rPr>
        <w:t>tegelijkertijd</w:t>
      </w:r>
      <w:r>
        <w:t xml:space="preserve"> de oude regeling vrijwillig voort te zetten</w:t>
      </w:r>
      <w:r w:rsidR="00B45771">
        <w:t>, wanneer beide dienstverbanden een grote deeltijdfactor hebben</w:t>
      </w:r>
      <w:r>
        <w:t>. Dit heeft met de fiscale begrenzing te maken. Een eventuele tijdelijke verruiming van het fiscale kader, zodat mensen</w:t>
      </w:r>
      <w:r w:rsidR="00B45771">
        <w:t xml:space="preserve"> bij elke deeltijdfactor</w:t>
      </w:r>
      <w:r>
        <w:t xml:space="preserve"> tegelijk bij twee pensioenfondsen, dus fiscaal gefaciliteerd ‘dubbel’ pensioen kunnen opbouwen, creëert</w:t>
      </w:r>
      <w:r w:rsidRPr="006E0027">
        <w:t xml:space="preserve"> budgettaire vraagstukken</w:t>
      </w:r>
      <w:r>
        <w:t xml:space="preserve"> en leidt weer tot nieuwe</w:t>
      </w:r>
      <w:r w:rsidRPr="006E0027">
        <w:t xml:space="preserve"> juridische en uitvoerings</w:t>
      </w:r>
      <w:r>
        <w:t>technische afbakenings</w:t>
      </w:r>
      <w:r w:rsidRPr="006E0027">
        <w:t xml:space="preserve">vraagstukken. Te meer wanneer deze fiscale verruiming ook met terugwerkende kracht </w:t>
      </w:r>
      <w:r>
        <w:t>zou</w:t>
      </w:r>
      <w:r w:rsidRPr="006E0027">
        <w:t xml:space="preserve"> gelden. </w:t>
      </w:r>
    </w:p>
    <w:p w:rsidR="00397B1D" w:rsidP="00B03D89" w:rsidRDefault="00397B1D" w14:paraId="0B09C828" w14:textId="59357621">
      <w:pPr>
        <w:pStyle w:val="Lijstalinea"/>
        <w:numPr>
          <w:ilvl w:val="0"/>
          <w:numId w:val="23"/>
        </w:numPr>
        <w:autoSpaceDN/>
        <w:spacing w:after="160" w:line="259" w:lineRule="auto"/>
        <w:textAlignment w:val="auto"/>
      </w:pPr>
      <w:r>
        <w:t xml:space="preserve">Door de Kamer is gevraagd naar de mogelijkheid om individuele </w:t>
      </w:r>
      <w:r w:rsidR="007A17A2">
        <w:t>werknemers</w:t>
      </w:r>
      <w:r>
        <w:t xml:space="preserve"> dispensatie te geven bij hun nieuwe pensioenfonds zodat ze kunnen kiezen voor vrijwillige voortzetting bij hun oude fonds. Op die manier zouden ze bij het oude fonds gebruik kunnen maken van de compensatieregeling. Dispensatie kan een fonds echter alleen in bepaalde gevallen verlenen op </w:t>
      </w:r>
      <w:r w:rsidRPr="007A17A2">
        <w:t>werkgeversniveau</w:t>
      </w:r>
      <w:r>
        <w:t xml:space="preserve"> uit die betreffende sector die een minstens gelijkwaardige regeling aanbieden. Het is wettelijk niet mogelijk dat een fonds dispensatie zou verlenen aan individuele werknemers. </w:t>
      </w:r>
      <w:r w:rsidRPr="00715CEE">
        <w:t xml:space="preserve">Bovendien zou een dergelijke mogelijkheid leiden tot nieuwe, complexe juridische </w:t>
      </w:r>
      <w:r>
        <w:t>afbakenings</w:t>
      </w:r>
      <w:r w:rsidRPr="00715CEE">
        <w:t>vraagstukken en</w:t>
      </w:r>
      <w:r>
        <w:t xml:space="preserve"> een</w:t>
      </w:r>
      <w:r w:rsidRPr="00715CEE">
        <w:t xml:space="preserve"> zware belasting </w:t>
      </w:r>
      <w:r>
        <w:t xml:space="preserve">voor de </w:t>
      </w:r>
      <w:r w:rsidRPr="00715CEE">
        <w:t>uitvoerin</w:t>
      </w:r>
      <w:r>
        <w:t>g.</w:t>
      </w:r>
    </w:p>
    <w:p w:rsidR="00397B1D" w:rsidP="00B03D89" w:rsidRDefault="00397B1D" w14:paraId="11506A32" w14:textId="77777777">
      <w:pPr>
        <w:pStyle w:val="Lijstalinea"/>
        <w:numPr>
          <w:ilvl w:val="0"/>
          <w:numId w:val="23"/>
        </w:numPr>
        <w:autoSpaceDN/>
        <w:spacing w:after="160" w:line="259" w:lineRule="auto"/>
        <w:textAlignment w:val="auto"/>
      </w:pPr>
      <w:r>
        <w:t xml:space="preserve">Verder vind ik het niet wenselijk om aan decentrale sociale partners voor te schrijven om in elke pensioenregeling vrijwillige voortzetting aan te bieden. Dit zou immers ingrijpen op de vrijheid en de autonomie die sociale partners hebben om afspraken te maken over de arbeidsvoorwaarde pensioen. </w:t>
      </w:r>
    </w:p>
    <w:p w:rsidR="00397B1D" w:rsidP="00397B1D" w:rsidRDefault="00397B1D" w14:paraId="5506B477" w14:textId="7C920A7F">
      <w:r>
        <w:t xml:space="preserve">Uit het overleg met de sociale partners blijkt dat </w:t>
      </w:r>
      <w:r w:rsidR="008301EB">
        <w:t xml:space="preserve">de </w:t>
      </w:r>
      <w:r>
        <w:t xml:space="preserve">als oplossing bedoelde </w:t>
      </w:r>
      <w:r w:rsidRPr="00CB28DD">
        <w:t xml:space="preserve">nieuwe of aanvullende </w:t>
      </w:r>
      <w:r>
        <w:t>voorschriften voor compensatie</w:t>
      </w:r>
      <w:r w:rsidRPr="00CB28DD">
        <w:t xml:space="preserve"> </w:t>
      </w:r>
      <w:r>
        <w:t>duidelijk</w:t>
      </w:r>
      <w:r w:rsidRPr="00CB28DD">
        <w:t xml:space="preserve"> juridische, afbakenings- en uitvoeringscomplexiteit toevoegt.</w:t>
      </w:r>
      <w:r>
        <w:t xml:space="preserve"> Alles overwegend zie ik daarmee</w:t>
      </w:r>
      <w:r w:rsidR="007A17A2">
        <w:t xml:space="preserve"> op dit moment</w:t>
      </w:r>
      <w:r>
        <w:t xml:space="preserve"> geen ruimte voor </w:t>
      </w:r>
      <w:r w:rsidRPr="00C859FC">
        <w:t xml:space="preserve">nieuwe of aanvullende </w:t>
      </w:r>
      <w:r>
        <w:t>voorschriften of wetgeving rond</w:t>
      </w:r>
      <w:r w:rsidRPr="00C859FC">
        <w:t xml:space="preserve"> compensatie</w:t>
      </w:r>
      <w:r>
        <w:t xml:space="preserve">. Dat benadrukt het belang dat mensen goed geïnformeerd zijn omdat de werking van compensatieregelingen er anders toe zou kunnen leiden dat mensen arbeidsmarktbeslissingen nemen onbewust van de pensioengevolgen, en die kunnen ervaren als een tegenvaller. </w:t>
      </w:r>
    </w:p>
    <w:p w:rsidR="00397B1D" w:rsidP="00397B1D" w:rsidRDefault="00397B1D" w14:paraId="611DC32A" w14:textId="77777777"/>
    <w:p w:rsidR="00397B1D" w:rsidP="00397B1D" w:rsidRDefault="00397B1D" w14:paraId="7D460AD3" w14:textId="6E4ED3BC">
      <w:r>
        <w:t>Tot slot, wil ik niet onbenoemd laten dat het in de praktijk bij het toekennen van compensatie aan een individu altijd gaat om middelen uit het collectieve fondsvermogen. Sociale partners hebben uitgebreide besprekingen gevoerd en afspraken gemaakt over een evenwichtige verdeling van het collectieve fondsvermogen</w:t>
      </w:r>
      <w:r w:rsidRPr="00174C97">
        <w:t xml:space="preserve"> </w:t>
      </w:r>
      <w:r>
        <w:t xml:space="preserve">en dat proces is grondig doorlopen. </w:t>
      </w:r>
    </w:p>
    <w:p w:rsidR="00397B1D" w:rsidP="00397B1D" w:rsidRDefault="00397B1D" w14:paraId="5441748E" w14:textId="77777777">
      <w:pPr>
        <w:rPr>
          <w:b/>
          <w:bCs/>
        </w:rPr>
      </w:pPr>
    </w:p>
    <w:p w:rsidR="004215D2" w:rsidP="00397B1D" w:rsidRDefault="004215D2" w14:paraId="7DAB12F1" w14:textId="77777777"/>
    <w:p w:rsidR="004215D2" w:rsidP="00397B1D" w:rsidRDefault="004215D2" w14:paraId="1EE52098" w14:textId="77777777"/>
    <w:p w:rsidRPr="00397B1D" w:rsidR="00397B1D" w:rsidP="00397B1D" w:rsidRDefault="00397B1D" w14:paraId="031A3971" w14:textId="7973A93B">
      <w:r w:rsidRPr="00397B1D">
        <w:t xml:space="preserve">Box </w:t>
      </w:r>
      <w:r w:rsidR="00B03D89">
        <w:t>2</w:t>
      </w:r>
      <w:r w:rsidRPr="00397B1D">
        <w:t>: Reactie burgerbrief</w:t>
      </w:r>
      <w:r w:rsidR="00696FBB">
        <w:t xml:space="preserve"> van S. B. </w:t>
      </w:r>
      <w:r w:rsidRPr="00397B1D">
        <w:t>over compensatie d.d. 8 juni 2026</w:t>
      </w:r>
    </w:p>
    <w:p w:rsidR="00397B1D" w:rsidP="00397B1D" w:rsidRDefault="00397B1D" w14:paraId="201A5009" w14:textId="77777777">
      <w:pPr>
        <w:pBdr>
          <w:top w:val="single" w:color="auto" w:sz="4" w:space="1"/>
          <w:left w:val="single" w:color="auto" w:sz="4" w:space="4"/>
          <w:bottom w:val="single" w:color="auto" w:sz="4" w:space="1"/>
          <w:right w:val="single" w:color="auto" w:sz="4" w:space="4"/>
        </w:pBdr>
      </w:pPr>
      <w:r w:rsidRPr="002453D6">
        <w:lastRenderedPageBreak/>
        <w:t xml:space="preserve">Hierbij reageer ik zoals gevraagd door de vaste commissie Sociale Zaken en Werkgelegenheid op een burgervraag over </w:t>
      </w:r>
      <w:r>
        <w:t xml:space="preserve">compensatie. </w:t>
      </w:r>
      <w:r w:rsidRPr="002453D6">
        <w:t>Uit de brief blijkt dat de vragensteller</w:t>
      </w:r>
      <w:r>
        <w:t xml:space="preserve"> 47 jaar oud is en boventallig verklaard bij de (ondertussen) oude </w:t>
      </w:r>
      <w:r>
        <w:rPr>
          <w:rFonts w:cs="Calibri"/>
        </w:rPr>
        <w:t>werkgever, die is aangesloten bij Pensioenfonds SNS Reaal</w:t>
      </w:r>
      <w:r>
        <w:t>. Na de reorganisatie heeft vragensteller een nieuwe baan gevonden bij een werkgever aangesloten bij Pensioenfonds Zorg en Welzijn (</w:t>
      </w:r>
      <w:proofErr w:type="spellStart"/>
      <w:r>
        <w:t>Pfzw</w:t>
      </w:r>
      <w:proofErr w:type="spellEnd"/>
      <w:r>
        <w:t xml:space="preserve">). </w:t>
      </w:r>
      <w:r>
        <w:rPr>
          <w:rFonts w:cs="Calibri"/>
        </w:rPr>
        <w:t xml:space="preserve">De transitiedatum van Pensioenfonds SNS Reaal is 1/1/2028. De transitiedatum van </w:t>
      </w:r>
      <w:proofErr w:type="spellStart"/>
      <w:r>
        <w:rPr>
          <w:rFonts w:cs="Calibri"/>
        </w:rPr>
        <w:t>Pfzw</w:t>
      </w:r>
      <w:proofErr w:type="spellEnd"/>
      <w:r>
        <w:rPr>
          <w:rFonts w:cs="Calibri"/>
        </w:rPr>
        <w:t xml:space="preserve"> was 1/1/2026. </w:t>
      </w:r>
      <w:r>
        <w:t>Vragensteller schrijft dat hij/zij geen compensatie ontvangen heeft door de onvrijwillige baanwissel in combinatie met de verschillende transitiedata.</w:t>
      </w:r>
    </w:p>
    <w:p w:rsidR="008301EB" w:rsidP="00397B1D" w:rsidRDefault="008301EB" w14:paraId="6C29F8B1" w14:textId="77777777">
      <w:pPr>
        <w:pBdr>
          <w:top w:val="single" w:color="auto" w:sz="4" w:space="1"/>
          <w:left w:val="single" w:color="auto" w:sz="4" w:space="4"/>
          <w:bottom w:val="single" w:color="auto" w:sz="4" w:space="1"/>
          <w:right w:val="single" w:color="auto" w:sz="4" w:space="4"/>
        </w:pBdr>
      </w:pPr>
    </w:p>
    <w:p w:rsidR="00397B1D" w:rsidP="00397B1D" w:rsidRDefault="00397B1D" w14:paraId="2C7D34A7" w14:textId="77777777">
      <w:pPr>
        <w:pBdr>
          <w:top w:val="single" w:color="auto" w:sz="4" w:space="1"/>
          <w:left w:val="single" w:color="auto" w:sz="4" w:space="4"/>
          <w:bottom w:val="single" w:color="auto" w:sz="4" w:space="1"/>
          <w:right w:val="single" w:color="auto" w:sz="4" w:space="4"/>
        </w:pBdr>
        <w:rPr>
          <w:rFonts w:cs="Calibri"/>
        </w:rPr>
      </w:pPr>
      <w:r>
        <w:rPr>
          <w:rFonts w:cs="Calibri"/>
        </w:rPr>
        <w:t xml:space="preserve">In reactie op deze kwestie kan ik aangeven dat in het </w:t>
      </w:r>
      <w:bookmarkStart w:name="_Hlk232766244" w:id="14"/>
      <w:r>
        <w:rPr>
          <w:rFonts w:cs="Calibri"/>
        </w:rPr>
        <w:t xml:space="preserve">transitieplan </w:t>
      </w:r>
      <w:bookmarkEnd w:id="14"/>
      <w:r>
        <w:rPr>
          <w:rFonts w:cs="Calibri"/>
        </w:rPr>
        <w:t>van Pensioenfonds SNS Reaal de compensatieregeling beschreven is. De gezamenlijke sociale partners schrijven in het transitieplan: ‘Werknemers jonger dan 51 jaar hebben geen compensatie nodig’.</w:t>
      </w:r>
      <w:r>
        <w:rPr>
          <w:rStyle w:val="Voetnootmarkering"/>
          <w:rFonts w:cs="Calibri"/>
        </w:rPr>
        <w:footnoteReference w:id="42"/>
      </w:r>
      <w:r>
        <w:rPr>
          <w:rFonts w:cs="Calibri"/>
        </w:rPr>
        <w:t xml:space="preserve"> Hierbij is gekeken naar het compensatievraagstuk dat ontstaat specifiek door de afschaffing van de zogenaamde doorsneesystematiek, die tot de transitiedatum 1/1/2028 gehanteerd wordt. De afspraken die gemaakt zijn gegeven dit vraagstuk betekenen dat vragensteller gezien de leeftijd, dus ook in de situatie zonder ontslag, niet aanmerking zou zijn gekomen voor compensatie.</w:t>
      </w:r>
    </w:p>
    <w:p w:rsidR="008301EB" w:rsidP="00397B1D" w:rsidRDefault="008301EB" w14:paraId="17DFC53E" w14:textId="77777777">
      <w:pPr>
        <w:pBdr>
          <w:top w:val="single" w:color="auto" w:sz="4" w:space="1"/>
          <w:left w:val="single" w:color="auto" w:sz="4" w:space="4"/>
          <w:bottom w:val="single" w:color="auto" w:sz="4" w:space="1"/>
          <w:right w:val="single" w:color="auto" w:sz="4" w:space="4"/>
        </w:pBdr>
        <w:rPr>
          <w:rFonts w:cs="Calibri"/>
        </w:rPr>
      </w:pPr>
    </w:p>
    <w:p w:rsidRPr="00882E5F" w:rsidR="00397B1D" w:rsidP="00397B1D" w:rsidRDefault="00397B1D" w14:paraId="5A59AACE" w14:textId="77777777">
      <w:pPr>
        <w:pBdr>
          <w:top w:val="single" w:color="auto" w:sz="4" w:space="1"/>
          <w:left w:val="single" w:color="auto" w:sz="4" w:space="4"/>
          <w:bottom w:val="single" w:color="auto" w:sz="4" w:space="1"/>
          <w:right w:val="single" w:color="auto" w:sz="4" w:space="4"/>
        </w:pBdr>
        <w:rPr>
          <w:rFonts w:cs="Calibri"/>
        </w:rPr>
      </w:pPr>
      <w:r>
        <w:rPr>
          <w:rFonts w:cs="Calibri"/>
        </w:rPr>
        <w:t>In reactie op de vervolgvraag of ik een de mogelijkheden van een vangnetregeling wil onderzoeken voor gevallen zoals die van de vragensteller, verwijs ik naar eerdere passages in deze brief waar wordt ingegaan op compensatie in geval van ontslag. Het is aan de betrokken sociale partners om hierbij het pensioenbelang af te wegen tegen andere onderdelen van het sociaal plan. Het is niet aan de minister om te treden in deze arbeidsvoorwaardelijke afspraken.</w:t>
      </w:r>
    </w:p>
    <w:p w:rsidR="00AC4342" w:rsidP="00BE02B0" w:rsidRDefault="00AC4342" w14:paraId="686F9FC0" w14:textId="3B64C22C">
      <w:pPr>
        <w:rPr>
          <w:b/>
          <w:bCs/>
        </w:rPr>
      </w:pPr>
    </w:p>
    <w:p w:rsidR="00180316" w:rsidP="00BE02B0" w:rsidRDefault="00180316" w14:paraId="70855307" w14:textId="0A5D895E">
      <w:pPr>
        <w:rPr>
          <w:b/>
          <w:bCs/>
        </w:rPr>
      </w:pPr>
      <w:r>
        <w:rPr>
          <w:b/>
          <w:bCs/>
        </w:rPr>
        <w:t>4.</w:t>
      </w:r>
      <w:r w:rsidR="00F8359E">
        <w:rPr>
          <w:b/>
          <w:bCs/>
        </w:rPr>
        <w:t>5</w:t>
      </w:r>
      <w:r>
        <w:rPr>
          <w:b/>
          <w:bCs/>
        </w:rPr>
        <w:t xml:space="preserve"> </w:t>
      </w:r>
      <w:r w:rsidR="0017320B">
        <w:rPr>
          <w:b/>
          <w:bCs/>
        </w:rPr>
        <w:t>Transitiecommissie</w:t>
      </w:r>
    </w:p>
    <w:p w:rsidR="0061466A" w:rsidP="00BE02B0" w:rsidRDefault="0017320B" w14:paraId="3F0A6A14" w14:textId="020171F6">
      <w:r w:rsidRPr="0017320B">
        <w:t>Sociale partners</w:t>
      </w:r>
      <w:r w:rsidR="005D1670">
        <w:t>,</w:t>
      </w:r>
      <w:r w:rsidRPr="0017320B">
        <w:t xml:space="preserve"> dan wel werkgever en werknemers vertegenwoordigd door bijvoorbeeld vakbonden of de OR</w:t>
      </w:r>
      <w:r w:rsidR="005D1670">
        <w:t>,</w:t>
      </w:r>
      <w:r w:rsidRPr="0017320B">
        <w:t xml:space="preserve"> </w:t>
      </w:r>
      <w:r w:rsidR="00960A18">
        <w:t xml:space="preserve">kunnen zich gezamenlijk tot de transitiecommissie wenden </w:t>
      </w:r>
      <w:proofErr w:type="gramStart"/>
      <w:r w:rsidR="00960A18">
        <w:t>indien</w:t>
      </w:r>
      <w:proofErr w:type="gramEnd"/>
      <w:r w:rsidR="00960A18">
        <w:t xml:space="preserve"> het hen niet lukt om tot </w:t>
      </w:r>
      <w:r w:rsidRPr="00960A18" w:rsidR="00960A18">
        <w:t xml:space="preserve">arbeidsvoorwaardelijke </w:t>
      </w:r>
      <w:r w:rsidR="00960A18">
        <w:t>afspraken te komen om de pensioentransitie te</w:t>
      </w:r>
      <w:r w:rsidR="00CA4937">
        <w:t xml:space="preserve"> realiseren. </w:t>
      </w:r>
      <w:r w:rsidRPr="00960A18" w:rsidR="00960A18">
        <w:t xml:space="preserve">De transitiecommissie </w:t>
      </w:r>
      <w:r w:rsidR="00960A18">
        <w:t xml:space="preserve">zal dan </w:t>
      </w:r>
      <w:r w:rsidRPr="00960A18" w:rsidR="00960A18">
        <w:t>ondersteuning bieden</w:t>
      </w:r>
      <w:r w:rsidR="00CA4937">
        <w:t>. So</w:t>
      </w:r>
      <w:r w:rsidRPr="00960A18" w:rsidR="00960A18">
        <w:t xml:space="preserve">ciale partners, dan wel werkgever en werknemers(vertegenwoordiging), </w:t>
      </w:r>
      <w:r w:rsidRPr="0017320B">
        <w:t>die hun regeling laten uitvoeren door een pensioenfonds</w:t>
      </w:r>
      <w:r w:rsidR="0092676D">
        <w:t>,</w:t>
      </w:r>
      <w:r w:rsidRPr="0017320B">
        <w:t xml:space="preserve"> k</w:t>
      </w:r>
      <w:r>
        <w:t xml:space="preserve">onden </w:t>
      </w:r>
      <w:r w:rsidRPr="0017320B">
        <w:t xml:space="preserve">tot 1 april 2026 voor bindend advies over (een deel van) deze afspraken in het transitieplan terecht bij de transitiecommissie. </w:t>
      </w:r>
      <w:proofErr w:type="gramStart"/>
      <w:r w:rsidRPr="0017320B">
        <w:t>Indien</w:t>
      </w:r>
      <w:proofErr w:type="gramEnd"/>
      <w:r w:rsidRPr="0017320B">
        <w:t xml:space="preserve"> de regeling wordt uitgevoerd door een verzekeraar</w:t>
      </w:r>
      <w:r w:rsidR="00381CF1">
        <w:t>/PPI</w:t>
      </w:r>
      <w:r w:rsidRPr="0017320B">
        <w:t xml:space="preserve"> kunnen deze partijen daar tot 1 januari 2027 terecht voor bindend advies.</w:t>
      </w:r>
      <w:r>
        <w:t xml:space="preserve"> </w:t>
      </w:r>
      <w:r w:rsidRPr="0017320B">
        <w:t xml:space="preserve">In de periode 1 januari tot 1 </w:t>
      </w:r>
      <w:r>
        <w:t xml:space="preserve">juni </w:t>
      </w:r>
      <w:r w:rsidRPr="0017320B">
        <w:t xml:space="preserve">2026 zijn er </w:t>
      </w:r>
      <w:r w:rsidRPr="00653A8F">
        <w:t>geen</w:t>
      </w:r>
      <w:r w:rsidRPr="0017320B">
        <w:t xml:space="preserve"> zaken voorgelegd aan de </w:t>
      </w:r>
      <w:r w:rsidR="00653A8F">
        <w:t>t</w:t>
      </w:r>
      <w:r w:rsidRPr="0017320B">
        <w:t>ransitiecommissie.</w:t>
      </w:r>
      <w:r w:rsidRPr="0017320B">
        <w:br/>
      </w:r>
    </w:p>
    <w:p w:rsidR="0078218D" w:rsidP="009D4FF6" w:rsidRDefault="0078218D" w14:paraId="2ADAA181" w14:textId="130D7F62">
      <w:pPr>
        <w:spacing w:line="240" w:lineRule="auto"/>
        <w:rPr>
          <w:b/>
          <w:bCs/>
        </w:rPr>
      </w:pPr>
      <w:r w:rsidRPr="00D62EEC">
        <w:rPr>
          <w:b/>
          <w:bCs/>
        </w:rPr>
        <w:t xml:space="preserve">5. </w:t>
      </w:r>
      <w:r>
        <w:rPr>
          <w:b/>
          <w:bCs/>
        </w:rPr>
        <w:t xml:space="preserve">Ervaringen van de </w:t>
      </w:r>
      <w:r w:rsidRPr="00D62EEC">
        <w:rPr>
          <w:b/>
          <w:bCs/>
        </w:rPr>
        <w:t>deelnemer</w:t>
      </w:r>
    </w:p>
    <w:p w:rsidRPr="007D13D8" w:rsidR="0078218D" w:rsidP="00BE02B0" w:rsidRDefault="003B4028" w14:paraId="5525AF2B" w14:textId="30784C92">
      <w:pPr>
        <w:rPr>
          <w:b/>
          <w:bCs/>
        </w:rPr>
      </w:pPr>
      <w:r w:rsidRPr="003B4028">
        <w:t xml:space="preserve">Het is belangrijk dat de deelnemer goed wordt betrokken bij en geïnformeerd </w:t>
      </w:r>
      <w:r w:rsidR="00F31E3F">
        <w:t xml:space="preserve">wordt </w:t>
      </w:r>
      <w:r w:rsidRPr="003B4028">
        <w:t>over de transitie naar het nieuwe pensioenstelsel. Van alle bij de transitie betrokken partijen wordt dan ook verwacht dat zij de deelnemers op een goede manier meenemen.</w:t>
      </w:r>
      <w:r>
        <w:t xml:space="preserve"> N</w:t>
      </w:r>
      <w:r w:rsidR="0078218D">
        <w:t xml:space="preserve">aast het delen van de wettelijke verplichte informatie </w:t>
      </w:r>
      <w:r>
        <w:t xml:space="preserve">ondernemen pensioenuitvoerders en betrokken partijen verschillende initiatieven. </w:t>
      </w:r>
      <w:r w:rsidR="0078218D">
        <w:t xml:space="preserve">Met de rapportage </w:t>
      </w:r>
      <w:r w:rsidR="00A14823">
        <w:t>‘</w:t>
      </w:r>
      <w:r w:rsidRPr="00A14823" w:rsidR="00A14823">
        <w:t>Dialoog en communicatie over de overstap</w:t>
      </w:r>
      <w:r w:rsidR="00A14823">
        <w:t>’</w:t>
      </w:r>
      <w:r w:rsidRPr="00A14823" w:rsidR="00A14823">
        <w:t xml:space="preserve"> </w:t>
      </w:r>
      <w:r w:rsidR="00A14823">
        <w:t>v</w:t>
      </w:r>
      <w:r w:rsidR="0078218D">
        <w:t>an de P</w:t>
      </w:r>
      <w:r>
        <w:t xml:space="preserve">ensioenfederatie </w:t>
      </w:r>
      <w:r w:rsidR="00A14823">
        <w:t xml:space="preserve">(bijlage 6) </w:t>
      </w:r>
      <w:r w:rsidR="0078218D">
        <w:t xml:space="preserve">worden </w:t>
      </w:r>
      <w:r w:rsidRPr="00A14823" w:rsidR="00A14823">
        <w:t>‘</w:t>
      </w:r>
      <w:proofErr w:type="spellStart"/>
      <w:r w:rsidRPr="00A14823" w:rsidR="00A14823">
        <w:t>good</w:t>
      </w:r>
      <w:proofErr w:type="spellEnd"/>
      <w:r w:rsidRPr="00A14823" w:rsidR="00A14823">
        <w:t xml:space="preserve"> </w:t>
      </w:r>
      <w:proofErr w:type="spellStart"/>
      <w:r w:rsidRPr="00A14823" w:rsidR="00A14823">
        <w:t>practices</w:t>
      </w:r>
      <w:proofErr w:type="spellEnd"/>
      <w:r w:rsidRPr="00A14823" w:rsidR="00A14823">
        <w:t>’</w:t>
      </w:r>
      <w:r w:rsidR="00A14823">
        <w:t xml:space="preserve"> in beeld gebracht en gedeeld. Deze rapportage biedt </w:t>
      </w:r>
      <w:r w:rsidRPr="00A14823" w:rsidR="00A14823">
        <w:t xml:space="preserve">een uitgebreide set </w:t>
      </w:r>
      <w:r w:rsidR="00F31E3F">
        <w:t xml:space="preserve">aan </w:t>
      </w:r>
      <w:r w:rsidRPr="00A14823" w:rsidR="00A14823">
        <w:t xml:space="preserve">voorbeelden uit de praktijk van diverse pensioenfondsen. Het laat </w:t>
      </w:r>
      <w:r w:rsidR="00A14823">
        <w:t xml:space="preserve">daarmee </w:t>
      </w:r>
      <w:r w:rsidRPr="00A14823" w:rsidR="00A14823">
        <w:t xml:space="preserve">zien hoe pensioenfondsen communiceren met hun achterban op basis van verschillende </w:t>
      </w:r>
      <w:r w:rsidRPr="00A14823" w:rsidR="00A14823">
        <w:lastRenderedPageBreak/>
        <w:t xml:space="preserve">communicatiestrategieën en geeft een analyse van de transitiecommunicatie vóór en na de overstap naar de </w:t>
      </w:r>
      <w:proofErr w:type="spellStart"/>
      <w:r w:rsidR="00F31E3F">
        <w:t>Wtp</w:t>
      </w:r>
      <w:proofErr w:type="spellEnd"/>
      <w:r w:rsidR="00F31E3F">
        <w:t xml:space="preserve">. </w:t>
      </w:r>
      <w:r w:rsidR="00A14823">
        <w:t xml:space="preserve">Mede gezien naar aanleiding van de publieke en politieke belangstelling wordt </w:t>
      </w:r>
      <w:r w:rsidRPr="003B4028" w:rsidR="0078218D">
        <w:t xml:space="preserve">specifiek aandacht </w:t>
      </w:r>
      <w:r w:rsidR="00A14823">
        <w:t xml:space="preserve">besteed aan de communicatie rondom </w:t>
      </w:r>
      <w:r w:rsidRPr="003B4028" w:rsidR="0078218D">
        <w:t>compensatie</w:t>
      </w:r>
      <w:r w:rsidR="00A14823">
        <w:t xml:space="preserve"> voor het afschaffen van de doorsneesystematiek. </w:t>
      </w:r>
      <w:r w:rsidR="0078218D">
        <w:rPr>
          <w:b/>
          <w:bCs/>
        </w:rPr>
        <w:t xml:space="preserve"> </w:t>
      </w:r>
    </w:p>
    <w:p w:rsidR="0078218D" w:rsidP="00BE02B0" w:rsidRDefault="0078218D" w14:paraId="21BDF324" w14:textId="77777777">
      <w:pPr>
        <w:rPr>
          <w:b/>
          <w:bCs/>
        </w:rPr>
      </w:pPr>
    </w:p>
    <w:p w:rsidRPr="006C509C" w:rsidR="000A63D5" w:rsidP="00BE02B0" w:rsidRDefault="00B81AF2" w14:paraId="3A7DE51F" w14:textId="581E2352">
      <w:r w:rsidRPr="006C509C">
        <w:t xml:space="preserve">Dit hoofdstuk start </w:t>
      </w:r>
      <w:r>
        <w:t xml:space="preserve">in paragraaf 5.1 </w:t>
      </w:r>
      <w:r w:rsidRPr="006C509C">
        <w:t>met een overzicht van de communicatie</w:t>
      </w:r>
      <w:r w:rsidR="00F31E3F">
        <w:t>-</w:t>
      </w:r>
      <w:r w:rsidRPr="006C509C">
        <w:t xml:space="preserve">activiteiten die SZW de komende tijd zal oppakken. </w:t>
      </w:r>
      <w:r>
        <w:t xml:space="preserve">Vervolgens wordt ingegaan op de </w:t>
      </w:r>
      <w:r w:rsidRPr="006C509C" w:rsidR="0078218D">
        <w:t>ervaringen van de deelnemer</w:t>
      </w:r>
      <w:r w:rsidRPr="006C509C" w:rsidR="003B4028">
        <w:t xml:space="preserve"> </w:t>
      </w:r>
      <w:r w:rsidRPr="006C509C" w:rsidR="0078218D">
        <w:t>tijdens de transitie. Dit gebeurt aan de hand van de volgende vier onderdelen: De publieksmonitor pensioenen</w:t>
      </w:r>
      <w:r w:rsidRPr="006C509C" w:rsidR="003B4028">
        <w:t xml:space="preserve"> (paragraaf 5.2), d</w:t>
      </w:r>
      <w:r w:rsidRPr="006C509C" w:rsidR="0078218D">
        <w:t xml:space="preserve">e deelnemersmonitor </w:t>
      </w:r>
      <w:r w:rsidRPr="006C509C" w:rsidR="003B4028">
        <w:t>(paragraaf 5.3), h</w:t>
      </w:r>
      <w:r w:rsidRPr="006C509C" w:rsidR="0078218D">
        <w:t xml:space="preserve">et aantal zaken voorgelegd aan de Geschilleninstanties en het aantal pensioenzaken in het kader van de </w:t>
      </w:r>
      <w:proofErr w:type="spellStart"/>
      <w:r w:rsidRPr="006C509C" w:rsidR="0078218D">
        <w:t>Wtp</w:t>
      </w:r>
      <w:proofErr w:type="spellEnd"/>
      <w:r w:rsidRPr="006C509C" w:rsidR="0078218D">
        <w:t xml:space="preserve"> bij de Raad voor de Rechtspraak</w:t>
      </w:r>
      <w:r w:rsidRPr="006C509C" w:rsidR="003B4028">
        <w:t xml:space="preserve"> (paragraaf 5.4)</w:t>
      </w:r>
      <w:r w:rsidRPr="006C509C" w:rsidR="0078218D">
        <w:t xml:space="preserve"> en </w:t>
      </w:r>
      <w:r w:rsidRPr="006C509C" w:rsidR="003B4028">
        <w:t>de Nationale enquête arbeidsomstandigheden, NEA (paragraaf 5.5)</w:t>
      </w:r>
      <w:r w:rsidRPr="006C509C" w:rsidR="000A63D5">
        <w:t xml:space="preserve">. </w:t>
      </w:r>
    </w:p>
    <w:p w:rsidR="0078218D" w:rsidP="00BE02B0" w:rsidRDefault="0078218D" w14:paraId="44FCF3C5" w14:textId="321A6ABF">
      <w:pPr>
        <w:rPr>
          <w:i/>
          <w:iCs/>
        </w:rPr>
      </w:pPr>
      <w:r>
        <w:rPr>
          <w:i/>
          <w:iCs/>
        </w:rPr>
        <w:t xml:space="preserve"> </w:t>
      </w:r>
    </w:p>
    <w:p w:rsidRPr="005162F7" w:rsidR="000A63D5" w:rsidP="00BE02B0" w:rsidRDefault="00BE6048" w14:paraId="37FA936D" w14:textId="77777777">
      <w:pPr>
        <w:rPr>
          <w:b/>
          <w:bCs/>
        </w:rPr>
      </w:pPr>
      <w:r w:rsidRPr="005162F7">
        <w:rPr>
          <w:b/>
          <w:bCs/>
        </w:rPr>
        <w:t>5.</w:t>
      </w:r>
      <w:r w:rsidRPr="005162F7" w:rsidR="000A63D5">
        <w:rPr>
          <w:b/>
          <w:bCs/>
        </w:rPr>
        <w:t>1 Publiekscommunicatie</w:t>
      </w:r>
    </w:p>
    <w:p w:rsidR="007E1A1D" w:rsidP="00BE02B0" w:rsidRDefault="007E1A1D" w14:paraId="576DE40C" w14:textId="2AFCBAC7">
      <w:r w:rsidRPr="007E1A1D">
        <w:t xml:space="preserve">Het doel van publiekscommunicatie in het kader van de implementatie van de </w:t>
      </w:r>
      <w:proofErr w:type="spellStart"/>
      <w:r w:rsidRPr="007E1A1D">
        <w:t>Wtp</w:t>
      </w:r>
      <w:proofErr w:type="spellEnd"/>
      <w:r w:rsidRPr="007E1A1D">
        <w:t xml:space="preserve"> is </w:t>
      </w:r>
      <w:r>
        <w:t xml:space="preserve">het </w:t>
      </w:r>
      <w:r w:rsidRPr="007E1A1D">
        <w:t xml:space="preserve">bijdragen aan vertrouwen in het pensioenstelsel en de transitie naar de nieuwe regels voor pensioen van Nederlanders boven de 18 jaar. Dit </w:t>
      </w:r>
      <w:r w:rsidR="00820FD1">
        <w:t xml:space="preserve">wordt </w:t>
      </w:r>
      <w:r w:rsidRPr="007E1A1D">
        <w:t>in samenwerking met vakbonden, werkgevers en pensioenuitvoerders</w:t>
      </w:r>
      <w:r w:rsidR="00820FD1">
        <w:t xml:space="preserve"> gedaan</w:t>
      </w:r>
      <w:r w:rsidRPr="007E1A1D">
        <w:t>.</w:t>
      </w:r>
      <w:r>
        <w:t xml:space="preserve"> De centrale vraag in 2026 is </w:t>
      </w:r>
      <w:r w:rsidR="00435BB8">
        <w:t>opnieuw</w:t>
      </w:r>
      <w:r>
        <w:t xml:space="preserve"> hoe de (nieuwe) regels voor pensioen</w:t>
      </w:r>
      <w:r w:rsidRPr="0057066A" w:rsidR="0057066A">
        <w:t xml:space="preserve"> </w:t>
      </w:r>
      <w:r w:rsidR="0057066A">
        <w:t>werken</w:t>
      </w:r>
      <w:r>
        <w:t xml:space="preserve">. </w:t>
      </w:r>
      <w:r w:rsidR="0057066A">
        <w:t>H</w:t>
      </w:r>
      <w:r>
        <w:t xml:space="preserve">et primaire doel </w:t>
      </w:r>
      <w:r w:rsidR="0057066A">
        <w:t xml:space="preserve">is </w:t>
      </w:r>
      <w:r w:rsidRPr="00824682" w:rsidR="00824682">
        <w:t>kwalitatieve</w:t>
      </w:r>
      <w:r w:rsidR="005E76BF">
        <w:t xml:space="preserve"> website</w:t>
      </w:r>
      <w:r w:rsidRPr="00824682" w:rsidR="00824682">
        <w:t xml:space="preserve">bezoeken genereren </w:t>
      </w:r>
      <w:r w:rsidRPr="007E1A1D">
        <w:t>naar pensioenduidelijkheid.nl</w:t>
      </w:r>
      <w:r w:rsidR="0057066A">
        <w:t>,</w:t>
      </w:r>
      <w:r>
        <w:t xml:space="preserve"> </w:t>
      </w:r>
      <w:r w:rsidRPr="007E1A1D">
        <w:t>onder de segmenten jong werkenden (18-35 jaar), werkenden (36-55 jaar), pensioengeoriënteerden (56+ jaar) en gepensioneerden</w:t>
      </w:r>
      <w:r>
        <w:t xml:space="preserve">. Vanaf eind augustus t/m begin oktober </w:t>
      </w:r>
      <w:r w:rsidR="0057066A">
        <w:t>i</w:t>
      </w:r>
      <w:r w:rsidRPr="0057066A" w:rsidR="0057066A">
        <w:t>s de communicatie hierop gericht.</w:t>
      </w:r>
    </w:p>
    <w:p w:rsidR="00195139" w:rsidP="00BE02B0" w:rsidRDefault="00195139" w14:paraId="5A560235" w14:textId="77777777"/>
    <w:p w:rsidRPr="0057066A" w:rsidR="0057066A" w:rsidP="00BE02B0" w:rsidRDefault="0057066A" w14:paraId="5E3B3F9C" w14:textId="598A87D4">
      <w:r w:rsidRPr="0057066A">
        <w:t xml:space="preserve">Daarnaast wordt </w:t>
      </w:r>
      <w:r>
        <w:t xml:space="preserve">vanaf half juni 2026, </w:t>
      </w:r>
      <w:r w:rsidRPr="005E76BF">
        <w:t xml:space="preserve">zoals in paragraaf </w:t>
      </w:r>
      <w:r w:rsidRPr="005E76BF" w:rsidR="00BA3943">
        <w:t>4.4</w:t>
      </w:r>
      <w:r w:rsidR="00BA3943">
        <w:t xml:space="preserve"> verwoord,</w:t>
      </w:r>
      <w:r>
        <w:t xml:space="preserve"> </w:t>
      </w:r>
      <w:r w:rsidRPr="0057066A">
        <w:t xml:space="preserve">specifieke aandacht besteed aan compensatie. Keuzes die werkenden maken in hun loopbaan kunnen gevolgen hebben voor hun pensioenopbouw </w:t>
      </w:r>
      <w:r>
        <w:t>e</w:t>
      </w:r>
      <w:r w:rsidRPr="0057066A">
        <w:t>n voor de eventuele compensatie bij de overgang naar de nieuwe pensioenregels. Wanneer iemand bijvoorbeeld van baan verandert</w:t>
      </w:r>
      <w:r>
        <w:t xml:space="preserve"> of</w:t>
      </w:r>
      <w:r w:rsidRPr="0057066A">
        <w:t xml:space="preserve"> minder gaat werken vóórdat het pensioenfonds is overgestapt, kan dit gevolgen hebben voor </w:t>
      </w:r>
      <w:r>
        <w:t>de c</w:t>
      </w:r>
      <w:r w:rsidRPr="0057066A">
        <w:t>ompensatie. In de communicatie vanuit SZW, onder meer via sociale media, wordt gewezen op deze situaties, zodat werkenden zich tijdig bewust kunnen zijn van de mogelijke gevolgen van keuzes in deze fase.</w:t>
      </w:r>
    </w:p>
    <w:p w:rsidR="007E1A1D" w:rsidP="00BE02B0" w:rsidRDefault="007E1A1D" w14:paraId="617C6785" w14:textId="77777777">
      <w:pPr>
        <w:rPr>
          <w:i/>
          <w:iCs/>
        </w:rPr>
      </w:pPr>
    </w:p>
    <w:p w:rsidRPr="00EF171C" w:rsidR="007E1A1D" w:rsidP="00BE02B0" w:rsidRDefault="000A63D5" w14:paraId="22D574E8" w14:textId="14690219">
      <w:pPr>
        <w:rPr>
          <w:b/>
          <w:bCs/>
        </w:rPr>
      </w:pPr>
      <w:r w:rsidRPr="00EF171C">
        <w:rPr>
          <w:b/>
          <w:bCs/>
        </w:rPr>
        <w:t>5.2 Publieksmonitor</w:t>
      </w:r>
      <w:r w:rsidRPr="00EF171C" w:rsidR="007E1A1D">
        <w:rPr>
          <w:b/>
          <w:bCs/>
        </w:rPr>
        <w:t xml:space="preserve"> pensioenen</w:t>
      </w:r>
    </w:p>
    <w:p w:rsidRPr="007E1A1D" w:rsidR="007E1A1D" w:rsidP="00BE02B0" w:rsidRDefault="007E1A1D" w14:paraId="71F2B036" w14:textId="6BE6BDBE">
      <w:r w:rsidRPr="007E1A1D">
        <w:t xml:space="preserve">Sinds februari 2022 wordt ieder kwartaal een meting uitgevoerd van de publieksmonitor pensioenen. Deze monitor heeft als doel om doorlopend het vertrouwen van de Nederlandse bevolking in het pensioenstelsel inzichtelijk te maken. Primair ligt hierbij de nadruk op het meten van vertrouwen in het stelsel en de partijen daarachter. Secundair ligt de nadruk op het meten van basiskennis over en het gedrag ten aanzien van pensioenen. </w:t>
      </w:r>
    </w:p>
    <w:p w:rsidRPr="007E1A1D" w:rsidR="007E1A1D" w:rsidP="00BE02B0" w:rsidRDefault="007E1A1D" w14:paraId="065EEFD9" w14:textId="77777777"/>
    <w:p w:rsidR="00C945E6" w:rsidP="00BE02B0" w:rsidRDefault="007E1A1D" w14:paraId="711E0B66" w14:textId="5506D290">
      <w:r w:rsidRPr="007E1A1D">
        <w:t>Het vertrouwen van Nederlanders in het pensioenstelsel is in het tweede kwartaal</w:t>
      </w:r>
      <w:r>
        <w:t xml:space="preserve"> </w:t>
      </w:r>
      <w:r w:rsidR="00C945E6">
        <w:t>van 2026</w:t>
      </w:r>
      <w:r>
        <w:t xml:space="preserve"> </w:t>
      </w:r>
      <w:r w:rsidR="0030505E">
        <w:t xml:space="preserve">(zie bijlage 5) </w:t>
      </w:r>
      <w:r w:rsidRPr="007E1A1D">
        <w:t>neutraal</w:t>
      </w:r>
      <w:r w:rsidR="00C945E6">
        <w:t xml:space="preserve"> te noemen</w:t>
      </w:r>
      <w:r w:rsidRPr="007E1A1D">
        <w:t xml:space="preserve">. De score bedraagt, </w:t>
      </w:r>
      <w:r w:rsidR="00C945E6">
        <w:t>net als in</w:t>
      </w:r>
      <w:r w:rsidRPr="007E1A1D">
        <w:t xml:space="preserve"> het eerste kwartaal, opnieuw een 5,7 (op een schaal 1-10, daarbij is: &lt;4 = weinig vertrouwen; 4-7 = neutraal; &gt;7 = veel vertrouwen). Het pensioenvertrouwen ligt hoger onder gepensioneerden en financieel </w:t>
      </w:r>
      <w:proofErr w:type="spellStart"/>
      <w:r w:rsidRPr="007E1A1D">
        <w:t>hooggeletterden</w:t>
      </w:r>
      <w:proofErr w:type="spellEnd"/>
      <w:r w:rsidRPr="007E1A1D">
        <w:t xml:space="preserve">. </w:t>
      </w:r>
      <w:r w:rsidRPr="000013BB" w:rsidR="000013BB">
        <w:t>Net als in Q1 2026 zijn Nederlanders op verschillende manieren bezig met hun pensioen. E</w:t>
      </w:r>
      <w:r w:rsidR="00820FD1">
        <w:t>é</w:t>
      </w:r>
      <w:r w:rsidRPr="000013BB" w:rsidR="000013BB">
        <w:t>n</w:t>
      </w:r>
      <w:r w:rsidR="00820FD1">
        <w:t xml:space="preserve"> </w:t>
      </w:r>
      <w:r w:rsidRPr="000013BB" w:rsidR="000013BB">
        <w:t xml:space="preserve">derde van Nederlanders geeft aan altijd alle brieven en e-mails te openen en te lezen die ze ontvangen van hun pensioenfonds(en) en elk jaar te bekijken hoe hun pensioen ervoor staat. </w:t>
      </w:r>
      <w:r w:rsidRPr="00C945E6" w:rsidR="00C945E6">
        <w:t xml:space="preserve">Twee derde van de Nederlanders zegt bekend te zijn met de </w:t>
      </w:r>
      <w:r w:rsidRPr="00C945E6" w:rsidR="00C945E6">
        <w:lastRenderedPageBreak/>
        <w:t>pensioenstelselwijziging. Nederlanders die hiermee bekend zijn, hebben hier vooral over gehoord via hun</w:t>
      </w:r>
      <w:r w:rsidR="00820FD1">
        <w:t xml:space="preserve"> pensioenuitvoerder </w:t>
      </w:r>
      <w:r w:rsidRPr="00C945E6" w:rsidR="00C945E6">
        <w:t xml:space="preserve">of via het nieuws. </w:t>
      </w:r>
    </w:p>
    <w:p w:rsidRPr="007E1A1D" w:rsidR="007E1A1D" w:rsidP="00BE02B0" w:rsidRDefault="007E1A1D" w14:paraId="6C270FF8" w14:textId="77777777"/>
    <w:p w:rsidRPr="002E2366" w:rsidR="00381CF1" w:rsidP="00BE02B0" w:rsidRDefault="000A63D5" w14:paraId="4DCBF5E0" w14:textId="71774A47">
      <w:pPr>
        <w:rPr>
          <w:b/>
          <w:bCs/>
        </w:rPr>
      </w:pPr>
      <w:bookmarkStart w:name="_Hlk232665400" w:id="15"/>
      <w:r w:rsidRPr="002E2366">
        <w:rPr>
          <w:b/>
          <w:bCs/>
        </w:rPr>
        <w:t xml:space="preserve">5.3 Deelnemersmonitor </w:t>
      </w:r>
    </w:p>
    <w:bookmarkEnd w:id="15"/>
    <w:p w:rsidR="00B942EC" w:rsidP="00BE02B0" w:rsidRDefault="00D92BAB" w14:paraId="46C9E82C" w14:textId="183F3CD6">
      <w:r>
        <w:t xml:space="preserve">Om </w:t>
      </w:r>
      <w:r w:rsidR="00C85270">
        <w:t xml:space="preserve">inzicht te krijgen in hoe </w:t>
      </w:r>
      <w:r>
        <w:t>deelnemers</w:t>
      </w:r>
      <w:r w:rsidR="00C85270">
        <w:t xml:space="preserve"> de overgang naar het nieuwe pensioenstelsel ervaren en in welke mate zij bekend zijn met de nieuwe pensioenregels</w:t>
      </w:r>
      <w:r w:rsidR="00EB0C92">
        <w:t>,</w:t>
      </w:r>
      <w:r w:rsidR="00C85270">
        <w:t xml:space="preserve"> zijn</w:t>
      </w:r>
      <w:r>
        <w:t xml:space="preserve"> </w:t>
      </w:r>
      <w:r w:rsidR="00EB0C92">
        <w:t>er</w:t>
      </w:r>
      <w:r w:rsidDel="00D92BAB" w:rsidR="00B942EC">
        <w:t xml:space="preserve"> </w:t>
      </w:r>
      <w:r w:rsidR="00B942EC">
        <w:t>twee deelnemersmonitoren</w:t>
      </w:r>
      <w:r>
        <w:t xml:space="preserve"> uitgevoerd</w:t>
      </w:r>
      <w:r w:rsidR="00B942EC">
        <w:t>. Deze vinden plaats i</w:t>
      </w:r>
      <w:r w:rsidRPr="00F11827" w:rsidR="00B942EC">
        <w:t>n aanvulling op de publieksmonitor, waarbij het vertrouwen in het</w:t>
      </w:r>
      <w:r w:rsidR="00B942EC">
        <w:t xml:space="preserve"> </w:t>
      </w:r>
      <w:r w:rsidRPr="00F11827" w:rsidR="00B942EC">
        <w:t>pensioenstelsel in het algemeen wordt uitgevraagd</w:t>
      </w:r>
      <w:r w:rsidR="00B942EC">
        <w:t xml:space="preserve">. </w:t>
      </w:r>
      <w:r>
        <w:t xml:space="preserve">Om te beginnen voert </w:t>
      </w:r>
      <w:proofErr w:type="spellStart"/>
      <w:r w:rsidRPr="00F11827" w:rsidR="00B942EC">
        <w:t>Netspar</w:t>
      </w:r>
      <w:proofErr w:type="spellEnd"/>
      <w:r w:rsidRPr="00F11827" w:rsidR="00B942EC">
        <w:t xml:space="preserve"> </w:t>
      </w:r>
      <w:r w:rsidR="00B942EC">
        <w:t>sinds 2025</w:t>
      </w:r>
      <w:r w:rsidRPr="00F11827" w:rsidR="00B942EC">
        <w:t xml:space="preserve"> een deelnemersmonitor uit</w:t>
      </w:r>
      <w:r w:rsidR="00B942EC">
        <w:t xml:space="preserve"> </w:t>
      </w:r>
      <w:r w:rsidRPr="00F11827" w:rsidR="00B942EC">
        <w:t xml:space="preserve">in samenwerking met </w:t>
      </w:r>
      <w:r w:rsidR="00BA3943">
        <w:t xml:space="preserve">een tiental </w:t>
      </w:r>
      <w:r w:rsidRPr="00F11827" w:rsidR="00B942EC">
        <w:t xml:space="preserve">pensioenfondsen. </w:t>
      </w:r>
      <w:r w:rsidR="00B942EC">
        <w:t xml:space="preserve">Aanvullend legt </w:t>
      </w:r>
      <w:proofErr w:type="spellStart"/>
      <w:r w:rsidRPr="00F11827" w:rsidR="00B942EC">
        <w:t>Ipsos</w:t>
      </w:r>
      <w:proofErr w:type="spellEnd"/>
      <w:r w:rsidRPr="00F11827" w:rsidR="00B942EC">
        <w:t xml:space="preserve"> I&amp;</w:t>
      </w:r>
      <w:r w:rsidR="00B942EC">
        <w:t>O</w:t>
      </w:r>
      <w:r w:rsidRPr="00F11827" w:rsidR="00B942EC">
        <w:t xml:space="preserve"> </w:t>
      </w:r>
      <w:r w:rsidR="00EB0C92">
        <w:t>een</w:t>
      </w:r>
      <w:r w:rsidR="00B942EC">
        <w:t xml:space="preserve"> panel</w:t>
      </w:r>
      <w:r w:rsidRPr="00F11827" w:rsidR="00B942EC">
        <w:t xml:space="preserve"> een zoveel mogelijk identieke</w:t>
      </w:r>
      <w:r w:rsidR="00B942EC">
        <w:t xml:space="preserve"> </w:t>
      </w:r>
      <w:r w:rsidRPr="00F11827" w:rsidR="00B942EC">
        <w:t xml:space="preserve">vragenlijst </w:t>
      </w:r>
      <w:r w:rsidR="00B942EC">
        <w:t>voor</w:t>
      </w:r>
      <w:r w:rsidRPr="00F11827" w:rsidR="00B942EC">
        <w:t>, onder andere om de deelnemerservaringen bij</w:t>
      </w:r>
      <w:r w:rsidR="00B942EC">
        <w:t xml:space="preserve"> </w:t>
      </w:r>
      <w:r w:rsidRPr="00F11827" w:rsidR="00B942EC">
        <w:t xml:space="preserve">verzekeraars en </w:t>
      </w:r>
      <w:proofErr w:type="spellStart"/>
      <w:r w:rsidRPr="00F11827" w:rsidR="00B942EC">
        <w:t>PPI’s</w:t>
      </w:r>
      <w:proofErr w:type="spellEnd"/>
      <w:r w:rsidRPr="00F11827" w:rsidR="00B942EC">
        <w:t xml:space="preserve"> goed mee te kunnen nemen in deze rapportage.</w:t>
      </w:r>
      <w:r w:rsidR="00B942EC">
        <w:t xml:space="preserve"> </w:t>
      </w:r>
      <w:r w:rsidRPr="00F11827" w:rsidR="00B942EC">
        <w:t>Door de</w:t>
      </w:r>
      <w:r w:rsidR="00B942EC">
        <w:t xml:space="preserve"> (zeer)</w:t>
      </w:r>
      <w:r w:rsidRPr="00F11827" w:rsidR="00B942EC">
        <w:t xml:space="preserve"> grote steekproef bij de </w:t>
      </w:r>
      <w:proofErr w:type="spellStart"/>
      <w:r w:rsidRPr="00F11827" w:rsidR="00B942EC">
        <w:t>Netspar</w:t>
      </w:r>
      <w:proofErr w:type="spellEnd"/>
      <w:r w:rsidRPr="00F11827" w:rsidR="00B942EC">
        <w:t>-deelnemersmonitor, en de</w:t>
      </w:r>
      <w:r w:rsidR="00B942EC">
        <w:t xml:space="preserve"> </w:t>
      </w:r>
      <w:r w:rsidRPr="00F11827" w:rsidR="00B942EC">
        <w:t>aanvullende weging voor een representatief beeld onder groepen</w:t>
      </w:r>
      <w:r w:rsidR="00B942EC">
        <w:t xml:space="preserve"> </w:t>
      </w:r>
      <w:r w:rsidRPr="00F11827" w:rsidR="00B942EC">
        <w:t xml:space="preserve">deelnemers bij </w:t>
      </w:r>
      <w:proofErr w:type="spellStart"/>
      <w:r w:rsidRPr="00F11827" w:rsidR="00B942EC">
        <w:t>Ipsos</w:t>
      </w:r>
      <w:proofErr w:type="spellEnd"/>
      <w:r w:rsidRPr="00F11827" w:rsidR="00B942EC">
        <w:t xml:space="preserve"> I&amp;O, ligt er een solide basis om de ervaring van</w:t>
      </w:r>
      <w:r w:rsidR="00B942EC">
        <w:t xml:space="preserve"> </w:t>
      </w:r>
      <w:r w:rsidRPr="00F11827" w:rsidR="00B942EC">
        <w:t>deelnemers goed in kaart te brengen.</w:t>
      </w:r>
      <w:r w:rsidR="00B942EC">
        <w:t xml:space="preserve"> Hierbij is belangrijk om op te merken dat in deze </w:t>
      </w:r>
      <w:proofErr w:type="spellStart"/>
      <w:r w:rsidR="00B942EC">
        <w:t>Netspar</w:t>
      </w:r>
      <w:proofErr w:type="spellEnd"/>
      <w:r w:rsidR="00B942EC">
        <w:t xml:space="preserve">-rapportage nog geen fondsen zitten die al zijn ingevaren, </w:t>
      </w:r>
      <w:r w:rsidR="0041178B">
        <w:t>w</w:t>
      </w:r>
      <w:r w:rsidRPr="0041178B" w:rsidR="0041178B">
        <w:t>aar rekening mee moet worden gehouden bij de interpretatie van de resultaten</w:t>
      </w:r>
      <w:r w:rsidR="0041178B">
        <w:t>.</w:t>
      </w:r>
      <w:r w:rsidR="00B942EC">
        <w:t xml:space="preserve"> Ook bij </w:t>
      </w:r>
      <w:proofErr w:type="spellStart"/>
      <w:r w:rsidR="00B942EC">
        <w:t>Ipsos</w:t>
      </w:r>
      <w:proofErr w:type="spellEnd"/>
      <w:r w:rsidR="00B942EC">
        <w:t xml:space="preserve"> I&amp;O is het aandeel van deelnemers d</w:t>
      </w:r>
      <w:r w:rsidR="00BA3943">
        <w:t xml:space="preserve">at </w:t>
      </w:r>
      <w:r w:rsidR="00B942EC">
        <w:t xml:space="preserve">al </w:t>
      </w:r>
      <w:r w:rsidR="00BA3943">
        <w:t xml:space="preserve">is </w:t>
      </w:r>
      <w:r w:rsidR="00B942EC">
        <w:t xml:space="preserve">ingevaren minder dan je op basis van een representatief beeld zou verwachten. </w:t>
      </w:r>
      <w:r w:rsidR="0041178B">
        <w:t>Desondanks maakt het feit dat</w:t>
      </w:r>
      <w:r w:rsidR="009D0CB5">
        <w:t xml:space="preserve"> deze deelnemersmonitoren periodiek worden uitgevoerd</w:t>
      </w:r>
      <w:r w:rsidR="0041178B">
        <w:t>,</w:t>
      </w:r>
      <w:r w:rsidR="009D0CB5">
        <w:t xml:space="preserve"> het mogelijk om aanvullend inzicht te gegeven in de ontwikkeling van de deelnemerservaringen </w:t>
      </w:r>
      <w:r w:rsidR="00EB0C92">
        <w:t>door</w:t>
      </w:r>
      <w:r w:rsidR="009D0CB5">
        <w:t xml:space="preserve"> de tijd.</w:t>
      </w:r>
    </w:p>
    <w:p w:rsidR="00B942EC" w:rsidP="00BE02B0" w:rsidRDefault="00B942EC" w14:paraId="1B1B350E" w14:textId="77777777"/>
    <w:p w:rsidR="00B942EC" w:rsidP="00BE02B0" w:rsidRDefault="00B942EC" w14:paraId="10674A1D" w14:textId="47556319">
      <w:r>
        <w:t>De bekendhei</w:t>
      </w:r>
      <w:r w:rsidR="00227B29">
        <w:t>d</w:t>
      </w:r>
      <w:r>
        <w:t xml:space="preserve"> </w:t>
      </w:r>
      <w:r w:rsidR="0092676D">
        <w:t>over</w:t>
      </w:r>
      <w:r>
        <w:t xml:space="preserve"> de komst van het nieuwe pensioenstelsel is blijvend en stijgend hoog. Uit de </w:t>
      </w:r>
      <w:proofErr w:type="spellStart"/>
      <w:r>
        <w:t>Netspar</w:t>
      </w:r>
      <w:proofErr w:type="spellEnd"/>
      <w:r>
        <w:t xml:space="preserve">-monitor blijkt dat met name de groep die goed weet wat de nieuwe regels voor pensioen inhouden is gegroeid naar 35,2%, en slechts 1,8% geheel niet op de hoogte was. De rapportage van </w:t>
      </w:r>
      <w:proofErr w:type="spellStart"/>
      <w:r>
        <w:t>Ipsos</w:t>
      </w:r>
      <w:proofErr w:type="spellEnd"/>
      <w:r>
        <w:t xml:space="preserve"> I&amp;O geeft een vergelijkbaar beeld,</w:t>
      </w:r>
      <w:r w:rsidR="00C85270">
        <w:t xml:space="preserve"> daarin geeft </w:t>
      </w:r>
      <w:r>
        <w:t xml:space="preserve">92% </w:t>
      </w:r>
      <w:r w:rsidR="00C85270">
        <w:t xml:space="preserve">van de </w:t>
      </w:r>
      <w:r w:rsidR="00FC6B07">
        <w:t>Nederland</w:t>
      </w:r>
      <w:r w:rsidR="00EB0C92">
        <w:t>ers</w:t>
      </w:r>
      <w:r w:rsidR="00FC6B07">
        <w:t xml:space="preserve"> aan over de nieuwe pensioenregels gehoord te hebben. </w:t>
      </w:r>
      <w:r>
        <w:t>Ook hier stijgt de groep die goed weet wat de nieuwe regels inhouden. Tegelijkertijd is er ook nog een vijfde (</w:t>
      </w:r>
      <w:proofErr w:type="spellStart"/>
      <w:r>
        <w:t>Ipsos</w:t>
      </w:r>
      <w:proofErr w:type="spellEnd"/>
      <w:r>
        <w:t xml:space="preserve"> I&amp;O) tot een tiende (</w:t>
      </w:r>
      <w:proofErr w:type="spellStart"/>
      <w:r>
        <w:t>Netspar</w:t>
      </w:r>
      <w:proofErr w:type="spellEnd"/>
      <w:r>
        <w:t xml:space="preserve">) </w:t>
      </w:r>
      <w:r w:rsidR="0092676D">
        <w:t xml:space="preserve">deel van de deelnemers aan de onderzoeken </w:t>
      </w:r>
      <w:r>
        <w:t xml:space="preserve">die </w:t>
      </w:r>
      <w:r w:rsidR="00646215">
        <w:t xml:space="preserve">wel van de wijzigingen hebben gehoord, maar </w:t>
      </w:r>
      <w:r>
        <w:t xml:space="preserve">nog niet inhoudelijk goed op de hoogte zijn. Daar zit dus nog een communicatieve uitdaging. </w:t>
      </w:r>
      <w:r w:rsidR="00FC6B07">
        <w:t xml:space="preserve">Daarentegen </w:t>
      </w:r>
      <w:r>
        <w:t>geven</w:t>
      </w:r>
      <w:r w:rsidDel="00D92BAB">
        <w:t xml:space="preserve"> </w:t>
      </w:r>
      <w:r>
        <w:t xml:space="preserve">negen op de tien mensen </w:t>
      </w:r>
      <w:r w:rsidR="00646215">
        <w:t xml:space="preserve">in het onderzoek van </w:t>
      </w:r>
      <w:proofErr w:type="spellStart"/>
      <w:r w:rsidR="00646215">
        <w:t>Netspar</w:t>
      </w:r>
      <w:proofErr w:type="spellEnd"/>
      <w:r>
        <w:t xml:space="preserve"> aan dat zij informatie over hun nieuwe pensioenregeling hebben gezien</w:t>
      </w:r>
      <w:r w:rsidR="00646215">
        <w:t xml:space="preserve">, </w:t>
      </w:r>
      <w:r w:rsidR="00D92BAB">
        <w:t xml:space="preserve">en </w:t>
      </w:r>
      <w:r>
        <w:t xml:space="preserve">zegt men vaker </w:t>
      </w:r>
      <w:r w:rsidR="00646215">
        <w:t>dan in de vorige rapportage</w:t>
      </w:r>
      <w:r>
        <w:t xml:space="preserve"> goed te begrijpen waarom de regels moeten veranderen.  </w:t>
      </w:r>
    </w:p>
    <w:p w:rsidR="00B942EC" w:rsidP="00BE02B0" w:rsidRDefault="00B942EC" w14:paraId="0DC08289" w14:textId="77777777"/>
    <w:p w:rsidR="0041178B" w:rsidP="00BE02B0" w:rsidRDefault="00D92BAB" w14:paraId="033563B2" w14:textId="7FD8F351">
      <w:r>
        <w:t>D</w:t>
      </w:r>
      <w:r w:rsidR="00B942EC">
        <w:t xml:space="preserve">eelnemers </w:t>
      </w:r>
      <w:r>
        <w:t xml:space="preserve">laten </w:t>
      </w:r>
      <w:r w:rsidR="00B942EC">
        <w:t>de mate waarin</w:t>
      </w:r>
      <w:r w:rsidR="00DC41AE">
        <w:t xml:space="preserve"> de pensioenuitvoerder hen </w:t>
      </w:r>
      <w:r w:rsidR="00B942EC">
        <w:t>op de hoogte</w:t>
      </w:r>
      <w:r w:rsidR="00DC41AE">
        <w:t xml:space="preserve"> </w:t>
      </w:r>
      <w:r w:rsidR="00B942EC">
        <w:t>houd</w:t>
      </w:r>
      <w:r w:rsidR="00DC41AE">
        <w:t xml:space="preserve">t </w:t>
      </w:r>
      <w:r w:rsidR="00B942EC">
        <w:t>sterk meewegen in hun beoordeling van hun pensioenuitvoerder</w:t>
      </w:r>
      <w:r w:rsidR="0041178B">
        <w:t xml:space="preserve">, volgens </w:t>
      </w:r>
      <w:proofErr w:type="spellStart"/>
      <w:r w:rsidR="0041178B">
        <w:t>I</w:t>
      </w:r>
      <w:r w:rsidR="00A14A9D">
        <w:t>psos</w:t>
      </w:r>
      <w:proofErr w:type="spellEnd"/>
      <w:r w:rsidR="00A14A9D">
        <w:t xml:space="preserve"> </w:t>
      </w:r>
      <w:r w:rsidR="0041178B">
        <w:t>I&amp;O</w:t>
      </w:r>
      <w:r w:rsidR="00B942EC">
        <w:t xml:space="preserve">. Vooral onder gepensioneerden is dit een belangrijke factor. </w:t>
      </w:r>
      <w:r w:rsidR="00227B29">
        <w:t xml:space="preserve">Pensioenuitvoerders maken van deze inzichten gebruik en passen hun communicatiestrategie </w:t>
      </w:r>
      <w:proofErr w:type="gramStart"/>
      <w:r w:rsidR="00227B29">
        <w:t>hier op</w:t>
      </w:r>
      <w:proofErr w:type="gramEnd"/>
      <w:r w:rsidR="00227B29">
        <w:t xml:space="preserve"> aan. </w:t>
      </w:r>
      <w:r w:rsidR="00B942EC">
        <w:t xml:space="preserve">Gemiddeld </w:t>
      </w:r>
      <w:r w:rsidR="000D4D3F">
        <w:t>geven deelnemers aan hun</w:t>
      </w:r>
      <w:r w:rsidR="00B942EC">
        <w:t xml:space="preserve"> pensioenuitvoerder </w:t>
      </w:r>
      <w:r w:rsidR="0041178B">
        <w:t xml:space="preserve">bij </w:t>
      </w:r>
      <w:proofErr w:type="spellStart"/>
      <w:r w:rsidR="0041178B">
        <w:t>I</w:t>
      </w:r>
      <w:r w:rsidR="00A14A9D">
        <w:t>psos</w:t>
      </w:r>
      <w:proofErr w:type="spellEnd"/>
      <w:r w:rsidR="00A14A9D">
        <w:t xml:space="preserve"> </w:t>
      </w:r>
      <w:r w:rsidR="0041178B">
        <w:t>I&amp;O</w:t>
      </w:r>
      <w:r w:rsidR="00B942EC">
        <w:t xml:space="preserve"> een 7,4</w:t>
      </w:r>
      <w:r w:rsidR="0041178B">
        <w:t xml:space="preserve">, bij </w:t>
      </w:r>
      <w:proofErr w:type="spellStart"/>
      <w:r w:rsidR="0041178B">
        <w:t>Netspar</w:t>
      </w:r>
      <w:proofErr w:type="spellEnd"/>
      <w:r w:rsidR="0041178B">
        <w:t xml:space="preserve"> stijg</w:t>
      </w:r>
      <w:r w:rsidR="000D4D3F">
        <w:t>t</w:t>
      </w:r>
      <w:r w:rsidR="0041178B">
        <w:t xml:space="preserve"> d</w:t>
      </w:r>
      <w:r w:rsidR="000D4D3F">
        <w:t xml:space="preserve">it </w:t>
      </w:r>
      <w:r w:rsidR="0041178B">
        <w:t>cijfer</w:t>
      </w:r>
      <w:r w:rsidR="000D4D3F">
        <w:t xml:space="preserve"> </w:t>
      </w:r>
      <w:r w:rsidR="0041178B">
        <w:t>zelfs naar een 7,9</w:t>
      </w:r>
      <w:r w:rsidR="00B942EC">
        <w:t xml:space="preserve">. </w:t>
      </w:r>
      <w:r>
        <w:t>Naast</w:t>
      </w:r>
      <w:r w:rsidDel="00D92BAB" w:rsidR="00B942EC">
        <w:t xml:space="preserve"> </w:t>
      </w:r>
      <w:r w:rsidR="00B942EC">
        <w:t xml:space="preserve">pensioenuitvoerders worden nieuws(websites), tv en kranten gezien als informatiebron. </w:t>
      </w:r>
      <w:r w:rsidRPr="0041178B" w:rsidR="0041178B">
        <w:t xml:space="preserve">Gepensioneerden voelen zich over het algemeen beter geïnformeerd dan actieve deelnemers en gewezen deelnemers en zijn ook positiever over hun pensioenuitvoerder. </w:t>
      </w:r>
      <w:r>
        <w:t>Een</w:t>
      </w:r>
      <w:r w:rsidDel="00D92BAB" w:rsidR="00B942EC">
        <w:t xml:space="preserve"> </w:t>
      </w:r>
      <w:r w:rsidR="00B942EC">
        <w:t xml:space="preserve">kwart van de actieve deelnemers </w:t>
      </w:r>
      <w:r>
        <w:t xml:space="preserve">geeft daarnaast </w:t>
      </w:r>
      <w:r w:rsidRPr="004C27DB">
        <w:t xml:space="preserve">aan dat zij </w:t>
      </w:r>
      <w:r w:rsidRPr="004C27DB" w:rsidR="00B942EC">
        <w:t xml:space="preserve">via hun werkgever aan informatie komen. Hier zit dus ook een </w:t>
      </w:r>
      <w:r w:rsidRPr="004C27DB">
        <w:t xml:space="preserve">kans en </w:t>
      </w:r>
      <w:r w:rsidRPr="004C27DB" w:rsidR="00B942EC">
        <w:t xml:space="preserve">uitdaging voor </w:t>
      </w:r>
      <w:r w:rsidRPr="004C27DB" w:rsidR="004C27DB">
        <w:t xml:space="preserve">met name </w:t>
      </w:r>
      <w:r w:rsidRPr="004C27DB" w:rsidR="00B942EC">
        <w:t>werkgevers</w:t>
      </w:r>
      <w:r w:rsidRPr="004C27DB" w:rsidR="004C27DB">
        <w:t xml:space="preserve"> die hun werknemers hier nog niet over informeren</w:t>
      </w:r>
      <w:r w:rsidRPr="004C27DB" w:rsidR="00B942EC">
        <w:t xml:space="preserve">. In de praktijk </w:t>
      </w:r>
      <w:r w:rsidRPr="004C27DB">
        <w:t xml:space="preserve">is te </w:t>
      </w:r>
      <w:r w:rsidRPr="004C27DB" w:rsidR="00B942EC">
        <w:t>zien dat veel pensioenuitvoerders informatiemomenten</w:t>
      </w:r>
      <w:r w:rsidR="00B942EC">
        <w:t xml:space="preserve"> voor werkgevers opzetten, zoals </w:t>
      </w:r>
      <w:proofErr w:type="spellStart"/>
      <w:r w:rsidR="00B942EC">
        <w:t>webinars</w:t>
      </w:r>
      <w:proofErr w:type="spellEnd"/>
      <w:r w:rsidR="00B942EC">
        <w:t xml:space="preserve"> of scholingen, om de deelnemers</w:t>
      </w:r>
      <w:r w:rsidR="00E43373">
        <w:t xml:space="preserve"> goed te informeren. </w:t>
      </w:r>
      <w:r w:rsidR="0041178B">
        <w:t xml:space="preserve">De rapportage van de Pensioenfederatie geeft </w:t>
      </w:r>
      <w:r w:rsidR="0041178B">
        <w:lastRenderedPageBreak/>
        <w:t xml:space="preserve">hiervan ook goede en inspirerende voorbeelden, zoals de </w:t>
      </w:r>
      <w:proofErr w:type="spellStart"/>
      <w:r w:rsidR="0041178B">
        <w:t>voorlichtingsbus</w:t>
      </w:r>
      <w:proofErr w:type="spellEnd"/>
      <w:r w:rsidR="0041178B">
        <w:t xml:space="preserve"> van pensioenfonds Rail &amp; OV, maar ook </w:t>
      </w:r>
      <w:proofErr w:type="spellStart"/>
      <w:r w:rsidR="0041178B">
        <w:t>webinars</w:t>
      </w:r>
      <w:proofErr w:type="spellEnd"/>
      <w:r w:rsidR="0041178B">
        <w:t xml:space="preserve"> en aanvullende communicatiemiddelen die werkgevers in kunnen zetten</w:t>
      </w:r>
      <w:r w:rsidR="00A14A9D">
        <w:t xml:space="preserve"> (met een voorbeeld </w:t>
      </w:r>
      <w:r w:rsidR="0041178B">
        <w:t>van PME</w:t>
      </w:r>
      <w:r w:rsidR="00A14A9D">
        <w:t>)</w:t>
      </w:r>
      <w:r w:rsidR="0041178B">
        <w:t>.</w:t>
      </w:r>
      <w:r w:rsidR="00E863BA">
        <w:rPr>
          <w:rStyle w:val="Voetnootmarkering"/>
        </w:rPr>
        <w:footnoteReference w:id="43"/>
      </w:r>
      <w:r w:rsidR="0041178B">
        <w:t xml:space="preserve"> </w:t>
      </w:r>
    </w:p>
    <w:p w:rsidR="005877A7" w:rsidDel="009D0CB5" w:rsidP="00BE02B0" w:rsidRDefault="005877A7" w14:paraId="1B0F8B45" w14:textId="77777777"/>
    <w:p w:rsidR="00B942EC" w:rsidP="00BE02B0" w:rsidRDefault="0092676D" w14:paraId="508B1D38" w14:textId="30951756">
      <w:r>
        <w:t>In lijn met de verwachting</w:t>
      </w:r>
      <w:r w:rsidR="00B942EC">
        <w:t xml:space="preserve"> vinden deelnemers die aangesloten zijn bij pensioenfondsen die zijn overgestapt</w:t>
      </w:r>
      <w:r w:rsidR="0076513D">
        <w:t xml:space="preserve"> op het nieuwe pensioenstelsel</w:t>
      </w:r>
      <w:r w:rsidR="00B942EC">
        <w:t>, de informatievoorziening vaker transparant en</w:t>
      </w:r>
      <w:r w:rsidDel="009D0CB5" w:rsidR="00B942EC">
        <w:t xml:space="preserve"> </w:t>
      </w:r>
      <w:r w:rsidR="00B942EC">
        <w:t>persoonlijk</w:t>
      </w:r>
      <w:r w:rsidR="004E4997">
        <w:t xml:space="preserve"> dan wanneer de overstap nog moet plaatsvinden</w:t>
      </w:r>
      <w:r w:rsidR="00B942EC">
        <w:t xml:space="preserve">. Dat sluit aan bij de communicatiemomenten van pensioenfondsen, waar een paar maanden voor transitiedatum de eerste persoonlijke informatie wordt verstrekt. Mensen vinden het wel vaak lastig om te beoordelen of de informatie volledig en transparant was. </w:t>
      </w:r>
    </w:p>
    <w:p w:rsidR="00B942EC" w:rsidP="00BE02B0" w:rsidRDefault="00B942EC" w14:paraId="08E6CC5B" w14:textId="77777777"/>
    <w:p w:rsidR="00B942EC" w:rsidP="00BE02B0" w:rsidRDefault="00B942EC" w14:paraId="2DCD45CF" w14:textId="1A32ADC8">
      <w:r>
        <w:t>Blijvend en stijgend is het vertrouwen dat mensen hebben in dat hun pensioenuitvoerder zorgt voor een goede overgang</w:t>
      </w:r>
      <w:r w:rsidR="00DF2906">
        <w:t xml:space="preserve"> naar het nieuwe stelsel</w:t>
      </w:r>
      <w:r w:rsidR="00646215">
        <w:t xml:space="preserve"> volgens </w:t>
      </w:r>
      <w:proofErr w:type="spellStart"/>
      <w:r w:rsidR="00646215">
        <w:t>Netspar</w:t>
      </w:r>
      <w:proofErr w:type="spellEnd"/>
      <w:r>
        <w:t xml:space="preserve">. Daarnaast worden er </w:t>
      </w:r>
      <w:r w:rsidR="00646215">
        <w:t xml:space="preserve">daar </w:t>
      </w:r>
      <w:r>
        <w:t xml:space="preserve">ook minder negatieve en </w:t>
      </w:r>
      <w:r w:rsidR="0076513D">
        <w:t xml:space="preserve">significant </w:t>
      </w:r>
      <w:r>
        <w:t>meer positieve emoties gemeten</w:t>
      </w:r>
      <w:r w:rsidR="00646215">
        <w:t>. Een</w:t>
      </w:r>
      <w:r>
        <w:t xml:space="preserve"> stijgend aandeel van de deelnemers </w:t>
      </w:r>
      <w:r w:rsidR="00646215">
        <w:t xml:space="preserve">verwacht </w:t>
      </w:r>
      <w:r w:rsidR="0041178B">
        <w:t xml:space="preserve">volgens beide </w:t>
      </w:r>
      <w:r w:rsidR="00646215">
        <w:t xml:space="preserve">rapportages </w:t>
      </w:r>
      <w:r>
        <w:t>erop vooruit te gaan</w:t>
      </w:r>
      <w:r w:rsidR="00E863BA">
        <w:t>. Daarnaast verwacht e</w:t>
      </w:r>
      <w:r>
        <w:t>en dalend deel weinig verandering, vooral onder gepensioneerden</w:t>
      </w:r>
      <w:r w:rsidR="00E863BA">
        <w:t xml:space="preserve"> is dat waarneembaar</w:t>
      </w:r>
      <w:r>
        <w:t xml:space="preserve">. Deze cijfers sluiten aan bij de relatief hoge </w:t>
      </w:r>
      <w:r w:rsidR="004E4997">
        <w:t xml:space="preserve">pensioenverhogingen </w:t>
      </w:r>
      <w:r>
        <w:t xml:space="preserve">die rondom invaren zijn toegekend, met anderzijds de boodschap dat in </w:t>
      </w:r>
      <w:r w:rsidR="00011AA3">
        <w:t xml:space="preserve">(langdurig) </w:t>
      </w:r>
      <w:r>
        <w:t xml:space="preserve">economisch slechter weer de pensioenen ook </w:t>
      </w:r>
      <w:r w:rsidR="00011AA3">
        <w:t xml:space="preserve">meer </w:t>
      </w:r>
      <w:r>
        <w:t xml:space="preserve">kunnen dalen. </w:t>
      </w:r>
    </w:p>
    <w:p w:rsidR="009D0CB5" w:rsidP="00BE02B0" w:rsidRDefault="009D0CB5" w14:paraId="4EA1D624" w14:textId="193EE03F"/>
    <w:p w:rsidRPr="002E2366" w:rsidR="00BE6048" w:rsidP="00BE02B0" w:rsidRDefault="00BE6048" w14:paraId="32CC5539" w14:textId="597A8AB1">
      <w:pPr>
        <w:rPr>
          <w:b/>
          <w:bCs/>
          <w:iCs/>
        </w:rPr>
      </w:pPr>
      <w:r w:rsidRPr="002E2366">
        <w:rPr>
          <w:b/>
          <w:bCs/>
          <w:iCs/>
        </w:rPr>
        <w:t>5.</w:t>
      </w:r>
      <w:r w:rsidRPr="002E2366" w:rsidR="000A63D5">
        <w:rPr>
          <w:b/>
          <w:bCs/>
          <w:iCs/>
        </w:rPr>
        <w:t>4</w:t>
      </w:r>
      <w:r w:rsidRPr="002E2366">
        <w:rPr>
          <w:b/>
          <w:bCs/>
          <w:iCs/>
        </w:rPr>
        <w:t xml:space="preserve"> Klachten- en geschillencommissies en Raad voor de Rechtspraak</w:t>
      </w:r>
    </w:p>
    <w:p w:rsidR="005A1243" w:rsidP="00BE02B0" w:rsidRDefault="005A1243" w14:paraId="38A800A8" w14:textId="241EF6EE">
      <w:r w:rsidRPr="00A22C47">
        <w:t>Het aantal klachten en geschillen over de</w:t>
      </w:r>
      <w:r w:rsidR="00016802">
        <w:t xml:space="preserve"> pensioentransitie</w:t>
      </w:r>
      <w:r w:rsidRPr="00A22C47">
        <w:t xml:space="preserve"> is in deze fase van de transitie nog steeds beperkt. Het grootste deel van het aantal geschillen is niet gerelateerd aan de </w:t>
      </w:r>
      <w:proofErr w:type="spellStart"/>
      <w:r w:rsidRPr="00A22C47">
        <w:t>Wtp</w:t>
      </w:r>
      <w:proofErr w:type="spellEnd"/>
      <w:r w:rsidRPr="00A22C47">
        <w:t>. Wel komen er meer vragen binnen bij de geschilleninstanties (G</w:t>
      </w:r>
      <w:r w:rsidR="0092676D">
        <w:t>eschilleninstantie Pensioenfondsen (G</w:t>
      </w:r>
      <w:r w:rsidRPr="00A22C47">
        <w:t>IP</w:t>
      </w:r>
      <w:r w:rsidR="0092676D">
        <w:t>)</w:t>
      </w:r>
      <w:r w:rsidRPr="00A22C47">
        <w:t xml:space="preserve"> voor pensioenfondsen en </w:t>
      </w:r>
      <w:proofErr w:type="spellStart"/>
      <w:r w:rsidRPr="00A22C47">
        <w:t>Kifid</w:t>
      </w:r>
      <w:proofErr w:type="spellEnd"/>
      <w:r w:rsidRPr="00A22C47">
        <w:t xml:space="preserve"> voor verzekeraars en </w:t>
      </w:r>
      <w:proofErr w:type="spellStart"/>
      <w:r w:rsidRPr="00A22C47">
        <w:t>PPI’s</w:t>
      </w:r>
      <w:proofErr w:type="spellEnd"/>
      <w:r w:rsidRPr="00A22C47">
        <w:t xml:space="preserve">) naarmate de transitie -en daarmee dus ook het aantal overstappende deelnemers- vordert. De ontwikkeling van </w:t>
      </w:r>
      <w:r>
        <w:t xml:space="preserve">het aantal </w:t>
      </w:r>
      <w:r w:rsidRPr="00A22C47">
        <w:t xml:space="preserve">klachten en geschillen blijft daarom een belangrijk aandachtspunt in deze monitoring. </w:t>
      </w:r>
    </w:p>
    <w:p w:rsidR="005A1243" w:rsidP="00BE02B0" w:rsidRDefault="005A1243" w14:paraId="18B18C00" w14:textId="77777777"/>
    <w:p w:rsidRPr="00B942EC" w:rsidR="00381CF1" w:rsidP="00BE02B0" w:rsidRDefault="00381CF1" w14:paraId="707AD08E" w14:textId="2B89ED2C">
      <w:pPr>
        <w:keepNext/>
        <w:rPr>
          <w:i/>
          <w:iCs/>
        </w:rPr>
      </w:pPr>
      <w:r w:rsidRPr="00B942EC">
        <w:rPr>
          <w:i/>
          <w:iCs/>
        </w:rPr>
        <w:t>GIP</w:t>
      </w:r>
    </w:p>
    <w:p w:rsidR="005A1243" w:rsidP="00BE02B0" w:rsidRDefault="005A1243" w14:paraId="202E0B38" w14:textId="1A323954">
      <w:pPr>
        <w:keepNext/>
      </w:pPr>
      <w:r w:rsidRPr="00A22C47">
        <w:t>Uit de cijfers van GIP blijkt dat in de verslagperiode</w:t>
      </w:r>
      <w:r>
        <w:t xml:space="preserve"> (1 januari tot 30 april 2026)</w:t>
      </w:r>
      <w:r w:rsidRPr="00A22C47">
        <w:t xml:space="preserve"> in totaal 203 geschillen zijn geregistreerd</w:t>
      </w:r>
      <w:r w:rsidR="001F4419">
        <w:t xml:space="preserve">, hierbij is geen onderscheid gemaakt tussen wel of niet </w:t>
      </w:r>
      <w:proofErr w:type="spellStart"/>
      <w:r w:rsidR="001F4419">
        <w:t>Wtp</w:t>
      </w:r>
      <w:proofErr w:type="spellEnd"/>
      <w:r w:rsidR="001F4419">
        <w:t xml:space="preserve"> gerelateerde geschillen</w:t>
      </w:r>
      <w:r w:rsidRPr="00A22C47">
        <w:t>. De</w:t>
      </w:r>
      <w:r w:rsidR="001F4419">
        <w:t xml:space="preserve"> geschillen</w:t>
      </w:r>
      <w:r w:rsidRPr="00A22C47">
        <w:t xml:space="preserve"> </w:t>
      </w:r>
      <w:r w:rsidR="00381CF1">
        <w:t>hebben</w:t>
      </w:r>
      <w:r w:rsidRPr="00A22C47">
        <w:t xml:space="preserve"> voornamelijk betrekking op pensioenberekening en -betaling, de toepassing van wet- en regelgeving (algemeen) en informatieverstrekking.</w:t>
      </w:r>
      <w:r w:rsidR="00E9026E">
        <w:t xml:space="preserve"> Daarmee is de aard van de geschillen ongewijzigd gebleven ten opzichte van de vorige verslagperiode.</w:t>
      </w:r>
      <w:r w:rsidRPr="00A22C47">
        <w:t xml:space="preserve"> Een aanzienlijk deel van de zaken wordt afgehandeld via bemiddeling (70%). In 30% van de gevallen is sprake van directe beslechting. Van de afgeronde zaken leid</w:t>
      </w:r>
      <w:r>
        <w:t xml:space="preserve">de </w:t>
      </w:r>
      <w:r w:rsidRPr="00A22C47">
        <w:t xml:space="preserve">70% tot een bindende uitspraak. De gemiddelde doorlooptijd van </w:t>
      </w:r>
      <w:r>
        <w:t xml:space="preserve">de </w:t>
      </w:r>
      <w:r w:rsidRPr="00A22C47">
        <w:t>afgeronde zaken bedr</w:t>
      </w:r>
      <w:r>
        <w:t xml:space="preserve">oeg </w:t>
      </w:r>
      <w:r w:rsidRPr="00A22C47">
        <w:t xml:space="preserve">164 werkdagen. </w:t>
      </w:r>
    </w:p>
    <w:p w:rsidR="005162F7" w:rsidP="00BE02B0" w:rsidRDefault="005162F7" w14:paraId="37121C1A" w14:textId="77777777"/>
    <w:p w:rsidRPr="00B942EC" w:rsidR="00B942EC" w:rsidP="00BE02B0" w:rsidRDefault="00B942EC" w14:paraId="0A23A57F" w14:textId="41264F7D">
      <w:pPr>
        <w:keepNext/>
        <w:rPr>
          <w:i/>
          <w:iCs/>
        </w:rPr>
      </w:pPr>
      <w:proofErr w:type="spellStart"/>
      <w:r>
        <w:rPr>
          <w:i/>
          <w:iCs/>
        </w:rPr>
        <w:t>Kifid</w:t>
      </w:r>
      <w:proofErr w:type="spellEnd"/>
    </w:p>
    <w:p w:rsidR="005A1243" w:rsidP="00BE02B0" w:rsidRDefault="005A1243" w14:paraId="2171232F" w14:textId="37667507">
      <w:pPr>
        <w:keepNext/>
      </w:pPr>
      <w:r w:rsidRPr="00564983">
        <w:t xml:space="preserve">Bij het </w:t>
      </w:r>
      <w:proofErr w:type="spellStart"/>
      <w:r w:rsidRPr="00564983">
        <w:t>Kifid</w:t>
      </w:r>
      <w:proofErr w:type="spellEnd"/>
      <w:r w:rsidRPr="00564983">
        <w:t xml:space="preserve"> zijn in de </w:t>
      </w:r>
      <w:r w:rsidRPr="00A00A76">
        <w:t xml:space="preserve">verslagperiode </w:t>
      </w:r>
      <w:r>
        <w:t>(1 december 2025 tot 1 juni 2026) 40</w:t>
      </w:r>
      <w:r w:rsidRPr="00564983">
        <w:t xml:space="preserve"> geschillen </w:t>
      </w:r>
      <w:r w:rsidRPr="00A00A76">
        <w:t>geregistreerd die betrekking</w:t>
      </w:r>
      <w:r w:rsidRPr="00564983">
        <w:t xml:space="preserve"> hebben op de </w:t>
      </w:r>
      <w:proofErr w:type="spellStart"/>
      <w:r w:rsidRPr="00564983">
        <w:t>Wtp</w:t>
      </w:r>
      <w:proofErr w:type="spellEnd"/>
      <w:r>
        <w:t xml:space="preserve"> en pensioen in brede zin</w:t>
      </w:r>
      <w:r w:rsidRPr="00564983">
        <w:t xml:space="preserve">. </w:t>
      </w:r>
      <w:r w:rsidRPr="00A00A76" w:rsidR="00E9026E">
        <w:t xml:space="preserve">Het </w:t>
      </w:r>
      <w:proofErr w:type="spellStart"/>
      <w:r w:rsidRPr="00A00A76" w:rsidR="00E9026E">
        <w:t>Kifid</w:t>
      </w:r>
      <w:proofErr w:type="spellEnd"/>
      <w:r w:rsidRPr="00A00A76" w:rsidR="00E9026E">
        <w:t xml:space="preserve"> geeft aan dat de aard van de klachten divers is en dat de inhoudelijke complexiteit per zaak kan verschillen.</w:t>
      </w:r>
      <w:r w:rsidRPr="00564983" w:rsidR="00E9026E">
        <w:t xml:space="preserve"> </w:t>
      </w:r>
      <w:r w:rsidRPr="00564983">
        <w:t xml:space="preserve">Deze zaken zien met name op </w:t>
      </w:r>
      <w:r w:rsidRPr="005A1243">
        <w:t>onderwerpen als uitblijven van indexatie</w:t>
      </w:r>
      <w:r w:rsidR="0090402D">
        <w:t xml:space="preserve"> op de pré-</w:t>
      </w:r>
      <w:proofErr w:type="spellStart"/>
      <w:r w:rsidR="0090402D">
        <w:t>Wtp</w:t>
      </w:r>
      <w:proofErr w:type="spellEnd"/>
      <w:r w:rsidR="0090402D">
        <w:t xml:space="preserve"> regelingen</w:t>
      </w:r>
      <w:r w:rsidRPr="005A1243">
        <w:t xml:space="preserve">, </w:t>
      </w:r>
      <w:proofErr w:type="spellStart"/>
      <w:r w:rsidRPr="005A1243">
        <w:t>lifecycle</w:t>
      </w:r>
      <w:proofErr w:type="spellEnd"/>
      <w:r w:rsidRPr="005A1243">
        <w:t>-</w:t>
      </w:r>
      <w:r w:rsidRPr="005A1243">
        <w:lastRenderedPageBreak/>
        <w:t>klachten, discussies/vragen over het (bijzonder) nabestaandenpensioen.</w:t>
      </w:r>
      <w:r w:rsidRPr="00A00A76">
        <w:t xml:space="preserve"> </w:t>
      </w:r>
      <w:r w:rsidR="00E9026E">
        <w:t xml:space="preserve">De aard van de klachten is daarmee grotendeels gelijk gebleven. </w:t>
      </w:r>
      <w:r w:rsidRPr="00A00A76">
        <w:t xml:space="preserve">Een deel van de klachten wordt opgelost via bemiddeling of </w:t>
      </w:r>
      <w:r w:rsidR="00185F61">
        <w:t xml:space="preserve">zijn </w:t>
      </w:r>
      <w:r w:rsidRPr="00A00A76">
        <w:t xml:space="preserve">ingetrokken voordat het tot een uitspraak komt. Van de zaken die tot een uitspraak leiden, is </w:t>
      </w:r>
      <w:proofErr w:type="gramStart"/>
      <w:r w:rsidRPr="00A00A76">
        <w:t>circa</w:t>
      </w:r>
      <w:proofErr w:type="gramEnd"/>
      <w:r w:rsidRPr="00A00A76">
        <w:t xml:space="preserve"> de helft bindend. De gemiddelde doorlooptijd bij het </w:t>
      </w:r>
      <w:proofErr w:type="spellStart"/>
      <w:r w:rsidRPr="00A00A76">
        <w:t>Kifid</w:t>
      </w:r>
      <w:proofErr w:type="spellEnd"/>
      <w:r w:rsidRPr="00A00A76">
        <w:t xml:space="preserve"> bedr</w:t>
      </w:r>
      <w:r>
        <w:t xml:space="preserve">oeg </w:t>
      </w:r>
      <w:r w:rsidRPr="00A00A76">
        <w:t xml:space="preserve">241 </w:t>
      </w:r>
      <w:r w:rsidR="00381CF1">
        <w:t>werk</w:t>
      </w:r>
      <w:r w:rsidRPr="00A00A76">
        <w:t xml:space="preserve">dagen. </w:t>
      </w:r>
    </w:p>
    <w:p w:rsidR="005A1243" w:rsidP="00BE02B0" w:rsidRDefault="005A1243" w14:paraId="1C12B953" w14:textId="77777777">
      <w:pPr>
        <w:rPr>
          <w:highlight w:val="yellow"/>
        </w:rPr>
      </w:pPr>
    </w:p>
    <w:p w:rsidRPr="00B942EC" w:rsidR="00381CF1" w:rsidP="00BE02B0" w:rsidRDefault="00381CF1" w14:paraId="6CBDB47A" w14:textId="1EED0819">
      <w:pPr>
        <w:rPr>
          <w:i/>
          <w:iCs/>
          <w:highlight w:val="yellow"/>
        </w:rPr>
      </w:pPr>
      <w:r w:rsidRPr="00B942EC">
        <w:rPr>
          <w:i/>
          <w:iCs/>
        </w:rPr>
        <w:t>Raad voor de Rechtspraak</w:t>
      </w:r>
    </w:p>
    <w:p w:rsidR="005A1243" w:rsidP="00BE02B0" w:rsidRDefault="005A1243" w14:paraId="0C5F92A0" w14:textId="7A2A3587">
      <w:r w:rsidRPr="008B4D06">
        <w:t xml:space="preserve">De Raad voor de Rechtspraak heeft aangegeven dat het aantal bij de civiele rechter aanhangig gemaakte zaken met betrekking tot de </w:t>
      </w:r>
      <w:proofErr w:type="spellStart"/>
      <w:r w:rsidRPr="008B4D06">
        <w:t>Wtp</w:t>
      </w:r>
      <w:proofErr w:type="spellEnd"/>
      <w:r w:rsidRPr="008B4D06">
        <w:t xml:space="preserve"> in de verslagperiode (t/m Q1 2026) beperkt is gebleven en nog steeds minder dan tien bedraagt. </w:t>
      </w:r>
      <w:r w:rsidR="00E863BA">
        <w:t xml:space="preserve">Daarmee ligt het aantal zaken tot op heden lager dan ten tijde van de behandeling van de </w:t>
      </w:r>
      <w:proofErr w:type="spellStart"/>
      <w:r w:rsidR="00E863BA">
        <w:t>Wtp</w:t>
      </w:r>
      <w:proofErr w:type="spellEnd"/>
      <w:r w:rsidR="00E863BA">
        <w:t xml:space="preserve"> de verwachting was. </w:t>
      </w:r>
      <w:r w:rsidRPr="008B4D06">
        <w:t xml:space="preserve">Dit duidt erop dat geschillen over de </w:t>
      </w:r>
      <w:proofErr w:type="spellStart"/>
      <w:r w:rsidRPr="008B4D06">
        <w:t>Wtp</w:t>
      </w:r>
      <w:proofErr w:type="spellEnd"/>
      <w:r w:rsidRPr="008B4D06">
        <w:t xml:space="preserve"> vooralsnog in overwegende mate worden afgewikkeld via buitengerechtelijke geschilbeslechting.</w:t>
      </w:r>
      <w:r>
        <w:t xml:space="preserve"> </w:t>
      </w:r>
    </w:p>
    <w:p w:rsidR="005A1243" w:rsidP="00BE02B0" w:rsidRDefault="005A1243" w14:paraId="4988C1B7" w14:textId="77777777">
      <w:pPr>
        <w:rPr>
          <w:b/>
          <w:bCs/>
        </w:rPr>
      </w:pPr>
    </w:p>
    <w:p w:rsidRPr="00894201" w:rsidR="005A1243" w:rsidP="00BE02B0" w:rsidRDefault="005A1243" w14:paraId="1E7C6F29" w14:textId="77777777">
      <w:pPr>
        <w:rPr>
          <w:b/>
          <w:bCs/>
        </w:rPr>
      </w:pPr>
      <w:r w:rsidRPr="00894201">
        <w:rPr>
          <w:b/>
          <w:bCs/>
        </w:rPr>
        <w:t>Tabel 1: Overzicht zaken bij geschilleninstanties</w:t>
      </w:r>
    </w:p>
    <w:tbl>
      <w:tblPr>
        <w:tblStyle w:val="Tabelraster"/>
        <w:tblW w:w="7366" w:type="dxa"/>
        <w:tblLook w:val="04A0" w:firstRow="1" w:lastRow="0" w:firstColumn="1" w:lastColumn="0" w:noHBand="0" w:noVBand="1"/>
      </w:tblPr>
      <w:tblGrid>
        <w:gridCol w:w="2405"/>
        <w:gridCol w:w="2268"/>
        <w:gridCol w:w="2693"/>
      </w:tblGrid>
      <w:tr w:rsidRPr="006E7943" w:rsidR="006E7943" w:rsidTr="00442D4C" w14:paraId="6A5C4EF1" w14:textId="77777777">
        <w:trPr>
          <w:trHeight w:val="287"/>
        </w:trPr>
        <w:tc>
          <w:tcPr>
            <w:tcW w:w="2405" w:type="dxa"/>
          </w:tcPr>
          <w:p w:rsidRPr="006E7943" w:rsidR="005A1243" w:rsidP="00BE02B0" w:rsidRDefault="005A1243" w14:paraId="26C13E07" w14:textId="77777777">
            <w:pPr>
              <w:rPr>
                <w:b/>
                <w:bCs/>
              </w:rPr>
            </w:pPr>
            <w:r w:rsidRPr="006E7943">
              <w:rPr>
                <w:b/>
                <w:bCs/>
              </w:rPr>
              <w:t>Geschilleninstantie</w:t>
            </w:r>
          </w:p>
        </w:tc>
        <w:tc>
          <w:tcPr>
            <w:tcW w:w="2268" w:type="dxa"/>
          </w:tcPr>
          <w:p w:rsidRPr="006E7943" w:rsidR="005A1243" w:rsidP="00BE02B0" w:rsidRDefault="005A1243" w14:paraId="5E756CFB" w14:textId="79BAC41A">
            <w:pPr>
              <w:rPr>
                <w:b/>
                <w:bCs/>
                <w:i/>
                <w:iCs/>
                <w:vertAlign w:val="superscript"/>
              </w:rPr>
            </w:pPr>
            <w:r w:rsidRPr="006E7943">
              <w:rPr>
                <w:b/>
                <w:bCs/>
                <w:i/>
                <w:iCs/>
              </w:rPr>
              <w:t>GIP</w:t>
            </w:r>
            <w:r w:rsidRPr="00442D4C" w:rsidR="00E9026E">
              <w:rPr>
                <w:b/>
                <w:bCs/>
                <w:i/>
                <w:iCs/>
                <w:vertAlign w:val="superscript"/>
              </w:rPr>
              <w:t>1)</w:t>
            </w:r>
          </w:p>
        </w:tc>
        <w:tc>
          <w:tcPr>
            <w:tcW w:w="2693" w:type="dxa"/>
          </w:tcPr>
          <w:p w:rsidRPr="00442D4C" w:rsidR="005A1243" w:rsidP="00BE02B0" w:rsidRDefault="005A1243" w14:paraId="59E2BC3D" w14:textId="112D1297">
            <w:pPr>
              <w:rPr>
                <w:b/>
                <w:bCs/>
                <w:i/>
                <w:iCs/>
                <w:vertAlign w:val="superscript"/>
              </w:rPr>
            </w:pPr>
            <w:r w:rsidRPr="006E7943">
              <w:rPr>
                <w:b/>
                <w:bCs/>
                <w:i/>
                <w:iCs/>
              </w:rPr>
              <w:t>Kifid</w:t>
            </w:r>
            <w:r w:rsidRPr="00442D4C" w:rsidR="00E9026E">
              <w:rPr>
                <w:b/>
                <w:bCs/>
                <w:i/>
                <w:iCs/>
                <w:vertAlign w:val="superscript"/>
              </w:rPr>
              <w:t>2)</w:t>
            </w:r>
          </w:p>
        </w:tc>
      </w:tr>
      <w:tr w:rsidRPr="006E7943" w:rsidR="006E7943" w:rsidTr="00442D4C" w14:paraId="0CED1EED" w14:textId="77777777">
        <w:trPr>
          <w:trHeight w:val="271"/>
        </w:trPr>
        <w:tc>
          <w:tcPr>
            <w:tcW w:w="2405" w:type="dxa"/>
          </w:tcPr>
          <w:p w:rsidRPr="006E7943" w:rsidR="005A1243" w:rsidP="00BE02B0" w:rsidRDefault="005A1243" w14:paraId="724D6B22" w14:textId="77777777">
            <w:pPr>
              <w:rPr>
                <w:i/>
                <w:iCs/>
              </w:rPr>
            </w:pPr>
            <w:r w:rsidRPr="006E7943">
              <w:rPr>
                <w:i/>
                <w:iCs/>
              </w:rPr>
              <w:t>Aantal geschillen</w:t>
            </w:r>
          </w:p>
        </w:tc>
        <w:tc>
          <w:tcPr>
            <w:tcW w:w="2268" w:type="dxa"/>
          </w:tcPr>
          <w:p w:rsidRPr="006E7943" w:rsidR="005A1243" w:rsidP="00BE02B0" w:rsidRDefault="005A1243" w14:paraId="1F13F3A9" w14:textId="77777777">
            <w:r w:rsidRPr="006E7943">
              <w:t>203</w:t>
            </w:r>
          </w:p>
        </w:tc>
        <w:tc>
          <w:tcPr>
            <w:tcW w:w="2693" w:type="dxa"/>
          </w:tcPr>
          <w:p w:rsidRPr="006E7943" w:rsidR="005A1243" w:rsidP="00BE02B0" w:rsidRDefault="005A1243" w14:paraId="5B775B0E" w14:textId="77777777">
            <w:r w:rsidRPr="006E7943">
              <w:t>40</w:t>
            </w:r>
          </w:p>
        </w:tc>
      </w:tr>
      <w:tr w:rsidRPr="006E7943" w:rsidR="006E7943" w:rsidTr="00442D4C" w14:paraId="7ADECFFC" w14:textId="77777777">
        <w:trPr>
          <w:trHeight w:val="287"/>
        </w:trPr>
        <w:tc>
          <w:tcPr>
            <w:tcW w:w="2405" w:type="dxa"/>
          </w:tcPr>
          <w:p w:rsidRPr="006E7943" w:rsidR="005A1243" w:rsidP="00BE02B0" w:rsidRDefault="005A1243" w14:paraId="7FC820B8" w14:textId="77777777">
            <w:pPr>
              <w:rPr>
                <w:i/>
                <w:iCs/>
              </w:rPr>
            </w:pPr>
            <w:r w:rsidRPr="006E7943">
              <w:rPr>
                <w:i/>
                <w:iCs/>
              </w:rPr>
              <w:t>Aard van de geschillen</w:t>
            </w:r>
          </w:p>
        </w:tc>
        <w:tc>
          <w:tcPr>
            <w:tcW w:w="2268" w:type="dxa"/>
          </w:tcPr>
          <w:p w:rsidRPr="006E7943" w:rsidR="005A1243" w:rsidP="00BE02B0" w:rsidRDefault="005A1243" w14:paraId="3B9C1CA5" w14:textId="77777777">
            <w:r w:rsidRPr="006E7943">
              <w:t>m.n. pensioenberekening en -betaling, toepassing wet- en regelgeving (algemeen) en informatieverstrekking</w:t>
            </w:r>
          </w:p>
        </w:tc>
        <w:tc>
          <w:tcPr>
            <w:tcW w:w="2693" w:type="dxa"/>
          </w:tcPr>
          <w:p w:rsidRPr="006E7943" w:rsidR="005A1243" w:rsidP="00BE02B0" w:rsidRDefault="005A1243" w14:paraId="6F03ABB2" w14:textId="77777777">
            <w:r w:rsidRPr="006E7943">
              <w:t xml:space="preserve">m.n. uitblijven van indexatie (meest voorkomend), </w:t>
            </w:r>
            <w:proofErr w:type="spellStart"/>
            <w:r w:rsidRPr="006E7943">
              <w:t>lifecycle</w:t>
            </w:r>
            <w:proofErr w:type="spellEnd"/>
            <w:r w:rsidRPr="006E7943">
              <w:t>-klachten, discussies/vragen over het (bijzonder) nabestaandenpensioen</w:t>
            </w:r>
          </w:p>
        </w:tc>
      </w:tr>
      <w:tr w:rsidRPr="006E7943" w:rsidR="006E7943" w:rsidTr="00442D4C" w14:paraId="306C60AF" w14:textId="77777777">
        <w:trPr>
          <w:trHeight w:val="271"/>
        </w:trPr>
        <w:tc>
          <w:tcPr>
            <w:tcW w:w="2405" w:type="dxa"/>
          </w:tcPr>
          <w:p w:rsidRPr="006E7943" w:rsidR="005A1243" w:rsidP="00BE02B0" w:rsidRDefault="005A1243" w14:paraId="50DDEE5B" w14:textId="77777777">
            <w:pPr>
              <w:rPr>
                <w:i/>
                <w:iCs/>
              </w:rPr>
            </w:pPr>
            <w:r w:rsidRPr="006E7943">
              <w:rPr>
                <w:i/>
                <w:iCs/>
              </w:rPr>
              <w:t>Percentage bemiddeling</w:t>
            </w:r>
          </w:p>
        </w:tc>
        <w:tc>
          <w:tcPr>
            <w:tcW w:w="2268" w:type="dxa"/>
          </w:tcPr>
          <w:p w:rsidRPr="006E7943" w:rsidR="005A1243" w:rsidP="00BE02B0" w:rsidRDefault="005A1243" w14:paraId="6D0E03FB" w14:textId="77777777">
            <w:r w:rsidRPr="006E7943">
              <w:t>70%</w:t>
            </w:r>
          </w:p>
        </w:tc>
        <w:tc>
          <w:tcPr>
            <w:tcW w:w="2693" w:type="dxa"/>
            <w:shd w:val="clear" w:color="auto" w:fill="D9D9D9" w:themeFill="background1" w:themeFillShade="D9"/>
          </w:tcPr>
          <w:p w:rsidRPr="006E7943" w:rsidR="005A1243" w:rsidP="00BE02B0" w:rsidRDefault="005A1243" w14:paraId="4DBB95BD" w14:textId="77777777"/>
        </w:tc>
      </w:tr>
      <w:tr w:rsidRPr="006E7943" w:rsidR="006E7943" w:rsidTr="00442D4C" w14:paraId="4CC572A9" w14:textId="77777777">
        <w:trPr>
          <w:trHeight w:val="287"/>
        </w:trPr>
        <w:tc>
          <w:tcPr>
            <w:tcW w:w="2405" w:type="dxa"/>
          </w:tcPr>
          <w:p w:rsidRPr="006E7943" w:rsidR="005A1243" w:rsidP="00BE02B0" w:rsidRDefault="005A1243" w14:paraId="48C5D810" w14:textId="77777777">
            <w:pPr>
              <w:rPr>
                <w:i/>
                <w:iCs/>
              </w:rPr>
            </w:pPr>
            <w:r w:rsidRPr="006E7943">
              <w:rPr>
                <w:i/>
                <w:iCs/>
              </w:rPr>
              <w:t>Percentage beslechting (direct)</w:t>
            </w:r>
          </w:p>
        </w:tc>
        <w:tc>
          <w:tcPr>
            <w:tcW w:w="2268" w:type="dxa"/>
          </w:tcPr>
          <w:p w:rsidRPr="006E7943" w:rsidR="005A1243" w:rsidP="00BE02B0" w:rsidRDefault="005A1243" w14:paraId="68FECA62" w14:textId="77777777">
            <w:r w:rsidRPr="006E7943">
              <w:t>30%</w:t>
            </w:r>
          </w:p>
        </w:tc>
        <w:tc>
          <w:tcPr>
            <w:tcW w:w="2693" w:type="dxa"/>
            <w:shd w:val="clear" w:color="auto" w:fill="D9D9D9" w:themeFill="background1" w:themeFillShade="D9"/>
          </w:tcPr>
          <w:p w:rsidRPr="006E7943" w:rsidR="005A1243" w:rsidP="00BE02B0" w:rsidRDefault="005A1243" w14:paraId="11A6F303" w14:textId="77777777"/>
        </w:tc>
      </w:tr>
      <w:tr w:rsidRPr="006E7943" w:rsidR="006E7943" w:rsidTr="00442D4C" w14:paraId="049BD826" w14:textId="77777777">
        <w:trPr>
          <w:trHeight w:val="271"/>
        </w:trPr>
        <w:tc>
          <w:tcPr>
            <w:tcW w:w="2405" w:type="dxa"/>
          </w:tcPr>
          <w:p w:rsidRPr="006E7943" w:rsidR="005A1243" w:rsidP="00BE02B0" w:rsidRDefault="005A1243" w14:paraId="4DCC9C8E" w14:textId="77777777">
            <w:pPr>
              <w:rPr>
                <w:i/>
                <w:iCs/>
              </w:rPr>
            </w:pPr>
            <w:r w:rsidRPr="006E7943">
              <w:rPr>
                <w:i/>
                <w:iCs/>
              </w:rPr>
              <w:t>Percentage binden/niet-bindend</w:t>
            </w:r>
          </w:p>
        </w:tc>
        <w:tc>
          <w:tcPr>
            <w:tcW w:w="2268" w:type="dxa"/>
          </w:tcPr>
          <w:p w:rsidRPr="006E7943" w:rsidR="005A1243" w:rsidP="00BE02B0" w:rsidRDefault="005A1243" w14:paraId="3D9EC149" w14:textId="77777777">
            <w:r w:rsidRPr="006E7943">
              <w:t>70% bindend</w:t>
            </w:r>
          </w:p>
          <w:p w:rsidRPr="006E7943" w:rsidR="005A1243" w:rsidP="00BE02B0" w:rsidRDefault="005A1243" w14:paraId="0E69F539" w14:textId="77777777">
            <w:r w:rsidRPr="006E7943">
              <w:t>30% niet-bindend</w:t>
            </w:r>
          </w:p>
        </w:tc>
        <w:tc>
          <w:tcPr>
            <w:tcW w:w="2693" w:type="dxa"/>
          </w:tcPr>
          <w:p w:rsidRPr="006E7943" w:rsidR="005A1243" w:rsidP="00BE02B0" w:rsidRDefault="005A1243" w14:paraId="11F14E2C" w14:textId="77777777">
            <w:r w:rsidRPr="006E7943">
              <w:t>47,5% bindend</w:t>
            </w:r>
          </w:p>
          <w:p w:rsidRPr="006E7943" w:rsidR="005A1243" w:rsidP="00BE02B0" w:rsidRDefault="005A1243" w14:paraId="7150A5E1" w14:textId="5346C289">
            <w:r w:rsidRPr="006E7943">
              <w:t>45</w:t>
            </w:r>
            <w:r w:rsidRPr="006E7943" w:rsidR="006E7943">
              <w:t>,0</w:t>
            </w:r>
            <w:r w:rsidRPr="006E7943">
              <w:t>% niet-bindend</w:t>
            </w:r>
          </w:p>
          <w:p w:rsidRPr="006E7943" w:rsidR="005A1243" w:rsidP="00BE02B0" w:rsidRDefault="005A1243" w14:paraId="3DF895E9" w14:textId="7BA80C47">
            <w:r w:rsidRPr="006E7943">
              <w:t>7,5% geen keuze</w:t>
            </w:r>
          </w:p>
        </w:tc>
      </w:tr>
      <w:tr w:rsidRPr="006E7943" w:rsidR="006E7943" w:rsidTr="00442D4C" w14:paraId="0E99CD42" w14:textId="77777777">
        <w:trPr>
          <w:trHeight w:val="271"/>
        </w:trPr>
        <w:tc>
          <w:tcPr>
            <w:tcW w:w="2405" w:type="dxa"/>
          </w:tcPr>
          <w:p w:rsidRPr="006E7943" w:rsidR="005A1243" w:rsidP="00BE02B0" w:rsidRDefault="005A1243" w14:paraId="69BFEEBD" w14:textId="77777777">
            <w:pPr>
              <w:rPr>
                <w:i/>
                <w:iCs/>
              </w:rPr>
            </w:pPr>
            <w:r w:rsidRPr="006E7943">
              <w:rPr>
                <w:i/>
                <w:iCs/>
              </w:rPr>
              <w:t>Doorlooptijden (in werkdagen)</w:t>
            </w:r>
          </w:p>
        </w:tc>
        <w:tc>
          <w:tcPr>
            <w:tcW w:w="2268" w:type="dxa"/>
          </w:tcPr>
          <w:p w:rsidRPr="006E7943" w:rsidR="005A1243" w:rsidP="00BE02B0" w:rsidRDefault="005A1243" w14:paraId="0336A6B3" w14:textId="77777777">
            <w:r w:rsidRPr="006E7943">
              <w:t>164</w:t>
            </w:r>
          </w:p>
        </w:tc>
        <w:tc>
          <w:tcPr>
            <w:tcW w:w="2693" w:type="dxa"/>
          </w:tcPr>
          <w:p w:rsidRPr="006E7943" w:rsidR="005A1243" w:rsidP="00BE02B0" w:rsidRDefault="005A1243" w14:paraId="62A5D2EE" w14:textId="77777777">
            <w:r w:rsidRPr="006E7943">
              <w:t>241</w:t>
            </w:r>
          </w:p>
        </w:tc>
      </w:tr>
    </w:tbl>
    <w:p w:rsidRPr="00E9026E" w:rsidR="005A1243" w:rsidP="00BE02B0" w:rsidRDefault="00E9026E" w14:paraId="41F20E29" w14:textId="12564F45">
      <w:pPr>
        <w:rPr>
          <w:sz w:val="16"/>
          <w:szCs w:val="16"/>
        </w:rPr>
      </w:pPr>
      <w:r w:rsidRPr="00E9026E">
        <w:rPr>
          <w:sz w:val="16"/>
          <w:szCs w:val="16"/>
        </w:rPr>
        <w:t xml:space="preserve">1) </w:t>
      </w:r>
      <w:r w:rsidRPr="00E9026E" w:rsidR="005A1243">
        <w:rPr>
          <w:sz w:val="16"/>
          <w:szCs w:val="16"/>
        </w:rPr>
        <w:t xml:space="preserve">De meting liep van 1 januari 2026 tot 30 april 2026. </w:t>
      </w:r>
      <w:r w:rsidRPr="00E9026E" w:rsidR="005A1243">
        <w:rPr>
          <w:sz w:val="16"/>
          <w:szCs w:val="16"/>
        </w:rPr>
        <w:br/>
      </w:r>
      <w:r w:rsidRPr="00E9026E">
        <w:rPr>
          <w:sz w:val="16"/>
          <w:szCs w:val="16"/>
        </w:rPr>
        <w:t xml:space="preserve">2) </w:t>
      </w:r>
      <w:r w:rsidRPr="00E9026E" w:rsidR="005A1243">
        <w:rPr>
          <w:sz w:val="16"/>
          <w:szCs w:val="16"/>
        </w:rPr>
        <w:t>De meting liep van 1 december 2025 tot 1 juni 2026.</w:t>
      </w:r>
    </w:p>
    <w:p w:rsidR="005A1243" w:rsidP="00BE02B0" w:rsidRDefault="005A1243" w14:paraId="038A3096" w14:textId="77777777">
      <w:pPr>
        <w:rPr>
          <w:i/>
          <w:iCs/>
        </w:rPr>
      </w:pPr>
    </w:p>
    <w:p w:rsidRPr="002E2366" w:rsidR="0078218D" w:rsidP="00BE02B0" w:rsidRDefault="0078218D" w14:paraId="46373BDE" w14:textId="61D77788">
      <w:pPr>
        <w:rPr>
          <w:b/>
        </w:rPr>
      </w:pPr>
      <w:r w:rsidRPr="002E2366">
        <w:rPr>
          <w:b/>
          <w:bCs/>
        </w:rPr>
        <w:t>5.</w:t>
      </w:r>
      <w:r w:rsidRPr="002E2366" w:rsidR="000A63D5">
        <w:rPr>
          <w:b/>
          <w:bCs/>
        </w:rPr>
        <w:t>5</w:t>
      </w:r>
      <w:r w:rsidRPr="002E2366">
        <w:rPr>
          <w:b/>
        </w:rPr>
        <w:t xml:space="preserve"> De Nationale Enquête Arbeidsomstandigheden (NEA)</w:t>
      </w:r>
    </w:p>
    <w:p w:rsidRPr="00657D5B" w:rsidR="0078218D" w:rsidP="00BE02B0" w:rsidRDefault="00047606" w14:paraId="500098E0" w14:textId="101D43BF">
      <w:pPr>
        <w:spacing w:after="240"/>
        <w:rPr>
          <w:color w:val="000000" w:themeColor="text1"/>
        </w:rPr>
      </w:pPr>
      <w:r w:rsidRPr="00657D5B">
        <w:rPr>
          <w:color w:val="000000" w:themeColor="text1"/>
        </w:rPr>
        <w:t>In samenwerking met het CBS heeft TNO d</w:t>
      </w:r>
      <w:r w:rsidRPr="00657D5B" w:rsidR="0078218D">
        <w:rPr>
          <w:color w:val="000000" w:themeColor="text1"/>
        </w:rPr>
        <w:t xml:space="preserve">e NEA over </w:t>
      </w:r>
      <w:r w:rsidRPr="00657D5B">
        <w:rPr>
          <w:color w:val="000000" w:themeColor="text1"/>
        </w:rPr>
        <w:t>2025 uitgevoerd.</w:t>
      </w:r>
      <w:r w:rsidRPr="00657D5B" w:rsidR="0078218D">
        <w:rPr>
          <w:rStyle w:val="Voetnootmarkering"/>
          <w:color w:val="000000" w:themeColor="text1"/>
        </w:rPr>
        <w:footnoteReference w:id="44"/>
      </w:r>
      <w:r w:rsidRPr="00657D5B" w:rsidR="0078218D">
        <w:rPr>
          <w:color w:val="000000" w:themeColor="text1"/>
        </w:rPr>
        <w:t xml:space="preserve"> Uit deze enquête blijkt dat </w:t>
      </w:r>
      <w:r w:rsidRPr="00653A8F">
        <w:rPr>
          <w:color w:val="000000" w:themeColor="text1"/>
        </w:rPr>
        <w:t>97</w:t>
      </w:r>
      <w:r w:rsidRPr="00657D5B">
        <w:rPr>
          <w:color w:val="000000" w:themeColor="text1"/>
        </w:rPr>
        <w:t>% van de werknemers het (heel) belangrijk vindt dat er een pensioenregeling bestaat</w:t>
      </w:r>
      <w:r w:rsidRPr="00657D5B" w:rsidR="00657D5B">
        <w:rPr>
          <w:color w:val="000000" w:themeColor="text1"/>
        </w:rPr>
        <w:t xml:space="preserve">. </w:t>
      </w:r>
      <w:r w:rsidR="00381CF1">
        <w:rPr>
          <w:color w:val="000000" w:themeColor="text1"/>
        </w:rPr>
        <w:t xml:space="preserve">Daarnaast is </w:t>
      </w:r>
      <w:r w:rsidRPr="00653A8F" w:rsidR="00657D5B">
        <w:rPr>
          <w:color w:val="000000" w:themeColor="text1"/>
        </w:rPr>
        <w:t>86</w:t>
      </w:r>
      <w:r w:rsidRPr="00657D5B" w:rsidR="00657D5B">
        <w:rPr>
          <w:color w:val="000000" w:themeColor="text1"/>
        </w:rPr>
        <w:t xml:space="preserve">% </w:t>
      </w:r>
      <w:r w:rsidRPr="00657D5B" w:rsidR="0078218D">
        <w:rPr>
          <w:color w:val="000000" w:themeColor="text1"/>
        </w:rPr>
        <w:t>van de werknemers (heel) tevreden over de pensioenregeling.</w:t>
      </w:r>
      <w:r w:rsidRPr="00657D5B" w:rsidR="00657D5B">
        <w:rPr>
          <w:color w:val="000000" w:themeColor="text1"/>
        </w:rPr>
        <w:t xml:space="preserve"> Een pensioenregeling in de tweede pijler wordt veelal overeengekomen door de sociale partners of in overleg tussen de werkgever en de OR of personeelsvertegenwoordiging. Uit</w:t>
      </w:r>
      <w:r w:rsidRPr="00657D5B" w:rsidR="0078218D">
        <w:rPr>
          <w:color w:val="000000" w:themeColor="text1"/>
        </w:rPr>
        <w:t xml:space="preserve"> de NEA </w:t>
      </w:r>
      <w:r w:rsidRPr="00657D5B" w:rsidR="00657D5B">
        <w:rPr>
          <w:color w:val="000000" w:themeColor="text1"/>
        </w:rPr>
        <w:t xml:space="preserve">blijkt dat </w:t>
      </w:r>
      <w:r w:rsidRPr="00653A8F" w:rsidR="0078218D">
        <w:rPr>
          <w:color w:val="000000" w:themeColor="text1"/>
        </w:rPr>
        <w:t>83%</w:t>
      </w:r>
      <w:r w:rsidRPr="00657D5B" w:rsidR="0078218D">
        <w:rPr>
          <w:color w:val="000000" w:themeColor="text1"/>
        </w:rPr>
        <w:t xml:space="preserve"> van de werknemers (heel) tevreden is over de vertegenwoordiging door de vakbonden en </w:t>
      </w:r>
      <w:r w:rsidRPr="00653A8F" w:rsidR="0078218D">
        <w:rPr>
          <w:color w:val="000000" w:themeColor="text1"/>
        </w:rPr>
        <w:t>8</w:t>
      </w:r>
      <w:r w:rsidRPr="00653A8F" w:rsidR="00657D5B">
        <w:rPr>
          <w:color w:val="000000" w:themeColor="text1"/>
        </w:rPr>
        <w:t>2</w:t>
      </w:r>
      <w:r w:rsidRPr="00657D5B" w:rsidR="0078218D">
        <w:rPr>
          <w:color w:val="000000" w:themeColor="text1"/>
        </w:rPr>
        <w:t xml:space="preserve">% van de werknemers (heel) tevreden is over </w:t>
      </w:r>
      <w:r w:rsidRPr="00657D5B" w:rsidR="00657D5B">
        <w:rPr>
          <w:color w:val="000000" w:themeColor="text1"/>
        </w:rPr>
        <w:t>personeelsvertegenwoordigingen zoals</w:t>
      </w:r>
      <w:r w:rsidRPr="00657D5B" w:rsidR="0078218D">
        <w:rPr>
          <w:color w:val="000000" w:themeColor="text1"/>
        </w:rPr>
        <w:t xml:space="preserve"> de ondernemingsraad</w:t>
      </w:r>
      <w:r w:rsidRPr="00657D5B" w:rsidR="00657D5B">
        <w:rPr>
          <w:color w:val="000000" w:themeColor="text1"/>
        </w:rPr>
        <w:t xml:space="preserve"> of de </w:t>
      </w:r>
      <w:r w:rsidRPr="00657D5B" w:rsidR="0078218D">
        <w:rPr>
          <w:color w:val="000000" w:themeColor="text1"/>
        </w:rPr>
        <w:t xml:space="preserve">medezeggenschapsraad. </w:t>
      </w:r>
      <w:r w:rsidR="00DF2906">
        <w:rPr>
          <w:color w:val="000000" w:themeColor="text1"/>
        </w:rPr>
        <w:t>Hierbij gaat het dus zowel om werknemers die zelf lid zijn van een vakbond als niet-leden.</w:t>
      </w:r>
    </w:p>
    <w:p w:rsidRPr="00D62EEC" w:rsidR="0078218D" w:rsidP="00BE02B0" w:rsidRDefault="0078218D" w14:paraId="441045DD" w14:textId="5165605F">
      <w:pPr>
        <w:rPr>
          <w:b/>
          <w:bCs/>
        </w:rPr>
      </w:pPr>
      <w:r w:rsidRPr="00D62EEC">
        <w:rPr>
          <w:b/>
          <w:bCs/>
        </w:rPr>
        <w:t xml:space="preserve">6. Stand van zaken (voorgenomen) wet- en regelgeving </w:t>
      </w:r>
    </w:p>
    <w:p w:rsidR="0078218D" w:rsidP="00BE02B0" w:rsidRDefault="00071352" w14:paraId="3F54FCD6" w14:textId="6CA34A69">
      <w:r>
        <w:t xml:space="preserve">Dit hoofdstuk biedt een </w:t>
      </w:r>
      <w:r w:rsidRPr="00071352">
        <w:t>overzicht van de stand van zaken van de lopende</w:t>
      </w:r>
      <w:r>
        <w:t xml:space="preserve"> en de sinds de vorige voortgangsrapportage afgeronde</w:t>
      </w:r>
      <w:r w:rsidRPr="00071352">
        <w:t xml:space="preserve"> wet- en regelgevingstrajecten</w:t>
      </w:r>
      <w:r>
        <w:t xml:space="preserve">. </w:t>
      </w:r>
      <w:r>
        <w:lastRenderedPageBreak/>
        <w:t xml:space="preserve">De stand van zaken voor wat betreft de aan de </w:t>
      </w:r>
      <w:proofErr w:type="spellStart"/>
      <w:r>
        <w:t>Wtp</w:t>
      </w:r>
      <w:proofErr w:type="spellEnd"/>
      <w:r>
        <w:t xml:space="preserve"> gerelateerde </w:t>
      </w:r>
      <w:r w:rsidRPr="00071352">
        <w:t>moties en toezeggingen</w:t>
      </w:r>
      <w:r>
        <w:t xml:space="preserve"> is in de aansluitende bijlage bij deze rapportage te vinden. </w:t>
      </w:r>
    </w:p>
    <w:p w:rsidR="00071352" w:rsidP="00BE02B0" w:rsidRDefault="00071352" w14:paraId="629D07F8" w14:textId="77777777"/>
    <w:p w:rsidR="002F60AB" w:rsidP="00BE02B0" w:rsidRDefault="002F60AB" w14:paraId="6F660E24" w14:textId="09277404">
      <w:pPr>
        <w:rPr>
          <w:i/>
          <w:iCs/>
        </w:rPr>
      </w:pPr>
      <w:bookmarkStart w:name="_Hlk229496518" w:id="16"/>
      <w:r>
        <w:rPr>
          <w:i/>
          <w:iCs/>
        </w:rPr>
        <w:t xml:space="preserve">Performancetoets </w:t>
      </w:r>
    </w:p>
    <w:bookmarkEnd w:id="16"/>
    <w:p w:rsidRPr="00BB38E6" w:rsidR="00BB38E6" w:rsidP="00BE02B0" w:rsidRDefault="00BB38E6" w14:paraId="52FD8E9C" w14:textId="2820485C">
      <w:r w:rsidRPr="00BB38E6">
        <w:t xml:space="preserve">Indien er sprake is van onvoldoende beleggingsrendement kan een bedrijfstakpensioenfonds op grond van het Vrijstellings- en boetebesluit </w:t>
      </w:r>
      <w:r w:rsidRPr="005672F3" w:rsidR="005672F3">
        <w:t xml:space="preserve">Wet </w:t>
      </w:r>
      <w:proofErr w:type="spellStart"/>
      <w:r w:rsidRPr="005672F3" w:rsidR="005672F3">
        <w:t>Bpf</w:t>
      </w:r>
      <w:proofErr w:type="spellEnd"/>
      <w:r w:rsidRPr="005672F3" w:rsidR="005672F3">
        <w:t xml:space="preserve"> 2000 </w:t>
      </w:r>
      <w:r w:rsidRPr="00BB38E6">
        <w:t xml:space="preserve">een werkgever, als deze daarom verzoekt, vrijstelling verlenen van de verplichtstelling aan dat bedrijfstakpensioenfonds. Of hier sprake van is, wordt bepaald aan de hand van de performancetoets. Op 9 april 2026 is </w:t>
      </w:r>
      <w:r w:rsidRPr="00AE4CEA" w:rsidR="00AE4CEA">
        <w:t xml:space="preserve">een wijziging van </w:t>
      </w:r>
      <w:r w:rsidRPr="00BB38E6">
        <w:t xml:space="preserve">de bij het Vrijstellings- en boetebesluit </w:t>
      </w:r>
      <w:r w:rsidRPr="00AE4CEA" w:rsidR="00AE4CEA">
        <w:t xml:space="preserve">Wet </w:t>
      </w:r>
      <w:proofErr w:type="spellStart"/>
      <w:r w:rsidRPr="00AE4CEA" w:rsidR="00AE4CEA">
        <w:t>Bpf</w:t>
      </w:r>
      <w:proofErr w:type="spellEnd"/>
      <w:r w:rsidRPr="00AE4CEA" w:rsidR="00AE4CEA">
        <w:t xml:space="preserve"> 2000 </w:t>
      </w:r>
      <w:r w:rsidRPr="00BB38E6">
        <w:t xml:space="preserve">behorende Regeling vrijstellingen Wet </w:t>
      </w:r>
      <w:proofErr w:type="spellStart"/>
      <w:r w:rsidRPr="00BB38E6">
        <w:t>Bpf</w:t>
      </w:r>
      <w:proofErr w:type="spellEnd"/>
      <w:r w:rsidRPr="00BB38E6">
        <w:t xml:space="preserve"> 2000 in verband met actualisatie van de performancetoets gepubliceerd in de Staatscourant</w:t>
      </w:r>
      <w:r w:rsidR="00B942EC">
        <w:t>.</w:t>
      </w:r>
      <w:r w:rsidR="007F16C4">
        <w:rPr>
          <w:rStyle w:val="Voetnootmarkering"/>
        </w:rPr>
        <w:footnoteReference w:id="45"/>
      </w:r>
      <w:r w:rsidRPr="00BB38E6">
        <w:t xml:space="preserve"> Met deze </w:t>
      </w:r>
      <w:r w:rsidRPr="00AE4CEA" w:rsidR="00AE4CEA">
        <w:t>wijzigings</w:t>
      </w:r>
      <w:r w:rsidRPr="00BB38E6">
        <w:t>regeling wordt een herziening van de performancetoets ingevoerd. Deze zie</w:t>
      </w:r>
      <w:r>
        <w:t>t</w:t>
      </w:r>
      <w:r w:rsidRPr="00BB38E6">
        <w:t xml:space="preserve"> op het actualiseren van de berekeningen van </w:t>
      </w:r>
      <w:r w:rsidR="00AE4CEA">
        <w:t xml:space="preserve">de </w:t>
      </w:r>
      <w:r w:rsidRPr="00BB38E6">
        <w:t xml:space="preserve">beleggingsperformance van bedrijfstakpensioenfondsen, zodat deze beter aansluiten bij de praktijk van beleggingen met de Wet toekomst pensioenen. De wijzigingsregeling zal op 1 januari 2028 in werking treden. Tot die tijd blijft de huidige performancetoets gelden. </w:t>
      </w:r>
    </w:p>
    <w:p w:rsidRPr="00071352" w:rsidR="00BB38E6" w:rsidP="00BE02B0" w:rsidRDefault="00BB38E6" w14:paraId="2A506872" w14:textId="77777777"/>
    <w:p w:rsidR="00071352" w:rsidP="00BE02B0" w:rsidRDefault="00071352" w14:paraId="121DC568" w14:textId="499A7413">
      <w:r w:rsidRPr="00071352">
        <w:rPr>
          <w:i/>
          <w:iCs/>
        </w:rPr>
        <w:t>T</w:t>
      </w:r>
      <w:r w:rsidRPr="002F60AB" w:rsidR="002F60AB">
        <w:rPr>
          <w:i/>
          <w:iCs/>
        </w:rPr>
        <w:t>oezeggingenwet</w:t>
      </w:r>
      <w:r w:rsidRPr="002F60AB" w:rsidR="002F60AB">
        <w:t xml:space="preserve"> </w:t>
      </w:r>
    </w:p>
    <w:p w:rsidRPr="002F60AB" w:rsidR="002F60AB" w:rsidP="00BE02B0" w:rsidRDefault="007F16C4" w14:paraId="6267453A" w14:textId="7CDD86CD">
      <w:r>
        <w:t xml:space="preserve">Het wetsvoorstel </w:t>
      </w:r>
      <w:r w:rsidR="00071352">
        <w:t xml:space="preserve">toezeggingen </w:t>
      </w:r>
      <w:proofErr w:type="spellStart"/>
      <w:r>
        <w:t>Wtp</w:t>
      </w:r>
      <w:proofErr w:type="spellEnd"/>
      <w:r>
        <w:t xml:space="preserve"> en andere pensioenonderwerpen </w:t>
      </w:r>
      <w:r w:rsidR="0092676D">
        <w:t>(hierna: de toezeggingenwet)</w:t>
      </w:r>
      <w:r>
        <w:t xml:space="preserve"> </w:t>
      </w:r>
      <w:r w:rsidR="00071352">
        <w:t xml:space="preserve">is op </w:t>
      </w:r>
      <w:r w:rsidR="00112545">
        <w:t>1</w:t>
      </w:r>
      <w:r>
        <w:t xml:space="preserve"> juni 2026 </w:t>
      </w:r>
      <w:r w:rsidR="00071352">
        <w:t>aan de Tweede Kamer aangeboden ter behandeling</w:t>
      </w:r>
      <w:r>
        <w:t>.</w:t>
      </w:r>
      <w:r w:rsidR="00071352">
        <w:t xml:space="preserve"> </w:t>
      </w:r>
      <w:r w:rsidR="00AE4CEA">
        <w:t>H</w:t>
      </w:r>
      <w:r w:rsidRPr="002F60AB" w:rsidR="002F60AB">
        <w:t xml:space="preserve">et </w:t>
      </w:r>
      <w:r w:rsidR="0092676D">
        <w:t>onderliggende</w:t>
      </w:r>
      <w:r w:rsidR="00071352">
        <w:t xml:space="preserve"> </w:t>
      </w:r>
      <w:r w:rsidRPr="002F60AB" w:rsidR="002F60AB">
        <w:t xml:space="preserve">toezeggingenbesluit is </w:t>
      </w:r>
      <w:r w:rsidR="00071352">
        <w:t>voor internetconsul</w:t>
      </w:r>
      <w:r w:rsidR="00C70707">
        <w:t>t</w:t>
      </w:r>
      <w:r w:rsidR="00071352">
        <w:t xml:space="preserve">atie </w:t>
      </w:r>
      <w:r w:rsidR="006940D7">
        <w:t>gepubliceerd</w:t>
      </w:r>
      <w:r w:rsidRPr="002F60AB" w:rsidR="002F60AB">
        <w:t>.</w:t>
      </w:r>
      <w:r w:rsidR="006940D7">
        <w:rPr>
          <w:rStyle w:val="Voetnootmarkering"/>
        </w:rPr>
        <w:footnoteReference w:id="46"/>
      </w:r>
      <w:r w:rsidR="00071352">
        <w:t xml:space="preserve"> </w:t>
      </w:r>
      <w:r w:rsidR="0092676D">
        <w:t xml:space="preserve">In het onderliggende besluit </w:t>
      </w:r>
      <w:r w:rsidRPr="00A70B6F" w:rsidR="00A70B6F">
        <w:t>wordt invulling gegeven aan hoe er gecommuniceerd moet worden over vrijwillige voortzetting van het wezenpensioen</w:t>
      </w:r>
      <w:r w:rsidR="00112545">
        <w:t>,</w:t>
      </w:r>
      <w:r w:rsidRPr="00A70B6F" w:rsidR="00A70B6F">
        <w:t xml:space="preserve"> de gelijke aanpassingen in de flexibele premieregeling</w:t>
      </w:r>
      <w:r w:rsidR="00112545">
        <w:t xml:space="preserve"> en gelijke aanpassingen voor het nabestaandenpensioen in de solidaire- of flexibele premieregeling</w:t>
      </w:r>
      <w:r w:rsidRPr="00A70B6F" w:rsidR="00A70B6F">
        <w:t>.</w:t>
      </w:r>
      <w:r w:rsidR="0092676D">
        <w:t xml:space="preserve"> </w:t>
      </w:r>
      <w:r w:rsidR="00071352">
        <w:t>De internetconsul</w:t>
      </w:r>
      <w:r w:rsidR="00C70707">
        <w:t>t</w:t>
      </w:r>
      <w:r w:rsidR="00071352">
        <w:t xml:space="preserve">atie </w:t>
      </w:r>
      <w:r w:rsidRPr="00B942EC" w:rsidR="00071352">
        <w:t>loopt</w:t>
      </w:r>
      <w:r w:rsidR="00071352">
        <w:t xml:space="preserve"> van </w:t>
      </w:r>
      <w:r>
        <w:t xml:space="preserve">8 juni </w:t>
      </w:r>
      <w:r w:rsidR="00071352">
        <w:t xml:space="preserve">tot </w:t>
      </w:r>
      <w:bookmarkStart w:name="_Hlk232429045" w:id="17"/>
      <w:r>
        <w:t>19 ju</w:t>
      </w:r>
      <w:r w:rsidR="00B942EC">
        <w:t>l</w:t>
      </w:r>
      <w:r>
        <w:t>i 2026</w:t>
      </w:r>
      <w:bookmarkEnd w:id="17"/>
      <w:r w:rsidR="00071352">
        <w:t xml:space="preserve">. De </w:t>
      </w:r>
      <w:r>
        <w:t>beoogde</w:t>
      </w:r>
      <w:r w:rsidRPr="002F60AB">
        <w:t xml:space="preserve"> </w:t>
      </w:r>
      <w:r w:rsidRPr="002F60AB" w:rsidR="002F60AB">
        <w:t xml:space="preserve">inwerkingtreding </w:t>
      </w:r>
      <w:r w:rsidR="00071352">
        <w:t xml:space="preserve">van zowel de toezeggingenwet als het </w:t>
      </w:r>
      <w:r w:rsidR="00A70B6F">
        <w:t>onderliggende</w:t>
      </w:r>
      <w:r w:rsidR="00071352">
        <w:t xml:space="preserve"> besluit is 1 </w:t>
      </w:r>
      <w:r>
        <w:t xml:space="preserve">januari </w:t>
      </w:r>
      <w:r w:rsidRPr="002F60AB" w:rsidR="002F60AB">
        <w:t>2027</w:t>
      </w:r>
      <w:r w:rsidR="00B942EC">
        <w:t>.</w:t>
      </w:r>
    </w:p>
    <w:p w:rsidRPr="002F60AB" w:rsidR="002F60AB" w:rsidP="00BE02B0" w:rsidRDefault="002F60AB" w14:paraId="2ED7A3DA" w14:textId="77777777"/>
    <w:p w:rsidR="00E863BA" w:rsidP="004C2D73" w:rsidRDefault="00E020C9" w14:paraId="5FCCBD34" w14:textId="77777777">
      <w:pPr>
        <w:rPr>
          <w:rFonts w:cs="Calibri"/>
          <w:i/>
        </w:rPr>
      </w:pPr>
      <w:r w:rsidRPr="005C1BAB">
        <w:rPr>
          <w:rFonts w:cs="Calibri"/>
          <w:i/>
        </w:rPr>
        <w:t>Wetsvoorstel pensioenverdeling bij scheiding</w:t>
      </w:r>
    </w:p>
    <w:p w:rsidR="00E020C9" w:rsidP="004C2D73" w:rsidRDefault="00E020C9" w14:paraId="0D2DD054" w14:textId="1CC229DD">
      <w:pPr>
        <w:rPr>
          <w:rFonts w:cs="Calibri"/>
        </w:rPr>
      </w:pPr>
      <w:r w:rsidRPr="005C1BAB">
        <w:rPr>
          <w:rFonts w:cs="Calibri"/>
        </w:rPr>
        <w:t>Met het Wetsvoorstel pensioenverdeling bij scheiding (WPS) word</w:t>
      </w:r>
      <w:r w:rsidR="00E863BA">
        <w:rPr>
          <w:rFonts w:cs="Calibri"/>
        </w:rPr>
        <w:t>t</w:t>
      </w:r>
      <w:r w:rsidRPr="005C1BAB">
        <w:rPr>
          <w:rFonts w:cs="Calibri"/>
        </w:rPr>
        <w:t xml:space="preserve"> de opzet van de wettelijke regels voor pensioenverdeling bij scheiding verbeterd. Bovendien wordt de wet vernieuwd om te kunnen voldoen aan de eisen van de huidige tijd. In de verzamelbrief pensioenonderwerpen is uw Kamer </w:t>
      </w:r>
      <w:r w:rsidRPr="005C1BAB" w:rsidR="00FE3B67">
        <w:rPr>
          <w:rFonts w:cs="Calibri"/>
        </w:rPr>
        <w:t>geïnformeerd</w:t>
      </w:r>
      <w:r w:rsidRPr="005C1BAB">
        <w:rPr>
          <w:rFonts w:cs="Calibri"/>
        </w:rPr>
        <w:t xml:space="preserve"> over de stand van zaken ten aanzien van dit wetsvoorstel.</w:t>
      </w:r>
      <w:r w:rsidRPr="005C1BAB">
        <w:rPr>
          <w:rStyle w:val="Voetnootmarkering"/>
          <w:rFonts w:cs="Calibri"/>
        </w:rPr>
        <w:footnoteReference w:id="47"/>
      </w:r>
      <w:r w:rsidRPr="005C1BAB">
        <w:rPr>
          <w:rFonts w:cs="Calibri"/>
        </w:rPr>
        <w:t xml:space="preserve"> Zoals in d</w:t>
      </w:r>
      <w:r w:rsidR="00E863BA">
        <w:rPr>
          <w:rFonts w:cs="Calibri"/>
        </w:rPr>
        <w:t>e hiervoor genoemde</w:t>
      </w:r>
      <w:r w:rsidRPr="005C1BAB">
        <w:rPr>
          <w:rFonts w:cs="Calibri"/>
        </w:rPr>
        <w:t xml:space="preserve"> brief aangegeven, zal de derde nota van wijziging naar verwachting begin 2027 ter internetconsultatie worden aangeboden. Na afronding van de internetconsultatie en de toezichttoetsen zal </w:t>
      </w:r>
      <w:r w:rsidR="00E863BA">
        <w:rPr>
          <w:rFonts w:cs="Calibri"/>
        </w:rPr>
        <w:t>de derde nota van wijziging</w:t>
      </w:r>
      <w:r w:rsidRPr="005C1BAB">
        <w:rPr>
          <w:rFonts w:cs="Calibri"/>
        </w:rPr>
        <w:t xml:space="preserve"> worden voorgelegd ter advisering aan de Raad van State</w:t>
      </w:r>
      <w:r w:rsidR="00E863BA">
        <w:rPr>
          <w:rFonts w:cs="Calibri"/>
        </w:rPr>
        <w:t xml:space="preserve"> en vervolgens bij uw Kamer worden ingediend.</w:t>
      </w:r>
      <w:r w:rsidRPr="005C1BAB">
        <w:rPr>
          <w:rFonts w:cs="Calibri"/>
        </w:rPr>
        <w:t xml:space="preserve"> </w:t>
      </w:r>
    </w:p>
    <w:p w:rsidRPr="00D76B1B" w:rsidR="00E863BA" w:rsidP="004C2D73" w:rsidRDefault="00E863BA" w14:paraId="18C597A8" w14:textId="77777777">
      <w:pPr>
        <w:rPr>
          <w:rFonts w:cs="Calibri"/>
          <w:i/>
          <w:iCs/>
        </w:rPr>
      </w:pPr>
    </w:p>
    <w:p w:rsidRPr="00D76B1B" w:rsidR="00D76B1B" w:rsidP="004C2D73" w:rsidRDefault="00D76B1B" w14:paraId="329F600E" w14:textId="2AF8BF90">
      <w:pPr>
        <w:rPr>
          <w:rFonts w:cs="Calibri"/>
          <w:i/>
          <w:iCs/>
        </w:rPr>
      </w:pPr>
      <w:r w:rsidRPr="00D76B1B">
        <w:rPr>
          <w:rFonts w:cs="Calibri"/>
          <w:i/>
          <w:iCs/>
        </w:rPr>
        <w:t>Wet herziening bedrag ineens</w:t>
      </w:r>
    </w:p>
    <w:p w:rsidRPr="00D76B1B" w:rsidR="00124E10" w:rsidP="004C2D73" w:rsidRDefault="00D76B1B" w14:paraId="2D93C94A" w14:textId="71658E72">
      <w:pPr>
        <w:rPr>
          <w:rFonts w:cs="Calibri"/>
        </w:rPr>
      </w:pPr>
      <w:r w:rsidRPr="00D76B1B">
        <w:rPr>
          <w:rFonts w:cs="Calibri"/>
        </w:rPr>
        <w:t>De wet herziening bedrag ineens heeft als doel mensen meer keuzevrijheid te geven bij het benutten van hun pensioen, door het mogelijk te maken dat mensen bij pensionering maximaal 10% van hun pensioen in één keer kunnen opnemen als bedrag ineens.</w:t>
      </w:r>
      <w:r w:rsidRPr="00D76B1B">
        <w:rPr>
          <w:rFonts w:cs="Noto Sans"/>
          <w:color w:val="0F172A"/>
        </w:rPr>
        <w:t xml:space="preserve"> </w:t>
      </w:r>
      <w:r w:rsidRPr="00D76B1B">
        <w:rPr>
          <w:rFonts w:cs="Calibri"/>
        </w:rPr>
        <w:t>Op 16 juni heeft de Eerste Kamer ingestemd met het wetsvoorstel Wet herziening bedrag ineens. De wet treedt per 1 januari 2029 in werking.</w:t>
      </w:r>
    </w:p>
    <w:p w:rsidR="00D76B1B" w:rsidP="004C2D73" w:rsidRDefault="00D76B1B" w14:paraId="1415A23C" w14:textId="77777777">
      <w:pPr>
        <w:rPr>
          <w:rFonts w:ascii="Calibri" w:hAnsi="Calibri" w:cs="Calibri"/>
          <w:i/>
          <w:iCs/>
          <w:sz w:val="22"/>
          <w:szCs w:val="22"/>
        </w:rPr>
      </w:pPr>
    </w:p>
    <w:p w:rsidRPr="00D62EEC" w:rsidR="0078218D" w:rsidP="00BE02B0" w:rsidRDefault="0078218D" w14:paraId="6A7407F8" w14:textId="41E7EAF1">
      <w:pPr>
        <w:rPr>
          <w:b/>
          <w:bCs/>
        </w:rPr>
      </w:pPr>
      <w:r w:rsidRPr="00D62EEC">
        <w:rPr>
          <w:b/>
          <w:bCs/>
        </w:rPr>
        <w:lastRenderedPageBreak/>
        <w:t>7. Afsluitend</w:t>
      </w:r>
      <w:r w:rsidR="005C7E8E">
        <w:rPr>
          <w:b/>
          <w:bCs/>
        </w:rPr>
        <w:t xml:space="preserve"> </w:t>
      </w:r>
    </w:p>
    <w:p w:rsidR="00642C4D" w:rsidP="00BE02B0" w:rsidRDefault="00642C4D" w14:paraId="51153492" w14:textId="7B3D0C25">
      <w:r w:rsidRPr="002D3E2F">
        <w:t xml:space="preserve">De transitie is een van de grootste stelselherzieningen van de afgelopen jaren en dient dan ook zorgvuldig te gebeuren. Het gaat immers om de pensioenen van </w:t>
      </w:r>
      <w:r w:rsidR="00220C86">
        <w:t>miljoenen</w:t>
      </w:r>
      <w:r w:rsidRPr="002D3E2F">
        <w:t xml:space="preserve"> Nederlanders. Bij de transitie blijven pensioendeelnemers van alle generaties samen deelnemen aan een pensioenregeling, waarbinnen </w:t>
      </w:r>
      <w:r w:rsidR="00220C86">
        <w:t xml:space="preserve">mee- en tegenvallers </w:t>
      </w:r>
      <w:r w:rsidRPr="002D3E2F">
        <w:t>onderling worden gedeeld. Zo behalen zij gezamenlijk voordeel uit het pensioencollectief.</w:t>
      </w:r>
    </w:p>
    <w:p w:rsidR="00642C4D" w:rsidP="00BE02B0" w:rsidRDefault="00642C4D" w14:paraId="46B9BCE6" w14:textId="77777777"/>
    <w:p w:rsidR="007A27B1" w:rsidP="00BE02B0" w:rsidRDefault="00A86328" w14:paraId="140E765F" w14:textId="268AB77D">
      <w:pPr>
        <w:pStyle w:val="Geenafstand"/>
        <w:spacing w:line="240" w:lineRule="atLeast"/>
        <w:rPr>
          <w:lang w:val="nl-NL"/>
        </w:rPr>
      </w:pPr>
      <w:r w:rsidRPr="00896C26">
        <w:rPr>
          <w:lang w:val="nl-NL"/>
        </w:rPr>
        <w:t xml:space="preserve">De transitie naar het nieuwe pensioenstelsel </w:t>
      </w:r>
      <w:r w:rsidR="00220C86">
        <w:rPr>
          <w:lang w:val="nl-NL"/>
        </w:rPr>
        <w:t xml:space="preserve">gaat over naar de laatste </w:t>
      </w:r>
      <w:r w:rsidRPr="00896C26">
        <w:rPr>
          <w:lang w:val="nl-NL"/>
        </w:rPr>
        <w:t xml:space="preserve">fase. </w:t>
      </w:r>
      <w:r w:rsidR="004224A1">
        <w:rPr>
          <w:lang w:val="nl-NL"/>
        </w:rPr>
        <w:t>Inmiddels bouwt m</w:t>
      </w:r>
      <w:r w:rsidR="00220C86">
        <w:rPr>
          <w:lang w:val="nl-NL"/>
        </w:rPr>
        <w:t xml:space="preserve">eer dan de helft van de Nederlanders </w:t>
      </w:r>
      <w:r w:rsidR="004224A1">
        <w:rPr>
          <w:lang w:val="nl-NL"/>
        </w:rPr>
        <w:t xml:space="preserve">pensioen op </w:t>
      </w:r>
      <w:r w:rsidR="00220C86">
        <w:rPr>
          <w:lang w:val="nl-NL"/>
        </w:rPr>
        <w:t xml:space="preserve">of krijgt pensioen volgens de nieuwe regels. En naar verwachting zal dat </w:t>
      </w:r>
      <w:r w:rsidR="00C627DC">
        <w:rPr>
          <w:lang w:val="nl-NL"/>
        </w:rPr>
        <w:t>percentage</w:t>
      </w:r>
      <w:r w:rsidR="00220C86">
        <w:rPr>
          <w:lang w:val="nl-NL"/>
        </w:rPr>
        <w:t xml:space="preserve"> binnen een halfjaar</w:t>
      </w:r>
      <w:r w:rsidR="004224A1">
        <w:rPr>
          <w:lang w:val="nl-NL"/>
        </w:rPr>
        <w:t xml:space="preserve"> toenemen tot </w:t>
      </w:r>
      <w:proofErr w:type="gramStart"/>
      <w:r w:rsidR="004224A1">
        <w:rPr>
          <w:lang w:val="nl-NL"/>
        </w:rPr>
        <w:t>circa</w:t>
      </w:r>
      <w:proofErr w:type="gramEnd"/>
      <w:r w:rsidR="004224A1">
        <w:rPr>
          <w:lang w:val="nl-NL"/>
        </w:rPr>
        <w:t xml:space="preserve"> 96%</w:t>
      </w:r>
      <w:r w:rsidR="00220C86">
        <w:rPr>
          <w:lang w:val="nl-NL"/>
        </w:rPr>
        <w:t>.</w:t>
      </w:r>
      <w:r w:rsidR="00A03F3A">
        <w:rPr>
          <w:rStyle w:val="Voetnootmarkering"/>
          <w:lang w:val="nl-NL"/>
        </w:rPr>
        <w:footnoteReference w:id="48"/>
      </w:r>
      <w:r w:rsidR="00220C86">
        <w:rPr>
          <w:lang w:val="nl-NL"/>
        </w:rPr>
        <w:t xml:space="preserve"> </w:t>
      </w:r>
      <w:r w:rsidRPr="00896C26">
        <w:rPr>
          <w:lang w:val="nl-NL"/>
        </w:rPr>
        <w:t>Dat betekent niet dat er achterover geleund kan worden</w:t>
      </w:r>
      <w:r w:rsidRPr="00896C26" w:rsidR="00896C26">
        <w:rPr>
          <w:lang w:val="nl-NL"/>
        </w:rPr>
        <w:t>. Er moet immers</w:t>
      </w:r>
      <w:r w:rsidRPr="00896C26" w:rsidR="00C5258F">
        <w:rPr>
          <w:lang w:val="nl-NL"/>
        </w:rPr>
        <w:t xml:space="preserve"> nog een groot aantal pensioenregelingen uitgevoerd door pensioenfondsen en contracten uitgevoerd door verzekeraars en </w:t>
      </w:r>
      <w:proofErr w:type="spellStart"/>
      <w:r w:rsidRPr="00896C26" w:rsidR="00C5258F">
        <w:rPr>
          <w:lang w:val="nl-NL"/>
        </w:rPr>
        <w:t>PPI’s</w:t>
      </w:r>
      <w:proofErr w:type="spellEnd"/>
      <w:r w:rsidRPr="00896C26" w:rsidR="00C5258F">
        <w:rPr>
          <w:lang w:val="nl-NL"/>
        </w:rPr>
        <w:t xml:space="preserve"> in de </w:t>
      </w:r>
      <w:r w:rsidRPr="00896C26" w:rsidR="00181219">
        <w:rPr>
          <w:lang w:val="nl-NL"/>
        </w:rPr>
        <w:t>komende anderhalf jaar</w:t>
      </w:r>
      <w:r w:rsidRPr="00896C26" w:rsidR="00C5258F">
        <w:rPr>
          <w:lang w:val="nl-NL"/>
        </w:rPr>
        <w:t xml:space="preserve"> worden ingevaren </w:t>
      </w:r>
      <w:r w:rsidR="00A14A9D">
        <w:rPr>
          <w:lang w:val="nl-NL"/>
        </w:rPr>
        <w:t>c.q.</w:t>
      </w:r>
      <w:r w:rsidRPr="00896C26" w:rsidR="00C5258F">
        <w:rPr>
          <w:lang w:val="nl-NL"/>
        </w:rPr>
        <w:t xml:space="preserve"> omgezet. Z</w:t>
      </w:r>
      <w:r w:rsidRPr="00896C26">
        <w:rPr>
          <w:lang w:val="nl-NL"/>
        </w:rPr>
        <w:t>orgvuldigheid en heldere communicatie richting deelnemers blijven</w:t>
      </w:r>
      <w:r w:rsidRPr="00896C26" w:rsidR="00181219">
        <w:rPr>
          <w:lang w:val="nl-NL"/>
        </w:rPr>
        <w:t xml:space="preserve"> daarbij</w:t>
      </w:r>
      <w:r w:rsidRPr="00896C26">
        <w:rPr>
          <w:lang w:val="nl-NL"/>
        </w:rPr>
        <w:t xml:space="preserve"> van groot belang</w:t>
      </w:r>
      <w:r w:rsidRPr="00896C26" w:rsidR="00181219">
        <w:rPr>
          <w:lang w:val="nl-NL"/>
        </w:rPr>
        <w:t xml:space="preserve">. </w:t>
      </w:r>
    </w:p>
    <w:p w:rsidR="007A27B1" w:rsidP="00BE02B0" w:rsidRDefault="007A27B1" w14:paraId="1A132895" w14:textId="77777777">
      <w:pPr>
        <w:pStyle w:val="Geenafstand"/>
        <w:spacing w:line="240" w:lineRule="atLeast"/>
        <w:rPr>
          <w:lang w:val="nl-NL"/>
        </w:rPr>
      </w:pPr>
    </w:p>
    <w:p w:rsidRPr="00896C26" w:rsidR="007F16C4" w:rsidP="00BE02B0" w:rsidRDefault="00C5258F" w14:paraId="6AC9AD96" w14:textId="6D433C4B">
      <w:pPr>
        <w:pStyle w:val="Geenafstand"/>
        <w:spacing w:line="240" w:lineRule="atLeast"/>
        <w:rPr>
          <w:lang w:val="nl-NL"/>
        </w:rPr>
      </w:pPr>
      <w:r w:rsidRPr="00896C26">
        <w:rPr>
          <w:lang w:val="nl-NL"/>
        </w:rPr>
        <w:t>De uiterste transitiedatum blijft</w:t>
      </w:r>
      <w:r w:rsidR="007A27B1">
        <w:rPr>
          <w:lang w:val="nl-NL"/>
        </w:rPr>
        <w:t>, in lijn met het advies van de regeringscommissaris,</w:t>
      </w:r>
      <w:r w:rsidRPr="00896C26">
        <w:rPr>
          <w:lang w:val="nl-NL"/>
        </w:rPr>
        <w:t xml:space="preserve"> staan op 1 januari 2028. </w:t>
      </w:r>
      <w:proofErr w:type="gramStart"/>
      <w:r w:rsidRPr="00896C26">
        <w:rPr>
          <w:lang w:val="nl-NL"/>
        </w:rPr>
        <w:t>Conform</w:t>
      </w:r>
      <w:proofErr w:type="gramEnd"/>
      <w:r w:rsidRPr="00896C26">
        <w:rPr>
          <w:lang w:val="nl-NL"/>
        </w:rPr>
        <w:t xml:space="preserve"> het plan van aanpak monitoring dat met uw Kamer is gedeeld, wordt de transitie ook de komende jaren gemonitord.</w:t>
      </w:r>
      <w:r w:rsidRPr="00896C26">
        <w:rPr>
          <w:rStyle w:val="Voetnootmarkering"/>
        </w:rPr>
        <w:footnoteReference w:id="49"/>
      </w:r>
      <w:r w:rsidRPr="00896C26">
        <w:rPr>
          <w:lang w:val="nl-NL"/>
        </w:rPr>
        <w:t xml:space="preserve"> Aan de hand van deze monitoringsinformatie </w:t>
      </w:r>
      <w:r w:rsidR="00380994">
        <w:rPr>
          <w:lang w:val="nl-NL"/>
        </w:rPr>
        <w:t xml:space="preserve">alsmede </w:t>
      </w:r>
      <w:r w:rsidR="00896C26">
        <w:rPr>
          <w:lang w:val="nl-NL"/>
        </w:rPr>
        <w:t xml:space="preserve">het </w:t>
      </w:r>
      <w:r w:rsidRPr="00896C26">
        <w:rPr>
          <w:lang w:val="nl-NL"/>
        </w:rPr>
        <w:t>advie</w:t>
      </w:r>
      <w:r w:rsidR="00896C26">
        <w:rPr>
          <w:lang w:val="nl-NL"/>
        </w:rPr>
        <w:t>s</w:t>
      </w:r>
      <w:r w:rsidRPr="00896C26">
        <w:rPr>
          <w:lang w:val="nl-NL"/>
        </w:rPr>
        <w:t xml:space="preserve"> van de regeringscommissaris bezie ik halfjaarlijks</w:t>
      </w:r>
      <w:bookmarkStart w:name="_Hlk233034735" w:id="18"/>
      <w:r w:rsidR="00445BD5">
        <w:rPr>
          <w:lang w:val="nl-NL"/>
        </w:rPr>
        <w:t>,</w:t>
      </w:r>
      <w:r w:rsidRPr="00896C26">
        <w:rPr>
          <w:lang w:val="nl-NL"/>
        </w:rPr>
        <w:t xml:space="preserve"> </w:t>
      </w:r>
      <w:r w:rsidR="00AB025A">
        <w:rPr>
          <w:lang w:val="nl-NL"/>
        </w:rPr>
        <w:t>na</w:t>
      </w:r>
      <w:r w:rsidR="00445BD5">
        <w:rPr>
          <w:lang w:val="nl-NL"/>
        </w:rPr>
        <w:t xml:space="preserve">dat </w:t>
      </w:r>
      <w:r w:rsidRPr="00896C26">
        <w:rPr>
          <w:lang w:val="nl-NL"/>
        </w:rPr>
        <w:t xml:space="preserve">de toezichthouders </w:t>
      </w:r>
      <w:r w:rsidR="00445BD5">
        <w:rPr>
          <w:lang w:val="nl-NL"/>
        </w:rPr>
        <w:t xml:space="preserve">om advies zijn gevraagd, </w:t>
      </w:r>
      <w:bookmarkEnd w:id="18"/>
      <w:r w:rsidRPr="00896C26">
        <w:rPr>
          <w:lang w:val="nl-NL"/>
        </w:rPr>
        <w:t>hoe de transitie ervoor staat en/of er aanvullende maatregelen nodig zijn om de transitie tijdig te realiseren. Uw Kamer wordt hier aan de hand van de voortgangsrapportages over geïnformeerd</w:t>
      </w:r>
      <w:r w:rsidRPr="00896C26" w:rsidR="00FE5975">
        <w:rPr>
          <w:lang w:val="nl-NL"/>
        </w:rPr>
        <w:t>.</w:t>
      </w:r>
    </w:p>
    <w:p w:rsidR="0078218D" w:rsidP="00BE02B0" w:rsidRDefault="0078218D" w14:paraId="0062A950" w14:textId="77777777"/>
    <w:p w:rsidRPr="00181219" w:rsidR="00896C26" w:rsidP="00BE02B0" w:rsidRDefault="00896C26" w14:paraId="2FE0B1D4" w14:textId="77777777"/>
    <w:p w:rsidR="0078218D" w:rsidP="00BE02B0" w:rsidRDefault="0078218D" w14:paraId="64060AF9" w14:textId="77777777">
      <w:r>
        <w:t xml:space="preserve">De Minister van Sociale Zaken, </w:t>
      </w:r>
    </w:p>
    <w:p w:rsidR="0078218D" w:rsidP="00BE02B0" w:rsidRDefault="0078218D" w14:paraId="56DFD30A" w14:textId="77777777">
      <w:proofErr w:type="gramStart"/>
      <w:r>
        <w:t>en</w:t>
      </w:r>
      <w:proofErr w:type="gramEnd"/>
      <w:r>
        <w:t xml:space="preserve"> Werkgelegenheid,</w:t>
      </w:r>
    </w:p>
    <w:p w:rsidR="0078218D" w:rsidP="00BE02B0" w:rsidRDefault="0078218D" w14:paraId="63B01407" w14:textId="77777777"/>
    <w:p w:rsidR="0078218D" w:rsidP="00BE02B0" w:rsidRDefault="0078218D" w14:paraId="74FD31DF" w14:textId="77777777"/>
    <w:p w:rsidR="0078218D" w:rsidP="00BE02B0" w:rsidRDefault="0078218D" w14:paraId="306F3658" w14:textId="77777777"/>
    <w:p w:rsidR="0078218D" w:rsidP="00BE02B0" w:rsidRDefault="0078218D" w14:paraId="35848B09" w14:textId="77777777"/>
    <w:p w:rsidR="0078218D" w:rsidP="00BE02B0" w:rsidRDefault="0078218D" w14:paraId="38D6B388" w14:textId="77777777"/>
    <w:p w:rsidR="0078218D" w:rsidP="00BE02B0" w:rsidRDefault="0078218D" w14:paraId="1FB24B64" w14:textId="77777777">
      <w:r>
        <w:t>J.A. Vijlbrief</w:t>
      </w:r>
    </w:p>
    <w:p w:rsidR="0078218D" w:rsidP="00BE02B0" w:rsidRDefault="0078218D" w14:paraId="1602ECC9" w14:textId="77777777">
      <w:r>
        <w:br w:type="page"/>
      </w:r>
    </w:p>
    <w:p w:rsidR="008E3962" w:rsidP="00BE02B0" w:rsidRDefault="0078218D" w14:paraId="07DAF59B" w14:textId="18C6D5A3">
      <w:pPr>
        <w:rPr>
          <w:b/>
          <w:bCs/>
          <w:color w:val="FF0000"/>
        </w:rPr>
      </w:pPr>
      <w:r w:rsidRPr="00904DD9">
        <w:rPr>
          <w:b/>
          <w:color w:val="auto"/>
        </w:rPr>
        <w:lastRenderedPageBreak/>
        <w:t>Bijlage</w:t>
      </w:r>
      <w:r w:rsidR="00DB559F">
        <w:rPr>
          <w:b/>
          <w:color w:val="auto"/>
        </w:rPr>
        <w:t xml:space="preserve"> 1</w:t>
      </w:r>
      <w:r w:rsidRPr="00904DD9">
        <w:rPr>
          <w:b/>
          <w:color w:val="auto"/>
        </w:rPr>
        <w:t>: Motie- en toezeggingenoverzicht</w:t>
      </w:r>
      <w:r w:rsidRPr="00F3025C">
        <w:rPr>
          <w:b/>
          <w:bCs/>
          <w:color w:val="auto"/>
        </w:rPr>
        <w:t xml:space="preserve"> - Voortgangsrapportage Monitoring </w:t>
      </w:r>
      <w:proofErr w:type="spellStart"/>
      <w:r w:rsidRPr="00F3025C">
        <w:rPr>
          <w:b/>
          <w:bCs/>
          <w:color w:val="auto"/>
        </w:rPr>
        <w:t>Wtp</w:t>
      </w:r>
      <w:proofErr w:type="spellEnd"/>
      <w:r w:rsidRPr="00F3025C">
        <w:rPr>
          <w:b/>
          <w:bCs/>
          <w:color w:val="auto"/>
        </w:rPr>
        <w:t xml:space="preserve"> – </w:t>
      </w:r>
      <w:r w:rsidRPr="00C6340F">
        <w:rPr>
          <w:b/>
          <w:bCs/>
          <w:color w:val="auto"/>
        </w:rPr>
        <w:t>zomer 202</w:t>
      </w:r>
      <w:r w:rsidRPr="00C6340F" w:rsidR="008E3962">
        <w:rPr>
          <w:b/>
          <w:bCs/>
          <w:color w:val="auto"/>
        </w:rPr>
        <w:t>6</w:t>
      </w:r>
    </w:p>
    <w:p w:rsidR="008E3962" w:rsidP="00BE02B0" w:rsidRDefault="008E3962" w14:paraId="2B1CC342" w14:textId="77777777">
      <w:pPr>
        <w:rPr>
          <w:b/>
          <w:bCs/>
          <w:color w:val="FF0000"/>
        </w:rPr>
      </w:pPr>
    </w:p>
    <w:tbl>
      <w:tblPr>
        <w:tblStyle w:val="Tabelrasterlicht"/>
        <w:tblpPr w:leftFromText="141" w:rightFromText="141" w:vertAnchor="text" w:horzAnchor="margin" w:tblpX="-68" w:tblpY="7"/>
        <w:tblW w:w="7644" w:type="dxa"/>
        <w:tblLook w:val="04A0" w:firstRow="1" w:lastRow="0" w:firstColumn="1" w:lastColumn="0" w:noHBand="0" w:noVBand="1"/>
      </w:tblPr>
      <w:tblGrid>
        <w:gridCol w:w="1646"/>
        <w:gridCol w:w="3985"/>
        <w:gridCol w:w="2013"/>
      </w:tblGrid>
      <w:tr w:rsidRPr="00DE4803" w:rsidR="00C6340F" w:rsidTr="004E027E" w14:paraId="11CC27C7" w14:textId="77777777">
        <w:trPr>
          <w:trHeight w:val="425"/>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DE4803" w:rsidR="00C6340F" w:rsidP="00BE02B0" w:rsidRDefault="00C6340F" w14:paraId="506A6E91" w14:textId="77777777">
            <w:pPr>
              <w:rPr>
                <w:b/>
                <w:bCs/>
                <w:color w:val="auto"/>
              </w:rPr>
            </w:pPr>
            <w:r w:rsidRPr="00DE4803">
              <w:rPr>
                <w:b/>
                <w:bCs/>
                <w:color w:val="auto"/>
              </w:rPr>
              <w:t xml:space="preserve">Motie </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DE4803" w:rsidR="00C6340F" w:rsidP="00BE02B0" w:rsidRDefault="00C6340F" w14:paraId="1E2082CD" w14:textId="77777777">
            <w:pPr>
              <w:tabs>
                <w:tab w:val="center" w:pos="1884"/>
              </w:tabs>
              <w:rPr>
                <w:b/>
                <w:bCs/>
                <w:color w:val="auto"/>
              </w:rPr>
            </w:pPr>
            <w:r w:rsidRPr="00DE4803">
              <w:rPr>
                <w:b/>
                <w:bCs/>
                <w:color w:val="auto"/>
              </w:rPr>
              <w:t>Naam</w:t>
            </w:r>
            <w:r w:rsidRPr="00DE4803">
              <w:rPr>
                <w:b/>
                <w:bCs/>
                <w:color w:val="auto"/>
              </w:rPr>
              <w:tab/>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D9D9D9" w:themeFill="background1" w:themeFillShade="D9"/>
            <w:hideMark/>
          </w:tcPr>
          <w:p w:rsidRPr="00DE4803" w:rsidR="00C6340F" w:rsidP="00BE02B0" w:rsidRDefault="00C6340F" w14:paraId="6046A8F2" w14:textId="77777777">
            <w:pPr>
              <w:rPr>
                <w:b/>
                <w:bCs/>
                <w:color w:val="auto"/>
              </w:rPr>
            </w:pPr>
            <w:r w:rsidRPr="00DE4803">
              <w:rPr>
                <w:b/>
                <w:bCs/>
                <w:color w:val="auto"/>
              </w:rPr>
              <w:t>Stand van zaken</w:t>
            </w:r>
          </w:p>
        </w:tc>
      </w:tr>
      <w:tr w:rsidRPr="00DE4803" w:rsidR="00C6340F" w:rsidTr="004E027E" w14:paraId="2EC67F3A" w14:textId="77777777">
        <w:trPr>
          <w:trHeight w:val="1194"/>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601ECB4B" w14:textId="77777777">
            <w:pPr>
              <w:rPr>
                <w:color w:val="auto"/>
              </w:rPr>
            </w:pPr>
            <w:r w:rsidRPr="00DE4803">
              <w:rPr>
                <w:color w:val="auto"/>
              </w:rPr>
              <w:t>36067-118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1869D976" w14:textId="77777777">
            <w:pPr>
              <w:rPr>
                <w:color w:val="auto"/>
              </w:rPr>
            </w:pPr>
            <w:r w:rsidRPr="00DE4803">
              <w:rPr>
                <w:color w:val="auto"/>
              </w:rPr>
              <w:t xml:space="preserve">Motie van het lid Smals over gedurende de transitieperiode monitoren of pensioenfondsen een </w:t>
            </w:r>
            <w:proofErr w:type="spellStart"/>
            <w:r w:rsidRPr="00DE4803">
              <w:rPr>
                <w:color w:val="auto"/>
              </w:rPr>
              <w:t>carve</w:t>
            </w:r>
            <w:proofErr w:type="spellEnd"/>
            <w:r w:rsidRPr="00DE4803">
              <w:rPr>
                <w:color w:val="auto"/>
              </w:rPr>
              <w:t>-out nodig hebben in verband met een evenwichtige belangenafweging.</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2FC835D8" w14:textId="77777777">
            <w:pPr>
              <w:rPr>
                <w:color w:val="auto"/>
              </w:rPr>
            </w:pPr>
            <w:r w:rsidRPr="00DE4803">
              <w:rPr>
                <w:color w:val="auto"/>
              </w:rPr>
              <w:t>In uitvoering</w:t>
            </w:r>
          </w:p>
        </w:tc>
      </w:tr>
      <w:tr w:rsidRPr="00DE4803" w:rsidR="00C6340F" w:rsidTr="004E027E" w14:paraId="702E9758" w14:textId="77777777">
        <w:trPr>
          <w:trHeight w:val="983"/>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100BB328" w14:textId="77777777">
            <w:pPr>
              <w:rPr>
                <w:color w:val="auto"/>
              </w:rPr>
            </w:pPr>
            <w:r w:rsidRPr="00DE4803">
              <w:rPr>
                <w:color w:val="auto"/>
              </w:rPr>
              <w:t>36067-148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2BE4CC44" w14:textId="77777777">
            <w:pPr>
              <w:rPr>
                <w:color w:val="auto"/>
              </w:rPr>
            </w:pPr>
            <w:r w:rsidRPr="00DE4803">
              <w:rPr>
                <w:color w:val="auto"/>
              </w:rPr>
              <w:t xml:space="preserve">Motie van de leden Palland en Ceder over bij de monitoring de randvoorwaarden meenemen die zijn opgenomen in het </w:t>
            </w:r>
            <w:r>
              <w:rPr>
                <w:color w:val="auto"/>
              </w:rPr>
              <w:t>P</w:t>
            </w:r>
            <w:r w:rsidRPr="00DE4803">
              <w:rPr>
                <w:color w:val="auto"/>
              </w:rPr>
              <w:t>ensioenakkoord.</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037D122A" w14:textId="77777777">
            <w:pPr>
              <w:rPr>
                <w:color w:val="auto"/>
              </w:rPr>
            </w:pPr>
            <w:r w:rsidRPr="00DE4803">
              <w:rPr>
                <w:color w:val="auto"/>
              </w:rPr>
              <w:t>In uitvoering</w:t>
            </w:r>
          </w:p>
        </w:tc>
      </w:tr>
      <w:tr w:rsidRPr="00DE4803" w:rsidR="00C6340F" w:rsidTr="004E027E" w14:paraId="7FA00B06" w14:textId="77777777">
        <w:trPr>
          <w:trHeight w:val="989"/>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4670ECC0" w14:textId="77777777">
            <w:pPr>
              <w:rPr>
                <w:color w:val="auto"/>
              </w:rPr>
            </w:pPr>
            <w:r w:rsidRPr="00DE4803">
              <w:rPr>
                <w:color w:val="auto"/>
              </w:rPr>
              <w:t>36067-158</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75375D3C" w14:textId="77777777">
            <w:pPr>
              <w:rPr>
                <w:color w:val="auto"/>
              </w:rPr>
            </w:pPr>
            <w:r w:rsidRPr="00DE4803">
              <w:rPr>
                <w:color w:val="auto"/>
              </w:rPr>
              <w:t>Motie van de leden Ceder en Stoffer over de nieuwe vormgeving van het nabestaandenpensioen zo snel mogelijk evalueren en monitoren.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6800BEAE" w14:textId="77777777">
            <w:pPr>
              <w:rPr>
                <w:color w:val="auto"/>
              </w:rPr>
            </w:pPr>
            <w:r w:rsidRPr="00DE4803">
              <w:rPr>
                <w:color w:val="auto"/>
              </w:rPr>
              <w:t>In uitvoering</w:t>
            </w:r>
          </w:p>
        </w:tc>
      </w:tr>
      <w:tr w:rsidRPr="00DE4803" w:rsidR="00C6340F" w:rsidTr="004E027E" w14:paraId="726E012B" w14:textId="77777777">
        <w:trPr>
          <w:trHeight w:val="82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39D3E203" w14:textId="77777777">
            <w:pPr>
              <w:rPr>
                <w:color w:val="auto"/>
              </w:rPr>
            </w:pPr>
            <w:r w:rsidRPr="00DE4803">
              <w:rPr>
                <w:color w:val="auto"/>
              </w:rPr>
              <w:t>36067-163</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1092583F" w14:textId="77777777">
            <w:pPr>
              <w:rPr>
                <w:color w:val="auto"/>
              </w:rPr>
            </w:pPr>
            <w:r w:rsidRPr="00DE4803">
              <w:rPr>
                <w:color w:val="auto"/>
              </w:rPr>
              <w:t xml:space="preserve">Motie van het lid Stoffer c.s. over het regelmatig uitvoeren van invoeringstoetsen na inwerkingtreding van de </w:t>
            </w:r>
            <w:proofErr w:type="spellStart"/>
            <w:r w:rsidRPr="00DE4803">
              <w:rPr>
                <w:color w:val="auto"/>
              </w:rPr>
              <w:t>Wtp</w:t>
            </w:r>
            <w:proofErr w:type="spellEnd"/>
            <w:r w:rsidRPr="00DE4803">
              <w:rPr>
                <w:color w:val="auto"/>
              </w:rPr>
              <w:t>.</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5950237B" w14:textId="77777777">
            <w:pPr>
              <w:rPr>
                <w:color w:val="auto"/>
              </w:rPr>
            </w:pPr>
            <w:r w:rsidRPr="00DE4803">
              <w:rPr>
                <w:color w:val="auto"/>
              </w:rPr>
              <w:t>In uitvoering</w:t>
            </w:r>
          </w:p>
        </w:tc>
      </w:tr>
      <w:tr w:rsidRPr="00DE4803" w:rsidR="00C6340F" w:rsidTr="004E027E" w14:paraId="238362B8" w14:textId="77777777">
        <w:trPr>
          <w:trHeight w:val="84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012FC683" w14:textId="77777777">
            <w:pPr>
              <w:rPr>
                <w:color w:val="auto"/>
              </w:rPr>
            </w:pPr>
            <w:r w:rsidRPr="00DE4803">
              <w:rPr>
                <w:color w:val="auto"/>
              </w:rPr>
              <w:t>36067-166</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20DF34AE" w14:textId="77777777">
            <w:pPr>
              <w:rPr>
                <w:color w:val="auto"/>
              </w:rPr>
            </w:pPr>
            <w:r w:rsidRPr="00DE4803">
              <w:rPr>
                <w:color w:val="auto"/>
              </w:rPr>
              <w:t xml:space="preserve">Motie </w:t>
            </w:r>
            <w:proofErr w:type="spellStart"/>
            <w:r w:rsidRPr="00DE4803">
              <w:rPr>
                <w:color w:val="auto"/>
              </w:rPr>
              <w:t>Maatoug</w:t>
            </w:r>
            <w:proofErr w:type="spellEnd"/>
            <w:r w:rsidRPr="00DE4803">
              <w:rPr>
                <w:color w:val="auto"/>
              </w:rPr>
              <w:t xml:space="preserve"> c.s. over een uitvoeringsmonitor over de arbeidsvoorwaardelijke afspraken en in 2026 bezien of het invaren op tijd en verantwoord kan worden ingevoerd.</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2DF4CDAE" w14:textId="77777777">
            <w:pPr>
              <w:rPr>
                <w:color w:val="auto"/>
              </w:rPr>
            </w:pPr>
            <w:r w:rsidRPr="00DE4803">
              <w:rPr>
                <w:color w:val="auto"/>
              </w:rPr>
              <w:t>In uitvoering</w:t>
            </w:r>
          </w:p>
        </w:tc>
      </w:tr>
      <w:tr w:rsidRPr="00DE4803" w:rsidR="00C6340F" w:rsidTr="004E027E" w14:paraId="55D48181" w14:textId="77777777">
        <w:trPr>
          <w:trHeight w:val="125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026EE827" w14:textId="77777777">
            <w:pPr>
              <w:rPr>
                <w:color w:val="auto"/>
              </w:rPr>
            </w:pPr>
            <w:r w:rsidRPr="00DE4803">
              <w:rPr>
                <w:color w:val="auto"/>
              </w:rPr>
              <w:t>36067-177</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73CCDDF2" w14:textId="77777777">
            <w:pPr>
              <w:rPr>
                <w:color w:val="auto"/>
              </w:rPr>
            </w:pPr>
            <w:r w:rsidRPr="00DE4803">
              <w:rPr>
                <w:color w:val="auto"/>
              </w:rPr>
              <w:t>Motie van de leden Smals en Stoffer over het monitoren van afspraken over compensatie en de obstakels die sociale partners ondervinden om deze te realiseren.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DE4803" w:rsidR="00C6340F" w:rsidP="00BE02B0" w:rsidRDefault="00C6340F" w14:paraId="156B70D6" w14:textId="77777777">
            <w:pPr>
              <w:rPr>
                <w:color w:val="auto"/>
              </w:rPr>
            </w:pPr>
            <w:r w:rsidRPr="00DE4803">
              <w:rPr>
                <w:color w:val="auto"/>
              </w:rPr>
              <w:t>In uitvoering</w:t>
            </w:r>
          </w:p>
        </w:tc>
      </w:tr>
      <w:tr w:rsidRPr="00DE4803" w:rsidR="00C6340F" w:rsidTr="004E027E" w14:paraId="6FFB81EE" w14:textId="77777777">
        <w:trPr>
          <w:trHeight w:val="842"/>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C6340F" w:rsidP="00BE02B0" w:rsidRDefault="00C6340F" w14:paraId="547921CE" w14:textId="77777777">
            <w:r w:rsidRPr="00DE4803">
              <w:rPr>
                <w:color w:val="auto"/>
              </w:rPr>
              <w:t>TZ202411-092</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C6340F" w:rsidP="00BE02B0" w:rsidRDefault="00C6340F" w14:paraId="4612C3E9" w14:textId="77777777">
            <w:r w:rsidRPr="00DE4803">
              <w:rPr>
                <w:color w:val="auto"/>
              </w:rPr>
              <w:t>In de monitoring van de transitie ook de compensatie bij pensioenregelingen bij verzekeraars monitoren.</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C6340F" w:rsidP="00BE02B0" w:rsidRDefault="00C6340F" w14:paraId="58F2A6F2" w14:textId="77777777">
            <w:pPr>
              <w:rPr>
                <w:color w:val="auto"/>
              </w:rPr>
            </w:pPr>
            <w:r w:rsidRPr="00DE4803">
              <w:rPr>
                <w:color w:val="auto"/>
              </w:rPr>
              <w:t>In uitvoering</w:t>
            </w:r>
          </w:p>
        </w:tc>
      </w:tr>
      <w:tr w:rsidRPr="00DE4803" w:rsidR="00C6340F" w:rsidTr="004E027E" w14:paraId="2C17C745" w14:textId="77777777">
        <w:trPr>
          <w:trHeight w:val="1256"/>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C6340F" w:rsidP="00BE02B0" w:rsidRDefault="00C6340F" w14:paraId="1EB47682" w14:textId="77777777">
            <w:r w:rsidRPr="00DE4803">
              <w:rPr>
                <w:color w:val="auto"/>
              </w:rPr>
              <w:t>TZ202411-093</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C6340F" w:rsidP="00BE02B0" w:rsidRDefault="00C6340F" w14:paraId="0C331433" w14:textId="77777777">
            <w:r w:rsidRPr="00DE4803">
              <w:rPr>
                <w:color w:val="auto"/>
              </w:rPr>
              <w:t xml:space="preserve">Via de Voortgangsrapportage monitoring </w:t>
            </w:r>
            <w:proofErr w:type="spellStart"/>
            <w:r w:rsidRPr="00DE4803">
              <w:rPr>
                <w:color w:val="auto"/>
              </w:rPr>
              <w:t>Wtp</w:t>
            </w:r>
            <w:proofErr w:type="spellEnd"/>
            <w:r w:rsidRPr="00DE4803">
              <w:rPr>
                <w:color w:val="auto"/>
              </w:rPr>
              <w:t xml:space="preserve"> terugkoppelen voor hoeveel personen met een premieregeling met een stijgende premie er is gekozen voor de eerbiedigende werking.</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DE4803" w:rsidR="00C6340F" w:rsidP="00BE02B0" w:rsidRDefault="00C6340F" w14:paraId="1E9A9A22" w14:textId="77777777">
            <w:pPr>
              <w:rPr>
                <w:color w:val="auto"/>
              </w:rPr>
            </w:pPr>
            <w:r w:rsidRPr="00DE4803">
              <w:rPr>
                <w:color w:val="auto"/>
              </w:rPr>
              <w:t>In uitvoering</w:t>
            </w:r>
          </w:p>
        </w:tc>
      </w:tr>
      <w:tr w:rsidRPr="00DE4803" w:rsidR="00C6340F" w:rsidTr="004E027E" w14:paraId="74C09544" w14:textId="77777777">
        <w:trPr>
          <w:trHeight w:val="574"/>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C6340F" w:rsidP="00BE02B0" w:rsidRDefault="00C6340F" w14:paraId="27446F65" w14:textId="77777777">
            <w:pPr>
              <w:rPr>
                <w:color w:val="auto"/>
              </w:rPr>
            </w:pPr>
            <w:r w:rsidRPr="00DE4803">
              <w:t>EK T</w:t>
            </w:r>
            <w:r>
              <w:t>0</w:t>
            </w:r>
            <w:r w:rsidRPr="00DE4803">
              <w:t>3630</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C6340F" w:rsidP="00BE02B0" w:rsidRDefault="00C6340F" w14:paraId="07723A8E" w14:textId="77777777">
            <w:pPr>
              <w:rPr>
                <w:color w:val="auto"/>
              </w:rPr>
            </w:pPr>
            <w:r w:rsidRPr="00DE4803">
              <w:t>Kamer periodiek informeren over voortgang transitie.</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C6340F" w:rsidP="00BE02B0" w:rsidRDefault="00C6340F" w14:paraId="443D0A4A" w14:textId="77777777">
            <w:pPr>
              <w:rPr>
                <w:color w:val="auto"/>
              </w:rPr>
            </w:pPr>
            <w:r w:rsidRPr="00DE4803">
              <w:rPr>
                <w:color w:val="auto"/>
              </w:rPr>
              <w:t>In uitvoering</w:t>
            </w:r>
          </w:p>
        </w:tc>
      </w:tr>
      <w:tr w:rsidRPr="00DE4803" w:rsidR="00C6340F" w:rsidTr="004E027E" w14:paraId="59912147" w14:textId="77777777">
        <w:trPr>
          <w:trHeight w:val="838"/>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C6340F" w:rsidP="00BE02B0" w:rsidRDefault="00C6340F" w14:paraId="1B2B507C" w14:textId="77777777">
            <w:pPr>
              <w:rPr>
                <w:color w:val="auto"/>
              </w:rPr>
            </w:pPr>
            <w:r w:rsidRPr="00DE4803">
              <w:t>EK T</w:t>
            </w:r>
            <w:r>
              <w:t>0</w:t>
            </w:r>
            <w:r w:rsidRPr="00DE4803">
              <w:t>1964</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C6340F" w:rsidP="00BE02B0" w:rsidRDefault="00C6340F" w14:paraId="67BB6568" w14:textId="77777777">
            <w:pPr>
              <w:rPr>
                <w:color w:val="auto"/>
              </w:rPr>
            </w:pPr>
            <w:r w:rsidRPr="00DE4803">
              <w:t>Jaarlijkse rapportage aan het parlement over de premieontwikkeling bij de pensioenfondsen</w:t>
            </w:r>
            <w:r>
              <w:t>.</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C6340F" w:rsidP="00BE02B0" w:rsidRDefault="00C6340F" w14:paraId="1B2E481C" w14:textId="77777777">
            <w:pPr>
              <w:rPr>
                <w:color w:val="auto"/>
              </w:rPr>
            </w:pPr>
            <w:r w:rsidRPr="00DE4803">
              <w:rPr>
                <w:color w:val="auto"/>
              </w:rPr>
              <w:t>In uitvoering</w:t>
            </w:r>
          </w:p>
        </w:tc>
      </w:tr>
      <w:tr w:rsidRPr="00DE4803" w:rsidR="00C6340F" w:rsidTr="004E027E" w14:paraId="2E4E6D95" w14:textId="77777777">
        <w:trPr>
          <w:trHeight w:val="838"/>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C6340F" w:rsidP="00BE02B0" w:rsidRDefault="00C6340F" w14:paraId="4499FE60" w14:textId="0D94BF8D">
            <w:r w:rsidRPr="00182CF4">
              <w:rPr>
                <w:bCs/>
                <w:szCs w:val="24"/>
              </w:rPr>
              <w:t>36915-XV, 14</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C6340F" w:rsidP="00BE02B0" w:rsidRDefault="00C6340F" w14:paraId="62C091C6" w14:textId="26644CFD">
            <w:r>
              <w:rPr>
                <w:color w:val="auto"/>
              </w:rPr>
              <w:t xml:space="preserve">Motie van de leden Van Ark en </w:t>
            </w:r>
            <w:proofErr w:type="spellStart"/>
            <w:r>
              <w:rPr>
                <w:color w:val="auto"/>
              </w:rPr>
              <w:t>Patijn</w:t>
            </w:r>
            <w:proofErr w:type="spellEnd"/>
            <w:r>
              <w:rPr>
                <w:color w:val="auto"/>
              </w:rPr>
              <w:t xml:space="preserve"> over het </w:t>
            </w:r>
            <w:r w:rsidRPr="00182CF4">
              <w:rPr>
                <w:color w:val="auto"/>
              </w:rPr>
              <w:t xml:space="preserve">opnieuw in overleg te treden met sociale partners en pensioenfondsen </w:t>
            </w:r>
            <w:r>
              <w:rPr>
                <w:color w:val="auto"/>
              </w:rPr>
              <w:t xml:space="preserve">over het compensatievraagstuk. </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E4803" w:rsidR="00C6340F" w:rsidP="00BE02B0" w:rsidRDefault="00C6340F" w14:paraId="10A53E29" w14:textId="70EA44D9">
            <w:pPr>
              <w:rPr>
                <w:color w:val="auto"/>
              </w:rPr>
            </w:pPr>
            <w:r>
              <w:rPr>
                <w:color w:val="auto"/>
              </w:rPr>
              <w:t xml:space="preserve">Uitgevoerd </w:t>
            </w:r>
          </w:p>
        </w:tc>
      </w:tr>
      <w:tr w:rsidRPr="00DE4803" w:rsidR="00C6340F" w:rsidTr="004E027E" w14:paraId="66259758" w14:textId="77777777">
        <w:trPr>
          <w:trHeight w:val="838"/>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82CF4" w:rsidR="00C6340F" w:rsidP="00BE02B0" w:rsidRDefault="00C6340F" w14:paraId="688E42BF" w14:textId="3E1785CC">
            <w:pPr>
              <w:rPr>
                <w:bCs/>
                <w:szCs w:val="24"/>
              </w:rPr>
            </w:pPr>
            <w:r>
              <w:lastRenderedPageBreak/>
              <w:t xml:space="preserve">TK </w:t>
            </w:r>
            <w:r w:rsidRPr="009D056E">
              <w:t>TZ202602-011</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C6340F" w:rsidP="00BE02B0" w:rsidRDefault="00C6340F" w14:paraId="34A387D5" w14:textId="2774B47C">
            <w:pPr>
              <w:rPr>
                <w:color w:val="auto"/>
              </w:rPr>
            </w:pPr>
            <w:proofErr w:type="gramStart"/>
            <w:r w:rsidRPr="009D056E">
              <w:t>Aangaande</w:t>
            </w:r>
            <w:proofErr w:type="gramEnd"/>
            <w:r w:rsidRPr="009D056E">
              <w:t xml:space="preserve"> de gevolgen van niet-tijdig omzetten zegt de minister toe vaker cijfers van verzekeraars en </w:t>
            </w:r>
            <w:proofErr w:type="spellStart"/>
            <w:r w:rsidRPr="009D056E">
              <w:t>PPI's</w:t>
            </w:r>
            <w:proofErr w:type="spellEnd"/>
            <w:r w:rsidRPr="009D056E">
              <w:t xml:space="preserve"> te delen met de Kamer en deze op te nemen in de volgende voortgangsrapportage.</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C6340F" w:rsidP="00BE02B0" w:rsidRDefault="00C6340F" w14:paraId="009EC62F" w14:textId="433CB690">
            <w:pPr>
              <w:rPr>
                <w:color w:val="auto"/>
              </w:rPr>
            </w:pPr>
            <w:r>
              <w:rPr>
                <w:color w:val="auto"/>
              </w:rPr>
              <w:t>In uitvoering</w:t>
            </w:r>
          </w:p>
        </w:tc>
      </w:tr>
      <w:tr w:rsidRPr="00DE4803" w:rsidR="00C6340F" w:rsidTr="004E027E" w14:paraId="7CE32D3F" w14:textId="77777777">
        <w:trPr>
          <w:trHeight w:val="838"/>
        </w:trPr>
        <w:tc>
          <w:tcPr>
            <w:tcW w:w="164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82CF4" w:rsidR="00C6340F" w:rsidP="00BE02B0" w:rsidRDefault="00C6340F" w14:paraId="3BEA9D37" w14:textId="3D9493E7">
            <w:pPr>
              <w:rPr>
                <w:bCs/>
                <w:szCs w:val="24"/>
              </w:rPr>
            </w:pPr>
            <w:r>
              <w:t xml:space="preserve">TK </w:t>
            </w:r>
            <w:r w:rsidRPr="009D056E">
              <w:t>TZ202602-012</w:t>
            </w:r>
          </w:p>
        </w:tc>
        <w:tc>
          <w:tcPr>
            <w:tcW w:w="398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C6340F" w:rsidP="00BE02B0" w:rsidRDefault="00C6340F" w14:paraId="329E14D5" w14:textId="7AAC5D6E">
            <w:pPr>
              <w:rPr>
                <w:color w:val="auto"/>
              </w:rPr>
            </w:pPr>
            <w:r>
              <w:t>D</w:t>
            </w:r>
            <w:r w:rsidRPr="009D056E">
              <w:t>e definitieve cijfers over pensioen</w:t>
            </w:r>
            <w:r>
              <w:t>-</w:t>
            </w:r>
            <w:r w:rsidRPr="009D056E">
              <w:t xml:space="preserve">stijgingen mee in de </w:t>
            </w:r>
            <w:proofErr w:type="spellStart"/>
            <w:r w:rsidRPr="009D056E">
              <w:t>voortgangs</w:t>
            </w:r>
            <w:r>
              <w:t>-</w:t>
            </w:r>
            <w:r w:rsidRPr="009D056E">
              <w:t>rapportage</w:t>
            </w:r>
            <w:proofErr w:type="spellEnd"/>
            <w:r w:rsidRPr="009D056E">
              <w:t xml:space="preserve"> van aankomende zomer.</w:t>
            </w:r>
          </w:p>
        </w:tc>
        <w:tc>
          <w:tcPr>
            <w:tcW w:w="201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C6340F" w:rsidP="00BE02B0" w:rsidRDefault="00C6340F" w14:paraId="7591FEA6" w14:textId="41894563">
            <w:pPr>
              <w:rPr>
                <w:color w:val="auto"/>
              </w:rPr>
            </w:pPr>
            <w:r>
              <w:rPr>
                <w:color w:val="auto"/>
              </w:rPr>
              <w:t>Uitgevoerd</w:t>
            </w:r>
          </w:p>
        </w:tc>
      </w:tr>
    </w:tbl>
    <w:p w:rsidR="008E3962" w:rsidP="00BE02B0" w:rsidRDefault="008E3962" w14:paraId="32B56407" w14:textId="77777777">
      <w:pPr>
        <w:rPr>
          <w:b/>
          <w:bCs/>
          <w:color w:val="FF0000"/>
        </w:rPr>
      </w:pPr>
    </w:p>
    <w:p w:rsidR="0078218D" w:rsidP="00BE02B0" w:rsidRDefault="0078218D" w14:paraId="6B0D2132" w14:textId="77777777"/>
    <w:p w:rsidR="0078218D" w:rsidP="00BE02B0" w:rsidRDefault="0078218D" w14:paraId="33C2A03A" w14:textId="3FC71F33">
      <w:pPr>
        <w:pStyle w:val="WitregelW1bodytekst"/>
        <w:spacing w:line="240" w:lineRule="atLeast"/>
      </w:pPr>
      <w:r>
        <w:br/>
      </w:r>
    </w:p>
    <w:p w:rsidR="0078218D" w:rsidP="00BE02B0" w:rsidRDefault="0078218D" w14:paraId="4C8995EE" w14:textId="77777777"/>
    <w:p w:rsidR="0078218D" w:rsidP="00BE02B0" w:rsidRDefault="0078218D" w14:paraId="5549A287" w14:textId="77777777"/>
    <w:p w:rsidR="0078218D" w:rsidP="00BE02B0" w:rsidRDefault="0078218D" w14:paraId="04ECF16F" w14:textId="77777777"/>
    <w:p w:rsidR="00ED30D9" w:rsidRDefault="00ED30D9" w14:paraId="6DBA9B09" w14:textId="3F22ECD8">
      <w:pPr>
        <w:spacing w:line="240" w:lineRule="auto"/>
      </w:pPr>
      <w:r>
        <w:br w:type="page"/>
      </w:r>
    </w:p>
    <w:p w:rsidR="004432DF" w:rsidP="00BE02B0" w:rsidRDefault="00ED30D9" w14:paraId="39E4E074" w14:textId="1895EAFB">
      <w:r w:rsidRPr="002B622A">
        <w:rPr>
          <w:b/>
          <w:bCs/>
        </w:rPr>
        <w:lastRenderedPageBreak/>
        <w:t>Bijlage 2: Vernieuwde tabellen</w:t>
      </w:r>
    </w:p>
    <w:p w:rsidR="00C20282" w:rsidP="00BE02B0" w:rsidRDefault="00C20282" w14:paraId="42F3A3D2" w14:textId="77777777"/>
    <w:p w:rsidRPr="002B622A" w:rsidR="00C20282" w:rsidP="00C20282" w:rsidRDefault="002B622A" w14:paraId="4EA32152" w14:textId="054AA353">
      <w:pPr>
        <w:spacing w:line="240" w:lineRule="auto"/>
        <w:rPr>
          <w:rFonts w:eastAsia="Times New Roman" w:cs="Calibri"/>
          <w:b/>
          <w:bCs/>
        </w:rPr>
      </w:pPr>
      <w:r>
        <w:rPr>
          <w:rFonts w:eastAsia="Times New Roman" w:cs="Calibri"/>
          <w:b/>
          <w:bCs/>
        </w:rPr>
        <w:t xml:space="preserve">Tabel </w:t>
      </w:r>
      <w:r w:rsidRPr="002B622A" w:rsidR="00C20282">
        <w:rPr>
          <w:rFonts w:eastAsia="Times New Roman" w:cs="Calibri"/>
          <w:b/>
          <w:bCs/>
        </w:rPr>
        <w:t>1: Groei rendement (in percentages) en cumulatief rendement van de vijf grootste pensioenfondsen</w:t>
      </w:r>
    </w:p>
    <w:tbl>
      <w:tblPr>
        <w:tblW w:w="9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31"/>
        <w:gridCol w:w="850"/>
        <w:gridCol w:w="852"/>
        <w:gridCol w:w="850"/>
        <w:gridCol w:w="852"/>
        <w:gridCol w:w="850"/>
        <w:gridCol w:w="852"/>
        <w:gridCol w:w="850"/>
        <w:gridCol w:w="852"/>
        <w:gridCol w:w="850"/>
        <w:gridCol w:w="852"/>
      </w:tblGrid>
      <w:tr w:rsidRPr="002B622A" w:rsidR="00C20282" w:rsidTr="003E5498" w14:paraId="2A4C75D4" w14:textId="77777777">
        <w:trPr>
          <w:trHeight w:val="269"/>
        </w:trPr>
        <w:tc>
          <w:tcPr>
            <w:tcW w:w="931" w:type="dxa"/>
            <w:noWrap/>
          </w:tcPr>
          <w:p w:rsidRPr="002B622A" w:rsidR="00C20282" w:rsidP="003E5498" w:rsidRDefault="00C20282" w14:paraId="63422F03" w14:textId="77777777">
            <w:pPr>
              <w:spacing w:line="240" w:lineRule="auto"/>
              <w:jc w:val="center"/>
              <w:rPr>
                <w:rFonts w:eastAsia="Times New Roman" w:cs="Calibri"/>
                <w:b/>
                <w:bCs/>
              </w:rPr>
            </w:pPr>
          </w:p>
        </w:tc>
        <w:tc>
          <w:tcPr>
            <w:tcW w:w="1702" w:type="dxa"/>
            <w:gridSpan w:val="2"/>
            <w:noWrap/>
          </w:tcPr>
          <w:p w:rsidRPr="002B622A" w:rsidR="00C20282" w:rsidP="003E5498" w:rsidRDefault="00C20282" w14:paraId="7D127953" w14:textId="77777777">
            <w:pPr>
              <w:spacing w:line="240" w:lineRule="auto"/>
              <w:jc w:val="center"/>
              <w:rPr>
                <w:rFonts w:eastAsia="Times New Roman" w:cs="Calibri"/>
                <w:b/>
                <w:bCs/>
              </w:rPr>
            </w:pPr>
            <w:r w:rsidRPr="002B622A">
              <w:rPr>
                <w:rFonts w:eastAsia="Times New Roman" w:cs="Calibri"/>
                <w:b/>
                <w:bCs/>
              </w:rPr>
              <w:t>ABP</w:t>
            </w:r>
          </w:p>
        </w:tc>
        <w:tc>
          <w:tcPr>
            <w:tcW w:w="1702" w:type="dxa"/>
            <w:gridSpan w:val="2"/>
            <w:noWrap/>
          </w:tcPr>
          <w:p w:rsidRPr="002B622A" w:rsidR="00C20282" w:rsidP="003E5498" w:rsidRDefault="00C20282" w14:paraId="48C5734B" w14:textId="77777777">
            <w:pPr>
              <w:spacing w:line="240" w:lineRule="auto"/>
              <w:jc w:val="center"/>
              <w:rPr>
                <w:rFonts w:eastAsia="Times New Roman" w:cs="Calibri"/>
                <w:b/>
                <w:bCs/>
              </w:rPr>
            </w:pPr>
            <w:r w:rsidRPr="002B622A">
              <w:rPr>
                <w:rFonts w:eastAsia="Times New Roman" w:cs="Calibri"/>
                <w:b/>
                <w:bCs/>
              </w:rPr>
              <w:t>Bouw</w:t>
            </w:r>
          </w:p>
        </w:tc>
        <w:tc>
          <w:tcPr>
            <w:tcW w:w="1702" w:type="dxa"/>
            <w:gridSpan w:val="2"/>
            <w:noWrap/>
          </w:tcPr>
          <w:p w:rsidRPr="002B622A" w:rsidR="00C20282" w:rsidP="003E5498" w:rsidRDefault="00C20282" w14:paraId="59E4CDC0" w14:textId="77777777">
            <w:pPr>
              <w:spacing w:line="240" w:lineRule="auto"/>
              <w:jc w:val="center"/>
              <w:rPr>
                <w:rFonts w:eastAsia="Times New Roman" w:cs="Calibri"/>
                <w:b/>
                <w:bCs/>
              </w:rPr>
            </w:pPr>
            <w:r w:rsidRPr="002B622A">
              <w:rPr>
                <w:rFonts w:eastAsia="Times New Roman" w:cs="Calibri"/>
                <w:b/>
                <w:bCs/>
              </w:rPr>
              <w:t>PME</w:t>
            </w:r>
          </w:p>
        </w:tc>
        <w:tc>
          <w:tcPr>
            <w:tcW w:w="1702" w:type="dxa"/>
            <w:gridSpan w:val="2"/>
            <w:noWrap/>
          </w:tcPr>
          <w:p w:rsidRPr="002B622A" w:rsidR="00C20282" w:rsidP="003E5498" w:rsidRDefault="00C20282" w14:paraId="39B61FDC" w14:textId="77777777">
            <w:pPr>
              <w:spacing w:line="240" w:lineRule="auto"/>
              <w:jc w:val="center"/>
              <w:rPr>
                <w:rFonts w:eastAsia="Times New Roman" w:cs="Calibri"/>
                <w:b/>
                <w:bCs/>
              </w:rPr>
            </w:pPr>
            <w:r w:rsidRPr="002B622A">
              <w:rPr>
                <w:rFonts w:eastAsia="Times New Roman" w:cs="Calibri"/>
                <w:b/>
                <w:bCs/>
              </w:rPr>
              <w:t>PMT</w:t>
            </w:r>
          </w:p>
        </w:tc>
        <w:tc>
          <w:tcPr>
            <w:tcW w:w="1702" w:type="dxa"/>
            <w:gridSpan w:val="2"/>
            <w:noWrap/>
          </w:tcPr>
          <w:p w:rsidRPr="002B622A" w:rsidR="00C20282" w:rsidP="003E5498" w:rsidRDefault="00C20282" w14:paraId="1AF0FDFC" w14:textId="77777777">
            <w:pPr>
              <w:spacing w:line="240" w:lineRule="auto"/>
              <w:jc w:val="center"/>
              <w:rPr>
                <w:rFonts w:eastAsia="Times New Roman" w:cs="Calibri"/>
                <w:b/>
                <w:bCs/>
              </w:rPr>
            </w:pPr>
            <w:r w:rsidRPr="002B622A">
              <w:rPr>
                <w:rFonts w:eastAsia="Times New Roman" w:cs="Calibri"/>
                <w:b/>
                <w:bCs/>
              </w:rPr>
              <w:t>PFZW</w:t>
            </w:r>
          </w:p>
        </w:tc>
      </w:tr>
      <w:tr w:rsidRPr="002B622A" w:rsidR="00C20282" w:rsidTr="003E5498" w14:paraId="4E2995E2" w14:textId="77777777">
        <w:trPr>
          <w:trHeight w:val="269"/>
        </w:trPr>
        <w:tc>
          <w:tcPr>
            <w:tcW w:w="931" w:type="dxa"/>
            <w:noWrap/>
          </w:tcPr>
          <w:p w:rsidRPr="002B622A" w:rsidR="00C20282" w:rsidP="003E5498" w:rsidRDefault="00C20282" w14:paraId="52511238" w14:textId="77777777">
            <w:pPr>
              <w:spacing w:line="240" w:lineRule="auto"/>
              <w:jc w:val="center"/>
              <w:rPr>
                <w:rFonts w:eastAsia="Times New Roman" w:cs="Calibri"/>
                <w:b/>
                <w:bCs/>
              </w:rPr>
            </w:pPr>
            <w:r w:rsidRPr="002B622A">
              <w:rPr>
                <w:rFonts w:eastAsia="Times New Roman" w:cs="Calibri"/>
                <w:b/>
                <w:bCs/>
              </w:rPr>
              <w:t>Jaar</w:t>
            </w:r>
          </w:p>
        </w:tc>
        <w:tc>
          <w:tcPr>
            <w:tcW w:w="850" w:type="dxa"/>
            <w:noWrap/>
          </w:tcPr>
          <w:p w:rsidRPr="002B622A" w:rsidR="00C20282" w:rsidP="003E5498" w:rsidRDefault="00C20282" w14:paraId="0B34BDC5" w14:textId="77777777">
            <w:pPr>
              <w:spacing w:line="240" w:lineRule="auto"/>
              <w:jc w:val="center"/>
              <w:rPr>
                <w:rFonts w:eastAsia="Times New Roman" w:cs="Calibri"/>
                <w:b/>
                <w:bCs/>
              </w:rPr>
            </w:pPr>
            <w:r w:rsidRPr="002B622A">
              <w:rPr>
                <w:rFonts w:eastAsia="Times New Roman" w:cs="Calibri"/>
                <w:b/>
                <w:bCs/>
              </w:rPr>
              <w:t>Groei</w:t>
            </w:r>
          </w:p>
        </w:tc>
        <w:tc>
          <w:tcPr>
            <w:tcW w:w="852" w:type="dxa"/>
            <w:noWrap/>
          </w:tcPr>
          <w:p w:rsidRPr="002B622A" w:rsidR="00C20282" w:rsidP="003E5498" w:rsidRDefault="00C20282" w14:paraId="0160F6BA" w14:textId="77777777">
            <w:pPr>
              <w:spacing w:line="240" w:lineRule="auto"/>
              <w:jc w:val="center"/>
              <w:rPr>
                <w:rFonts w:eastAsia="Times New Roman" w:cs="Calibri"/>
                <w:b/>
                <w:bCs/>
              </w:rPr>
            </w:pPr>
            <w:r w:rsidRPr="002B622A">
              <w:rPr>
                <w:rFonts w:eastAsia="Times New Roman" w:cs="Calibri"/>
                <w:b/>
                <w:bCs/>
              </w:rPr>
              <w:t>Cum.</w:t>
            </w:r>
          </w:p>
        </w:tc>
        <w:tc>
          <w:tcPr>
            <w:tcW w:w="850" w:type="dxa"/>
            <w:noWrap/>
          </w:tcPr>
          <w:p w:rsidRPr="002B622A" w:rsidR="00C20282" w:rsidP="003E5498" w:rsidRDefault="00C20282" w14:paraId="7FE5EDF8" w14:textId="77777777">
            <w:pPr>
              <w:spacing w:line="240" w:lineRule="auto"/>
              <w:jc w:val="center"/>
              <w:rPr>
                <w:rFonts w:eastAsia="Times New Roman" w:cs="Calibri"/>
                <w:b/>
                <w:bCs/>
              </w:rPr>
            </w:pPr>
            <w:r w:rsidRPr="002B622A">
              <w:rPr>
                <w:rFonts w:eastAsia="Times New Roman" w:cs="Calibri"/>
                <w:b/>
                <w:bCs/>
              </w:rPr>
              <w:t>Groei</w:t>
            </w:r>
          </w:p>
        </w:tc>
        <w:tc>
          <w:tcPr>
            <w:tcW w:w="852" w:type="dxa"/>
            <w:noWrap/>
          </w:tcPr>
          <w:p w:rsidRPr="002B622A" w:rsidR="00C20282" w:rsidP="003E5498" w:rsidRDefault="00C20282" w14:paraId="32E75056" w14:textId="77777777">
            <w:pPr>
              <w:spacing w:line="240" w:lineRule="auto"/>
              <w:jc w:val="center"/>
              <w:rPr>
                <w:rFonts w:eastAsia="Times New Roman" w:cs="Calibri"/>
                <w:b/>
                <w:bCs/>
              </w:rPr>
            </w:pPr>
            <w:r w:rsidRPr="002B622A">
              <w:rPr>
                <w:rFonts w:eastAsia="Times New Roman" w:cs="Calibri"/>
                <w:b/>
                <w:bCs/>
              </w:rPr>
              <w:t>Cum.</w:t>
            </w:r>
          </w:p>
        </w:tc>
        <w:tc>
          <w:tcPr>
            <w:tcW w:w="850" w:type="dxa"/>
            <w:noWrap/>
          </w:tcPr>
          <w:p w:rsidRPr="002B622A" w:rsidR="00C20282" w:rsidP="003E5498" w:rsidRDefault="00C20282" w14:paraId="6F01C164" w14:textId="77777777">
            <w:pPr>
              <w:spacing w:line="240" w:lineRule="auto"/>
              <w:jc w:val="center"/>
              <w:rPr>
                <w:rFonts w:eastAsia="Times New Roman" w:cs="Calibri"/>
                <w:b/>
                <w:bCs/>
              </w:rPr>
            </w:pPr>
            <w:r w:rsidRPr="002B622A">
              <w:rPr>
                <w:rFonts w:eastAsia="Times New Roman" w:cs="Calibri"/>
                <w:b/>
                <w:bCs/>
              </w:rPr>
              <w:t>Groei</w:t>
            </w:r>
          </w:p>
        </w:tc>
        <w:tc>
          <w:tcPr>
            <w:tcW w:w="852" w:type="dxa"/>
            <w:noWrap/>
          </w:tcPr>
          <w:p w:rsidRPr="002B622A" w:rsidR="00C20282" w:rsidP="003E5498" w:rsidRDefault="00C20282" w14:paraId="3165047A" w14:textId="77777777">
            <w:pPr>
              <w:spacing w:line="240" w:lineRule="auto"/>
              <w:jc w:val="center"/>
              <w:rPr>
                <w:rFonts w:eastAsia="Times New Roman" w:cs="Calibri"/>
                <w:b/>
                <w:bCs/>
              </w:rPr>
            </w:pPr>
            <w:r w:rsidRPr="002B622A">
              <w:rPr>
                <w:rFonts w:eastAsia="Times New Roman" w:cs="Calibri"/>
                <w:b/>
                <w:bCs/>
              </w:rPr>
              <w:t>Cum.</w:t>
            </w:r>
          </w:p>
        </w:tc>
        <w:tc>
          <w:tcPr>
            <w:tcW w:w="850" w:type="dxa"/>
            <w:noWrap/>
          </w:tcPr>
          <w:p w:rsidRPr="002B622A" w:rsidR="00C20282" w:rsidP="003E5498" w:rsidRDefault="00C20282" w14:paraId="0B698C92" w14:textId="77777777">
            <w:pPr>
              <w:spacing w:line="240" w:lineRule="auto"/>
              <w:jc w:val="center"/>
              <w:rPr>
                <w:rFonts w:eastAsia="Times New Roman" w:cs="Calibri"/>
                <w:b/>
                <w:bCs/>
              </w:rPr>
            </w:pPr>
            <w:r w:rsidRPr="002B622A">
              <w:rPr>
                <w:rFonts w:eastAsia="Times New Roman" w:cs="Calibri"/>
                <w:b/>
                <w:bCs/>
              </w:rPr>
              <w:t>Groei</w:t>
            </w:r>
          </w:p>
        </w:tc>
        <w:tc>
          <w:tcPr>
            <w:tcW w:w="852" w:type="dxa"/>
            <w:noWrap/>
          </w:tcPr>
          <w:p w:rsidRPr="002B622A" w:rsidR="00C20282" w:rsidP="003E5498" w:rsidRDefault="00C20282" w14:paraId="6B42851E" w14:textId="77777777">
            <w:pPr>
              <w:spacing w:line="240" w:lineRule="auto"/>
              <w:jc w:val="center"/>
              <w:rPr>
                <w:rFonts w:eastAsia="Times New Roman" w:cs="Calibri"/>
                <w:b/>
                <w:bCs/>
              </w:rPr>
            </w:pPr>
            <w:r w:rsidRPr="002B622A">
              <w:rPr>
                <w:rFonts w:eastAsia="Times New Roman" w:cs="Calibri"/>
                <w:b/>
                <w:bCs/>
              </w:rPr>
              <w:t>Cum.</w:t>
            </w:r>
          </w:p>
        </w:tc>
        <w:tc>
          <w:tcPr>
            <w:tcW w:w="850" w:type="dxa"/>
            <w:noWrap/>
          </w:tcPr>
          <w:p w:rsidRPr="002B622A" w:rsidR="00C20282" w:rsidP="003E5498" w:rsidRDefault="00C20282" w14:paraId="71F9C60F" w14:textId="77777777">
            <w:pPr>
              <w:spacing w:line="240" w:lineRule="auto"/>
              <w:jc w:val="center"/>
              <w:rPr>
                <w:rFonts w:eastAsia="Times New Roman" w:cs="Calibri"/>
                <w:b/>
                <w:bCs/>
              </w:rPr>
            </w:pPr>
            <w:r w:rsidRPr="002B622A">
              <w:rPr>
                <w:rFonts w:eastAsia="Times New Roman" w:cs="Calibri"/>
                <w:b/>
                <w:bCs/>
              </w:rPr>
              <w:t>Groei</w:t>
            </w:r>
          </w:p>
        </w:tc>
        <w:tc>
          <w:tcPr>
            <w:tcW w:w="852" w:type="dxa"/>
            <w:noWrap/>
          </w:tcPr>
          <w:p w:rsidRPr="002B622A" w:rsidR="00C20282" w:rsidP="003E5498" w:rsidRDefault="00C20282" w14:paraId="16301886" w14:textId="77777777">
            <w:pPr>
              <w:spacing w:line="240" w:lineRule="auto"/>
              <w:jc w:val="center"/>
              <w:rPr>
                <w:rFonts w:eastAsia="Times New Roman" w:cs="Calibri"/>
                <w:b/>
                <w:bCs/>
              </w:rPr>
            </w:pPr>
            <w:r w:rsidRPr="002B622A">
              <w:rPr>
                <w:rFonts w:eastAsia="Times New Roman" w:cs="Calibri"/>
                <w:b/>
                <w:bCs/>
              </w:rPr>
              <w:t>Cum.</w:t>
            </w:r>
          </w:p>
        </w:tc>
      </w:tr>
      <w:tr w:rsidRPr="002B622A" w:rsidR="00C20282" w:rsidTr="003E5498" w14:paraId="411FCC5B" w14:textId="77777777">
        <w:trPr>
          <w:trHeight w:val="269"/>
        </w:trPr>
        <w:tc>
          <w:tcPr>
            <w:tcW w:w="931" w:type="dxa"/>
            <w:noWrap/>
            <w:vAlign w:val="bottom"/>
            <w:hideMark/>
          </w:tcPr>
          <w:p w:rsidRPr="002B622A" w:rsidR="00C20282" w:rsidP="003E5498" w:rsidRDefault="00C20282" w14:paraId="2C67EAB3" w14:textId="77777777">
            <w:pPr>
              <w:spacing w:line="240" w:lineRule="auto"/>
              <w:jc w:val="center"/>
              <w:rPr>
                <w:rFonts w:eastAsia="Times New Roman" w:cs="Calibri"/>
              </w:rPr>
            </w:pPr>
            <w:r w:rsidRPr="002B622A">
              <w:rPr>
                <w:rFonts w:eastAsia="Times New Roman" w:cs="Calibri"/>
              </w:rPr>
              <w:t>2013</w:t>
            </w:r>
          </w:p>
        </w:tc>
        <w:tc>
          <w:tcPr>
            <w:tcW w:w="850" w:type="dxa"/>
            <w:noWrap/>
            <w:vAlign w:val="bottom"/>
            <w:hideMark/>
          </w:tcPr>
          <w:p w:rsidRPr="002B622A" w:rsidR="00C20282" w:rsidP="003E5498" w:rsidRDefault="00C20282" w14:paraId="29A3A893" w14:textId="77777777">
            <w:pPr>
              <w:spacing w:line="240" w:lineRule="auto"/>
              <w:jc w:val="center"/>
              <w:rPr>
                <w:rFonts w:eastAsia="Times New Roman" w:cs="Calibri"/>
              </w:rPr>
            </w:pPr>
            <w:r w:rsidRPr="002B622A">
              <w:rPr>
                <w:rFonts w:cs="Calibri"/>
              </w:rPr>
              <w:t> </w:t>
            </w:r>
          </w:p>
        </w:tc>
        <w:tc>
          <w:tcPr>
            <w:tcW w:w="852" w:type="dxa"/>
            <w:noWrap/>
            <w:vAlign w:val="bottom"/>
            <w:hideMark/>
          </w:tcPr>
          <w:p w:rsidRPr="002B622A" w:rsidR="00C20282" w:rsidP="003E5498" w:rsidRDefault="00C20282" w14:paraId="0686D730" w14:textId="77777777">
            <w:pPr>
              <w:spacing w:line="240" w:lineRule="auto"/>
              <w:jc w:val="center"/>
              <w:rPr>
                <w:rFonts w:eastAsia="Times New Roman" w:cs="Calibri"/>
              </w:rPr>
            </w:pPr>
            <w:r w:rsidRPr="002B622A">
              <w:rPr>
                <w:rFonts w:cs="Calibri"/>
              </w:rPr>
              <w:t>100,0</w:t>
            </w:r>
          </w:p>
        </w:tc>
        <w:tc>
          <w:tcPr>
            <w:tcW w:w="850" w:type="dxa"/>
            <w:noWrap/>
            <w:vAlign w:val="bottom"/>
            <w:hideMark/>
          </w:tcPr>
          <w:p w:rsidRPr="002B622A" w:rsidR="00C20282" w:rsidP="003E5498" w:rsidRDefault="00C20282" w14:paraId="7DFA005C" w14:textId="77777777">
            <w:pPr>
              <w:spacing w:line="240" w:lineRule="auto"/>
              <w:jc w:val="center"/>
              <w:rPr>
                <w:rFonts w:eastAsia="Times New Roman" w:cs="Calibri"/>
              </w:rPr>
            </w:pPr>
            <w:r w:rsidRPr="002B622A">
              <w:rPr>
                <w:rFonts w:cs="Calibri"/>
              </w:rPr>
              <w:t> </w:t>
            </w:r>
          </w:p>
        </w:tc>
        <w:tc>
          <w:tcPr>
            <w:tcW w:w="852" w:type="dxa"/>
            <w:noWrap/>
            <w:vAlign w:val="bottom"/>
            <w:hideMark/>
          </w:tcPr>
          <w:p w:rsidRPr="002B622A" w:rsidR="00C20282" w:rsidP="003E5498" w:rsidRDefault="00C20282" w14:paraId="7AECC4E7" w14:textId="77777777">
            <w:pPr>
              <w:spacing w:line="240" w:lineRule="auto"/>
              <w:jc w:val="center"/>
              <w:rPr>
                <w:rFonts w:eastAsia="Times New Roman" w:cs="Calibri"/>
              </w:rPr>
            </w:pPr>
            <w:r w:rsidRPr="002B622A">
              <w:rPr>
                <w:rFonts w:cs="Calibri"/>
              </w:rPr>
              <w:t>100,0</w:t>
            </w:r>
          </w:p>
        </w:tc>
        <w:tc>
          <w:tcPr>
            <w:tcW w:w="850" w:type="dxa"/>
            <w:noWrap/>
            <w:vAlign w:val="bottom"/>
            <w:hideMark/>
          </w:tcPr>
          <w:p w:rsidRPr="002B622A" w:rsidR="00C20282" w:rsidP="003E5498" w:rsidRDefault="00C20282" w14:paraId="684AB8F1" w14:textId="77777777">
            <w:pPr>
              <w:spacing w:line="240" w:lineRule="auto"/>
              <w:jc w:val="center"/>
              <w:rPr>
                <w:rFonts w:eastAsia="Times New Roman" w:cs="Calibri"/>
              </w:rPr>
            </w:pPr>
            <w:r w:rsidRPr="002B622A">
              <w:rPr>
                <w:rFonts w:cs="Calibri"/>
              </w:rPr>
              <w:t> </w:t>
            </w:r>
          </w:p>
        </w:tc>
        <w:tc>
          <w:tcPr>
            <w:tcW w:w="852" w:type="dxa"/>
            <w:noWrap/>
            <w:vAlign w:val="bottom"/>
            <w:hideMark/>
          </w:tcPr>
          <w:p w:rsidRPr="002B622A" w:rsidR="00C20282" w:rsidP="003E5498" w:rsidRDefault="00C20282" w14:paraId="15A5EC77" w14:textId="77777777">
            <w:pPr>
              <w:spacing w:line="240" w:lineRule="auto"/>
              <w:jc w:val="center"/>
              <w:rPr>
                <w:rFonts w:eastAsia="Times New Roman" w:cs="Calibri"/>
              </w:rPr>
            </w:pPr>
            <w:r w:rsidRPr="002B622A">
              <w:rPr>
                <w:rFonts w:cs="Calibri"/>
              </w:rPr>
              <w:t>100,0</w:t>
            </w:r>
          </w:p>
        </w:tc>
        <w:tc>
          <w:tcPr>
            <w:tcW w:w="850" w:type="dxa"/>
            <w:noWrap/>
            <w:vAlign w:val="bottom"/>
            <w:hideMark/>
          </w:tcPr>
          <w:p w:rsidRPr="002B622A" w:rsidR="00C20282" w:rsidP="003E5498" w:rsidRDefault="00C20282" w14:paraId="196D4ED3" w14:textId="77777777">
            <w:pPr>
              <w:spacing w:line="240" w:lineRule="auto"/>
              <w:jc w:val="center"/>
              <w:rPr>
                <w:rFonts w:eastAsia="Times New Roman" w:cs="Calibri"/>
              </w:rPr>
            </w:pPr>
            <w:r w:rsidRPr="002B622A">
              <w:rPr>
                <w:rFonts w:cs="Calibri"/>
              </w:rPr>
              <w:t> </w:t>
            </w:r>
          </w:p>
        </w:tc>
        <w:tc>
          <w:tcPr>
            <w:tcW w:w="852" w:type="dxa"/>
            <w:noWrap/>
            <w:vAlign w:val="bottom"/>
            <w:hideMark/>
          </w:tcPr>
          <w:p w:rsidRPr="002B622A" w:rsidR="00C20282" w:rsidP="003E5498" w:rsidRDefault="00C20282" w14:paraId="1175B3F8" w14:textId="77777777">
            <w:pPr>
              <w:spacing w:line="240" w:lineRule="auto"/>
              <w:jc w:val="center"/>
              <w:rPr>
                <w:rFonts w:eastAsia="Times New Roman" w:cs="Calibri"/>
              </w:rPr>
            </w:pPr>
            <w:r w:rsidRPr="002B622A">
              <w:rPr>
                <w:rFonts w:cs="Calibri"/>
              </w:rPr>
              <w:t>100,0</w:t>
            </w:r>
          </w:p>
        </w:tc>
        <w:tc>
          <w:tcPr>
            <w:tcW w:w="850" w:type="dxa"/>
            <w:noWrap/>
            <w:vAlign w:val="bottom"/>
            <w:hideMark/>
          </w:tcPr>
          <w:p w:rsidRPr="002B622A" w:rsidR="00C20282" w:rsidP="003E5498" w:rsidRDefault="00C20282" w14:paraId="6B85F739" w14:textId="77777777">
            <w:pPr>
              <w:spacing w:line="240" w:lineRule="auto"/>
              <w:jc w:val="center"/>
              <w:rPr>
                <w:rFonts w:eastAsia="Times New Roman" w:cs="Calibri"/>
              </w:rPr>
            </w:pPr>
            <w:r w:rsidRPr="002B622A">
              <w:rPr>
                <w:rFonts w:cs="Calibri"/>
              </w:rPr>
              <w:t> </w:t>
            </w:r>
          </w:p>
        </w:tc>
        <w:tc>
          <w:tcPr>
            <w:tcW w:w="852" w:type="dxa"/>
            <w:noWrap/>
            <w:vAlign w:val="bottom"/>
            <w:hideMark/>
          </w:tcPr>
          <w:p w:rsidRPr="002B622A" w:rsidR="00C20282" w:rsidP="003E5498" w:rsidRDefault="00C20282" w14:paraId="0D6A4683" w14:textId="77777777">
            <w:pPr>
              <w:spacing w:line="240" w:lineRule="auto"/>
              <w:jc w:val="center"/>
              <w:rPr>
                <w:rFonts w:eastAsia="Times New Roman" w:cs="Calibri"/>
              </w:rPr>
            </w:pPr>
            <w:r w:rsidRPr="002B622A">
              <w:rPr>
                <w:rFonts w:cs="Calibri"/>
              </w:rPr>
              <w:t>100,0</w:t>
            </w:r>
          </w:p>
        </w:tc>
      </w:tr>
      <w:tr w:rsidRPr="002B622A" w:rsidR="00C20282" w:rsidTr="003E5498" w14:paraId="7D4BAC96" w14:textId="77777777">
        <w:trPr>
          <w:trHeight w:val="269"/>
        </w:trPr>
        <w:tc>
          <w:tcPr>
            <w:tcW w:w="931" w:type="dxa"/>
            <w:noWrap/>
            <w:vAlign w:val="bottom"/>
            <w:hideMark/>
          </w:tcPr>
          <w:p w:rsidRPr="002B622A" w:rsidR="00C20282" w:rsidP="003E5498" w:rsidRDefault="00C20282" w14:paraId="7BEFA4CF" w14:textId="77777777">
            <w:pPr>
              <w:spacing w:line="240" w:lineRule="auto"/>
              <w:jc w:val="center"/>
              <w:rPr>
                <w:rFonts w:eastAsia="Times New Roman" w:cs="Calibri"/>
              </w:rPr>
            </w:pPr>
            <w:r w:rsidRPr="002B622A">
              <w:rPr>
                <w:rFonts w:eastAsia="Times New Roman" w:cs="Calibri"/>
              </w:rPr>
              <w:t>2014</w:t>
            </w:r>
          </w:p>
        </w:tc>
        <w:tc>
          <w:tcPr>
            <w:tcW w:w="850" w:type="dxa"/>
            <w:noWrap/>
            <w:vAlign w:val="bottom"/>
            <w:hideMark/>
          </w:tcPr>
          <w:p w:rsidRPr="002B622A" w:rsidR="00C20282" w:rsidP="003E5498" w:rsidRDefault="00C20282" w14:paraId="33928CAA" w14:textId="77777777">
            <w:pPr>
              <w:spacing w:line="240" w:lineRule="auto"/>
              <w:jc w:val="center"/>
              <w:rPr>
                <w:rFonts w:eastAsia="Times New Roman" w:cs="Calibri"/>
              </w:rPr>
            </w:pPr>
            <w:r w:rsidRPr="002B622A">
              <w:rPr>
                <w:rFonts w:cs="Calibri"/>
              </w:rPr>
              <w:t>14,5</w:t>
            </w:r>
          </w:p>
        </w:tc>
        <w:tc>
          <w:tcPr>
            <w:tcW w:w="852" w:type="dxa"/>
            <w:noWrap/>
            <w:vAlign w:val="bottom"/>
            <w:hideMark/>
          </w:tcPr>
          <w:p w:rsidRPr="002B622A" w:rsidR="00C20282" w:rsidP="003E5498" w:rsidRDefault="00C20282" w14:paraId="182B2C27" w14:textId="77777777">
            <w:pPr>
              <w:spacing w:line="240" w:lineRule="auto"/>
              <w:jc w:val="center"/>
              <w:rPr>
                <w:rFonts w:eastAsia="Times New Roman" w:cs="Calibri"/>
              </w:rPr>
            </w:pPr>
            <w:r w:rsidRPr="002B622A">
              <w:rPr>
                <w:rFonts w:cs="Calibri"/>
              </w:rPr>
              <w:t>114,5</w:t>
            </w:r>
          </w:p>
        </w:tc>
        <w:tc>
          <w:tcPr>
            <w:tcW w:w="850" w:type="dxa"/>
            <w:noWrap/>
            <w:vAlign w:val="bottom"/>
            <w:hideMark/>
          </w:tcPr>
          <w:p w:rsidRPr="002B622A" w:rsidR="00C20282" w:rsidP="003E5498" w:rsidRDefault="00C20282" w14:paraId="4B499834" w14:textId="77777777">
            <w:pPr>
              <w:spacing w:line="240" w:lineRule="auto"/>
              <w:jc w:val="center"/>
              <w:rPr>
                <w:rFonts w:eastAsia="Times New Roman" w:cs="Calibri"/>
              </w:rPr>
            </w:pPr>
            <w:r w:rsidRPr="002B622A">
              <w:rPr>
                <w:rFonts w:cs="Calibri"/>
              </w:rPr>
              <w:t>24,5</w:t>
            </w:r>
          </w:p>
        </w:tc>
        <w:tc>
          <w:tcPr>
            <w:tcW w:w="852" w:type="dxa"/>
            <w:noWrap/>
            <w:vAlign w:val="bottom"/>
            <w:hideMark/>
          </w:tcPr>
          <w:p w:rsidRPr="002B622A" w:rsidR="00C20282" w:rsidP="003E5498" w:rsidRDefault="00C20282" w14:paraId="6160DA08" w14:textId="77777777">
            <w:pPr>
              <w:spacing w:line="240" w:lineRule="auto"/>
              <w:jc w:val="center"/>
              <w:rPr>
                <w:rFonts w:eastAsia="Times New Roman" w:cs="Calibri"/>
              </w:rPr>
            </w:pPr>
            <w:r w:rsidRPr="002B622A">
              <w:rPr>
                <w:rFonts w:cs="Calibri"/>
              </w:rPr>
              <w:t>124,5</w:t>
            </w:r>
          </w:p>
        </w:tc>
        <w:tc>
          <w:tcPr>
            <w:tcW w:w="850" w:type="dxa"/>
            <w:noWrap/>
            <w:vAlign w:val="bottom"/>
            <w:hideMark/>
          </w:tcPr>
          <w:p w:rsidRPr="002B622A" w:rsidR="00C20282" w:rsidP="003E5498" w:rsidRDefault="00C20282" w14:paraId="5B994843" w14:textId="77777777">
            <w:pPr>
              <w:spacing w:line="240" w:lineRule="auto"/>
              <w:jc w:val="center"/>
              <w:rPr>
                <w:rFonts w:eastAsia="Times New Roman" w:cs="Calibri"/>
              </w:rPr>
            </w:pPr>
            <w:r w:rsidRPr="002B622A">
              <w:rPr>
                <w:rFonts w:cs="Calibri"/>
              </w:rPr>
              <w:t>17,8</w:t>
            </w:r>
          </w:p>
        </w:tc>
        <w:tc>
          <w:tcPr>
            <w:tcW w:w="852" w:type="dxa"/>
            <w:noWrap/>
            <w:vAlign w:val="bottom"/>
            <w:hideMark/>
          </w:tcPr>
          <w:p w:rsidRPr="002B622A" w:rsidR="00C20282" w:rsidP="003E5498" w:rsidRDefault="00C20282" w14:paraId="227606A3" w14:textId="77777777">
            <w:pPr>
              <w:spacing w:line="240" w:lineRule="auto"/>
              <w:jc w:val="center"/>
              <w:rPr>
                <w:rFonts w:eastAsia="Times New Roman" w:cs="Calibri"/>
              </w:rPr>
            </w:pPr>
            <w:r w:rsidRPr="002B622A">
              <w:rPr>
                <w:rFonts w:cs="Calibri"/>
              </w:rPr>
              <w:t>117,8</w:t>
            </w:r>
          </w:p>
        </w:tc>
        <w:tc>
          <w:tcPr>
            <w:tcW w:w="850" w:type="dxa"/>
            <w:noWrap/>
            <w:vAlign w:val="bottom"/>
            <w:hideMark/>
          </w:tcPr>
          <w:p w:rsidRPr="002B622A" w:rsidR="00C20282" w:rsidP="003E5498" w:rsidRDefault="00C20282" w14:paraId="24E95BF4" w14:textId="77777777">
            <w:pPr>
              <w:spacing w:line="240" w:lineRule="auto"/>
              <w:jc w:val="center"/>
              <w:rPr>
                <w:rFonts w:eastAsia="Times New Roman" w:cs="Calibri"/>
              </w:rPr>
            </w:pPr>
            <w:r w:rsidRPr="002B622A">
              <w:rPr>
                <w:rFonts w:cs="Calibri"/>
              </w:rPr>
              <w:t>20,6</w:t>
            </w:r>
          </w:p>
        </w:tc>
        <w:tc>
          <w:tcPr>
            <w:tcW w:w="852" w:type="dxa"/>
            <w:noWrap/>
            <w:vAlign w:val="bottom"/>
            <w:hideMark/>
          </w:tcPr>
          <w:p w:rsidRPr="002B622A" w:rsidR="00C20282" w:rsidP="003E5498" w:rsidRDefault="00C20282" w14:paraId="27797715" w14:textId="77777777">
            <w:pPr>
              <w:spacing w:line="240" w:lineRule="auto"/>
              <w:jc w:val="center"/>
              <w:rPr>
                <w:rFonts w:eastAsia="Times New Roman" w:cs="Calibri"/>
              </w:rPr>
            </w:pPr>
            <w:r w:rsidRPr="002B622A">
              <w:rPr>
                <w:rFonts w:cs="Calibri"/>
              </w:rPr>
              <w:t>120,6</w:t>
            </w:r>
          </w:p>
        </w:tc>
        <w:tc>
          <w:tcPr>
            <w:tcW w:w="850" w:type="dxa"/>
            <w:noWrap/>
            <w:vAlign w:val="bottom"/>
            <w:hideMark/>
          </w:tcPr>
          <w:p w:rsidRPr="002B622A" w:rsidR="00C20282" w:rsidP="003E5498" w:rsidRDefault="00C20282" w14:paraId="79DA397E" w14:textId="77777777">
            <w:pPr>
              <w:spacing w:line="240" w:lineRule="auto"/>
              <w:jc w:val="center"/>
              <w:rPr>
                <w:rFonts w:eastAsia="Times New Roman" w:cs="Calibri"/>
              </w:rPr>
            </w:pPr>
            <w:r w:rsidRPr="002B622A">
              <w:rPr>
                <w:rFonts w:cs="Calibri"/>
              </w:rPr>
              <w:t>15,5</w:t>
            </w:r>
          </w:p>
        </w:tc>
        <w:tc>
          <w:tcPr>
            <w:tcW w:w="852" w:type="dxa"/>
            <w:noWrap/>
            <w:vAlign w:val="bottom"/>
            <w:hideMark/>
          </w:tcPr>
          <w:p w:rsidRPr="002B622A" w:rsidR="00C20282" w:rsidP="003E5498" w:rsidRDefault="00C20282" w14:paraId="43DC80F2" w14:textId="77777777">
            <w:pPr>
              <w:spacing w:line="240" w:lineRule="auto"/>
              <w:jc w:val="center"/>
              <w:rPr>
                <w:rFonts w:eastAsia="Times New Roman" w:cs="Calibri"/>
              </w:rPr>
            </w:pPr>
            <w:r w:rsidRPr="002B622A">
              <w:rPr>
                <w:rFonts w:cs="Calibri"/>
              </w:rPr>
              <w:t>115,5</w:t>
            </w:r>
          </w:p>
        </w:tc>
      </w:tr>
      <w:tr w:rsidRPr="002B622A" w:rsidR="00C20282" w:rsidTr="003E5498" w14:paraId="543326B5" w14:textId="77777777">
        <w:trPr>
          <w:trHeight w:val="269"/>
        </w:trPr>
        <w:tc>
          <w:tcPr>
            <w:tcW w:w="931" w:type="dxa"/>
            <w:noWrap/>
            <w:vAlign w:val="bottom"/>
            <w:hideMark/>
          </w:tcPr>
          <w:p w:rsidRPr="002B622A" w:rsidR="00C20282" w:rsidP="003E5498" w:rsidRDefault="00C20282" w14:paraId="5B28ED2D" w14:textId="77777777">
            <w:pPr>
              <w:spacing w:line="240" w:lineRule="auto"/>
              <w:jc w:val="center"/>
              <w:rPr>
                <w:rFonts w:eastAsia="Times New Roman" w:cs="Calibri"/>
              </w:rPr>
            </w:pPr>
            <w:r w:rsidRPr="002B622A">
              <w:rPr>
                <w:rFonts w:eastAsia="Times New Roman" w:cs="Calibri"/>
              </w:rPr>
              <w:t>2015</w:t>
            </w:r>
          </w:p>
        </w:tc>
        <w:tc>
          <w:tcPr>
            <w:tcW w:w="850" w:type="dxa"/>
            <w:noWrap/>
            <w:vAlign w:val="bottom"/>
            <w:hideMark/>
          </w:tcPr>
          <w:p w:rsidRPr="002B622A" w:rsidR="00C20282" w:rsidP="003E5498" w:rsidRDefault="00C20282" w14:paraId="4C1FCCC3" w14:textId="77777777">
            <w:pPr>
              <w:spacing w:line="240" w:lineRule="auto"/>
              <w:jc w:val="center"/>
              <w:rPr>
                <w:rFonts w:eastAsia="Times New Roman" w:cs="Calibri"/>
              </w:rPr>
            </w:pPr>
            <w:r w:rsidRPr="002B622A">
              <w:rPr>
                <w:rFonts w:cs="Calibri"/>
              </w:rPr>
              <w:t>2,7</w:t>
            </w:r>
          </w:p>
        </w:tc>
        <w:tc>
          <w:tcPr>
            <w:tcW w:w="852" w:type="dxa"/>
            <w:noWrap/>
            <w:vAlign w:val="bottom"/>
            <w:hideMark/>
          </w:tcPr>
          <w:p w:rsidRPr="002B622A" w:rsidR="00C20282" w:rsidP="003E5498" w:rsidRDefault="00C20282" w14:paraId="7AFF2084" w14:textId="77777777">
            <w:pPr>
              <w:spacing w:line="240" w:lineRule="auto"/>
              <w:jc w:val="center"/>
              <w:rPr>
                <w:rFonts w:eastAsia="Times New Roman" w:cs="Calibri"/>
              </w:rPr>
            </w:pPr>
            <w:r w:rsidRPr="002B622A">
              <w:rPr>
                <w:rFonts w:cs="Calibri"/>
              </w:rPr>
              <w:t>117,6</w:t>
            </w:r>
          </w:p>
        </w:tc>
        <w:tc>
          <w:tcPr>
            <w:tcW w:w="850" w:type="dxa"/>
            <w:noWrap/>
            <w:vAlign w:val="bottom"/>
            <w:hideMark/>
          </w:tcPr>
          <w:p w:rsidRPr="002B622A" w:rsidR="00C20282" w:rsidP="003E5498" w:rsidRDefault="00C20282" w14:paraId="288F5354" w14:textId="77777777">
            <w:pPr>
              <w:spacing w:line="240" w:lineRule="auto"/>
              <w:jc w:val="center"/>
              <w:rPr>
                <w:rFonts w:eastAsia="Times New Roman" w:cs="Calibri"/>
              </w:rPr>
            </w:pPr>
            <w:r w:rsidRPr="002B622A">
              <w:rPr>
                <w:rFonts w:cs="Calibri"/>
              </w:rPr>
              <w:t>1,2</w:t>
            </w:r>
          </w:p>
        </w:tc>
        <w:tc>
          <w:tcPr>
            <w:tcW w:w="852" w:type="dxa"/>
            <w:noWrap/>
            <w:vAlign w:val="bottom"/>
            <w:hideMark/>
          </w:tcPr>
          <w:p w:rsidRPr="002B622A" w:rsidR="00C20282" w:rsidP="003E5498" w:rsidRDefault="00C20282" w14:paraId="1D7C7C3C" w14:textId="77777777">
            <w:pPr>
              <w:spacing w:line="240" w:lineRule="auto"/>
              <w:jc w:val="center"/>
              <w:rPr>
                <w:rFonts w:eastAsia="Times New Roman" w:cs="Calibri"/>
              </w:rPr>
            </w:pPr>
            <w:r w:rsidRPr="002B622A">
              <w:rPr>
                <w:rFonts w:cs="Calibri"/>
              </w:rPr>
              <w:t>126,0</w:t>
            </w:r>
          </w:p>
        </w:tc>
        <w:tc>
          <w:tcPr>
            <w:tcW w:w="850" w:type="dxa"/>
            <w:noWrap/>
            <w:vAlign w:val="bottom"/>
            <w:hideMark/>
          </w:tcPr>
          <w:p w:rsidRPr="002B622A" w:rsidR="00C20282" w:rsidP="003E5498" w:rsidRDefault="00C20282" w14:paraId="4BB6BE8C" w14:textId="77777777">
            <w:pPr>
              <w:spacing w:line="240" w:lineRule="auto"/>
              <w:jc w:val="center"/>
              <w:rPr>
                <w:rFonts w:eastAsia="Times New Roman" w:cs="Calibri"/>
              </w:rPr>
            </w:pPr>
            <w:r w:rsidRPr="002B622A">
              <w:rPr>
                <w:rFonts w:cs="Calibri"/>
              </w:rPr>
              <w:t>1,0</w:t>
            </w:r>
          </w:p>
        </w:tc>
        <w:tc>
          <w:tcPr>
            <w:tcW w:w="852" w:type="dxa"/>
            <w:noWrap/>
            <w:vAlign w:val="bottom"/>
            <w:hideMark/>
          </w:tcPr>
          <w:p w:rsidRPr="002B622A" w:rsidR="00C20282" w:rsidP="003E5498" w:rsidRDefault="00C20282" w14:paraId="3CB8D5E7" w14:textId="77777777">
            <w:pPr>
              <w:spacing w:line="240" w:lineRule="auto"/>
              <w:jc w:val="center"/>
              <w:rPr>
                <w:rFonts w:eastAsia="Times New Roman" w:cs="Calibri"/>
              </w:rPr>
            </w:pPr>
            <w:r w:rsidRPr="002B622A">
              <w:rPr>
                <w:rFonts w:cs="Calibri"/>
              </w:rPr>
              <w:t>119,0</w:t>
            </w:r>
          </w:p>
        </w:tc>
        <w:tc>
          <w:tcPr>
            <w:tcW w:w="850" w:type="dxa"/>
            <w:noWrap/>
            <w:vAlign w:val="bottom"/>
            <w:hideMark/>
          </w:tcPr>
          <w:p w:rsidRPr="002B622A" w:rsidR="00C20282" w:rsidP="003E5498" w:rsidRDefault="00C20282" w14:paraId="19F2DEFB" w14:textId="77777777">
            <w:pPr>
              <w:spacing w:line="240" w:lineRule="auto"/>
              <w:jc w:val="center"/>
              <w:rPr>
                <w:rFonts w:eastAsia="Times New Roman" w:cs="Calibri"/>
              </w:rPr>
            </w:pPr>
            <w:r w:rsidRPr="002B622A">
              <w:rPr>
                <w:rFonts w:cs="Calibri"/>
              </w:rPr>
              <w:t>2,3</w:t>
            </w:r>
          </w:p>
        </w:tc>
        <w:tc>
          <w:tcPr>
            <w:tcW w:w="852" w:type="dxa"/>
            <w:noWrap/>
            <w:vAlign w:val="bottom"/>
            <w:hideMark/>
          </w:tcPr>
          <w:p w:rsidRPr="002B622A" w:rsidR="00C20282" w:rsidP="003E5498" w:rsidRDefault="00C20282" w14:paraId="1560F16B" w14:textId="77777777">
            <w:pPr>
              <w:spacing w:line="240" w:lineRule="auto"/>
              <w:jc w:val="center"/>
              <w:rPr>
                <w:rFonts w:eastAsia="Times New Roman" w:cs="Calibri"/>
              </w:rPr>
            </w:pPr>
            <w:r w:rsidRPr="002B622A">
              <w:rPr>
                <w:rFonts w:cs="Calibri"/>
              </w:rPr>
              <w:t>123,4</w:t>
            </w:r>
          </w:p>
        </w:tc>
        <w:tc>
          <w:tcPr>
            <w:tcW w:w="850" w:type="dxa"/>
            <w:noWrap/>
            <w:vAlign w:val="bottom"/>
            <w:hideMark/>
          </w:tcPr>
          <w:p w:rsidRPr="002B622A" w:rsidR="00C20282" w:rsidP="003E5498" w:rsidRDefault="00C20282" w14:paraId="431A4C1F" w14:textId="77777777">
            <w:pPr>
              <w:spacing w:line="240" w:lineRule="auto"/>
              <w:jc w:val="center"/>
              <w:rPr>
                <w:rFonts w:eastAsia="Times New Roman" w:cs="Calibri"/>
              </w:rPr>
            </w:pPr>
            <w:r w:rsidRPr="002B622A">
              <w:rPr>
                <w:rFonts w:cs="Calibri"/>
              </w:rPr>
              <w:t>-0,1</w:t>
            </w:r>
          </w:p>
        </w:tc>
        <w:tc>
          <w:tcPr>
            <w:tcW w:w="852" w:type="dxa"/>
            <w:noWrap/>
            <w:vAlign w:val="bottom"/>
            <w:hideMark/>
          </w:tcPr>
          <w:p w:rsidRPr="002B622A" w:rsidR="00C20282" w:rsidP="003E5498" w:rsidRDefault="00C20282" w14:paraId="62E70838" w14:textId="77777777">
            <w:pPr>
              <w:spacing w:line="240" w:lineRule="auto"/>
              <w:jc w:val="center"/>
              <w:rPr>
                <w:rFonts w:eastAsia="Times New Roman" w:cs="Calibri"/>
              </w:rPr>
            </w:pPr>
            <w:r w:rsidRPr="002B622A">
              <w:rPr>
                <w:rFonts w:cs="Calibri"/>
              </w:rPr>
              <w:t>115,4</w:t>
            </w:r>
          </w:p>
        </w:tc>
      </w:tr>
      <w:tr w:rsidRPr="002B622A" w:rsidR="00C20282" w:rsidTr="003E5498" w14:paraId="76757BD6" w14:textId="77777777">
        <w:trPr>
          <w:trHeight w:val="269"/>
        </w:trPr>
        <w:tc>
          <w:tcPr>
            <w:tcW w:w="931" w:type="dxa"/>
            <w:noWrap/>
            <w:vAlign w:val="bottom"/>
            <w:hideMark/>
          </w:tcPr>
          <w:p w:rsidRPr="002B622A" w:rsidR="00C20282" w:rsidP="003E5498" w:rsidRDefault="00C20282" w14:paraId="4960C9D7" w14:textId="77777777">
            <w:pPr>
              <w:spacing w:line="240" w:lineRule="auto"/>
              <w:jc w:val="center"/>
              <w:rPr>
                <w:rFonts w:eastAsia="Times New Roman" w:cs="Calibri"/>
              </w:rPr>
            </w:pPr>
            <w:r w:rsidRPr="002B622A">
              <w:rPr>
                <w:rFonts w:eastAsia="Times New Roman" w:cs="Calibri"/>
              </w:rPr>
              <w:t>2016</w:t>
            </w:r>
          </w:p>
        </w:tc>
        <w:tc>
          <w:tcPr>
            <w:tcW w:w="850" w:type="dxa"/>
            <w:noWrap/>
            <w:vAlign w:val="bottom"/>
            <w:hideMark/>
          </w:tcPr>
          <w:p w:rsidRPr="002B622A" w:rsidR="00C20282" w:rsidP="003E5498" w:rsidRDefault="00C20282" w14:paraId="212C2003" w14:textId="77777777">
            <w:pPr>
              <w:spacing w:line="240" w:lineRule="auto"/>
              <w:jc w:val="center"/>
              <w:rPr>
                <w:rFonts w:eastAsia="Times New Roman" w:cs="Calibri"/>
              </w:rPr>
            </w:pPr>
            <w:r w:rsidRPr="002B622A">
              <w:rPr>
                <w:rFonts w:cs="Calibri"/>
              </w:rPr>
              <w:t>9,5</w:t>
            </w:r>
          </w:p>
        </w:tc>
        <w:tc>
          <w:tcPr>
            <w:tcW w:w="852" w:type="dxa"/>
            <w:noWrap/>
            <w:vAlign w:val="bottom"/>
            <w:hideMark/>
          </w:tcPr>
          <w:p w:rsidRPr="002B622A" w:rsidR="00C20282" w:rsidP="003E5498" w:rsidRDefault="00C20282" w14:paraId="34D4E3F0" w14:textId="77777777">
            <w:pPr>
              <w:spacing w:line="240" w:lineRule="auto"/>
              <w:jc w:val="center"/>
              <w:rPr>
                <w:rFonts w:eastAsia="Times New Roman" w:cs="Calibri"/>
              </w:rPr>
            </w:pPr>
            <w:r w:rsidRPr="002B622A">
              <w:rPr>
                <w:rFonts w:cs="Calibri"/>
              </w:rPr>
              <w:t>128,8</w:t>
            </w:r>
          </w:p>
        </w:tc>
        <w:tc>
          <w:tcPr>
            <w:tcW w:w="850" w:type="dxa"/>
            <w:noWrap/>
            <w:vAlign w:val="bottom"/>
            <w:hideMark/>
          </w:tcPr>
          <w:p w:rsidRPr="002B622A" w:rsidR="00C20282" w:rsidP="003E5498" w:rsidRDefault="00C20282" w14:paraId="663947A6" w14:textId="77777777">
            <w:pPr>
              <w:spacing w:line="240" w:lineRule="auto"/>
              <w:jc w:val="center"/>
              <w:rPr>
                <w:rFonts w:eastAsia="Times New Roman" w:cs="Calibri"/>
              </w:rPr>
            </w:pPr>
            <w:r w:rsidRPr="002B622A">
              <w:rPr>
                <w:rFonts w:cs="Calibri"/>
              </w:rPr>
              <w:t>12,2</w:t>
            </w:r>
          </w:p>
        </w:tc>
        <w:tc>
          <w:tcPr>
            <w:tcW w:w="852" w:type="dxa"/>
            <w:noWrap/>
            <w:vAlign w:val="bottom"/>
            <w:hideMark/>
          </w:tcPr>
          <w:p w:rsidRPr="002B622A" w:rsidR="00C20282" w:rsidP="003E5498" w:rsidRDefault="00C20282" w14:paraId="3E7EA6DD" w14:textId="77777777">
            <w:pPr>
              <w:spacing w:line="240" w:lineRule="auto"/>
              <w:jc w:val="center"/>
              <w:rPr>
                <w:rFonts w:eastAsia="Times New Roman" w:cs="Calibri"/>
              </w:rPr>
            </w:pPr>
            <w:r w:rsidRPr="002B622A">
              <w:rPr>
                <w:rFonts w:cs="Calibri"/>
              </w:rPr>
              <w:t>141,4</w:t>
            </w:r>
          </w:p>
        </w:tc>
        <w:tc>
          <w:tcPr>
            <w:tcW w:w="850" w:type="dxa"/>
            <w:noWrap/>
            <w:vAlign w:val="bottom"/>
            <w:hideMark/>
          </w:tcPr>
          <w:p w:rsidRPr="002B622A" w:rsidR="00C20282" w:rsidP="003E5498" w:rsidRDefault="00C20282" w14:paraId="1BD433EB" w14:textId="77777777">
            <w:pPr>
              <w:spacing w:line="240" w:lineRule="auto"/>
              <w:jc w:val="center"/>
              <w:rPr>
                <w:rFonts w:eastAsia="Times New Roman" w:cs="Calibri"/>
              </w:rPr>
            </w:pPr>
            <w:r w:rsidRPr="002B622A">
              <w:rPr>
                <w:rFonts w:cs="Calibri"/>
              </w:rPr>
              <w:t>10,3</w:t>
            </w:r>
          </w:p>
        </w:tc>
        <w:tc>
          <w:tcPr>
            <w:tcW w:w="852" w:type="dxa"/>
            <w:noWrap/>
            <w:vAlign w:val="bottom"/>
            <w:hideMark/>
          </w:tcPr>
          <w:p w:rsidRPr="002B622A" w:rsidR="00C20282" w:rsidP="003E5498" w:rsidRDefault="00C20282" w14:paraId="36D88AB9" w14:textId="77777777">
            <w:pPr>
              <w:spacing w:line="240" w:lineRule="auto"/>
              <w:jc w:val="center"/>
              <w:rPr>
                <w:rFonts w:eastAsia="Times New Roman" w:cs="Calibri"/>
              </w:rPr>
            </w:pPr>
            <w:r w:rsidRPr="002B622A">
              <w:rPr>
                <w:rFonts w:cs="Calibri"/>
              </w:rPr>
              <w:t>131,2</w:t>
            </w:r>
          </w:p>
        </w:tc>
        <w:tc>
          <w:tcPr>
            <w:tcW w:w="850" w:type="dxa"/>
            <w:noWrap/>
            <w:vAlign w:val="bottom"/>
            <w:hideMark/>
          </w:tcPr>
          <w:p w:rsidRPr="002B622A" w:rsidR="00C20282" w:rsidP="003E5498" w:rsidRDefault="00C20282" w14:paraId="2C4EB892" w14:textId="77777777">
            <w:pPr>
              <w:spacing w:line="240" w:lineRule="auto"/>
              <w:jc w:val="center"/>
              <w:rPr>
                <w:rFonts w:eastAsia="Times New Roman" w:cs="Calibri"/>
              </w:rPr>
            </w:pPr>
            <w:r w:rsidRPr="002B622A">
              <w:rPr>
                <w:rFonts w:cs="Calibri"/>
              </w:rPr>
              <w:t>11,0</w:t>
            </w:r>
          </w:p>
        </w:tc>
        <w:tc>
          <w:tcPr>
            <w:tcW w:w="852" w:type="dxa"/>
            <w:noWrap/>
            <w:vAlign w:val="bottom"/>
            <w:hideMark/>
          </w:tcPr>
          <w:p w:rsidRPr="002B622A" w:rsidR="00C20282" w:rsidP="003E5498" w:rsidRDefault="00C20282" w14:paraId="630B78F3" w14:textId="77777777">
            <w:pPr>
              <w:spacing w:line="240" w:lineRule="auto"/>
              <w:jc w:val="center"/>
              <w:rPr>
                <w:rFonts w:eastAsia="Times New Roman" w:cs="Calibri"/>
              </w:rPr>
            </w:pPr>
            <w:r w:rsidRPr="002B622A">
              <w:rPr>
                <w:rFonts w:cs="Calibri"/>
              </w:rPr>
              <w:t>136,9</w:t>
            </w:r>
          </w:p>
        </w:tc>
        <w:tc>
          <w:tcPr>
            <w:tcW w:w="850" w:type="dxa"/>
            <w:noWrap/>
            <w:vAlign w:val="bottom"/>
            <w:hideMark/>
          </w:tcPr>
          <w:p w:rsidRPr="002B622A" w:rsidR="00C20282" w:rsidP="003E5498" w:rsidRDefault="00C20282" w14:paraId="4A2C0028" w14:textId="77777777">
            <w:pPr>
              <w:spacing w:line="240" w:lineRule="auto"/>
              <w:jc w:val="center"/>
              <w:rPr>
                <w:rFonts w:eastAsia="Times New Roman" w:cs="Calibri"/>
              </w:rPr>
            </w:pPr>
            <w:r w:rsidRPr="002B622A">
              <w:rPr>
                <w:rFonts w:cs="Calibri"/>
              </w:rPr>
              <w:t>12,0</w:t>
            </w:r>
          </w:p>
        </w:tc>
        <w:tc>
          <w:tcPr>
            <w:tcW w:w="852" w:type="dxa"/>
            <w:noWrap/>
            <w:vAlign w:val="bottom"/>
            <w:hideMark/>
          </w:tcPr>
          <w:p w:rsidRPr="002B622A" w:rsidR="00C20282" w:rsidP="003E5498" w:rsidRDefault="00C20282" w14:paraId="150EDE5E" w14:textId="77777777">
            <w:pPr>
              <w:spacing w:line="240" w:lineRule="auto"/>
              <w:jc w:val="center"/>
              <w:rPr>
                <w:rFonts w:eastAsia="Times New Roman" w:cs="Calibri"/>
              </w:rPr>
            </w:pPr>
            <w:r w:rsidRPr="002B622A">
              <w:rPr>
                <w:rFonts w:cs="Calibri"/>
              </w:rPr>
              <w:t>129,2</w:t>
            </w:r>
          </w:p>
        </w:tc>
      </w:tr>
      <w:tr w:rsidRPr="002B622A" w:rsidR="00C20282" w:rsidTr="003E5498" w14:paraId="7255E090" w14:textId="77777777">
        <w:trPr>
          <w:trHeight w:val="269"/>
        </w:trPr>
        <w:tc>
          <w:tcPr>
            <w:tcW w:w="931" w:type="dxa"/>
            <w:noWrap/>
            <w:vAlign w:val="bottom"/>
            <w:hideMark/>
          </w:tcPr>
          <w:p w:rsidRPr="002B622A" w:rsidR="00C20282" w:rsidP="003E5498" w:rsidRDefault="00C20282" w14:paraId="141CA9B8" w14:textId="77777777">
            <w:pPr>
              <w:spacing w:line="240" w:lineRule="auto"/>
              <w:jc w:val="center"/>
              <w:rPr>
                <w:rFonts w:eastAsia="Times New Roman" w:cs="Calibri"/>
              </w:rPr>
            </w:pPr>
            <w:r w:rsidRPr="002B622A">
              <w:rPr>
                <w:rFonts w:eastAsia="Times New Roman" w:cs="Calibri"/>
              </w:rPr>
              <w:t>2017</w:t>
            </w:r>
          </w:p>
        </w:tc>
        <w:tc>
          <w:tcPr>
            <w:tcW w:w="850" w:type="dxa"/>
            <w:noWrap/>
            <w:vAlign w:val="bottom"/>
            <w:hideMark/>
          </w:tcPr>
          <w:p w:rsidRPr="002B622A" w:rsidR="00C20282" w:rsidP="003E5498" w:rsidRDefault="00C20282" w14:paraId="2AA7BDC1" w14:textId="77777777">
            <w:pPr>
              <w:spacing w:line="240" w:lineRule="auto"/>
              <w:jc w:val="center"/>
              <w:rPr>
                <w:rFonts w:eastAsia="Times New Roman" w:cs="Calibri"/>
              </w:rPr>
            </w:pPr>
            <w:r w:rsidRPr="002B622A">
              <w:rPr>
                <w:rFonts w:cs="Calibri"/>
              </w:rPr>
              <w:t>7,6</w:t>
            </w:r>
          </w:p>
        </w:tc>
        <w:tc>
          <w:tcPr>
            <w:tcW w:w="852" w:type="dxa"/>
            <w:noWrap/>
            <w:vAlign w:val="bottom"/>
            <w:hideMark/>
          </w:tcPr>
          <w:p w:rsidRPr="002B622A" w:rsidR="00C20282" w:rsidP="003E5498" w:rsidRDefault="00C20282" w14:paraId="00275AA7" w14:textId="77777777">
            <w:pPr>
              <w:spacing w:line="240" w:lineRule="auto"/>
              <w:jc w:val="center"/>
              <w:rPr>
                <w:rFonts w:eastAsia="Times New Roman" w:cs="Calibri"/>
              </w:rPr>
            </w:pPr>
            <w:r w:rsidRPr="002B622A">
              <w:rPr>
                <w:rFonts w:cs="Calibri"/>
              </w:rPr>
              <w:t>138,5</w:t>
            </w:r>
          </w:p>
        </w:tc>
        <w:tc>
          <w:tcPr>
            <w:tcW w:w="850" w:type="dxa"/>
            <w:noWrap/>
            <w:vAlign w:val="bottom"/>
            <w:hideMark/>
          </w:tcPr>
          <w:p w:rsidRPr="002B622A" w:rsidR="00C20282" w:rsidP="003E5498" w:rsidRDefault="00C20282" w14:paraId="00CD5B5D" w14:textId="77777777">
            <w:pPr>
              <w:spacing w:line="240" w:lineRule="auto"/>
              <w:jc w:val="center"/>
              <w:rPr>
                <w:rFonts w:eastAsia="Times New Roman" w:cs="Calibri"/>
              </w:rPr>
            </w:pPr>
            <w:r w:rsidRPr="002B622A">
              <w:rPr>
                <w:rFonts w:cs="Calibri"/>
              </w:rPr>
              <w:t>6,6</w:t>
            </w:r>
          </w:p>
        </w:tc>
        <w:tc>
          <w:tcPr>
            <w:tcW w:w="852" w:type="dxa"/>
            <w:noWrap/>
            <w:vAlign w:val="bottom"/>
            <w:hideMark/>
          </w:tcPr>
          <w:p w:rsidRPr="002B622A" w:rsidR="00C20282" w:rsidP="003E5498" w:rsidRDefault="00C20282" w14:paraId="6136B615" w14:textId="77777777">
            <w:pPr>
              <w:spacing w:line="240" w:lineRule="auto"/>
              <w:jc w:val="center"/>
              <w:rPr>
                <w:rFonts w:eastAsia="Times New Roman" w:cs="Calibri"/>
              </w:rPr>
            </w:pPr>
            <w:r w:rsidRPr="002B622A">
              <w:rPr>
                <w:rFonts w:cs="Calibri"/>
              </w:rPr>
              <w:t>150,7</w:t>
            </w:r>
          </w:p>
        </w:tc>
        <w:tc>
          <w:tcPr>
            <w:tcW w:w="850" w:type="dxa"/>
            <w:noWrap/>
            <w:vAlign w:val="bottom"/>
            <w:hideMark/>
          </w:tcPr>
          <w:p w:rsidRPr="002B622A" w:rsidR="00C20282" w:rsidP="003E5498" w:rsidRDefault="00C20282" w14:paraId="0AF42DCB" w14:textId="77777777">
            <w:pPr>
              <w:spacing w:line="240" w:lineRule="auto"/>
              <w:jc w:val="center"/>
              <w:rPr>
                <w:rFonts w:eastAsia="Times New Roman" w:cs="Calibri"/>
              </w:rPr>
            </w:pPr>
            <w:r w:rsidRPr="002B622A">
              <w:rPr>
                <w:rFonts w:cs="Calibri"/>
              </w:rPr>
              <w:t>4,7</w:t>
            </w:r>
          </w:p>
        </w:tc>
        <w:tc>
          <w:tcPr>
            <w:tcW w:w="852" w:type="dxa"/>
            <w:noWrap/>
            <w:vAlign w:val="bottom"/>
            <w:hideMark/>
          </w:tcPr>
          <w:p w:rsidRPr="002B622A" w:rsidR="00C20282" w:rsidP="003E5498" w:rsidRDefault="00C20282" w14:paraId="548D7B98" w14:textId="77777777">
            <w:pPr>
              <w:spacing w:line="240" w:lineRule="auto"/>
              <w:jc w:val="center"/>
              <w:rPr>
                <w:rFonts w:eastAsia="Times New Roman" w:cs="Calibri"/>
              </w:rPr>
            </w:pPr>
            <w:r w:rsidRPr="002B622A">
              <w:rPr>
                <w:rFonts w:cs="Calibri"/>
              </w:rPr>
              <w:t>137,4</w:t>
            </w:r>
          </w:p>
        </w:tc>
        <w:tc>
          <w:tcPr>
            <w:tcW w:w="850" w:type="dxa"/>
            <w:noWrap/>
            <w:vAlign w:val="bottom"/>
            <w:hideMark/>
          </w:tcPr>
          <w:p w:rsidRPr="002B622A" w:rsidR="00C20282" w:rsidP="003E5498" w:rsidRDefault="00C20282" w14:paraId="52CB4E8F" w14:textId="77777777">
            <w:pPr>
              <w:spacing w:line="240" w:lineRule="auto"/>
              <w:jc w:val="center"/>
              <w:rPr>
                <w:rFonts w:eastAsia="Times New Roman" w:cs="Calibri"/>
              </w:rPr>
            </w:pPr>
            <w:r w:rsidRPr="002B622A">
              <w:rPr>
                <w:rFonts w:cs="Calibri"/>
              </w:rPr>
              <w:t>4,1</w:t>
            </w:r>
          </w:p>
        </w:tc>
        <w:tc>
          <w:tcPr>
            <w:tcW w:w="852" w:type="dxa"/>
            <w:noWrap/>
            <w:vAlign w:val="bottom"/>
            <w:hideMark/>
          </w:tcPr>
          <w:p w:rsidRPr="002B622A" w:rsidR="00C20282" w:rsidP="003E5498" w:rsidRDefault="00C20282" w14:paraId="5C91A3B5" w14:textId="77777777">
            <w:pPr>
              <w:spacing w:line="240" w:lineRule="auto"/>
              <w:jc w:val="center"/>
              <w:rPr>
                <w:rFonts w:eastAsia="Times New Roman" w:cs="Calibri"/>
              </w:rPr>
            </w:pPr>
            <w:r w:rsidRPr="002B622A">
              <w:rPr>
                <w:rFonts w:cs="Calibri"/>
              </w:rPr>
              <w:t>142,6</w:t>
            </w:r>
          </w:p>
        </w:tc>
        <w:tc>
          <w:tcPr>
            <w:tcW w:w="850" w:type="dxa"/>
            <w:noWrap/>
            <w:vAlign w:val="bottom"/>
            <w:hideMark/>
          </w:tcPr>
          <w:p w:rsidRPr="002B622A" w:rsidR="00C20282" w:rsidP="003E5498" w:rsidRDefault="00C20282" w14:paraId="5A4235D6" w14:textId="77777777">
            <w:pPr>
              <w:spacing w:line="240" w:lineRule="auto"/>
              <w:jc w:val="center"/>
              <w:rPr>
                <w:rFonts w:eastAsia="Times New Roman" w:cs="Calibri"/>
              </w:rPr>
            </w:pPr>
            <w:r w:rsidRPr="002B622A">
              <w:rPr>
                <w:rFonts w:cs="Calibri"/>
              </w:rPr>
              <w:t>5,1</w:t>
            </w:r>
          </w:p>
        </w:tc>
        <w:tc>
          <w:tcPr>
            <w:tcW w:w="852" w:type="dxa"/>
            <w:noWrap/>
            <w:vAlign w:val="bottom"/>
            <w:hideMark/>
          </w:tcPr>
          <w:p w:rsidRPr="002B622A" w:rsidR="00C20282" w:rsidP="003E5498" w:rsidRDefault="00C20282" w14:paraId="39183FD7" w14:textId="77777777">
            <w:pPr>
              <w:spacing w:line="240" w:lineRule="auto"/>
              <w:jc w:val="center"/>
              <w:rPr>
                <w:rFonts w:eastAsia="Times New Roman" w:cs="Calibri"/>
              </w:rPr>
            </w:pPr>
            <w:r w:rsidRPr="002B622A">
              <w:rPr>
                <w:rFonts w:cs="Calibri"/>
              </w:rPr>
              <w:t>135,8</w:t>
            </w:r>
          </w:p>
        </w:tc>
      </w:tr>
      <w:tr w:rsidRPr="002B622A" w:rsidR="00C20282" w:rsidTr="003E5498" w14:paraId="59C123CA" w14:textId="77777777">
        <w:trPr>
          <w:trHeight w:val="269"/>
        </w:trPr>
        <w:tc>
          <w:tcPr>
            <w:tcW w:w="931" w:type="dxa"/>
            <w:noWrap/>
            <w:vAlign w:val="bottom"/>
            <w:hideMark/>
          </w:tcPr>
          <w:p w:rsidRPr="002B622A" w:rsidR="00C20282" w:rsidP="003E5498" w:rsidRDefault="00C20282" w14:paraId="6394DCC3" w14:textId="77777777">
            <w:pPr>
              <w:spacing w:line="240" w:lineRule="auto"/>
              <w:jc w:val="center"/>
              <w:rPr>
                <w:rFonts w:eastAsia="Times New Roman" w:cs="Calibri"/>
              </w:rPr>
            </w:pPr>
            <w:r w:rsidRPr="002B622A">
              <w:rPr>
                <w:rFonts w:eastAsia="Times New Roman" w:cs="Calibri"/>
              </w:rPr>
              <w:t>2018</w:t>
            </w:r>
          </w:p>
        </w:tc>
        <w:tc>
          <w:tcPr>
            <w:tcW w:w="850" w:type="dxa"/>
            <w:noWrap/>
            <w:vAlign w:val="bottom"/>
            <w:hideMark/>
          </w:tcPr>
          <w:p w:rsidRPr="002B622A" w:rsidR="00C20282" w:rsidP="003E5498" w:rsidRDefault="00C20282" w14:paraId="60E606C5" w14:textId="77777777">
            <w:pPr>
              <w:spacing w:line="240" w:lineRule="auto"/>
              <w:jc w:val="center"/>
              <w:rPr>
                <w:rFonts w:eastAsia="Times New Roman" w:cs="Calibri"/>
              </w:rPr>
            </w:pPr>
            <w:r w:rsidRPr="002B622A">
              <w:rPr>
                <w:rFonts w:cs="Calibri"/>
              </w:rPr>
              <w:t>-2,3</w:t>
            </w:r>
          </w:p>
        </w:tc>
        <w:tc>
          <w:tcPr>
            <w:tcW w:w="852" w:type="dxa"/>
            <w:noWrap/>
            <w:vAlign w:val="bottom"/>
            <w:hideMark/>
          </w:tcPr>
          <w:p w:rsidRPr="002B622A" w:rsidR="00C20282" w:rsidP="003E5498" w:rsidRDefault="00C20282" w14:paraId="739E9CEA" w14:textId="77777777">
            <w:pPr>
              <w:spacing w:line="240" w:lineRule="auto"/>
              <w:jc w:val="center"/>
              <w:rPr>
                <w:rFonts w:eastAsia="Times New Roman" w:cs="Calibri"/>
              </w:rPr>
            </w:pPr>
            <w:r w:rsidRPr="002B622A">
              <w:rPr>
                <w:rFonts w:cs="Calibri"/>
              </w:rPr>
              <w:t>135,4</w:t>
            </w:r>
          </w:p>
        </w:tc>
        <w:tc>
          <w:tcPr>
            <w:tcW w:w="850" w:type="dxa"/>
            <w:noWrap/>
            <w:vAlign w:val="bottom"/>
            <w:hideMark/>
          </w:tcPr>
          <w:p w:rsidRPr="002B622A" w:rsidR="00C20282" w:rsidP="003E5498" w:rsidRDefault="00C20282" w14:paraId="26F6A5AF" w14:textId="77777777">
            <w:pPr>
              <w:spacing w:line="240" w:lineRule="auto"/>
              <w:jc w:val="center"/>
              <w:rPr>
                <w:rFonts w:eastAsia="Times New Roman" w:cs="Calibri"/>
              </w:rPr>
            </w:pPr>
            <w:r w:rsidRPr="002B622A">
              <w:rPr>
                <w:rFonts w:cs="Calibri"/>
              </w:rPr>
              <w:t>0,3</w:t>
            </w:r>
          </w:p>
        </w:tc>
        <w:tc>
          <w:tcPr>
            <w:tcW w:w="852" w:type="dxa"/>
            <w:noWrap/>
            <w:vAlign w:val="bottom"/>
            <w:hideMark/>
          </w:tcPr>
          <w:p w:rsidRPr="002B622A" w:rsidR="00C20282" w:rsidP="003E5498" w:rsidRDefault="00C20282" w14:paraId="5F3EFAF8" w14:textId="77777777">
            <w:pPr>
              <w:spacing w:line="240" w:lineRule="auto"/>
              <w:jc w:val="center"/>
              <w:rPr>
                <w:rFonts w:eastAsia="Times New Roman" w:cs="Calibri"/>
              </w:rPr>
            </w:pPr>
            <w:r w:rsidRPr="002B622A">
              <w:rPr>
                <w:rFonts w:cs="Calibri"/>
              </w:rPr>
              <w:t>151,1</w:t>
            </w:r>
          </w:p>
        </w:tc>
        <w:tc>
          <w:tcPr>
            <w:tcW w:w="850" w:type="dxa"/>
            <w:noWrap/>
            <w:vAlign w:val="bottom"/>
            <w:hideMark/>
          </w:tcPr>
          <w:p w:rsidRPr="002B622A" w:rsidR="00C20282" w:rsidP="003E5498" w:rsidRDefault="00C20282" w14:paraId="0E2EF87A" w14:textId="77777777">
            <w:pPr>
              <w:spacing w:line="240" w:lineRule="auto"/>
              <w:jc w:val="center"/>
              <w:rPr>
                <w:rFonts w:eastAsia="Times New Roman" w:cs="Calibri"/>
              </w:rPr>
            </w:pPr>
            <w:r w:rsidRPr="002B622A">
              <w:rPr>
                <w:rFonts w:cs="Calibri"/>
              </w:rPr>
              <w:t>-0,9</w:t>
            </w:r>
          </w:p>
        </w:tc>
        <w:tc>
          <w:tcPr>
            <w:tcW w:w="852" w:type="dxa"/>
            <w:noWrap/>
            <w:vAlign w:val="bottom"/>
            <w:hideMark/>
          </w:tcPr>
          <w:p w:rsidRPr="002B622A" w:rsidR="00C20282" w:rsidP="003E5498" w:rsidRDefault="00C20282" w14:paraId="3AFF27E1" w14:textId="77777777">
            <w:pPr>
              <w:spacing w:line="240" w:lineRule="auto"/>
              <w:jc w:val="center"/>
              <w:rPr>
                <w:rFonts w:eastAsia="Times New Roman" w:cs="Calibri"/>
              </w:rPr>
            </w:pPr>
            <w:r w:rsidRPr="002B622A">
              <w:rPr>
                <w:rFonts w:cs="Calibri"/>
              </w:rPr>
              <w:t>136,2</w:t>
            </w:r>
          </w:p>
        </w:tc>
        <w:tc>
          <w:tcPr>
            <w:tcW w:w="850" w:type="dxa"/>
            <w:noWrap/>
            <w:vAlign w:val="bottom"/>
            <w:hideMark/>
          </w:tcPr>
          <w:p w:rsidRPr="002B622A" w:rsidR="00C20282" w:rsidP="003E5498" w:rsidRDefault="00C20282" w14:paraId="69A9A81F" w14:textId="77777777">
            <w:pPr>
              <w:spacing w:line="240" w:lineRule="auto"/>
              <w:jc w:val="center"/>
              <w:rPr>
                <w:rFonts w:eastAsia="Times New Roman" w:cs="Calibri"/>
              </w:rPr>
            </w:pPr>
            <w:r w:rsidRPr="002B622A">
              <w:rPr>
                <w:rFonts w:cs="Calibri"/>
              </w:rPr>
              <w:t>0,2</w:t>
            </w:r>
          </w:p>
        </w:tc>
        <w:tc>
          <w:tcPr>
            <w:tcW w:w="852" w:type="dxa"/>
            <w:noWrap/>
            <w:vAlign w:val="bottom"/>
            <w:hideMark/>
          </w:tcPr>
          <w:p w:rsidRPr="002B622A" w:rsidR="00C20282" w:rsidP="003E5498" w:rsidRDefault="00C20282" w14:paraId="2CA38EBF" w14:textId="77777777">
            <w:pPr>
              <w:spacing w:line="240" w:lineRule="auto"/>
              <w:jc w:val="center"/>
              <w:rPr>
                <w:rFonts w:eastAsia="Times New Roman" w:cs="Calibri"/>
              </w:rPr>
            </w:pPr>
            <w:r w:rsidRPr="002B622A">
              <w:rPr>
                <w:rFonts w:cs="Calibri"/>
              </w:rPr>
              <w:t>142,8</w:t>
            </w:r>
          </w:p>
        </w:tc>
        <w:tc>
          <w:tcPr>
            <w:tcW w:w="850" w:type="dxa"/>
            <w:noWrap/>
            <w:vAlign w:val="bottom"/>
            <w:hideMark/>
          </w:tcPr>
          <w:p w:rsidRPr="002B622A" w:rsidR="00C20282" w:rsidP="003E5498" w:rsidRDefault="00C20282" w14:paraId="19A7F4EE" w14:textId="77777777">
            <w:pPr>
              <w:spacing w:line="240" w:lineRule="auto"/>
              <w:jc w:val="center"/>
              <w:rPr>
                <w:rFonts w:eastAsia="Times New Roman" w:cs="Calibri"/>
              </w:rPr>
            </w:pPr>
            <w:r w:rsidRPr="002B622A">
              <w:rPr>
                <w:rFonts w:cs="Calibri"/>
              </w:rPr>
              <w:t>-0,4</w:t>
            </w:r>
          </w:p>
        </w:tc>
        <w:tc>
          <w:tcPr>
            <w:tcW w:w="852" w:type="dxa"/>
            <w:noWrap/>
            <w:vAlign w:val="bottom"/>
            <w:hideMark/>
          </w:tcPr>
          <w:p w:rsidRPr="002B622A" w:rsidR="00C20282" w:rsidP="003E5498" w:rsidRDefault="00C20282" w14:paraId="5B6C0322" w14:textId="77777777">
            <w:pPr>
              <w:spacing w:line="240" w:lineRule="auto"/>
              <w:jc w:val="center"/>
              <w:rPr>
                <w:rFonts w:eastAsia="Times New Roman" w:cs="Calibri"/>
              </w:rPr>
            </w:pPr>
            <w:r w:rsidRPr="002B622A">
              <w:rPr>
                <w:rFonts w:cs="Calibri"/>
              </w:rPr>
              <w:t>135,3</w:t>
            </w:r>
          </w:p>
        </w:tc>
      </w:tr>
      <w:tr w:rsidRPr="002B622A" w:rsidR="00C20282" w:rsidTr="003E5498" w14:paraId="658CCA5F" w14:textId="77777777">
        <w:trPr>
          <w:trHeight w:val="269"/>
        </w:trPr>
        <w:tc>
          <w:tcPr>
            <w:tcW w:w="931" w:type="dxa"/>
            <w:noWrap/>
            <w:vAlign w:val="bottom"/>
            <w:hideMark/>
          </w:tcPr>
          <w:p w:rsidRPr="002B622A" w:rsidR="00C20282" w:rsidP="003E5498" w:rsidRDefault="00C20282" w14:paraId="6186E08F" w14:textId="77777777">
            <w:pPr>
              <w:spacing w:line="240" w:lineRule="auto"/>
              <w:jc w:val="center"/>
              <w:rPr>
                <w:rFonts w:eastAsia="Times New Roman" w:cs="Calibri"/>
              </w:rPr>
            </w:pPr>
            <w:r w:rsidRPr="002B622A">
              <w:rPr>
                <w:rFonts w:eastAsia="Times New Roman" w:cs="Calibri"/>
              </w:rPr>
              <w:t>2019</w:t>
            </w:r>
          </w:p>
        </w:tc>
        <w:tc>
          <w:tcPr>
            <w:tcW w:w="850" w:type="dxa"/>
            <w:noWrap/>
            <w:vAlign w:val="bottom"/>
            <w:hideMark/>
          </w:tcPr>
          <w:p w:rsidRPr="002B622A" w:rsidR="00C20282" w:rsidP="003E5498" w:rsidRDefault="00C20282" w14:paraId="0E61C889" w14:textId="77777777">
            <w:pPr>
              <w:spacing w:line="240" w:lineRule="auto"/>
              <w:jc w:val="center"/>
              <w:rPr>
                <w:rFonts w:eastAsia="Times New Roman" w:cs="Calibri"/>
              </w:rPr>
            </w:pPr>
            <w:r w:rsidRPr="002B622A">
              <w:rPr>
                <w:rFonts w:cs="Calibri"/>
              </w:rPr>
              <w:t>16,8</w:t>
            </w:r>
          </w:p>
        </w:tc>
        <w:tc>
          <w:tcPr>
            <w:tcW w:w="852" w:type="dxa"/>
            <w:noWrap/>
            <w:vAlign w:val="bottom"/>
            <w:hideMark/>
          </w:tcPr>
          <w:p w:rsidRPr="002B622A" w:rsidR="00C20282" w:rsidP="003E5498" w:rsidRDefault="00C20282" w14:paraId="5856E98A" w14:textId="77777777">
            <w:pPr>
              <w:spacing w:line="240" w:lineRule="auto"/>
              <w:jc w:val="center"/>
              <w:rPr>
                <w:rFonts w:eastAsia="Times New Roman" w:cs="Calibri"/>
              </w:rPr>
            </w:pPr>
            <w:r w:rsidRPr="002B622A">
              <w:rPr>
                <w:rFonts w:cs="Calibri"/>
              </w:rPr>
              <w:t>158,1</w:t>
            </w:r>
          </w:p>
        </w:tc>
        <w:tc>
          <w:tcPr>
            <w:tcW w:w="850" w:type="dxa"/>
            <w:noWrap/>
            <w:vAlign w:val="bottom"/>
            <w:hideMark/>
          </w:tcPr>
          <w:p w:rsidRPr="002B622A" w:rsidR="00C20282" w:rsidP="003E5498" w:rsidRDefault="00C20282" w14:paraId="194A2EB3" w14:textId="77777777">
            <w:pPr>
              <w:spacing w:line="240" w:lineRule="auto"/>
              <w:jc w:val="center"/>
              <w:rPr>
                <w:rFonts w:eastAsia="Times New Roman" w:cs="Calibri"/>
              </w:rPr>
            </w:pPr>
            <w:r w:rsidRPr="002B622A">
              <w:rPr>
                <w:rFonts w:cs="Calibri"/>
              </w:rPr>
              <w:t>17,9</w:t>
            </w:r>
          </w:p>
        </w:tc>
        <w:tc>
          <w:tcPr>
            <w:tcW w:w="852" w:type="dxa"/>
            <w:noWrap/>
            <w:vAlign w:val="bottom"/>
            <w:hideMark/>
          </w:tcPr>
          <w:p w:rsidRPr="002B622A" w:rsidR="00C20282" w:rsidP="003E5498" w:rsidRDefault="00C20282" w14:paraId="4DEE3B27" w14:textId="77777777">
            <w:pPr>
              <w:spacing w:line="240" w:lineRule="auto"/>
              <w:jc w:val="center"/>
              <w:rPr>
                <w:rFonts w:eastAsia="Times New Roman" w:cs="Calibri"/>
              </w:rPr>
            </w:pPr>
            <w:r w:rsidRPr="002B622A">
              <w:rPr>
                <w:rFonts w:cs="Calibri"/>
              </w:rPr>
              <w:t>178,2</w:t>
            </w:r>
          </w:p>
        </w:tc>
        <w:tc>
          <w:tcPr>
            <w:tcW w:w="850" w:type="dxa"/>
            <w:noWrap/>
            <w:vAlign w:val="bottom"/>
            <w:hideMark/>
          </w:tcPr>
          <w:p w:rsidRPr="002B622A" w:rsidR="00C20282" w:rsidP="003E5498" w:rsidRDefault="00C20282" w14:paraId="476034DD" w14:textId="77777777">
            <w:pPr>
              <w:spacing w:line="240" w:lineRule="auto"/>
              <w:jc w:val="center"/>
              <w:rPr>
                <w:rFonts w:eastAsia="Times New Roman" w:cs="Calibri"/>
              </w:rPr>
            </w:pPr>
            <w:r w:rsidRPr="002B622A">
              <w:rPr>
                <w:rFonts w:cs="Calibri"/>
              </w:rPr>
              <w:t>18,3</w:t>
            </w:r>
          </w:p>
        </w:tc>
        <w:tc>
          <w:tcPr>
            <w:tcW w:w="852" w:type="dxa"/>
            <w:noWrap/>
            <w:vAlign w:val="bottom"/>
            <w:hideMark/>
          </w:tcPr>
          <w:p w:rsidRPr="002B622A" w:rsidR="00C20282" w:rsidP="003E5498" w:rsidRDefault="00C20282" w14:paraId="50D8D920" w14:textId="77777777">
            <w:pPr>
              <w:spacing w:line="240" w:lineRule="auto"/>
              <w:jc w:val="center"/>
              <w:rPr>
                <w:rFonts w:eastAsia="Times New Roman" w:cs="Calibri"/>
              </w:rPr>
            </w:pPr>
            <w:r w:rsidRPr="002B622A">
              <w:rPr>
                <w:rFonts w:cs="Calibri"/>
              </w:rPr>
              <w:t>161,1</w:t>
            </w:r>
          </w:p>
        </w:tc>
        <w:tc>
          <w:tcPr>
            <w:tcW w:w="850" w:type="dxa"/>
            <w:noWrap/>
            <w:vAlign w:val="bottom"/>
            <w:hideMark/>
          </w:tcPr>
          <w:p w:rsidRPr="002B622A" w:rsidR="00C20282" w:rsidP="003E5498" w:rsidRDefault="00C20282" w14:paraId="2A0E8E79" w14:textId="77777777">
            <w:pPr>
              <w:spacing w:line="240" w:lineRule="auto"/>
              <w:jc w:val="center"/>
              <w:rPr>
                <w:rFonts w:eastAsia="Times New Roman" w:cs="Calibri"/>
              </w:rPr>
            </w:pPr>
            <w:r w:rsidRPr="002B622A">
              <w:rPr>
                <w:rFonts w:cs="Calibri"/>
              </w:rPr>
              <w:t>18,4</w:t>
            </w:r>
          </w:p>
        </w:tc>
        <w:tc>
          <w:tcPr>
            <w:tcW w:w="852" w:type="dxa"/>
            <w:noWrap/>
            <w:vAlign w:val="bottom"/>
            <w:hideMark/>
          </w:tcPr>
          <w:p w:rsidRPr="002B622A" w:rsidR="00C20282" w:rsidP="003E5498" w:rsidRDefault="00C20282" w14:paraId="0B7C7660" w14:textId="77777777">
            <w:pPr>
              <w:spacing w:line="240" w:lineRule="auto"/>
              <w:jc w:val="center"/>
              <w:rPr>
                <w:rFonts w:eastAsia="Times New Roman" w:cs="Calibri"/>
              </w:rPr>
            </w:pPr>
            <w:r w:rsidRPr="002B622A">
              <w:rPr>
                <w:rFonts w:cs="Calibri"/>
              </w:rPr>
              <w:t>169,1</w:t>
            </w:r>
          </w:p>
        </w:tc>
        <w:tc>
          <w:tcPr>
            <w:tcW w:w="850" w:type="dxa"/>
            <w:noWrap/>
            <w:vAlign w:val="bottom"/>
            <w:hideMark/>
          </w:tcPr>
          <w:p w:rsidRPr="002B622A" w:rsidR="00C20282" w:rsidP="003E5498" w:rsidRDefault="00C20282" w14:paraId="40D6001D" w14:textId="77777777">
            <w:pPr>
              <w:spacing w:line="240" w:lineRule="auto"/>
              <w:jc w:val="center"/>
              <w:rPr>
                <w:rFonts w:eastAsia="Times New Roman" w:cs="Calibri"/>
              </w:rPr>
            </w:pPr>
            <w:r w:rsidRPr="002B622A">
              <w:rPr>
                <w:rFonts w:cs="Calibri"/>
              </w:rPr>
              <w:t>18,8</w:t>
            </w:r>
          </w:p>
        </w:tc>
        <w:tc>
          <w:tcPr>
            <w:tcW w:w="852" w:type="dxa"/>
            <w:noWrap/>
            <w:vAlign w:val="bottom"/>
            <w:hideMark/>
          </w:tcPr>
          <w:p w:rsidRPr="002B622A" w:rsidR="00C20282" w:rsidP="003E5498" w:rsidRDefault="00C20282" w14:paraId="6CCF3E10" w14:textId="77777777">
            <w:pPr>
              <w:spacing w:line="240" w:lineRule="auto"/>
              <w:jc w:val="center"/>
              <w:rPr>
                <w:rFonts w:eastAsia="Times New Roman" w:cs="Calibri"/>
              </w:rPr>
            </w:pPr>
            <w:r w:rsidRPr="002B622A">
              <w:rPr>
                <w:rFonts w:cs="Calibri"/>
              </w:rPr>
              <w:t>160,7</w:t>
            </w:r>
          </w:p>
        </w:tc>
      </w:tr>
      <w:tr w:rsidRPr="002B622A" w:rsidR="00C20282" w:rsidTr="003E5498" w14:paraId="6911646E" w14:textId="77777777">
        <w:trPr>
          <w:trHeight w:val="269"/>
        </w:trPr>
        <w:tc>
          <w:tcPr>
            <w:tcW w:w="931" w:type="dxa"/>
            <w:noWrap/>
            <w:vAlign w:val="bottom"/>
            <w:hideMark/>
          </w:tcPr>
          <w:p w:rsidRPr="002B622A" w:rsidR="00C20282" w:rsidP="003E5498" w:rsidRDefault="00C20282" w14:paraId="653C8157" w14:textId="77777777">
            <w:pPr>
              <w:spacing w:line="240" w:lineRule="auto"/>
              <w:jc w:val="center"/>
              <w:rPr>
                <w:rFonts w:eastAsia="Times New Roman" w:cs="Calibri"/>
              </w:rPr>
            </w:pPr>
            <w:r w:rsidRPr="002B622A">
              <w:rPr>
                <w:rFonts w:eastAsia="Times New Roman" w:cs="Calibri"/>
              </w:rPr>
              <w:t>2020</w:t>
            </w:r>
          </w:p>
        </w:tc>
        <w:tc>
          <w:tcPr>
            <w:tcW w:w="850" w:type="dxa"/>
            <w:noWrap/>
            <w:vAlign w:val="bottom"/>
            <w:hideMark/>
          </w:tcPr>
          <w:p w:rsidRPr="002B622A" w:rsidR="00C20282" w:rsidP="003E5498" w:rsidRDefault="00C20282" w14:paraId="5D3AD6D9" w14:textId="77777777">
            <w:pPr>
              <w:spacing w:line="240" w:lineRule="auto"/>
              <w:jc w:val="center"/>
              <w:rPr>
                <w:rFonts w:eastAsia="Times New Roman" w:cs="Calibri"/>
              </w:rPr>
            </w:pPr>
            <w:r w:rsidRPr="002B622A">
              <w:rPr>
                <w:rFonts w:cs="Calibri"/>
              </w:rPr>
              <w:t>6,6</w:t>
            </w:r>
          </w:p>
        </w:tc>
        <w:tc>
          <w:tcPr>
            <w:tcW w:w="852" w:type="dxa"/>
            <w:noWrap/>
            <w:vAlign w:val="bottom"/>
            <w:hideMark/>
          </w:tcPr>
          <w:p w:rsidRPr="002B622A" w:rsidR="00C20282" w:rsidP="003E5498" w:rsidRDefault="00C20282" w14:paraId="3551206B" w14:textId="77777777">
            <w:pPr>
              <w:spacing w:line="240" w:lineRule="auto"/>
              <w:jc w:val="center"/>
              <w:rPr>
                <w:rFonts w:eastAsia="Times New Roman" w:cs="Calibri"/>
              </w:rPr>
            </w:pPr>
            <w:r w:rsidRPr="002B622A">
              <w:rPr>
                <w:rFonts w:cs="Calibri"/>
              </w:rPr>
              <w:t>168,5</w:t>
            </w:r>
          </w:p>
        </w:tc>
        <w:tc>
          <w:tcPr>
            <w:tcW w:w="850" w:type="dxa"/>
            <w:noWrap/>
            <w:vAlign w:val="bottom"/>
            <w:hideMark/>
          </w:tcPr>
          <w:p w:rsidRPr="002B622A" w:rsidR="00C20282" w:rsidP="003E5498" w:rsidRDefault="00C20282" w14:paraId="04557DB2" w14:textId="77777777">
            <w:pPr>
              <w:spacing w:line="240" w:lineRule="auto"/>
              <w:jc w:val="center"/>
              <w:rPr>
                <w:rFonts w:eastAsia="Times New Roman" w:cs="Calibri"/>
              </w:rPr>
            </w:pPr>
            <w:r w:rsidRPr="002B622A">
              <w:rPr>
                <w:rFonts w:cs="Calibri"/>
              </w:rPr>
              <w:t>8,9</w:t>
            </w:r>
          </w:p>
        </w:tc>
        <w:tc>
          <w:tcPr>
            <w:tcW w:w="852" w:type="dxa"/>
            <w:noWrap/>
            <w:vAlign w:val="bottom"/>
            <w:hideMark/>
          </w:tcPr>
          <w:p w:rsidRPr="002B622A" w:rsidR="00C20282" w:rsidP="003E5498" w:rsidRDefault="00C20282" w14:paraId="5EC3BA74" w14:textId="77777777">
            <w:pPr>
              <w:spacing w:line="240" w:lineRule="auto"/>
              <w:jc w:val="center"/>
              <w:rPr>
                <w:rFonts w:eastAsia="Times New Roman" w:cs="Calibri"/>
              </w:rPr>
            </w:pPr>
            <w:r w:rsidRPr="002B622A">
              <w:rPr>
                <w:rFonts w:cs="Calibri"/>
              </w:rPr>
              <w:t>194,1</w:t>
            </w:r>
          </w:p>
        </w:tc>
        <w:tc>
          <w:tcPr>
            <w:tcW w:w="850" w:type="dxa"/>
            <w:noWrap/>
            <w:vAlign w:val="bottom"/>
            <w:hideMark/>
          </w:tcPr>
          <w:p w:rsidRPr="002B622A" w:rsidR="00C20282" w:rsidP="003E5498" w:rsidRDefault="00C20282" w14:paraId="15D4D51A" w14:textId="77777777">
            <w:pPr>
              <w:spacing w:line="240" w:lineRule="auto"/>
              <w:jc w:val="center"/>
              <w:rPr>
                <w:rFonts w:eastAsia="Times New Roman" w:cs="Calibri"/>
              </w:rPr>
            </w:pPr>
            <w:r w:rsidRPr="002B622A">
              <w:rPr>
                <w:rFonts w:cs="Calibri"/>
              </w:rPr>
              <w:t>10,9</w:t>
            </w:r>
          </w:p>
        </w:tc>
        <w:tc>
          <w:tcPr>
            <w:tcW w:w="852" w:type="dxa"/>
            <w:noWrap/>
            <w:vAlign w:val="bottom"/>
            <w:hideMark/>
          </w:tcPr>
          <w:p w:rsidRPr="002B622A" w:rsidR="00C20282" w:rsidP="003E5498" w:rsidRDefault="00C20282" w14:paraId="20FFFB92" w14:textId="77777777">
            <w:pPr>
              <w:spacing w:line="240" w:lineRule="auto"/>
              <w:jc w:val="center"/>
              <w:rPr>
                <w:rFonts w:eastAsia="Times New Roman" w:cs="Calibri"/>
              </w:rPr>
            </w:pPr>
            <w:r w:rsidRPr="002B622A">
              <w:rPr>
                <w:rFonts w:cs="Calibri"/>
              </w:rPr>
              <w:t>178,7</w:t>
            </w:r>
          </w:p>
        </w:tc>
        <w:tc>
          <w:tcPr>
            <w:tcW w:w="850" w:type="dxa"/>
            <w:noWrap/>
            <w:vAlign w:val="bottom"/>
            <w:hideMark/>
          </w:tcPr>
          <w:p w:rsidRPr="002B622A" w:rsidR="00C20282" w:rsidP="003E5498" w:rsidRDefault="00C20282" w14:paraId="1762E190" w14:textId="77777777">
            <w:pPr>
              <w:spacing w:line="240" w:lineRule="auto"/>
              <w:jc w:val="center"/>
              <w:rPr>
                <w:rFonts w:eastAsia="Times New Roman" w:cs="Calibri"/>
              </w:rPr>
            </w:pPr>
            <w:r w:rsidRPr="002B622A">
              <w:rPr>
                <w:rFonts w:cs="Calibri"/>
              </w:rPr>
              <w:t>10,6</w:t>
            </w:r>
          </w:p>
        </w:tc>
        <w:tc>
          <w:tcPr>
            <w:tcW w:w="852" w:type="dxa"/>
            <w:noWrap/>
            <w:vAlign w:val="bottom"/>
            <w:hideMark/>
          </w:tcPr>
          <w:p w:rsidRPr="002B622A" w:rsidR="00C20282" w:rsidP="003E5498" w:rsidRDefault="00C20282" w14:paraId="47741CC4" w14:textId="77777777">
            <w:pPr>
              <w:spacing w:line="240" w:lineRule="auto"/>
              <w:jc w:val="center"/>
              <w:rPr>
                <w:rFonts w:eastAsia="Times New Roman" w:cs="Calibri"/>
              </w:rPr>
            </w:pPr>
            <w:r w:rsidRPr="002B622A">
              <w:rPr>
                <w:rFonts w:cs="Calibri"/>
              </w:rPr>
              <w:t>187,1</w:t>
            </w:r>
          </w:p>
        </w:tc>
        <w:tc>
          <w:tcPr>
            <w:tcW w:w="850" w:type="dxa"/>
            <w:noWrap/>
            <w:vAlign w:val="bottom"/>
            <w:hideMark/>
          </w:tcPr>
          <w:p w:rsidRPr="002B622A" w:rsidR="00C20282" w:rsidP="003E5498" w:rsidRDefault="00C20282" w14:paraId="4C8061AC" w14:textId="77777777">
            <w:pPr>
              <w:spacing w:line="240" w:lineRule="auto"/>
              <w:jc w:val="center"/>
              <w:rPr>
                <w:rFonts w:eastAsia="Times New Roman" w:cs="Calibri"/>
              </w:rPr>
            </w:pPr>
            <w:r w:rsidRPr="002B622A">
              <w:rPr>
                <w:rFonts w:cs="Calibri"/>
              </w:rPr>
              <w:t>5,6</w:t>
            </w:r>
          </w:p>
        </w:tc>
        <w:tc>
          <w:tcPr>
            <w:tcW w:w="852" w:type="dxa"/>
            <w:noWrap/>
            <w:vAlign w:val="bottom"/>
            <w:hideMark/>
          </w:tcPr>
          <w:p w:rsidRPr="002B622A" w:rsidR="00C20282" w:rsidP="003E5498" w:rsidRDefault="00C20282" w14:paraId="742FCE7C" w14:textId="77777777">
            <w:pPr>
              <w:spacing w:line="240" w:lineRule="auto"/>
              <w:jc w:val="center"/>
              <w:rPr>
                <w:rFonts w:eastAsia="Times New Roman" w:cs="Calibri"/>
              </w:rPr>
            </w:pPr>
            <w:r w:rsidRPr="002B622A">
              <w:rPr>
                <w:rFonts w:cs="Calibri"/>
              </w:rPr>
              <w:t>169,7</w:t>
            </w:r>
          </w:p>
        </w:tc>
      </w:tr>
      <w:tr w:rsidRPr="002B622A" w:rsidR="00C20282" w:rsidTr="003E5498" w14:paraId="2577B2F0" w14:textId="77777777">
        <w:trPr>
          <w:trHeight w:val="269"/>
        </w:trPr>
        <w:tc>
          <w:tcPr>
            <w:tcW w:w="931" w:type="dxa"/>
            <w:noWrap/>
            <w:vAlign w:val="bottom"/>
            <w:hideMark/>
          </w:tcPr>
          <w:p w:rsidRPr="002B622A" w:rsidR="00C20282" w:rsidP="003E5498" w:rsidRDefault="00C20282" w14:paraId="5B46B3B0" w14:textId="77777777">
            <w:pPr>
              <w:spacing w:line="240" w:lineRule="auto"/>
              <w:jc w:val="center"/>
              <w:rPr>
                <w:rFonts w:eastAsia="Times New Roman" w:cs="Calibri"/>
              </w:rPr>
            </w:pPr>
            <w:r w:rsidRPr="002B622A">
              <w:rPr>
                <w:rFonts w:eastAsia="Times New Roman" w:cs="Calibri"/>
              </w:rPr>
              <w:t>2021</w:t>
            </w:r>
          </w:p>
        </w:tc>
        <w:tc>
          <w:tcPr>
            <w:tcW w:w="850" w:type="dxa"/>
            <w:noWrap/>
            <w:vAlign w:val="bottom"/>
            <w:hideMark/>
          </w:tcPr>
          <w:p w:rsidRPr="002B622A" w:rsidR="00C20282" w:rsidP="003E5498" w:rsidRDefault="00C20282" w14:paraId="42685E13" w14:textId="77777777">
            <w:pPr>
              <w:spacing w:line="240" w:lineRule="auto"/>
              <w:jc w:val="center"/>
              <w:rPr>
                <w:rFonts w:eastAsia="Times New Roman" w:cs="Calibri"/>
              </w:rPr>
            </w:pPr>
            <w:r w:rsidRPr="002B622A">
              <w:rPr>
                <w:rFonts w:cs="Calibri"/>
              </w:rPr>
              <w:t>11,4</w:t>
            </w:r>
          </w:p>
        </w:tc>
        <w:tc>
          <w:tcPr>
            <w:tcW w:w="852" w:type="dxa"/>
            <w:noWrap/>
            <w:vAlign w:val="bottom"/>
            <w:hideMark/>
          </w:tcPr>
          <w:p w:rsidRPr="002B622A" w:rsidR="00C20282" w:rsidP="003E5498" w:rsidRDefault="00C20282" w14:paraId="38EDD166" w14:textId="77777777">
            <w:pPr>
              <w:spacing w:line="240" w:lineRule="auto"/>
              <w:jc w:val="center"/>
              <w:rPr>
                <w:rFonts w:eastAsia="Times New Roman" w:cs="Calibri"/>
              </w:rPr>
            </w:pPr>
            <w:r w:rsidRPr="002B622A">
              <w:rPr>
                <w:rFonts w:cs="Calibri"/>
              </w:rPr>
              <w:t>187,8</w:t>
            </w:r>
          </w:p>
        </w:tc>
        <w:tc>
          <w:tcPr>
            <w:tcW w:w="850" w:type="dxa"/>
            <w:noWrap/>
            <w:vAlign w:val="bottom"/>
            <w:hideMark/>
          </w:tcPr>
          <w:p w:rsidRPr="002B622A" w:rsidR="00C20282" w:rsidP="003E5498" w:rsidRDefault="00C20282" w14:paraId="16870F5F" w14:textId="77777777">
            <w:pPr>
              <w:spacing w:line="240" w:lineRule="auto"/>
              <w:jc w:val="center"/>
              <w:rPr>
                <w:rFonts w:eastAsia="Times New Roman" w:cs="Calibri"/>
              </w:rPr>
            </w:pPr>
            <w:r w:rsidRPr="002B622A">
              <w:rPr>
                <w:rFonts w:cs="Calibri"/>
              </w:rPr>
              <w:t>6,9</w:t>
            </w:r>
          </w:p>
        </w:tc>
        <w:tc>
          <w:tcPr>
            <w:tcW w:w="852" w:type="dxa"/>
            <w:noWrap/>
            <w:vAlign w:val="bottom"/>
            <w:hideMark/>
          </w:tcPr>
          <w:p w:rsidRPr="002B622A" w:rsidR="00C20282" w:rsidP="003E5498" w:rsidRDefault="00C20282" w14:paraId="566576C4" w14:textId="77777777">
            <w:pPr>
              <w:spacing w:line="240" w:lineRule="auto"/>
              <w:jc w:val="center"/>
              <w:rPr>
                <w:rFonts w:eastAsia="Times New Roman" w:cs="Calibri"/>
              </w:rPr>
            </w:pPr>
            <w:r w:rsidRPr="002B622A">
              <w:rPr>
                <w:rFonts w:cs="Calibri"/>
              </w:rPr>
              <w:t>207,5</w:t>
            </w:r>
          </w:p>
        </w:tc>
        <w:tc>
          <w:tcPr>
            <w:tcW w:w="850" w:type="dxa"/>
            <w:noWrap/>
            <w:vAlign w:val="bottom"/>
            <w:hideMark/>
          </w:tcPr>
          <w:p w:rsidRPr="002B622A" w:rsidR="00C20282" w:rsidP="003E5498" w:rsidRDefault="00C20282" w14:paraId="0D8A3372" w14:textId="77777777">
            <w:pPr>
              <w:spacing w:line="240" w:lineRule="auto"/>
              <w:jc w:val="center"/>
              <w:rPr>
                <w:rFonts w:eastAsia="Times New Roman" w:cs="Calibri"/>
              </w:rPr>
            </w:pPr>
            <w:r w:rsidRPr="002B622A">
              <w:rPr>
                <w:rFonts w:cs="Calibri"/>
              </w:rPr>
              <w:t>3,9</w:t>
            </w:r>
          </w:p>
        </w:tc>
        <w:tc>
          <w:tcPr>
            <w:tcW w:w="852" w:type="dxa"/>
            <w:noWrap/>
            <w:vAlign w:val="bottom"/>
            <w:hideMark/>
          </w:tcPr>
          <w:p w:rsidRPr="002B622A" w:rsidR="00C20282" w:rsidP="003E5498" w:rsidRDefault="00C20282" w14:paraId="09E441A8" w14:textId="77777777">
            <w:pPr>
              <w:spacing w:line="240" w:lineRule="auto"/>
              <w:jc w:val="center"/>
              <w:rPr>
                <w:rFonts w:eastAsia="Times New Roman" w:cs="Calibri"/>
              </w:rPr>
            </w:pPr>
            <w:r w:rsidRPr="002B622A">
              <w:rPr>
                <w:rFonts w:cs="Calibri"/>
              </w:rPr>
              <w:t>185,6</w:t>
            </w:r>
          </w:p>
        </w:tc>
        <w:tc>
          <w:tcPr>
            <w:tcW w:w="850" w:type="dxa"/>
            <w:noWrap/>
            <w:vAlign w:val="bottom"/>
            <w:hideMark/>
          </w:tcPr>
          <w:p w:rsidRPr="002B622A" w:rsidR="00C20282" w:rsidP="003E5498" w:rsidRDefault="00C20282" w14:paraId="14B78813" w14:textId="77777777">
            <w:pPr>
              <w:spacing w:line="240" w:lineRule="auto"/>
              <w:jc w:val="center"/>
              <w:rPr>
                <w:rFonts w:eastAsia="Times New Roman" w:cs="Calibri"/>
              </w:rPr>
            </w:pPr>
            <w:r w:rsidRPr="002B622A">
              <w:rPr>
                <w:rFonts w:cs="Calibri"/>
              </w:rPr>
              <w:t>3,6</w:t>
            </w:r>
          </w:p>
        </w:tc>
        <w:tc>
          <w:tcPr>
            <w:tcW w:w="852" w:type="dxa"/>
            <w:noWrap/>
            <w:vAlign w:val="bottom"/>
            <w:hideMark/>
          </w:tcPr>
          <w:p w:rsidRPr="002B622A" w:rsidR="00C20282" w:rsidP="003E5498" w:rsidRDefault="00C20282" w14:paraId="5FEC03A9" w14:textId="77777777">
            <w:pPr>
              <w:spacing w:line="240" w:lineRule="auto"/>
              <w:jc w:val="center"/>
              <w:rPr>
                <w:rFonts w:eastAsia="Times New Roman" w:cs="Calibri"/>
              </w:rPr>
            </w:pPr>
            <w:r w:rsidRPr="002B622A">
              <w:rPr>
                <w:rFonts w:cs="Calibri"/>
              </w:rPr>
              <w:t>193,8</w:t>
            </w:r>
          </w:p>
        </w:tc>
        <w:tc>
          <w:tcPr>
            <w:tcW w:w="850" w:type="dxa"/>
            <w:noWrap/>
            <w:vAlign w:val="bottom"/>
            <w:hideMark/>
          </w:tcPr>
          <w:p w:rsidRPr="002B622A" w:rsidR="00C20282" w:rsidP="003E5498" w:rsidRDefault="00C20282" w14:paraId="7C556486" w14:textId="77777777">
            <w:pPr>
              <w:spacing w:line="240" w:lineRule="auto"/>
              <w:jc w:val="center"/>
              <w:rPr>
                <w:rFonts w:eastAsia="Times New Roman" w:cs="Calibri"/>
              </w:rPr>
            </w:pPr>
            <w:r w:rsidRPr="002B622A">
              <w:rPr>
                <w:rFonts w:cs="Calibri"/>
              </w:rPr>
              <w:t>8,2</w:t>
            </w:r>
          </w:p>
        </w:tc>
        <w:tc>
          <w:tcPr>
            <w:tcW w:w="852" w:type="dxa"/>
            <w:noWrap/>
            <w:vAlign w:val="bottom"/>
            <w:hideMark/>
          </w:tcPr>
          <w:p w:rsidRPr="002B622A" w:rsidR="00C20282" w:rsidP="003E5498" w:rsidRDefault="00C20282" w14:paraId="72FE6BBA" w14:textId="77777777">
            <w:pPr>
              <w:spacing w:line="240" w:lineRule="auto"/>
              <w:jc w:val="center"/>
              <w:rPr>
                <w:rFonts w:eastAsia="Times New Roman" w:cs="Calibri"/>
              </w:rPr>
            </w:pPr>
            <w:r w:rsidRPr="002B622A">
              <w:rPr>
                <w:rFonts w:cs="Calibri"/>
              </w:rPr>
              <w:t>183,6</w:t>
            </w:r>
          </w:p>
        </w:tc>
      </w:tr>
      <w:tr w:rsidRPr="002B622A" w:rsidR="00C20282" w:rsidTr="003E5498" w14:paraId="02012A85" w14:textId="77777777">
        <w:trPr>
          <w:trHeight w:val="269"/>
        </w:trPr>
        <w:tc>
          <w:tcPr>
            <w:tcW w:w="931" w:type="dxa"/>
            <w:noWrap/>
            <w:vAlign w:val="bottom"/>
            <w:hideMark/>
          </w:tcPr>
          <w:p w:rsidRPr="002B622A" w:rsidR="00C20282" w:rsidP="003E5498" w:rsidRDefault="00C20282" w14:paraId="7C18581B" w14:textId="77777777">
            <w:pPr>
              <w:spacing w:line="240" w:lineRule="auto"/>
              <w:jc w:val="center"/>
              <w:rPr>
                <w:rFonts w:eastAsia="Times New Roman" w:cs="Calibri"/>
              </w:rPr>
            </w:pPr>
            <w:r w:rsidRPr="002B622A">
              <w:rPr>
                <w:rFonts w:eastAsia="Times New Roman" w:cs="Calibri"/>
              </w:rPr>
              <w:t>2022</w:t>
            </w:r>
          </w:p>
        </w:tc>
        <w:tc>
          <w:tcPr>
            <w:tcW w:w="850" w:type="dxa"/>
            <w:noWrap/>
            <w:vAlign w:val="bottom"/>
            <w:hideMark/>
          </w:tcPr>
          <w:p w:rsidRPr="002B622A" w:rsidR="00C20282" w:rsidP="003E5498" w:rsidRDefault="00C20282" w14:paraId="4CF9097B" w14:textId="77777777">
            <w:pPr>
              <w:spacing w:line="240" w:lineRule="auto"/>
              <w:jc w:val="center"/>
              <w:rPr>
                <w:rFonts w:eastAsia="Times New Roman" w:cs="Calibri"/>
              </w:rPr>
            </w:pPr>
            <w:r w:rsidRPr="002B622A">
              <w:rPr>
                <w:rFonts w:cs="Calibri"/>
              </w:rPr>
              <w:t>-17,6</w:t>
            </w:r>
          </w:p>
        </w:tc>
        <w:tc>
          <w:tcPr>
            <w:tcW w:w="852" w:type="dxa"/>
            <w:noWrap/>
            <w:vAlign w:val="bottom"/>
            <w:hideMark/>
          </w:tcPr>
          <w:p w:rsidRPr="002B622A" w:rsidR="00C20282" w:rsidP="003E5498" w:rsidRDefault="00C20282" w14:paraId="08ED8F53" w14:textId="77777777">
            <w:pPr>
              <w:spacing w:line="240" w:lineRule="auto"/>
              <w:jc w:val="center"/>
              <w:rPr>
                <w:rFonts w:eastAsia="Times New Roman" w:cs="Calibri"/>
              </w:rPr>
            </w:pPr>
            <w:r w:rsidRPr="002B622A">
              <w:rPr>
                <w:rFonts w:cs="Calibri"/>
              </w:rPr>
              <w:t>154,7</w:t>
            </w:r>
          </w:p>
        </w:tc>
        <w:tc>
          <w:tcPr>
            <w:tcW w:w="850" w:type="dxa"/>
            <w:noWrap/>
            <w:vAlign w:val="bottom"/>
            <w:hideMark/>
          </w:tcPr>
          <w:p w:rsidRPr="002B622A" w:rsidR="00C20282" w:rsidP="003E5498" w:rsidRDefault="00C20282" w14:paraId="1CA01C40" w14:textId="77777777">
            <w:pPr>
              <w:spacing w:line="240" w:lineRule="auto"/>
              <w:jc w:val="center"/>
              <w:rPr>
                <w:rFonts w:eastAsia="Times New Roman" w:cs="Calibri"/>
              </w:rPr>
            </w:pPr>
            <w:r w:rsidRPr="002B622A">
              <w:rPr>
                <w:rFonts w:cs="Calibri"/>
              </w:rPr>
              <w:t>-21,4</w:t>
            </w:r>
          </w:p>
        </w:tc>
        <w:tc>
          <w:tcPr>
            <w:tcW w:w="852" w:type="dxa"/>
            <w:noWrap/>
            <w:vAlign w:val="bottom"/>
            <w:hideMark/>
          </w:tcPr>
          <w:p w:rsidRPr="002B622A" w:rsidR="00C20282" w:rsidP="003E5498" w:rsidRDefault="00C20282" w14:paraId="45688676" w14:textId="77777777">
            <w:pPr>
              <w:spacing w:line="240" w:lineRule="auto"/>
              <w:jc w:val="center"/>
              <w:rPr>
                <w:rFonts w:eastAsia="Times New Roman" w:cs="Calibri"/>
              </w:rPr>
            </w:pPr>
            <w:r w:rsidRPr="002B622A">
              <w:rPr>
                <w:rFonts w:cs="Calibri"/>
              </w:rPr>
              <w:t>163,1</w:t>
            </w:r>
          </w:p>
        </w:tc>
        <w:tc>
          <w:tcPr>
            <w:tcW w:w="850" w:type="dxa"/>
            <w:noWrap/>
            <w:vAlign w:val="bottom"/>
            <w:hideMark/>
          </w:tcPr>
          <w:p w:rsidRPr="002B622A" w:rsidR="00C20282" w:rsidP="003E5498" w:rsidRDefault="00C20282" w14:paraId="55FB3415" w14:textId="77777777">
            <w:pPr>
              <w:spacing w:line="240" w:lineRule="auto"/>
              <w:jc w:val="center"/>
              <w:rPr>
                <w:rFonts w:eastAsia="Times New Roman" w:cs="Calibri"/>
              </w:rPr>
            </w:pPr>
            <w:r w:rsidRPr="002B622A">
              <w:rPr>
                <w:rFonts w:cs="Calibri"/>
              </w:rPr>
              <w:t>-23,3</w:t>
            </w:r>
          </w:p>
        </w:tc>
        <w:tc>
          <w:tcPr>
            <w:tcW w:w="852" w:type="dxa"/>
            <w:noWrap/>
            <w:vAlign w:val="bottom"/>
            <w:hideMark/>
          </w:tcPr>
          <w:p w:rsidRPr="002B622A" w:rsidR="00C20282" w:rsidP="003E5498" w:rsidRDefault="00C20282" w14:paraId="2109F3F4" w14:textId="77777777">
            <w:pPr>
              <w:spacing w:line="240" w:lineRule="auto"/>
              <w:jc w:val="center"/>
              <w:rPr>
                <w:rFonts w:eastAsia="Times New Roman" w:cs="Calibri"/>
              </w:rPr>
            </w:pPr>
            <w:r w:rsidRPr="002B622A">
              <w:rPr>
                <w:rFonts w:cs="Calibri"/>
              </w:rPr>
              <w:t>142,4</w:t>
            </w:r>
          </w:p>
        </w:tc>
        <w:tc>
          <w:tcPr>
            <w:tcW w:w="850" w:type="dxa"/>
            <w:noWrap/>
            <w:vAlign w:val="bottom"/>
            <w:hideMark/>
          </w:tcPr>
          <w:p w:rsidRPr="002B622A" w:rsidR="00C20282" w:rsidP="003E5498" w:rsidRDefault="00C20282" w14:paraId="15E0A7D1" w14:textId="77777777">
            <w:pPr>
              <w:spacing w:line="240" w:lineRule="auto"/>
              <w:jc w:val="center"/>
              <w:rPr>
                <w:rFonts w:eastAsia="Times New Roman" w:cs="Calibri"/>
              </w:rPr>
            </w:pPr>
            <w:r w:rsidRPr="002B622A">
              <w:rPr>
                <w:rFonts w:cs="Calibri"/>
              </w:rPr>
              <w:t>-27,5</w:t>
            </w:r>
          </w:p>
        </w:tc>
        <w:tc>
          <w:tcPr>
            <w:tcW w:w="852" w:type="dxa"/>
            <w:noWrap/>
            <w:vAlign w:val="bottom"/>
            <w:hideMark/>
          </w:tcPr>
          <w:p w:rsidRPr="002B622A" w:rsidR="00C20282" w:rsidP="003E5498" w:rsidRDefault="00C20282" w14:paraId="6692BE09" w14:textId="77777777">
            <w:pPr>
              <w:spacing w:line="240" w:lineRule="auto"/>
              <w:jc w:val="center"/>
              <w:rPr>
                <w:rFonts w:eastAsia="Times New Roman" w:cs="Calibri"/>
              </w:rPr>
            </w:pPr>
            <w:r w:rsidRPr="002B622A">
              <w:rPr>
                <w:rFonts w:cs="Calibri"/>
              </w:rPr>
              <w:t>140,5</w:t>
            </w:r>
          </w:p>
        </w:tc>
        <w:tc>
          <w:tcPr>
            <w:tcW w:w="850" w:type="dxa"/>
            <w:noWrap/>
            <w:vAlign w:val="bottom"/>
            <w:hideMark/>
          </w:tcPr>
          <w:p w:rsidRPr="002B622A" w:rsidR="00C20282" w:rsidP="003E5498" w:rsidRDefault="00C20282" w14:paraId="2691598E" w14:textId="77777777">
            <w:pPr>
              <w:spacing w:line="240" w:lineRule="auto"/>
              <w:jc w:val="center"/>
              <w:rPr>
                <w:rFonts w:eastAsia="Times New Roman" w:cs="Calibri"/>
              </w:rPr>
            </w:pPr>
            <w:r w:rsidRPr="002B622A">
              <w:rPr>
                <w:rFonts w:cs="Calibri"/>
              </w:rPr>
              <w:t>-22,6</w:t>
            </w:r>
          </w:p>
        </w:tc>
        <w:tc>
          <w:tcPr>
            <w:tcW w:w="852" w:type="dxa"/>
            <w:noWrap/>
            <w:vAlign w:val="bottom"/>
            <w:hideMark/>
          </w:tcPr>
          <w:p w:rsidRPr="002B622A" w:rsidR="00C20282" w:rsidP="003E5498" w:rsidRDefault="00C20282" w14:paraId="312560D9" w14:textId="77777777">
            <w:pPr>
              <w:spacing w:line="240" w:lineRule="auto"/>
              <w:jc w:val="center"/>
              <w:rPr>
                <w:rFonts w:eastAsia="Times New Roman" w:cs="Calibri"/>
              </w:rPr>
            </w:pPr>
            <w:r w:rsidRPr="002B622A">
              <w:rPr>
                <w:rFonts w:cs="Calibri"/>
              </w:rPr>
              <w:t>142,1</w:t>
            </w:r>
          </w:p>
        </w:tc>
      </w:tr>
      <w:tr w:rsidRPr="002B622A" w:rsidR="00C20282" w:rsidTr="003E5498" w14:paraId="518AA621" w14:textId="77777777">
        <w:trPr>
          <w:trHeight w:val="269"/>
        </w:trPr>
        <w:tc>
          <w:tcPr>
            <w:tcW w:w="931" w:type="dxa"/>
            <w:noWrap/>
            <w:vAlign w:val="bottom"/>
            <w:hideMark/>
          </w:tcPr>
          <w:p w:rsidRPr="002B622A" w:rsidR="00C20282" w:rsidP="003E5498" w:rsidRDefault="00C20282" w14:paraId="01C8E0F3" w14:textId="77777777">
            <w:pPr>
              <w:spacing w:line="240" w:lineRule="auto"/>
              <w:jc w:val="center"/>
              <w:rPr>
                <w:rFonts w:eastAsia="Times New Roman" w:cs="Calibri"/>
              </w:rPr>
            </w:pPr>
            <w:r w:rsidRPr="002B622A">
              <w:rPr>
                <w:rFonts w:eastAsia="Times New Roman" w:cs="Calibri"/>
              </w:rPr>
              <w:t>2023</w:t>
            </w:r>
          </w:p>
        </w:tc>
        <w:tc>
          <w:tcPr>
            <w:tcW w:w="850" w:type="dxa"/>
            <w:noWrap/>
            <w:vAlign w:val="bottom"/>
            <w:hideMark/>
          </w:tcPr>
          <w:p w:rsidRPr="002B622A" w:rsidR="00C20282" w:rsidP="003E5498" w:rsidRDefault="00C20282" w14:paraId="126A7956" w14:textId="77777777">
            <w:pPr>
              <w:spacing w:line="240" w:lineRule="auto"/>
              <w:jc w:val="center"/>
              <w:rPr>
                <w:rFonts w:eastAsia="Times New Roman" w:cs="Calibri"/>
              </w:rPr>
            </w:pPr>
            <w:r w:rsidRPr="002B622A">
              <w:rPr>
                <w:rFonts w:cs="Calibri"/>
              </w:rPr>
              <w:t>9,3</w:t>
            </w:r>
          </w:p>
        </w:tc>
        <w:tc>
          <w:tcPr>
            <w:tcW w:w="852" w:type="dxa"/>
            <w:noWrap/>
            <w:vAlign w:val="bottom"/>
            <w:hideMark/>
          </w:tcPr>
          <w:p w:rsidRPr="002B622A" w:rsidR="00C20282" w:rsidP="003E5498" w:rsidRDefault="00C20282" w14:paraId="19BDA56B" w14:textId="77777777">
            <w:pPr>
              <w:spacing w:line="240" w:lineRule="auto"/>
              <w:jc w:val="center"/>
              <w:rPr>
                <w:rFonts w:eastAsia="Times New Roman" w:cs="Calibri"/>
              </w:rPr>
            </w:pPr>
            <w:r w:rsidRPr="002B622A">
              <w:rPr>
                <w:rFonts w:cs="Calibri"/>
              </w:rPr>
              <w:t>169,1</w:t>
            </w:r>
          </w:p>
        </w:tc>
        <w:tc>
          <w:tcPr>
            <w:tcW w:w="850" w:type="dxa"/>
            <w:noWrap/>
            <w:vAlign w:val="bottom"/>
            <w:hideMark/>
          </w:tcPr>
          <w:p w:rsidRPr="002B622A" w:rsidR="00C20282" w:rsidP="003E5498" w:rsidRDefault="00C20282" w14:paraId="1B7FA92C" w14:textId="77777777">
            <w:pPr>
              <w:spacing w:line="240" w:lineRule="auto"/>
              <w:jc w:val="center"/>
              <w:rPr>
                <w:rFonts w:eastAsia="Times New Roman" w:cs="Calibri"/>
              </w:rPr>
            </w:pPr>
            <w:r w:rsidRPr="002B622A">
              <w:rPr>
                <w:rFonts w:cs="Calibri"/>
              </w:rPr>
              <w:t>7,7</w:t>
            </w:r>
          </w:p>
        </w:tc>
        <w:tc>
          <w:tcPr>
            <w:tcW w:w="852" w:type="dxa"/>
            <w:noWrap/>
            <w:vAlign w:val="bottom"/>
            <w:hideMark/>
          </w:tcPr>
          <w:p w:rsidRPr="002B622A" w:rsidR="00C20282" w:rsidP="003E5498" w:rsidRDefault="00C20282" w14:paraId="0B89C038" w14:textId="77777777">
            <w:pPr>
              <w:spacing w:line="240" w:lineRule="auto"/>
              <w:jc w:val="center"/>
              <w:rPr>
                <w:rFonts w:eastAsia="Times New Roman" w:cs="Calibri"/>
              </w:rPr>
            </w:pPr>
            <w:r w:rsidRPr="002B622A">
              <w:rPr>
                <w:rFonts w:cs="Calibri"/>
              </w:rPr>
              <w:t>175,6</w:t>
            </w:r>
          </w:p>
        </w:tc>
        <w:tc>
          <w:tcPr>
            <w:tcW w:w="850" w:type="dxa"/>
            <w:noWrap/>
            <w:vAlign w:val="bottom"/>
            <w:hideMark/>
          </w:tcPr>
          <w:p w:rsidRPr="002B622A" w:rsidR="00C20282" w:rsidP="003E5498" w:rsidRDefault="00C20282" w14:paraId="3E9FCD54" w14:textId="77777777">
            <w:pPr>
              <w:spacing w:line="240" w:lineRule="auto"/>
              <w:jc w:val="center"/>
              <w:rPr>
                <w:rFonts w:eastAsia="Times New Roman" w:cs="Calibri"/>
              </w:rPr>
            </w:pPr>
            <w:r w:rsidRPr="002B622A">
              <w:rPr>
                <w:rFonts w:cs="Calibri"/>
              </w:rPr>
              <w:t>8,7</w:t>
            </w:r>
          </w:p>
        </w:tc>
        <w:tc>
          <w:tcPr>
            <w:tcW w:w="852" w:type="dxa"/>
            <w:noWrap/>
            <w:vAlign w:val="bottom"/>
            <w:hideMark/>
          </w:tcPr>
          <w:p w:rsidRPr="002B622A" w:rsidR="00C20282" w:rsidP="003E5498" w:rsidRDefault="00C20282" w14:paraId="1394F712" w14:textId="77777777">
            <w:pPr>
              <w:spacing w:line="240" w:lineRule="auto"/>
              <w:jc w:val="center"/>
              <w:rPr>
                <w:rFonts w:eastAsia="Times New Roman" w:cs="Calibri"/>
              </w:rPr>
            </w:pPr>
            <w:r w:rsidRPr="002B622A">
              <w:rPr>
                <w:rFonts w:cs="Calibri"/>
              </w:rPr>
              <w:t>154,8</w:t>
            </w:r>
          </w:p>
        </w:tc>
        <w:tc>
          <w:tcPr>
            <w:tcW w:w="850" w:type="dxa"/>
            <w:noWrap/>
            <w:vAlign w:val="bottom"/>
            <w:hideMark/>
          </w:tcPr>
          <w:p w:rsidRPr="002B622A" w:rsidR="00C20282" w:rsidP="003E5498" w:rsidRDefault="00C20282" w14:paraId="54D72210" w14:textId="77777777">
            <w:pPr>
              <w:spacing w:line="240" w:lineRule="auto"/>
              <w:jc w:val="center"/>
              <w:rPr>
                <w:rFonts w:eastAsia="Times New Roman" w:cs="Calibri"/>
              </w:rPr>
            </w:pPr>
            <w:r w:rsidRPr="002B622A">
              <w:rPr>
                <w:rFonts w:cs="Calibri"/>
              </w:rPr>
              <w:t>8,4</w:t>
            </w:r>
          </w:p>
        </w:tc>
        <w:tc>
          <w:tcPr>
            <w:tcW w:w="852" w:type="dxa"/>
            <w:noWrap/>
            <w:vAlign w:val="bottom"/>
            <w:hideMark/>
          </w:tcPr>
          <w:p w:rsidRPr="002B622A" w:rsidR="00C20282" w:rsidP="003E5498" w:rsidRDefault="00C20282" w14:paraId="5C42A650" w14:textId="77777777">
            <w:pPr>
              <w:spacing w:line="240" w:lineRule="auto"/>
              <w:jc w:val="center"/>
              <w:rPr>
                <w:rFonts w:eastAsia="Times New Roman" w:cs="Calibri"/>
              </w:rPr>
            </w:pPr>
            <w:r w:rsidRPr="002B622A">
              <w:rPr>
                <w:rFonts w:cs="Calibri"/>
              </w:rPr>
              <w:t>152,3</w:t>
            </w:r>
          </w:p>
        </w:tc>
        <w:tc>
          <w:tcPr>
            <w:tcW w:w="850" w:type="dxa"/>
            <w:noWrap/>
            <w:vAlign w:val="bottom"/>
            <w:hideMark/>
          </w:tcPr>
          <w:p w:rsidRPr="002B622A" w:rsidR="00C20282" w:rsidP="003E5498" w:rsidRDefault="00C20282" w14:paraId="03F3377D" w14:textId="77777777">
            <w:pPr>
              <w:spacing w:line="240" w:lineRule="auto"/>
              <w:jc w:val="center"/>
              <w:rPr>
                <w:rFonts w:eastAsia="Times New Roman" w:cs="Calibri"/>
              </w:rPr>
            </w:pPr>
            <w:r w:rsidRPr="002B622A">
              <w:rPr>
                <w:rFonts w:cs="Calibri"/>
              </w:rPr>
              <w:t>8,7</w:t>
            </w:r>
          </w:p>
        </w:tc>
        <w:tc>
          <w:tcPr>
            <w:tcW w:w="852" w:type="dxa"/>
            <w:noWrap/>
            <w:vAlign w:val="bottom"/>
            <w:hideMark/>
          </w:tcPr>
          <w:p w:rsidRPr="002B622A" w:rsidR="00C20282" w:rsidP="003E5498" w:rsidRDefault="00C20282" w14:paraId="24A46385" w14:textId="77777777">
            <w:pPr>
              <w:spacing w:line="240" w:lineRule="auto"/>
              <w:jc w:val="center"/>
              <w:rPr>
                <w:rFonts w:eastAsia="Times New Roman" w:cs="Calibri"/>
              </w:rPr>
            </w:pPr>
            <w:r w:rsidRPr="002B622A">
              <w:rPr>
                <w:rFonts w:cs="Calibri"/>
              </w:rPr>
              <w:t>154,5</w:t>
            </w:r>
          </w:p>
        </w:tc>
      </w:tr>
      <w:tr w:rsidRPr="002B622A" w:rsidR="00C20282" w:rsidTr="003E5498" w14:paraId="09942FA4" w14:textId="77777777">
        <w:trPr>
          <w:trHeight w:val="269"/>
        </w:trPr>
        <w:tc>
          <w:tcPr>
            <w:tcW w:w="931" w:type="dxa"/>
            <w:noWrap/>
            <w:vAlign w:val="bottom"/>
            <w:hideMark/>
          </w:tcPr>
          <w:p w:rsidRPr="002B622A" w:rsidR="00C20282" w:rsidP="003E5498" w:rsidRDefault="00C20282" w14:paraId="4F141E66" w14:textId="77777777">
            <w:pPr>
              <w:spacing w:line="240" w:lineRule="auto"/>
              <w:jc w:val="center"/>
              <w:rPr>
                <w:rFonts w:eastAsia="Times New Roman" w:cs="Calibri"/>
              </w:rPr>
            </w:pPr>
            <w:r w:rsidRPr="002B622A">
              <w:rPr>
                <w:rFonts w:eastAsia="Times New Roman" w:cs="Calibri"/>
              </w:rPr>
              <w:t>2024</w:t>
            </w:r>
          </w:p>
        </w:tc>
        <w:tc>
          <w:tcPr>
            <w:tcW w:w="850" w:type="dxa"/>
            <w:noWrap/>
            <w:vAlign w:val="bottom"/>
            <w:hideMark/>
          </w:tcPr>
          <w:p w:rsidRPr="002B622A" w:rsidR="00C20282" w:rsidP="003E5498" w:rsidRDefault="00C20282" w14:paraId="51DF03CC" w14:textId="77777777">
            <w:pPr>
              <w:spacing w:line="240" w:lineRule="auto"/>
              <w:jc w:val="center"/>
              <w:rPr>
                <w:rFonts w:eastAsia="Times New Roman" w:cs="Calibri"/>
              </w:rPr>
            </w:pPr>
            <w:r w:rsidRPr="002B622A">
              <w:rPr>
                <w:rFonts w:cs="Calibri"/>
              </w:rPr>
              <w:t>8,4</w:t>
            </w:r>
          </w:p>
        </w:tc>
        <w:tc>
          <w:tcPr>
            <w:tcW w:w="852" w:type="dxa"/>
            <w:noWrap/>
            <w:vAlign w:val="bottom"/>
            <w:hideMark/>
          </w:tcPr>
          <w:p w:rsidRPr="002B622A" w:rsidR="00C20282" w:rsidP="003E5498" w:rsidRDefault="00C20282" w14:paraId="73A193A8" w14:textId="77777777">
            <w:pPr>
              <w:spacing w:line="240" w:lineRule="auto"/>
              <w:jc w:val="center"/>
              <w:rPr>
                <w:rFonts w:eastAsia="Times New Roman" w:cs="Calibri"/>
              </w:rPr>
            </w:pPr>
            <w:r w:rsidRPr="002B622A">
              <w:rPr>
                <w:rFonts w:cs="Calibri"/>
              </w:rPr>
              <w:t>183,3</w:t>
            </w:r>
          </w:p>
        </w:tc>
        <w:tc>
          <w:tcPr>
            <w:tcW w:w="850" w:type="dxa"/>
            <w:noWrap/>
            <w:vAlign w:val="bottom"/>
            <w:hideMark/>
          </w:tcPr>
          <w:p w:rsidRPr="002B622A" w:rsidR="00C20282" w:rsidP="003E5498" w:rsidRDefault="00C20282" w14:paraId="18AA791D" w14:textId="77777777">
            <w:pPr>
              <w:spacing w:line="240" w:lineRule="auto"/>
              <w:jc w:val="center"/>
              <w:rPr>
                <w:rFonts w:eastAsia="Times New Roman" w:cs="Calibri"/>
              </w:rPr>
            </w:pPr>
            <w:r w:rsidRPr="002B622A">
              <w:rPr>
                <w:rFonts w:cs="Calibri"/>
              </w:rPr>
              <w:t>7,6</w:t>
            </w:r>
          </w:p>
        </w:tc>
        <w:tc>
          <w:tcPr>
            <w:tcW w:w="852" w:type="dxa"/>
            <w:noWrap/>
            <w:vAlign w:val="bottom"/>
            <w:hideMark/>
          </w:tcPr>
          <w:p w:rsidRPr="002B622A" w:rsidR="00C20282" w:rsidP="003E5498" w:rsidRDefault="00C20282" w14:paraId="5EF5025C" w14:textId="77777777">
            <w:pPr>
              <w:spacing w:line="240" w:lineRule="auto"/>
              <w:jc w:val="center"/>
              <w:rPr>
                <w:rFonts w:eastAsia="Times New Roman" w:cs="Calibri"/>
              </w:rPr>
            </w:pPr>
            <w:r w:rsidRPr="002B622A">
              <w:rPr>
                <w:rFonts w:cs="Calibri"/>
              </w:rPr>
              <w:t>189,0</w:t>
            </w:r>
          </w:p>
        </w:tc>
        <w:tc>
          <w:tcPr>
            <w:tcW w:w="850" w:type="dxa"/>
            <w:noWrap/>
            <w:vAlign w:val="bottom"/>
            <w:hideMark/>
          </w:tcPr>
          <w:p w:rsidRPr="002B622A" w:rsidR="00C20282" w:rsidP="003E5498" w:rsidRDefault="00C20282" w14:paraId="78685F6E" w14:textId="77777777">
            <w:pPr>
              <w:spacing w:line="240" w:lineRule="auto"/>
              <w:jc w:val="center"/>
              <w:rPr>
                <w:rFonts w:eastAsia="Times New Roman" w:cs="Calibri"/>
              </w:rPr>
            </w:pPr>
            <w:r w:rsidRPr="002B622A">
              <w:rPr>
                <w:rFonts w:cs="Calibri"/>
              </w:rPr>
              <w:t>8,7</w:t>
            </w:r>
          </w:p>
        </w:tc>
        <w:tc>
          <w:tcPr>
            <w:tcW w:w="852" w:type="dxa"/>
            <w:noWrap/>
            <w:vAlign w:val="bottom"/>
            <w:hideMark/>
          </w:tcPr>
          <w:p w:rsidRPr="002B622A" w:rsidR="00C20282" w:rsidP="003E5498" w:rsidRDefault="00C20282" w14:paraId="57220143" w14:textId="77777777">
            <w:pPr>
              <w:spacing w:line="240" w:lineRule="auto"/>
              <w:jc w:val="center"/>
              <w:rPr>
                <w:rFonts w:eastAsia="Times New Roman" w:cs="Calibri"/>
              </w:rPr>
            </w:pPr>
            <w:r w:rsidRPr="002B622A">
              <w:rPr>
                <w:rFonts w:cs="Calibri"/>
              </w:rPr>
              <w:t>168,2</w:t>
            </w:r>
          </w:p>
        </w:tc>
        <w:tc>
          <w:tcPr>
            <w:tcW w:w="850" w:type="dxa"/>
            <w:noWrap/>
            <w:vAlign w:val="bottom"/>
            <w:hideMark/>
          </w:tcPr>
          <w:p w:rsidRPr="002B622A" w:rsidR="00C20282" w:rsidP="003E5498" w:rsidRDefault="00C20282" w14:paraId="4E973C62" w14:textId="77777777">
            <w:pPr>
              <w:spacing w:line="240" w:lineRule="auto"/>
              <w:jc w:val="center"/>
              <w:rPr>
                <w:rFonts w:eastAsia="Times New Roman" w:cs="Calibri"/>
              </w:rPr>
            </w:pPr>
            <w:r w:rsidRPr="002B622A">
              <w:rPr>
                <w:rFonts w:cs="Calibri"/>
              </w:rPr>
              <w:t>8,2</w:t>
            </w:r>
          </w:p>
        </w:tc>
        <w:tc>
          <w:tcPr>
            <w:tcW w:w="852" w:type="dxa"/>
            <w:noWrap/>
            <w:vAlign w:val="bottom"/>
            <w:hideMark/>
          </w:tcPr>
          <w:p w:rsidRPr="002B622A" w:rsidR="00C20282" w:rsidP="003E5498" w:rsidRDefault="00C20282" w14:paraId="1AF45BAA" w14:textId="77777777">
            <w:pPr>
              <w:spacing w:line="240" w:lineRule="auto"/>
              <w:jc w:val="center"/>
              <w:rPr>
                <w:rFonts w:eastAsia="Times New Roman" w:cs="Calibri"/>
              </w:rPr>
            </w:pPr>
            <w:r w:rsidRPr="002B622A">
              <w:rPr>
                <w:rFonts w:cs="Calibri"/>
              </w:rPr>
              <w:t>164,8</w:t>
            </w:r>
          </w:p>
        </w:tc>
        <w:tc>
          <w:tcPr>
            <w:tcW w:w="850" w:type="dxa"/>
            <w:noWrap/>
            <w:vAlign w:val="bottom"/>
            <w:hideMark/>
          </w:tcPr>
          <w:p w:rsidRPr="002B622A" w:rsidR="00C20282" w:rsidP="003E5498" w:rsidRDefault="00C20282" w14:paraId="2B6D36FD" w14:textId="77777777">
            <w:pPr>
              <w:spacing w:line="240" w:lineRule="auto"/>
              <w:jc w:val="center"/>
              <w:rPr>
                <w:rFonts w:eastAsia="Times New Roman" w:cs="Calibri"/>
              </w:rPr>
            </w:pPr>
            <w:r w:rsidRPr="002B622A">
              <w:rPr>
                <w:rFonts w:cs="Calibri"/>
              </w:rPr>
              <w:t>8,0</w:t>
            </w:r>
          </w:p>
        </w:tc>
        <w:tc>
          <w:tcPr>
            <w:tcW w:w="852" w:type="dxa"/>
            <w:noWrap/>
            <w:vAlign w:val="bottom"/>
            <w:hideMark/>
          </w:tcPr>
          <w:p w:rsidRPr="002B622A" w:rsidR="00C20282" w:rsidP="003E5498" w:rsidRDefault="00C20282" w14:paraId="17E36486" w14:textId="77777777">
            <w:pPr>
              <w:spacing w:line="240" w:lineRule="auto"/>
              <w:jc w:val="center"/>
              <w:rPr>
                <w:rFonts w:eastAsia="Times New Roman" w:cs="Calibri"/>
              </w:rPr>
            </w:pPr>
            <w:r w:rsidRPr="002B622A">
              <w:rPr>
                <w:rFonts w:cs="Calibri"/>
              </w:rPr>
              <w:t>166,9</w:t>
            </w:r>
          </w:p>
        </w:tc>
      </w:tr>
      <w:tr w:rsidRPr="002B622A" w:rsidR="00C20282" w:rsidTr="003E5498" w14:paraId="1FA7DA78" w14:textId="77777777">
        <w:trPr>
          <w:trHeight w:val="269"/>
        </w:trPr>
        <w:tc>
          <w:tcPr>
            <w:tcW w:w="931" w:type="dxa"/>
            <w:noWrap/>
            <w:vAlign w:val="bottom"/>
            <w:hideMark/>
          </w:tcPr>
          <w:p w:rsidRPr="002B622A" w:rsidR="00C20282" w:rsidP="003E5498" w:rsidRDefault="00C20282" w14:paraId="14F45A95" w14:textId="77777777">
            <w:pPr>
              <w:spacing w:line="240" w:lineRule="auto"/>
              <w:jc w:val="center"/>
              <w:rPr>
                <w:rFonts w:eastAsia="Times New Roman" w:cs="Calibri"/>
              </w:rPr>
            </w:pPr>
            <w:r w:rsidRPr="002B622A">
              <w:rPr>
                <w:rFonts w:eastAsia="Times New Roman" w:cs="Calibri"/>
              </w:rPr>
              <w:t>2025</w:t>
            </w:r>
          </w:p>
        </w:tc>
        <w:tc>
          <w:tcPr>
            <w:tcW w:w="850" w:type="dxa"/>
            <w:noWrap/>
            <w:vAlign w:val="bottom"/>
            <w:hideMark/>
          </w:tcPr>
          <w:p w:rsidRPr="002B622A" w:rsidR="00C20282" w:rsidP="003E5498" w:rsidRDefault="00C20282" w14:paraId="7D43BBD9" w14:textId="77777777">
            <w:pPr>
              <w:spacing w:line="240" w:lineRule="auto"/>
              <w:jc w:val="center"/>
              <w:rPr>
                <w:rFonts w:eastAsia="Times New Roman" w:cs="Calibri"/>
              </w:rPr>
            </w:pPr>
            <w:r w:rsidRPr="002B622A">
              <w:rPr>
                <w:rFonts w:cs="Calibri"/>
              </w:rPr>
              <w:t>-1,6</w:t>
            </w:r>
          </w:p>
        </w:tc>
        <w:tc>
          <w:tcPr>
            <w:tcW w:w="852" w:type="dxa"/>
            <w:noWrap/>
            <w:vAlign w:val="bottom"/>
            <w:hideMark/>
          </w:tcPr>
          <w:p w:rsidRPr="002B622A" w:rsidR="00C20282" w:rsidP="003E5498" w:rsidRDefault="00C20282" w14:paraId="2A8A7D1A" w14:textId="77777777">
            <w:pPr>
              <w:spacing w:line="240" w:lineRule="auto"/>
              <w:jc w:val="center"/>
              <w:rPr>
                <w:rFonts w:eastAsia="Times New Roman" w:cs="Calibri"/>
              </w:rPr>
            </w:pPr>
            <w:r w:rsidRPr="002B622A">
              <w:rPr>
                <w:rFonts w:cs="Calibri"/>
              </w:rPr>
              <w:t>180,4</w:t>
            </w:r>
          </w:p>
        </w:tc>
        <w:tc>
          <w:tcPr>
            <w:tcW w:w="850" w:type="dxa"/>
            <w:noWrap/>
            <w:vAlign w:val="bottom"/>
            <w:hideMark/>
          </w:tcPr>
          <w:p w:rsidRPr="002B622A" w:rsidR="00C20282" w:rsidP="003E5498" w:rsidRDefault="00C20282" w14:paraId="1DEE1F4C" w14:textId="77777777">
            <w:pPr>
              <w:spacing w:line="240" w:lineRule="auto"/>
              <w:jc w:val="center"/>
              <w:rPr>
                <w:rFonts w:eastAsia="Times New Roman" w:cs="Calibri"/>
              </w:rPr>
            </w:pPr>
            <w:r w:rsidRPr="002B622A">
              <w:rPr>
                <w:rFonts w:cs="Calibri"/>
              </w:rPr>
              <w:t>-3,9</w:t>
            </w:r>
          </w:p>
        </w:tc>
        <w:tc>
          <w:tcPr>
            <w:tcW w:w="852" w:type="dxa"/>
            <w:noWrap/>
            <w:vAlign w:val="bottom"/>
            <w:hideMark/>
          </w:tcPr>
          <w:p w:rsidRPr="002B622A" w:rsidR="00C20282" w:rsidP="003E5498" w:rsidRDefault="00C20282" w14:paraId="533359B6" w14:textId="77777777">
            <w:pPr>
              <w:spacing w:line="240" w:lineRule="auto"/>
              <w:jc w:val="center"/>
              <w:rPr>
                <w:rFonts w:eastAsia="Times New Roman" w:cs="Calibri"/>
              </w:rPr>
            </w:pPr>
            <w:r w:rsidRPr="002B622A">
              <w:rPr>
                <w:rFonts w:cs="Calibri"/>
              </w:rPr>
              <w:t>181,6</w:t>
            </w:r>
          </w:p>
        </w:tc>
        <w:tc>
          <w:tcPr>
            <w:tcW w:w="850" w:type="dxa"/>
            <w:noWrap/>
            <w:vAlign w:val="bottom"/>
            <w:hideMark/>
          </w:tcPr>
          <w:p w:rsidRPr="002B622A" w:rsidR="00C20282" w:rsidP="003E5498" w:rsidRDefault="00C20282" w14:paraId="7405704F" w14:textId="77777777">
            <w:pPr>
              <w:spacing w:line="240" w:lineRule="auto"/>
              <w:jc w:val="center"/>
              <w:rPr>
                <w:rFonts w:eastAsia="Times New Roman" w:cs="Calibri"/>
              </w:rPr>
            </w:pPr>
            <w:r w:rsidRPr="002B622A">
              <w:rPr>
                <w:rFonts w:cs="Calibri"/>
              </w:rPr>
              <w:t>-3,0</w:t>
            </w:r>
          </w:p>
        </w:tc>
        <w:tc>
          <w:tcPr>
            <w:tcW w:w="852" w:type="dxa"/>
            <w:noWrap/>
            <w:vAlign w:val="bottom"/>
            <w:hideMark/>
          </w:tcPr>
          <w:p w:rsidRPr="002B622A" w:rsidR="00C20282" w:rsidP="003E5498" w:rsidRDefault="00C20282" w14:paraId="0FB274B2" w14:textId="77777777">
            <w:pPr>
              <w:spacing w:line="240" w:lineRule="auto"/>
              <w:jc w:val="center"/>
              <w:rPr>
                <w:rFonts w:eastAsia="Times New Roman" w:cs="Calibri"/>
              </w:rPr>
            </w:pPr>
            <w:r w:rsidRPr="002B622A">
              <w:rPr>
                <w:rFonts w:cs="Calibri"/>
              </w:rPr>
              <w:t>163,2</w:t>
            </w:r>
          </w:p>
        </w:tc>
        <w:tc>
          <w:tcPr>
            <w:tcW w:w="850" w:type="dxa"/>
            <w:noWrap/>
            <w:vAlign w:val="bottom"/>
            <w:hideMark/>
          </w:tcPr>
          <w:p w:rsidRPr="002B622A" w:rsidR="00C20282" w:rsidP="003E5498" w:rsidRDefault="00C20282" w14:paraId="4C339D04" w14:textId="77777777">
            <w:pPr>
              <w:spacing w:line="240" w:lineRule="auto"/>
              <w:jc w:val="center"/>
              <w:rPr>
                <w:rFonts w:eastAsia="Times New Roman" w:cs="Calibri"/>
              </w:rPr>
            </w:pPr>
            <w:r w:rsidRPr="002B622A">
              <w:rPr>
                <w:rFonts w:cs="Calibri"/>
              </w:rPr>
              <w:t>-5,9</w:t>
            </w:r>
          </w:p>
        </w:tc>
        <w:tc>
          <w:tcPr>
            <w:tcW w:w="852" w:type="dxa"/>
            <w:noWrap/>
            <w:vAlign w:val="bottom"/>
            <w:hideMark/>
          </w:tcPr>
          <w:p w:rsidRPr="002B622A" w:rsidR="00C20282" w:rsidP="003E5498" w:rsidRDefault="00C20282" w14:paraId="731B7FD0" w14:textId="77777777">
            <w:pPr>
              <w:spacing w:line="240" w:lineRule="auto"/>
              <w:jc w:val="center"/>
              <w:rPr>
                <w:rFonts w:eastAsia="Times New Roman" w:cs="Calibri"/>
              </w:rPr>
            </w:pPr>
            <w:r w:rsidRPr="002B622A">
              <w:rPr>
                <w:rFonts w:cs="Calibri"/>
              </w:rPr>
              <w:t>155,1</w:t>
            </w:r>
          </w:p>
        </w:tc>
        <w:tc>
          <w:tcPr>
            <w:tcW w:w="850" w:type="dxa"/>
            <w:noWrap/>
            <w:vAlign w:val="bottom"/>
            <w:hideMark/>
          </w:tcPr>
          <w:p w:rsidRPr="002B622A" w:rsidR="00C20282" w:rsidP="003E5498" w:rsidRDefault="00C20282" w14:paraId="010334D8" w14:textId="77777777">
            <w:pPr>
              <w:spacing w:line="240" w:lineRule="auto"/>
              <w:jc w:val="center"/>
              <w:rPr>
                <w:rFonts w:eastAsia="Times New Roman" w:cs="Calibri"/>
              </w:rPr>
            </w:pPr>
            <w:r w:rsidRPr="002B622A">
              <w:rPr>
                <w:rFonts w:cs="Calibri"/>
              </w:rPr>
              <w:t>-3,8</w:t>
            </w:r>
          </w:p>
        </w:tc>
        <w:tc>
          <w:tcPr>
            <w:tcW w:w="852" w:type="dxa"/>
            <w:noWrap/>
            <w:vAlign w:val="bottom"/>
            <w:hideMark/>
          </w:tcPr>
          <w:p w:rsidRPr="002B622A" w:rsidR="00C20282" w:rsidP="003E5498" w:rsidRDefault="00C20282" w14:paraId="730EF3B2" w14:textId="77777777">
            <w:pPr>
              <w:spacing w:line="240" w:lineRule="auto"/>
              <w:jc w:val="center"/>
              <w:rPr>
                <w:rFonts w:eastAsia="Times New Roman" w:cs="Calibri"/>
              </w:rPr>
            </w:pPr>
            <w:r w:rsidRPr="002B622A">
              <w:rPr>
                <w:rFonts w:cs="Calibri"/>
              </w:rPr>
              <w:t>160,5</w:t>
            </w:r>
          </w:p>
        </w:tc>
      </w:tr>
      <w:tr w:rsidRPr="002B622A" w:rsidR="00C20282" w:rsidTr="003E5498" w14:paraId="5D626A46" w14:textId="77777777">
        <w:trPr>
          <w:trHeight w:val="269"/>
        </w:trPr>
        <w:tc>
          <w:tcPr>
            <w:tcW w:w="931" w:type="dxa"/>
            <w:noWrap/>
            <w:vAlign w:val="bottom"/>
          </w:tcPr>
          <w:p w:rsidRPr="002B622A" w:rsidR="00C20282" w:rsidP="003E5498" w:rsidRDefault="00C20282" w14:paraId="0574F4B4" w14:textId="77777777">
            <w:pPr>
              <w:spacing w:line="240" w:lineRule="auto"/>
              <w:jc w:val="center"/>
              <w:rPr>
                <w:rFonts w:eastAsia="Times New Roman" w:cs="Calibri"/>
              </w:rPr>
            </w:pPr>
            <w:r w:rsidRPr="002B622A">
              <w:rPr>
                <w:rFonts w:eastAsia="Times New Roman" w:cs="Calibri"/>
              </w:rPr>
              <w:t>CAGR</w:t>
            </w:r>
            <w:r w:rsidRPr="002B622A">
              <w:rPr>
                <w:rStyle w:val="Voetnootmarkering"/>
                <w:rFonts w:eastAsia="Times New Roman" w:cs="Calibri"/>
              </w:rPr>
              <w:footnoteReference w:id="50"/>
            </w:r>
          </w:p>
        </w:tc>
        <w:tc>
          <w:tcPr>
            <w:tcW w:w="850" w:type="dxa"/>
            <w:noWrap/>
            <w:vAlign w:val="bottom"/>
          </w:tcPr>
          <w:p w:rsidRPr="002B622A" w:rsidR="00C20282" w:rsidP="003E5498" w:rsidRDefault="00C20282" w14:paraId="72DC5F53" w14:textId="77777777">
            <w:pPr>
              <w:spacing w:line="240" w:lineRule="auto"/>
              <w:jc w:val="center"/>
              <w:rPr>
                <w:rFonts w:eastAsia="Times New Roman" w:cs="Calibri"/>
              </w:rPr>
            </w:pPr>
          </w:p>
        </w:tc>
        <w:tc>
          <w:tcPr>
            <w:tcW w:w="852" w:type="dxa"/>
            <w:noWrap/>
            <w:vAlign w:val="bottom"/>
          </w:tcPr>
          <w:p w:rsidRPr="002B622A" w:rsidR="00C20282" w:rsidP="003E5498" w:rsidRDefault="00C20282" w14:paraId="0B41ED5D" w14:textId="77777777">
            <w:pPr>
              <w:spacing w:line="240" w:lineRule="auto"/>
              <w:jc w:val="center"/>
              <w:rPr>
                <w:rFonts w:eastAsia="Times New Roman" w:cs="Calibri"/>
              </w:rPr>
            </w:pPr>
            <w:r w:rsidRPr="002B622A">
              <w:rPr>
                <w:rFonts w:eastAsia="Times New Roman" w:cs="Calibri"/>
              </w:rPr>
              <w:t>5,0</w:t>
            </w:r>
          </w:p>
        </w:tc>
        <w:tc>
          <w:tcPr>
            <w:tcW w:w="850" w:type="dxa"/>
            <w:noWrap/>
            <w:vAlign w:val="bottom"/>
          </w:tcPr>
          <w:p w:rsidRPr="002B622A" w:rsidR="00C20282" w:rsidP="003E5498" w:rsidRDefault="00C20282" w14:paraId="7B3BC626" w14:textId="77777777">
            <w:pPr>
              <w:spacing w:line="240" w:lineRule="auto"/>
              <w:jc w:val="center"/>
              <w:rPr>
                <w:rFonts w:eastAsia="Times New Roman" w:cs="Calibri"/>
              </w:rPr>
            </w:pPr>
          </w:p>
        </w:tc>
        <w:tc>
          <w:tcPr>
            <w:tcW w:w="852" w:type="dxa"/>
            <w:noWrap/>
            <w:vAlign w:val="bottom"/>
          </w:tcPr>
          <w:p w:rsidRPr="002B622A" w:rsidR="00C20282" w:rsidP="003E5498" w:rsidRDefault="00C20282" w14:paraId="3F2D96F1" w14:textId="77777777">
            <w:pPr>
              <w:spacing w:line="240" w:lineRule="auto"/>
              <w:jc w:val="center"/>
              <w:rPr>
                <w:rFonts w:eastAsia="Times New Roman" w:cs="Calibri"/>
              </w:rPr>
            </w:pPr>
            <w:r w:rsidRPr="002B622A">
              <w:rPr>
                <w:rFonts w:eastAsia="Times New Roman" w:cs="Calibri"/>
              </w:rPr>
              <w:t>5,1</w:t>
            </w:r>
          </w:p>
        </w:tc>
        <w:tc>
          <w:tcPr>
            <w:tcW w:w="850" w:type="dxa"/>
            <w:noWrap/>
            <w:vAlign w:val="bottom"/>
          </w:tcPr>
          <w:p w:rsidRPr="002B622A" w:rsidR="00C20282" w:rsidP="003E5498" w:rsidRDefault="00C20282" w14:paraId="53046E32" w14:textId="77777777">
            <w:pPr>
              <w:spacing w:line="240" w:lineRule="auto"/>
              <w:jc w:val="center"/>
              <w:rPr>
                <w:rFonts w:eastAsia="Times New Roman" w:cs="Calibri"/>
              </w:rPr>
            </w:pPr>
          </w:p>
        </w:tc>
        <w:tc>
          <w:tcPr>
            <w:tcW w:w="852" w:type="dxa"/>
            <w:noWrap/>
            <w:vAlign w:val="bottom"/>
          </w:tcPr>
          <w:p w:rsidRPr="002B622A" w:rsidR="00C20282" w:rsidP="003E5498" w:rsidRDefault="00C20282" w14:paraId="6C045B6A" w14:textId="77777777">
            <w:pPr>
              <w:spacing w:line="240" w:lineRule="auto"/>
              <w:jc w:val="center"/>
              <w:rPr>
                <w:rFonts w:eastAsia="Times New Roman" w:cs="Calibri"/>
              </w:rPr>
            </w:pPr>
            <w:r w:rsidRPr="002B622A">
              <w:rPr>
                <w:rFonts w:eastAsia="Times New Roman" w:cs="Calibri"/>
              </w:rPr>
              <w:t>4,2</w:t>
            </w:r>
          </w:p>
        </w:tc>
        <w:tc>
          <w:tcPr>
            <w:tcW w:w="850" w:type="dxa"/>
            <w:noWrap/>
            <w:vAlign w:val="bottom"/>
          </w:tcPr>
          <w:p w:rsidRPr="002B622A" w:rsidR="00C20282" w:rsidP="003E5498" w:rsidRDefault="00C20282" w14:paraId="7E33D6E2" w14:textId="77777777">
            <w:pPr>
              <w:spacing w:line="240" w:lineRule="auto"/>
              <w:jc w:val="center"/>
              <w:rPr>
                <w:rFonts w:eastAsia="Times New Roman" w:cs="Calibri"/>
              </w:rPr>
            </w:pPr>
          </w:p>
        </w:tc>
        <w:tc>
          <w:tcPr>
            <w:tcW w:w="852" w:type="dxa"/>
            <w:noWrap/>
            <w:vAlign w:val="bottom"/>
          </w:tcPr>
          <w:p w:rsidRPr="002B622A" w:rsidR="00C20282" w:rsidP="003E5498" w:rsidRDefault="00C20282" w14:paraId="25C7932A" w14:textId="77777777">
            <w:pPr>
              <w:spacing w:line="240" w:lineRule="auto"/>
              <w:jc w:val="center"/>
              <w:rPr>
                <w:rFonts w:eastAsia="Times New Roman" w:cs="Calibri"/>
              </w:rPr>
            </w:pPr>
            <w:r w:rsidRPr="002B622A">
              <w:rPr>
                <w:rFonts w:eastAsia="Times New Roman" w:cs="Calibri"/>
              </w:rPr>
              <w:t>3,7</w:t>
            </w:r>
          </w:p>
        </w:tc>
        <w:tc>
          <w:tcPr>
            <w:tcW w:w="850" w:type="dxa"/>
            <w:noWrap/>
            <w:vAlign w:val="bottom"/>
          </w:tcPr>
          <w:p w:rsidRPr="002B622A" w:rsidR="00C20282" w:rsidP="003E5498" w:rsidRDefault="00C20282" w14:paraId="74657DDC" w14:textId="77777777">
            <w:pPr>
              <w:spacing w:line="240" w:lineRule="auto"/>
              <w:jc w:val="center"/>
              <w:rPr>
                <w:rFonts w:eastAsia="Times New Roman" w:cs="Calibri"/>
              </w:rPr>
            </w:pPr>
          </w:p>
        </w:tc>
        <w:tc>
          <w:tcPr>
            <w:tcW w:w="852" w:type="dxa"/>
            <w:noWrap/>
            <w:vAlign w:val="bottom"/>
            <w:hideMark/>
          </w:tcPr>
          <w:p w:rsidRPr="002B622A" w:rsidR="00C20282" w:rsidP="003E5498" w:rsidRDefault="00C20282" w14:paraId="749A4553" w14:textId="77777777">
            <w:pPr>
              <w:spacing w:line="240" w:lineRule="auto"/>
              <w:jc w:val="center"/>
              <w:rPr>
                <w:rFonts w:eastAsia="Times New Roman" w:cs="Calibri"/>
              </w:rPr>
            </w:pPr>
            <w:r w:rsidRPr="002B622A">
              <w:rPr>
                <w:rFonts w:eastAsia="Times New Roman" w:cs="Calibri"/>
              </w:rPr>
              <w:t>4,0</w:t>
            </w:r>
          </w:p>
        </w:tc>
      </w:tr>
      <w:tr w:rsidRPr="002B622A" w:rsidR="00C20282" w:rsidTr="003E5498" w14:paraId="08B0D51C" w14:textId="77777777">
        <w:trPr>
          <w:trHeight w:val="269"/>
        </w:trPr>
        <w:tc>
          <w:tcPr>
            <w:tcW w:w="931" w:type="dxa"/>
            <w:noWrap/>
            <w:vAlign w:val="bottom"/>
          </w:tcPr>
          <w:p w:rsidRPr="002B622A" w:rsidR="00C20282" w:rsidP="003E5498" w:rsidRDefault="00C20282" w14:paraId="2393F9A4" w14:textId="77777777">
            <w:pPr>
              <w:spacing w:line="240" w:lineRule="auto"/>
              <w:jc w:val="center"/>
              <w:rPr>
                <w:rFonts w:eastAsia="Times New Roman" w:cs="Calibri"/>
              </w:rPr>
            </w:pPr>
          </w:p>
        </w:tc>
        <w:tc>
          <w:tcPr>
            <w:tcW w:w="850" w:type="dxa"/>
            <w:noWrap/>
            <w:vAlign w:val="bottom"/>
          </w:tcPr>
          <w:p w:rsidRPr="002B622A" w:rsidR="00C20282" w:rsidP="003E5498" w:rsidRDefault="00C20282" w14:paraId="7EDCC5DE" w14:textId="77777777">
            <w:pPr>
              <w:spacing w:line="240" w:lineRule="auto"/>
              <w:jc w:val="center"/>
              <w:rPr>
                <w:rFonts w:eastAsia="Times New Roman" w:cs="Calibri"/>
              </w:rPr>
            </w:pPr>
          </w:p>
        </w:tc>
        <w:tc>
          <w:tcPr>
            <w:tcW w:w="852" w:type="dxa"/>
            <w:noWrap/>
            <w:vAlign w:val="bottom"/>
          </w:tcPr>
          <w:p w:rsidRPr="002B622A" w:rsidR="00C20282" w:rsidP="003E5498" w:rsidRDefault="00C20282" w14:paraId="769FC5D0" w14:textId="77777777">
            <w:pPr>
              <w:spacing w:line="240" w:lineRule="auto"/>
              <w:jc w:val="center"/>
              <w:rPr>
                <w:rFonts w:eastAsia="Times New Roman" w:cs="Calibri"/>
              </w:rPr>
            </w:pPr>
          </w:p>
        </w:tc>
        <w:tc>
          <w:tcPr>
            <w:tcW w:w="850" w:type="dxa"/>
            <w:noWrap/>
            <w:vAlign w:val="bottom"/>
          </w:tcPr>
          <w:p w:rsidRPr="002B622A" w:rsidR="00C20282" w:rsidP="003E5498" w:rsidRDefault="00C20282" w14:paraId="6A74B99E" w14:textId="77777777">
            <w:pPr>
              <w:spacing w:line="240" w:lineRule="auto"/>
              <w:jc w:val="center"/>
              <w:rPr>
                <w:rFonts w:eastAsia="Times New Roman" w:cs="Calibri"/>
              </w:rPr>
            </w:pPr>
          </w:p>
        </w:tc>
        <w:tc>
          <w:tcPr>
            <w:tcW w:w="852" w:type="dxa"/>
            <w:noWrap/>
            <w:vAlign w:val="bottom"/>
          </w:tcPr>
          <w:p w:rsidRPr="002B622A" w:rsidR="00C20282" w:rsidP="003E5498" w:rsidRDefault="00C20282" w14:paraId="1B01C262" w14:textId="77777777">
            <w:pPr>
              <w:spacing w:line="240" w:lineRule="auto"/>
              <w:jc w:val="center"/>
              <w:rPr>
                <w:rFonts w:eastAsia="Times New Roman" w:cs="Calibri"/>
              </w:rPr>
            </w:pPr>
          </w:p>
        </w:tc>
        <w:tc>
          <w:tcPr>
            <w:tcW w:w="850" w:type="dxa"/>
            <w:noWrap/>
            <w:vAlign w:val="bottom"/>
          </w:tcPr>
          <w:p w:rsidRPr="002B622A" w:rsidR="00C20282" w:rsidP="003E5498" w:rsidRDefault="00C20282" w14:paraId="2D8AF73B" w14:textId="77777777">
            <w:pPr>
              <w:spacing w:line="240" w:lineRule="auto"/>
              <w:jc w:val="center"/>
              <w:rPr>
                <w:rFonts w:eastAsia="Times New Roman" w:cs="Calibri"/>
              </w:rPr>
            </w:pPr>
          </w:p>
        </w:tc>
        <w:tc>
          <w:tcPr>
            <w:tcW w:w="852" w:type="dxa"/>
            <w:noWrap/>
            <w:vAlign w:val="bottom"/>
          </w:tcPr>
          <w:p w:rsidRPr="002B622A" w:rsidR="00C20282" w:rsidP="003E5498" w:rsidRDefault="00C20282" w14:paraId="473B4CCD" w14:textId="77777777">
            <w:pPr>
              <w:spacing w:line="240" w:lineRule="auto"/>
              <w:jc w:val="center"/>
              <w:rPr>
                <w:rFonts w:eastAsia="Times New Roman" w:cs="Calibri"/>
              </w:rPr>
            </w:pPr>
          </w:p>
        </w:tc>
        <w:tc>
          <w:tcPr>
            <w:tcW w:w="850" w:type="dxa"/>
            <w:noWrap/>
            <w:vAlign w:val="bottom"/>
          </w:tcPr>
          <w:p w:rsidRPr="002B622A" w:rsidR="00C20282" w:rsidP="003E5498" w:rsidRDefault="00C20282" w14:paraId="48FE416B" w14:textId="77777777">
            <w:pPr>
              <w:spacing w:line="240" w:lineRule="auto"/>
              <w:jc w:val="center"/>
              <w:rPr>
                <w:rFonts w:eastAsia="Times New Roman" w:cs="Calibri"/>
              </w:rPr>
            </w:pPr>
          </w:p>
        </w:tc>
        <w:tc>
          <w:tcPr>
            <w:tcW w:w="852" w:type="dxa"/>
            <w:noWrap/>
            <w:vAlign w:val="bottom"/>
          </w:tcPr>
          <w:p w:rsidRPr="002B622A" w:rsidR="00C20282" w:rsidP="003E5498" w:rsidRDefault="00C20282" w14:paraId="5D2083C1" w14:textId="77777777">
            <w:pPr>
              <w:spacing w:line="240" w:lineRule="auto"/>
              <w:jc w:val="center"/>
              <w:rPr>
                <w:rFonts w:eastAsia="Times New Roman" w:cs="Calibri"/>
              </w:rPr>
            </w:pPr>
          </w:p>
        </w:tc>
        <w:tc>
          <w:tcPr>
            <w:tcW w:w="850" w:type="dxa"/>
            <w:noWrap/>
            <w:vAlign w:val="bottom"/>
          </w:tcPr>
          <w:p w:rsidRPr="002B622A" w:rsidR="00C20282" w:rsidP="003E5498" w:rsidRDefault="00C20282" w14:paraId="436B73CE" w14:textId="77777777">
            <w:pPr>
              <w:spacing w:line="240" w:lineRule="auto"/>
              <w:jc w:val="center"/>
              <w:rPr>
                <w:rFonts w:eastAsia="Times New Roman" w:cs="Calibri"/>
              </w:rPr>
            </w:pPr>
          </w:p>
        </w:tc>
        <w:tc>
          <w:tcPr>
            <w:tcW w:w="852" w:type="dxa"/>
            <w:noWrap/>
            <w:vAlign w:val="bottom"/>
          </w:tcPr>
          <w:p w:rsidRPr="002B622A" w:rsidR="00C20282" w:rsidP="003E5498" w:rsidRDefault="00C20282" w14:paraId="0C4686DF" w14:textId="77777777">
            <w:pPr>
              <w:spacing w:line="240" w:lineRule="auto"/>
              <w:jc w:val="center"/>
              <w:rPr>
                <w:rFonts w:eastAsia="Times New Roman" w:cs="Calibri"/>
              </w:rPr>
            </w:pPr>
          </w:p>
        </w:tc>
      </w:tr>
    </w:tbl>
    <w:p w:rsidRPr="002B622A" w:rsidR="00C20282" w:rsidP="00C20282" w:rsidRDefault="00C20282" w14:paraId="02EC3A37" w14:textId="77777777">
      <w:pPr>
        <w:rPr>
          <w:rFonts w:cs="Calibri"/>
        </w:rPr>
      </w:pPr>
      <w:r w:rsidRPr="002B622A">
        <w:rPr>
          <w:rFonts w:cs="Calibri"/>
        </w:rPr>
        <w:t>Bron: Jaarverslagen pensioenfondsen</w:t>
      </w:r>
    </w:p>
    <w:p w:rsidRPr="002B622A" w:rsidR="00C20282" w:rsidP="00C20282" w:rsidRDefault="00C20282" w14:paraId="3B81F572" w14:textId="6434D51D"/>
    <w:p w:rsidRPr="002B622A" w:rsidR="00894FC0" w:rsidP="00C20282" w:rsidRDefault="00894FC0" w14:paraId="6133A415" w14:textId="77777777"/>
    <w:tbl>
      <w:tblPr>
        <w:tblpPr w:leftFromText="141" w:rightFromText="141" w:vertAnchor="text" w:horzAnchor="margin" w:tblpY="242"/>
        <w:tblW w:w="6419" w:type="pct"/>
        <w:tblCellMar>
          <w:left w:w="70" w:type="dxa"/>
          <w:right w:w="70" w:type="dxa"/>
        </w:tblCellMar>
        <w:tblLook w:val="04A0" w:firstRow="1" w:lastRow="0" w:firstColumn="1" w:lastColumn="0" w:noHBand="0" w:noVBand="1"/>
      </w:tblPr>
      <w:tblGrid>
        <w:gridCol w:w="658"/>
        <w:gridCol w:w="983"/>
        <w:gridCol w:w="790"/>
        <w:gridCol w:w="983"/>
        <w:gridCol w:w="791"/>
        <w:gridCol w:w="983"/>
        <w:gridCol w:w="946"/>
        <w:gridCol w:w="983"/>
        <w:gridCol w:w="791"/>
        <w:gridCol w:w="983"/>
        <w:gridCol w:w="790"/>
      </w:tblGrid>
      <w:tr w:rsidRPr="009555A6" w:rsidR="00894FC0" w:rsidTr="003E5498" w14:paraId="3BAD144A" w14:textId="77777777">
        <w:trPr>
          <w:trHeight w:val="248"/>
        </w:trPr>
        <w:tc>
          <w:tcPr>
            <w:tcW w:w="3667" w:type="pct"/>
            <w:gridSpan w:val="8"/>
            <w:tcBorders>
              <w:top w:val="nil"/>
              <w:left w:val="nil"/>
              <w:bottom w:val="single" w:color="auto" w:sz="4" w:space="0"/>
              <w:right w:val="nil"/>
            </w:tcBorders>
            <w:noWrap/>
            <w:vAlign w:val="bottom"/>
            <w:hideMark/>
          </w:tcPr>
          <w:p w:rsidRPr="002B622A" w:rsidR="00894FC0" w:rsidP="003E5498" w:rsidRDefault="00894FC0" w14:paraId="49DCC7F3" w14:textId="77777777">
            <w:pPr>
              <w:spacing w:line="240" w:lineRule="auto"/>
              <w:rPr>
                <w:rFonts w:eastAsia="Times New Roman" w:cs="Calibri"/>
                <w:b/>
                <w:bCs/>
                <w:sz w:val="14"/>
                <w:szCs w:val="14"/>
              </w:rPr>
            </w:pPr>
          </w:p>
          <w:p w:rsidRPr="002B622A" w:rsidR="00894FC0" w:rsidP="003E5498" w:rsidRDefault="00894FC0" w14:paraId="35EF9BEE" w14:textId="77777777">
            <w:pPr>
              <w:spacing w:line="240" w:lineRule="auto"/>
              <w:rPr>
                <w:rFonts w:eastAsia="Times New Roman" w:cs="Calibri"/>
                <w:sz w:val="14"/>
                <w:szCs w:val="14"/>
              </w:rPr>
            </w:pPr>
            <w:r w:rsidRPr="002B622A">
              <w:rPr>
                <w:rFonts w:eastAsia="Times New Roman" w:cs="Calibri"/>
                <w:b/>
                <w:bCs/>
                <w:sz w:val="14"/>
                <w:szCs w:val="14"/>
              </w:rPr>
              <w:t>Tabel 2: Dekkings- en beleidsdekkingsgraad per fonds (in percentages)</w:t>
            </w:r>
          </w:p>
        </w:tc>
        <w:tc>
          <w:tcPr>
            <w:tcW w:w="416" w:type="pct"/>
            <w:tcBorders>
              <w:top w:val="nil"/>
              <w:left w:val="nil"/>
              <w:bottom w:val="single" w:color="auto" w:sz="4" w:space="0"/>
              <w:right w:val="nil"/>
            </w:tcBorders>
            <w:noWrap/>
            <w:vAlign w:val="bottom"/>
            <w:hideMark/>
          </w:tcPr>
          <w:p w:rsidRPr="002B622A" w:rsidR="00894FC0" w:rsidP="003E5498" w:rsidRDefault="00894FC0" w14:paraId="443DCD75" w14:textId="77777777">
            <w:pPr>
              <w:spacing w:line="240" w:lineRule="auto"/>
              <w:rPr>
                <w:rFonts w:eastAsia="Times New Roman" w:cs="Calibri"/>
                <w:sz w:val="14"/>
                <w:szCs w:val="14"/>
              </w:rPr>
            </w:pPr>
          </w:p>
        </w:tc>
        <w:tc>
          <w:tcPr>
            <w:tcW w:w="501" w:type="pct"/>
            <w:tcBorders>
              <w:top w:val="nil"/>
              <w:left w:val="nil"/>
              <w:bottom w:val="single" w:color="auto" w:sz="4" w:space="0"/>
              <w:right w:val="nil"/>
            </w:tcBorders>
            <w:noWrap/>
            <w:vAlign w:val="bottom"/>
            <w:hideMark/>
          </w:tcPr>
          <w:p w:rsidRPr="002B622A" w:rsidR="00894FC0" w:rsidP="003E5498" w:rsidRDefault="00894FC0" w14:paraId="11FFCCBC" w14:textId="77777777">
            <w:pPr>
              <w:spacing w:line="240" w:lineRule="auto"/>
              <w:rPr>
                <w:rFonts w:eastAsia="Times New Roman" w:cs="Calibri"/>
                <w:sz w:val="14"/>
                <w:szCs w:val="14"/>
              </w:rPr>
            </w:pPr>
          </w:p>
        </w:tc>
        <w:tc>
          <w:tcPr>
            <w:tcW w:w="416" w:type="pct"/>
            <w:tcBorders>
              <w:top w:val="nil"/>
              <w:left w:val="nil"/>
              <w:bottom w:val="single" w:color="auto" w:sz="4" w:space="0"/>
              <w:right w:val="nil"/>
            </w:tcBorders>
            <w:noWrap/>
            <w:vAlign w:val="bottom"/>
            <w:hideMark/>
          </w:tcPr>
          <w:p w:rsidRPr="002B622A" w:rsidR="00894FC0" w:rsidP="003E5498" w:rsidRDefault="00894FC0" w14:paraId="1D5E09DD" w14:textId="77777777">
            <w:pPr>
              <w:spacing w:line="240" w:lineRule="auto"/>
              <w:rPr>
                <w:rFonts w:eastAsia="Times New Roman" w:cs="Calibri"/>
                <w:sz w:val="14"/>
                <w:szCs w:val="14"/>
              </w:rPr>
            </w:pPr>
          </w:p>
        </w:tc>
      </w:tr>
      <w:tr w:rsidRPr="009555A6" w:rsidR="00894FC0" w:rsidTr="003E5498" w14:paraId="18A3EDF1"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79F02CC7" w14:textId="77777777">
            <w:pPr>
              <w:spacing w:line="240" w:lineRule="auto"/>
              <w:rPr>
                <w:rFonts w:eastAsia="Times New Roman" w:cs="Calibri"/>
                <w:sz w:val="14"/>
                <w:szCs w:val="14"/>
              </w:rPr>
            </w:pPr>
          </w:p>
        </w:tc>
        <w:tc>
          <w:tcPr>
            <w:tcW w:w="917" w:type="pct"/>
            <w:gridSpan w:val="2"/>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0DF2BC97" w14:textId="77777777">
            <w:pPr>
              <w:spacing w:line="240" w:lineRule="auto"/>
              <w:jc w:val="center"/>
              <w:rPr>
                <w:rFonts w:eastAsia="Times New Roman" w:cs="Calibri"/>
                <w:b/>
                <w:bCs/>
                <w:sz w:val="14"/>
                <w:szCs w:val="14"/>
              </w:rPr>
            </w:pPr>
            <w:r w:rsidRPr="002B622A">
              <w:rPr>
                <w:rFonts w:eastAsia="Times New Roman" w:cs="Calibri"/>
                <w:b/>
                <w:bCs/>
                <w:sz w:val="14"/>
                <w:szCs w:val="14"/>
              </w:rPr>
              <w:t>ABP</w:t>
            </w:r>
          </w:p>
        </w:tc>
        <w:tc>
          <w:tcPr>
            <w:tcW w:w="917" w:type="pct"/>
            <w:gridSpan w:val="2"/>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3439AEB8" w14:textId="77777777">
            <w:pPr>
              <w:spacing w:line="240" w:lineRule="auto"/>
              <w:jc w:val="center"/>
              <w:rPr>
                <w:rFonts w:eastAsia="Times New Roman" w:cs="Calibri"/>
                <w:b/>
                <w:bCs/>
                <w:sz w:val="14"/>
                <w:szCs w:val="14"/>
              </w:rPr>
            </w:pPr>
            <w:r w:rsidRPr="002B622A">
              <w:rPr>
                <w:rFonts w:eastAsia="Times New Roman" w:cs="Calibri"/>
                <w:b/>
                <w:bCs/>
                <w:sz w:val="14"/>
                <w:szCs w:val="14"/>
              </w:rPr>
              <w:t>Bouw</w:t>
            </w:r>
          </w:p>
        </w:tc>
        <w:tc>
          <w:tcPr>
            <w:tcW w:w="997" w:type="pct"/>
            <w:gridSpan w:val="2"/>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23F095B9" w14:textId="77777777">
            <w:pPr>
              <w:spacing w:line="240" w:lineRule="auto"/>
              <w:jc w:val="center"/>
              <w:rPr>
                <w:rFonts w:eastAsia="Times New Roman" w:cs="Calibri"/>
                <w:b/>
                <w:bCs/>
                <w:sz w:val="14"/>
                <w:szCs w:val="14"/>
              </w:rPr>
            </w:pPr>
            <w:r w:rsidRPr="002B622A">
              <w:rPr>
                <w:rFonts w:eastAsia="Times New Roman" w:cs="Calibri"/>
                <w:b/>
                <w:bCs/>
                <w:sz w:val="14"/>
                <w:szCs w:val="14"/>
              </w:rPr>
              <w:t>PME</w:t>
            </w:r>
          </w:p>
        </w:tc>
        <w:tc>
          <w:tcPr>
            <w:tcW w:w="917" w:type="pct"/>
            <w:gridSpan w:val="2"/>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5FAC9B9E" w14:textId="77777777">
            <w:pPr>
              <w:spacing w:line="240" w:lineRule="auto"/>
              <w:jc w:val="center"/>
              <w:rPr>
                <w:rFonts w:eastAsia="Times New Roman" w:cs="Calibri"/>
                <w:b/>
                <w:bCs/>
                <w:sz w:val="14"/>
                <w:szCs w:val="14"/>
              </w:rPr>
            </w:pPr>
            <w:r w:rsidRPr="002B622A">
              <w:rPr>
                <w:rFonts w:eastAsia="Times New Roman" w:cs="Calibri"/>
                <w:b/>
                <w:bCs/>
                <w:sz w:val="14"/>
                <w:szCs w:val="14"/>
              </w:rPr>
              <w:t>PMT</w:t>
            </w:r>
          </w:p>
        </w:tc>
        <w:tc>
          <w:tcPr>
            <w:tcW w:w="917" w:type="pct"/>
            <w:gridSpan w:val="2"/>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7BDAEC30" w14:textId="77777777">
            <w:pPr>
              <w:spacing w:line="240" w:lineRule="auto"/>
              <w:jc w:val="center"/>
              <w:rPr>
                <w:rFonts w:eastAsia="Times New Roman" w:cs="Calibri"/>
                <w:b/>
                <w:bCs/>
                <w:sz w:val="14"/>
                <w:szCs w:val="14"/>
              </w:rPr>
            </w:pPr>
            <w:r w:rsidRPr="002B622A">
              <w:rPr>
                <w:rFonts w:eastAsia="Times New Roman" w:cs="Calibri"/>
                <w:b/>
                <w:bCs/>
                <w:sz w:val="14"/>
                <w:szCs w:val="14"/>
              </w:rPr>
              <w:t>PFZW</w:t>
            </w:r>
          </w:p>
        </w:tc>
      </w:tr>
      <w:tr w:rsidRPr="009555A6" w:rsidR="00894FC0" w:rsidTr="003E5498" w14:paraId="4D6373AE" w14:textId="77777777">
        <w:trPr>
          <w:trHeight w:val="255"/>
        </w:trPr>
        <w:tc>
          <w:tcPr>
            <w:tcW w:w="336" w:type="pct"/>
            <w:tcBorders>
              <w:top w:val="single" w:color="auto" w:sz="4" w:space="0"/>
              <w:left w:val="single" w:color="auto" w:sz="4" w:space="0"/>
              <w:bottom w:val="single" w:color="auto" w:sz="4" w:space="0"/>
              <w:right w:val="single" w:color="auto" w:sz="4" w:space="0"/>
            </w:tcBorders>
            <w:noWrap/>
            <w:hideMark/>
          </w:tcPr>
          <w:p w:rsidRPr="002B622A" w:rsidR="00894FC0" w:rsidP="003E5498" w:rsidRDefault="00894FC0" w14:paraId="63EBFDCE" w14:textId="77777777">
            <w:pPr>
              <w:spacing w:line="240" w:lineRule="auto"/>
              <w:jc w:val="center"/>
              <w:rPr>
                <w:rFonts w:eastAsia="Times New Roman" w:cs="Calibri"/>
                <w:b/>
                <w:bCs/>
                <w:sz w:val="14"/>
                <w:szCs w:val="14"/>
              </w:rPr>
            </w:pPr>
            <w:r w:rsidRPr="002B622A">
              <w:rPr>
                <w:rFonts w:eastAsia="Times New Roman" w:cs="Calibri"/>
                <w:b/>
                <w:bCs/>
                <w:sz w:val="14"/>
                <w:szCs w:val="14"/>
              </w:rPr>
              <w:t>Ultimo</w:t>
            </w:r>
          </w:p>
        </w:tc>
        <w:tc>
          <w:tcPr>
            <w:tcW w:w="501"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6F74BE12"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Dekkingsgr</w:t>
            </w:r>
            <w:proofErr w:type="spellEnd"/>
            <w:r w:rsidRPr="002B622A">
              <w:rPr>
                <w:rFonts w:eastAsia="Times New Roman" w:cs="Calibri"/>
                <w:sz w:val="14"/>
                <w:szCs w:val="14"/>
              </w:rPr>
              <w:t>.</w:t>
            </w:r>
          </w:p>
        </w:tc>
        <w:tc>
          <w:tcPr>
            <w:tcW w:w="416"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6CACAA81"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Beleidsd</w:t>
            </w:r>
            <w:proofErr w:type="spellEnd"/>
            <w:r w:rsidRPr="002B622A">
              <w:rPr>
                <w:rFonts w:eastAsia="Times New Roman" w:cs="Calibri"/>
                <w:sz w:val="14"/>
                <w:szCs w:val="14"/>
              </w:rPr>
              <w:t>.</w:t>
            </w:r>
          </w:p>
        </w:tc>
        <w:tc>
          <w:tcPr>
            <w:tcW w:w="501"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3715FB58"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Dekkingsgr</w:t>
            </w:r>
            <w:proofErr w:type="spellEnd"/>
            <w:r w:rsidRPr="002B622A">
              <w:rPr>
                <w:rFonts w:eastAsia="Times New Roman" w:cs="Calibri"/>
                <w:sz w:val="14"/>
                <w:szCs w:val="14"/>
              </w:rPr>
              <w:t>.</w:t>
            </w:r>
          </w:p>
        </w:tc>
        <w:tc>
          <w:tcPr>
            <w:tcW w:w="416"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615828C5"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Beleidsd</w:t>
            </w:r>
            <w:proofErr w:type="spellEnd"/>
            <w:r w:rsidRPr="002B622A">
              <w:rPr>
                <w:rFonts w:eastAsia="Times New Roman" w:cs="Calibri"/>
                <w:sz w:val="14"/>
                <w:szCs w:val="14"/>
              </w:rPr>
              <w:t>.</w:t>
            </w:r>
          </w:p>
        </w:tc>
        <w:tc>
          <w:tcPr>
            <w:tcW w:w="501"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0E210A8D"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Dekkingsgr</w:t>
            </w:r>
            <w:proofErr w:type="spellEnd"/>
            <w:r w:rsidRPr="002B622A">
              <w:rPr>
                <w:rFonts w:eastAsia="Times New Roman" w:cs="Calibri"/>
                <w:sz w:val="14"/>
                <w:szCs w:val="14"/>
              </w:rPr>
              <w:t>.</w:t>
            </w:r>
          </w:p>
        </w:tc>
        <w:tc>
          <w:tcPr>
            <w:tcW w:w="496"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249E75CD"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Beleidsd</w:t>
            </w:r>
            <w:proofErr w:type="spellEnd"/>
            <w:r w:rsidRPr="002B622A">
              <w:rPr>
                <w:rFonts w:eastAsia="Times New Roman" w:cs="Calibri"/>
                <w:sz w:val="14"/>
                <w:szCs w:val="14"/>
              </w:rPr>
              <w:t>.</w:t>
            </w:r>
          </w:p>
        </w:tc>
        <w:tc>
          <w:tcPr>
            <w:tcW w:w="501"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6E1A0440"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Dekkingsgr</w:t>
            </w:r>
            <w:proofErr w:type="spellEnd"/>
            <w:r w:rsidRPr="002B622A">
              <w:rPr>
                <w:rFonts w:eastAsia="Times New Roman" w:cs="Calibri"/>
                <w:sz w:val="14"/>
                <w:szCs w:val="14"/>
              </w:rPr>
              <w:t>.</w:t>
            </w:r>
          </w:p>
        </w:tc>
        <w:tc>
          <w:tcPr>
            <w:tcW w:w="416"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7721EFBA"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Beleidsd</w:t>
            </w:r>
            <w:proofErr w:type="spellEnd"/>
            <w:r w:rsidRPr="002B622A">
              <w:rPr>
                <w:rFonts w:eastAsia="Times New Roman" w:cs="Calibri"/>
                <w:sz w:val="14"/>
                <w:szCs w:val="14"/>
              </w:rPr>
              <w:t>.</w:t>
            </w:r>
          </w:p>
        </w:tc>
        <w:tc>
          <w:tcPr>
            <w:tcW w:w="501"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6BF6A2BC"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Dekkingsgr</w:t>
            </w:r>
            <w:proofErr w:type="spellEnd"/>
            <w:r w:rsidRPr="002B622A">
              <w:rPr>
                <w:rFonts w:eastAsia="Times New Roman" w:cs="Calibri"/>
                <w:sz w:val="14"/>
                <w:szCs w:val="14"/>
              </w:rPr>
              <w:t>.</w:t>
            </w:r>
          </w:p>
        </w:tc>
        <w:tc>
          <w:tcPr>
            <w:tcW w:w="416"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6FCE0359" w14:textId="77777777">
            <w:pPr>
              <w:spacing w:line="240" w:lineRule="auto"/>
              <w:jc w:val="center"/>
              <w:rPr>
                <w:rFonts w:eastAsia="Times New Roman" w:cs="Calibri"/>
                <w:sz w:val="14"/>
                <w:szCs w:val="14"/>
              </w:rPr>
            </w:pPr>
            <w:proofErr w:type="spellStart"/>
            <w:r w:rsidRPr="002B622A">
              <w:rPr>
                <w:rFonts w:eastAsia="Times New Roman" w:cs="Calibri"/>
                <w:sz w:val="14"/>
                <w:szCs w:val="14"/>
              </w:rPr>
              <w:t>Beleidsd</w:t>
            </w:r>
            <w:proofErr w:type="spellEnd"/>
            <w:r w:rsidRPr="002B622A">
              <w:rPr>
                <w:rFonts w:eastAsia="Times New Roman" w:cs="Calibri"/>
                <w:sz w:val="14"/>
                <w:szCs w:val="14"/>
              </w:rPr>
              <w:t>.</w:t>
            </w:r>
          </w:p>
        </w:tc>
      </w:tr>
      <w:tr w:rsidRPr="009555A6" w:rsidR="00894FC0" w:rsidTr="003E5498" w14:paraId="7B620AD4"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7B59A7E9" w14:textId="77777777">
            <w:pPr>
              <w:spacing w:line="240" w:lineRule="auto"/>
              <w:jc w:val="center"/>
              <w:rPr>
                <w:rFonts w:eastAsia="Times New Roman" w:cs="Calibri"/>
                <w:sz w:val="14"/>
                <w:szCs w:val="14"/>
              </w:rPr>
            </w:pPr>
            <w:r w:rsidRPr="002B622A">
              <w:rPr>
                <w:rFonts w:eastAsia="Times New Roman" w:cs="Calibri"/>
                <w:sz w:val="14"/>
                <w:szCs w:val="14"/>
              </w:rPr>
              <w:t>2014</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98B7D59" w14:textId="77777777">
            <w:pPr>
              <w:spacing w:line="240" w:lineRule="auto"/>
              <w:jc w:val="center"/>
              <w:rPr>
                <w:rFonts w:eastAsia="Times New Roman" w:cs="Calibri"/>
                <w:sz w:val="14"/>
                <w:szCs w:val="14"/>
              </w:rPr>
            </w:pPr>
            <w:r w:rsidRPr="002B622A">
              <w:rPr>
                <w:rFonts w:cs="Calibri"/>
                <w:sz w:val="14"/>
                <w:szCs w:val="14"/>
              </w:rPr>
              <w:t>101,1</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75481CB" w14:textId="77777777">
            <w:pPr>
              <w:spacing w:line="240" w:lineRule="auto"/>
              <w:jc w:val="center"/>
              <w:rPr>
                <w:rFonts w:eastAsia="Times New Roman" w:cs="Calibri"/>
                <w:sz w:val="14"/>
                <w:szCs w:val="14"/>
              </w:rPr>
            </w:pPr>
            <w:r w:rsidRPr="002B622A">
              <w:rPr>
                <w:rFonts w:cs="Calibri"/>
                <w:sz w:val="14"/>
                <w:szCs w:val="14"/>
              </w:rPr>
              <w:t>104,7</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0042702" w14:textId="77777777">
            <w:pPr>
              <w:spacing w:line="240" w:lineRule="auto"/>
              <w:jc w:val="center"/>
              <w:rPr>
                <w:rFonts w:eastAsia="Times New Roman" w:cs="Calibri"/>
                <w:sz w:val="14"/>
                <w:szCs w:val="14"/>
              </w:rPr>
            </w:pPr>
            <w:r w:rsidRPr="002B622A">
              <w:rPr>
                <w:rFonts w:cs="Calibri"/>
                <w:sz w:val="14"/>
                <w:szCs w:val="14"/>
              </w:rPr>
              <w:t>115,1</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A593E88" w14:textId="77777777">
            <w:pPr>
              <w:spacing w:line="240" w:lineRule="auto"/>
              <w:jc w:val="center"/>
              <w:rPr>
                <w:rFonts w:eastAsia="Times New Roman" w:cs="Calibri"/>
                <w:sz w:val="14"/>
                <w:szCs w:val="14"/>
              </w:rPr>
            </w:pPr>
            <w:r w:rsidRPr="002B622A">
              <w:rPr>
                <w:rFonts w:cs="Calibri"/>
                <w:sz w:val="14"/>
                <w:szCs w:val="14"/>
              </w:rPr>
              <w:t>115,0</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CC0DA32" w14:textId="77777777">
            <w:pPr>
              <w:spacing w:line="240" w:lineRule="auto"/>
              <w:jc w:val="center"/>
              <w:rPr>
                <w:rFonts w:eastAsia="Times New Roman" w:cs="Calibri"/>
                <w:sz w:val="14"/>
                <w:szCs w:val="14"/>
              </w:rPr>
            </w:pPr>
            <w:r w:rsidRPr="002B622A">
              <w:rPr>
                <w:rFonts w:cs="Calibri"/>
                <w:sz w:val="14"/>
                <w:szCs w:val="14"/>
              </w:rPr>
              <w:t>101,7</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D7F947F" w14:textId="77777777">
            <w:pPr>
              <w:spacing w:line="240" w:lineRule="auto"/>
              <w:jc w:val="center"/>
              <w:rPr>
                <w:rFonts w:eastAsia="Times New Roman" w:cs="Calibri"/>
                <w:sz w:val="14"/>
                <w:szCs w:val="14"/>
              </w:rPr>
            </w:pPr>
            <w:r w:rsidRPr="002B622A">
              <w:rPr>
                <w:rFonts w:cs="Calibri"/>
                <w:sz w:val="14"/>
                <w:szCs w:val="14"/>
              </w:rPr>
              <w:t>104,1</w:t>
            </w:r>
          </w:p>
        </w:tc>
        <w:tc>
          <w:tcPr>
            <w:tcW w:w="501"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427087EE" w14:textId="77777777">
            <w:pPr>
              <w:spacing w:line="240" w:lineRule="auto"/>
              <w:jc w:val="center"/>
              <w:rPr>
                <w:rFonts w:eastAsia="Times New Roman" w:cs="Calibri"/>
                <w:sz w:val="14"/>
                <w:szCs w:val="14"/>
              </w:rPr>
            </w:pPr>
            <w:r w:rsidRPr="002B622A">
              <w:rPr>
                <w:rFonts w:cs="Calibri"/>
                <w:sz w:val="14"/>
                <w:szCs w:val="14"/>
              </w:rPr>
              <w:t> </w:t>
            </w:r>
          </w:p>
        </w:tc>
        <w:tc>
          <w:tcPr>
            <w:tcW w:w="4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721B8D59" w14:textId="77777777">
            <w:pPr>
              <w:spacing w:line="240" w:lineRule="auto"/>
              <w:jc w:val="center"/>
              <w:rPr>
                <w:rFonts w:eastAsia="Times New Roman" w:cs="Calibri"/>
                <w:sz w:val="14"/>
                <w:szCs w:val="14"/>
              </w:rPr>
            </w:pPr>
            <w:r w:rsidRPr="002B622A">
              <w:rPr>
                <w:rFonts w:cs="Calibri"/>
                <w:sz w:val="14"/>
                <w:szCs w:val="14"/>
              </w:rPr>
              <w:t> </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60A9202" w14:textId="77777777">
            <w:pPr>
              <w:spacing w:line="240" w:lineRule="auto"/>
              <w:jc w:val="center"/>
              <w:rPr>
                <w:rFonts w:eastAsia="Times New Roman" w:cs="Calibri"/>
                <w:sz w:val="14"/>
                <w:szCs w:val="14"/>
              </w:rPr>
            </w:pPr>
            <w:r w:rsidRPr="002B622A">
              <w:rPr>
                <w:rFonts w:cs="Calibri"/>
                <w:sz w:val="14"/>
                <w:szCs w:val="14"/>
              </w:rPr>
              <w:t>102,2</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E90282C" w14:textId="77777777">
            <w:pPr>
              <w:spacing w:line="240" w:lineRule="auto"/>
              <w:jc w:val="center"/>
              <w:rPr>
                <w:rFonts w:eastAsia="Times New Roman" w:cs="Calibri"/>
                <w:sz w:val="14"/>
                <w:szCs w:val="14"/>
              </w:rPr>
            </w:pPr>
            <w:r w:rsidRPr="002B622A">
              <w:rPr>
                <w:rFonts w:cs="Calibri"/>
                <w:sz w:val="14"/>
                <w:szCs w:val="14"/>
              </w:rPr>
              <w:t>107,6</w:t>
            </w:r>
          </w:p>
        </w:tc>
      </w:tr>
      <w:tr w:rsidRPr="009555A6" w:rsidR="00894FC0" w:rsidTr="003E5498" w14:paraId="577B82AA"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7B46681D" w14:textId="77777777">
            <w:pPr>
              <w:spacing w:line="240" w:lineRule="auto"/>
              <w:jc w:val="center"/>
              <w:rPr>
                <w:rFonts w:eastAsia="Times New Roman" w:cs="Calibri"/>
                <w:sz w:val="14"/>
                <w:szCs w:val="14"/>
              </w:rPr>
            </w:pPr>
            <w:r w:rsidRPr="002B622A">
              <w:rPr>
                <w:rFonts w:eastAsia="Times New Roman" w:cs="Calibri"/>
                <w:sz w:val="14"/>
                <w:szCs w:val="14"/>
              </w:rPr>
              <w:t>2015</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7151F8A" w14:textId="77777777">
            <w:pPr>
              <w:spacing w:line="240" w:lineRule="auto"/>
              <w:jc w:val="center"/>
              <w:rPr>
                <w:rFonts w:eastAsia="Times New Roman" w:cs="Calibri"/>
                <w:sz w:val="14"/>
                <w:szCs w:val="14"/>
              </w:rPr>
            </w:pPr>
            <w:r w:rsidRPr="002B622A">
              <w:rPr>
                <w:rFonts w:cs="Calibri"/>
                <w:sz w:val="14"/>
                <w:szCs w:val="14"/>
              </w:rPr>
              <w:t>97,2</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067C679" w14:textId="77777777">
            <w:pPr>
              <w:spacing w:line="240" w:lineRule="auto"/>
              <w:jc w:val="center"/>
              <w:rPr>
                <w:rFonts w:eastAsia="Times New Roman" w:cs="Calibri"/>
                <w:sz w:val="14"/>
                <w:szCs w:val="14"/>
              </w:rPr>
            </w:pPr>
            <w:r w:rsidRPr="002B622A">
              <w:rPr>
                <w:rFonts w:cs="Calibri"/>
                <w:sz w:val="14"/>
                <w:szCs w:val="14"/>
              </w:rPr>
              <w:t>98,7</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8360BE4" w14:textId="77777777">
            <w:pPr>
              <w:spacing w:line="240" w:lineRule="auto"/>
              <w:jc w:val="center"/>
              <w:rPr>
                <w:rFonts w:eastAsia="Times New Roman" w:cs="Calibri"/>
                <w:sz w:val="14"/>
                <w:szCs w:val="14"/>
              </w:rPr>
            </w:pPr>
            <w:r w:rsidRPr="002B622A">
              <w:rPr>
                <w:rFonts w:cs="Calibri"/>
                <w:sz w:val="14"/>
                <w:szCs w:val="14"/>
              </w:rPr>
              <w:t>108,7</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C72EDF1" w14:textId="77777777">
            <w:pPr>
              <w:spacing w:line="240" w:lineRule="auto"/>
              <w:jc w:val="center"/>
              <w:rPr>
                <w:rFonts w:eastAsia="Times New Roman" w:cs="Calibri"/>
                <w:sz w:val="14"/>
                <w:szCs w:val="14"/>
              </w:rPr>
            </w:pPr>
            <w:r w:rsidRPr="002B622A">
              <w:rPr>
                <w:rFonts w:cs="Calibri"/>
                <w:sz w:val="14"/>
                <w:szCs w:val="14"/>
              </w:rPr>
              <w:t>110,9</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01EEE4D" w14:textId="77777777">
            <w:pPr>
              <w:spacing w:line="240" w:lineRule="auto"/>
              <w:jc w:val="center"/>
              <w:rPr>
                <w:rFonts w:eastAsia="Times New Roman" w:cs="Calibri"/>
                <w:sz w:val="14"/>
                <w:szCs w:val="14"/>
              </w:rPr>
            </w:pPr>
            <w:r w:rsidRPr="002B622A">
              <w:rPr>
                <w:rFonts w:cs="Calibri"/>
                <w:sz w:val="14"/>
                <w:szCs w:val="14"/>
              </w:rPr>
              <w:t>96,1</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DA8B8D8" w14:textId="77777777">
            <w:pPr>
              <w:spacing w:line="240" w:lineRule="auto"/>
              <w:jc w:val="center"/>
              <w:rPr>
                <w:rFonts w:eastAsia="Times New Roman" w:cs="Calibri"/>
                <w:sz w:val="14"/>
                <w:szCs w:val="14"/>
              </w:rPr>
            </w:pPr>
            <w:r w:rsidRPr="002B622A">
              <w:rPr>
                <w:rFonts w:cs="Calibri"/>
                <w:sz w:val="14"/>
                <w:szCs w:val="14"/>
              </w:rPr>
              <w:t>97,6</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CC80B25" w14:textId="77777777">
            <w:pPr>
              <w:spacing w:line="240" w:lineRule="auto"/>
              <w:jc w:val="center"/>
              <w:rPr>
                <w:rFonts w:eastAsia="Times New Roman" w:cs="Calibri"/>
                <w:sz w:val="14"/>
                <w:szCs w:val="14"/>
              </w:rPr>
            </w:pPr>
            <w:r w:rsidRPr="002B622A">
              <w:rPr>
                <w:rFonts w:cs="Calibri"/>
                <w:sz w:val="14"/>
                <w:szCs w:val="14"/>
              </w:rPr>
              <w:t>97,5</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1602FAE" w14:textId="77777777">
            <w:pPr>
              <w:spacing w:line="240" w:lineRule="auto"/>
              <w:jc w:val="center"/>
              <w:rPr>
                <w:rFonts w:eastAsia="Times New Roman" w:cs="Calibri"/>
                <w:sz w:val="14"/>
                <w:szCs w:val="14"/>
              </w:rPr>
            </w:pPr>
            <w:r w:rsidRPr="002B622A">
              <w:rPr>
                <w:rFonts w:cs="Calibri"/>
                <w:sz w:val="14"/>
                <w:szCs w:val="14"/>
              </w:rPr>
              <w:t>98,5</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2120A9E" w14:textId="77777777">
            <w:pPr>
              <w:spacing w:line="240" w:lineRule="auto"/>
              <w:jc w:val="center"/>
              <w:rPr>
                <w:rFonts w:eastAsia="Times New Roman" w:cs="Calibri"/>
                <w:sz w:val="14"/>
                <w:szCs w:val="14"/>
              </w:rPr>
            </w:pPr>
            <w:r w:rsidRPr="002B622A">
              <w:rPr>
                <w:rFonts w:cs="Calibri"/>
                <w:sz w:val="14"/>
                <w:szCs w:val="14"/>
              </w:rPr>
              <w:t>95,1</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92E1229" w14:textId="77777777">
            <w:pPr>
              <w:spacing w:line="240" w:lineRule="auto"/>
              <w:jc w:val="center"/>
              <w:rPr>
                <w:rFonts w:eastAsia="Times New Roman" w:cs="Calibri"/>
                <w:sz w:val="14"/>
                <w:szCs w:val="14"/>
              </w:rPr>
            </w:pPr>
            <w:r w:rsidRPr="002B622A">
              <w:rPr>
                <w:rFonts w:cs="Calibri"/>
                <w:sz w:val="14"/>
                <w:szCs w:val="14"/>
              </w:rPr>
              <w:t>97,1</w:t>
            </w:r>
          </w:p>
        </w:tc>
      </w:tr>
      <w:tr w:rsidRPr="009555A6" w:rsidR="00894FC0" w:rsidTr="003E5498" w14:paraId="4EAE7EE3"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38509072" w14:textId="77777777">
            <w:pPr>
              <w:spacing w:line="240" w:lineRule="auto"/>
              <w:jc w:val="center"/>
              <w:rPr>
                <w:rFonts w:eastAsia="Times New Roman" w:cs="Calibri"/>
                <w:sz w:val="14"/>
                <w:szCs w:val="14"/>
              </w:rPr>
            </w:pPr>
            <w:r w:rsidRPr="002B622A">
              <w:rPr>
                <w:rFonts w:eastAsia="Times New Roman" w:cs="Calibri"/>
                <w:sz w:val="14"/>
                <w:szCs w:val="14"/>
              </w:rPr>
              <w:t>2016</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5C23358" w14:textId="77777777">
            <w:pPr>
              <w:spacing w:line="240" w:lineRule="auto"/>
              <w:jc w:val="center"/>
              <w:rPr>
                <w:rFonts w:eastAsia="Times New Roman" w:cs="Calibri"/>
                <w:sz w:val="14"/>
                <w:szCs w:val="14"/>
              </w:rPr>
            </w:pPr>
            <w:r w:rsidRPr="002B622A">
              <w:rPr>
                <w:rFonts w:cs="Calibri"/>
                <w:sz w:val="14"/>
                <w:szCs w:val="14"/>
              </w:rPr>
              <w:t>96,7</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63866DA" w14:textId="77777777">
            <w:pPr>
              <w:spacing w:line="240" w:lineRule="auto"/>
              <w:jc w:val="center"/>
              <w:rPr>
                <w:rFonts w:eastAsia="Times New Roman" w:cs="Calibri"/>
                <w:sz w:val="14"/>
                <w:szCs w:val="14"/>
              </w:rPr>
            </w:pPr>
            <w:r w:rsidRPr="002B622A">
              <w:rPr>
                <w:rFonts w:cs="Calibri"/>
                <w:sz w:val="14"/>
                <w:szCs w:val="14"/>
              </w:rPr>
              <w:t>91,7</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CCE6F4B" w14:textId="77777777">
            <w:pPr>
              <w:spacing w:line="240" w:lineRule="auto"/>
              <w:jc w:val="center"/>
              <w:rPr>
                <w:rFonts w:eastAsia="Times New Roman" w:cs="Calibri"/>
                <w:sz w:val="14"/>
                <w:szCs w:val="14"/>
              </w:rPr>
            </w:pPr>
            <w:r w:rsidRPr="002B622A">
              <w:rPr>
                <w:rFonts w:cs="Calibri"/>
                <w:sz w:val="14"/>
                <w:szCs w:val="14"/>
              </w:rPr>
              <w:t>110,5</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6906FA1" w14:textId="77777777">
            <w:pPr>
              <w:spacing w:line="240" w:lineRule="auto"/>
              <w:jc w:val="center"/>
              <w:rPr>
                <w:rFonts w:eastAsia="Times New Roman" w:cs="Calibri"/>
                <w:sz w:val="14"/>
                <w:szCs w:val="14"/>
              </w:rPr>
            </w:pPr>
            <w:r w:rsidRPr="002B622A">
              <w:rPr>
                <w:rFonts w:cs="Calibri"/>
                <w:sz w:val="14"/>
                <w:szCs w:val="14"/>
              </w:rPr>
              <w:t>105,5</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E175617" w14:textId="77777777">
            <w:pPr>
              <w:spacing w:line="240" w:lineRule="auto"/>
              <w:jc w:val="center"/>
              <w:rPr>
                <w:rFonts w:eastAsia="Times New Roman" w:cs="Calibri"/>
                <w:sz w:val="14"/>
                <w:szCs w:val="14"/>
              </w:rPr>
            </w:pPr>
            <w:r w:rsidRPr="002B622A">
              <w:rPr>
                <w:rFonts w:cs="Calibri"/>
                <w:sz w:val="14"/>
                <w:szCs w:val="14"/>
              </w:rPr>
              <w:t>96,2</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04EB20E" w14:textId="77777777">
            <w:pPr>
              <w:spacing w:line="240" w:lineRule="auto"/>
              <w:jc w:val="center"/>
              <w:rPr>
                <w:rFonts w:eastAsia="Times New Roman" w:cs="Calibri"/>
                <w:sz w:val="14"/>
                <w:szCs w:val="14"/>
              </w:rPr>
            </w:pPr>
            <w:r w:rsidRPr="002B622A">
              <w:rPr>
                <w:rFonts w:cs="Calibri"/>
                <w:sz w:val="14"/>
                <w:szCs w:val="14"/>
              </w:rPr>
              <w:t>91,8</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611AD1C" w14:textId="77777777">
            <w:pPr>
              <w:spacing w:line="240" w:lineRule="auto"/>
              <w:jc w:val="center"/>
              <w:rPr>
                <w:rFonts w:eastAsia="Times New Roman" w:cs="Calibri"/>
                <w:sz w:val="14"/>
                <w:szCs w:val="14"/>
              </w:rPr>
            </w:pPr>
            <w:r w:rsidRPr="002B622A">
              <w:rPr>
                <w:rFonts w:cs="Calibri"/>
                <w:sz w:val="14"/>
                <w:szCs w:val="14"/>
              </w:rPr>
              <w:t>97,2</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F2AE5D6" w14:textId="77777777">
            <w:pPr>
              <w:spacing w:line="240" w:lineRule="auto"/>
              <w:jc w:val="center"/>
              <w:rPr>
                <w:rFonts w:eastAsia="Times New Roman" w:cs="Calibri"/>
                <w:sz w:val="14"/>
                <w:szCs w:val="14"/>
              </w:rPr>
            </w:pPr>
            <w:r w:rsidRPr="002B622A">
              <w:rPr>
                <w:rFonts w:cs="Calibri"/>
                <w:sz w:val="14"/>
                <w:szCs w:val="14"/>
              </w:rPr>
              <w:t>92,8</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BC01457" w14:textId="77777777">
            <w:pPr>
              <w:spacing w:line="240" w:lineRule="auto"/>
              <w:jc w:val="center"/>
              <w:rPr>
                <w:rFonts w:eastAsia="Times New Roman" w:cs="Calibri"/>
                <w:sz w:val="14"/>
                <w:szCs w:val="14"/>
              </w:rPr>
            </w:pPr>
            <w:r w:rsidRPr="002B622A">
              <w:rPr>
                <w:rFonts w:cs="Calibri"/>
                <w:sz w:val="14"/>
                <w:szCs w:val="14"/>
              </w:rPr>
              <w:t>95,3</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2D92007" w14:textId="77777777">
            <w:pPr>
              <w:spacing w:line="240" w:lineRule="auto"/>
              <w:jc w:val="center"/>
              <w:rPr>
                <w:rFonts w:eastAsia="Times New Roman" w:cs="Calibri"/>
                <w:sz w:val="14"/>
                <w:szCs w:val="14"/>
              </w:rPr>
            </w:pPr>
            <w:r w:rsidRPr="002B622A">
              <w:rPr>
                <w:rFonts w:cs="Calibri"/>
                <w:sz w:val="14"/>
                <w:szCs w:val="14"/>
              </w:rPr>
              <w:t>90,1</w:t>
            </w:r>
          </w:p>
        </w:tc>
      </w:tr>
      <w:tr w:rsidRPr="009555A6" w:rsidR="00894FC0" w:rsidTr="003E5498" w14:paraId="3AF190D5"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1746BC35" w14:textId="77777777">
            <w:pPr>
              <w:spacing w:line="240" w:lineRule="auto"/>
              <w:jc w:val="center"/>
              <w:rPr>
                <w:rFonts w:eastAsia="Times New Roman" w:cs="Calibri"/>
                <w:sz w:val="14"/>
                <w:szCs w:val="14"/>
              </w:rPr>
            </w:pPr>
            <w:r w:rsidRPr="002B622A">
              <w:rPr>
                <w:rFonts w:eastAsia="Times New Roman" w:cs="Calibri"/>
                <w:sz w:val="14"/>
                <w:szCs w:val="14"/>
              </w:rPr>
              <w:t>2017</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FAF0CC2" w14:textId="77777777">
            <w:pPr>
              <w:spacing w:line="240" w:lineRule="auto"/>
              <w:jc w:val="center"/>
              <w:rPr>
                <w:rFonts w:eastAsia="Times New Roman" w:cs="Calibri"/>
                <w:sz w:val="14"/>
                <w:szCs w:val="14"/>
              </w:rPr>
            </w:pPr>
            <w:r w:rsidRPr="002B622A">
              <w:rPr>
                <w:rFonts w:cs="Calibri"/>
                <w:sz w:val="14"/>
                <w:szCs w:val="14"/>
              </w:rPr>
              <w:t>104,4</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989173D" w14:textId="77777777">
            <w:pPr>
              <w:spacing w:line="240" w:lineRule="auto"/>
              <w:jc w:val="center"/>
              <w:rPr>
                <w:rFonts w:eastAsia="Times New Roman" w:cs="Calibri"/>
                <w:sz w:val="14"/>
                <w:szCs w:val="14"/>
              </w:rPr>
            </w:pPr>
            <w:r w:rsidRPr="002B622A">
              <w:rPr>
                <w:rFonts w:cs="Calibri"/>
                <w:sz w:val="14"/>
                <w:szCs w:val="14"/>
              </w:rPr>
              <w:t>101,5</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B4D51CF" w14:textId="77777777">
            <w:pPr>
              <w:spacing w:line="240" w:lineRule="auto"/>
              <w:jc w:val="center"/>
              <w:rPr>
                <w:rFonts w:eastAsia="Times New Roman" w:cs="Calibri"/>
                <w:sz w:val="14"/>
                <w:szCs w:val="14"/>
              </w:rPr>
            </w:pPr>
            <w:r w:rsidRPr="002B622A">
              <w:rPr>
                <w:rFonts w:cs="Calibri"/>
                <w:sz w:val="14"/>
                <w:szCs w:val="14"/>
              </w:rPr>
              <w:t>118,1</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0483316" w14:textId="77777777">
            <w:pPr>
              <w:spacing w:line="240" w:lineRule="auto"/>
              <w:jc w:val="center"/>
              <w:rPr>
                <w:rFonts w:eastAsia="Times New Roman" w:cs="Calibri"/>
                <w:sz w:val="14"/>
                <w:szCs w:val="14"/>
              </w:rPr>
            </w:pPr>
            <w:r w:rsidRPr="002B622A">
              <w:rPr>
                <w:rFonts w:cs="Calibri"/>
                <w:sz w:val="14"/>
                <w:szCs w:val="14"/>
              </w:rPr>
              <w:t>115,1</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CDCB85E" w14:textId="77777777">
            <w:pPr>
              <w:spacing w:line="240" w:lineRule="auto"/>
              <w:jc w:val="center"/>
              <w:rPr>
                <w:rFonts w:eastAsia="Times New Roman" w:cs="Calibri"/>
                <w:sz w:val="14"/>
                <w:szCs w:val="14"/>
              </w:rPr>
            </w:pPr>
            <w:r w:rsidRPr="002B622A">
              <w:rPr>
                <w:rFonts w:cs="Calibri"/>
                <w:sz w:val="14"/>
                <w:szCs w:val="14"/>
              </w:rPr>
              <w:t>101,6</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A99E523" w14:textId="77777777">
            <w:pPr>
              <w:spacing w:line="240" w:lineRule="auto"/>
              <w:jc w:val="center"/>
              <w:rPr>
                <w:rFonts w:eastAsia="Times New Roman" w:cs="Calibri"/>
                <w:sz w:val="14"/>
                <w:szCs w:val="14"/>
              </w:rPr>
            </w:pPr>
            <w:r w:rsidRPr="002B622A">
              <w:rPr>
                <w:rFonts w:cs="Calibri"/>
                <w:sz w:val="14"/>
                <w:szCs w:val="14"/>
              </w:rPr>
              <w:t>100,1</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CF83446" w14:textId="77777777">
            <w:pPr>
              <w:spacing w:line="240" w:lineRule="auto"/>
              <w:jc w:val="center"/>
              <w:rPr>
                <w:rFonts w:eastAsia="Times New Roman" w:cs="Calibri"/>
                <w:sz w:val="14"/>
                <w:szCs w:val="14"/>
              </w:rPr>
            </w:pPr>
            <w:r w:rsidRPr="002B622A">
              <w:rPr>
                <w:rFonts w:cs="Calibri"/>
                <w:sz w:val="14"/>
                <w:szCs w:val="14"/>
              </w:rPr>
              <w:t>102,2</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8FA42FD" w14:textId="77777777">
            <w:pPr>
              <w:spacing w:line="240" w:lineRule="auto"/>
              <w:jc w:val="center"/>
              <w:rPr>
                <w:rFonts w:eastAsia="Times New Roman" w:cs="Calibri"/>
                <w:sz w:val="14"/>
                <w:szCs w:val="14"/>
              </w:rPr>
            </w:pPr>
            <w:r w:rsidRPr="002B622A">
              <w:rPr>
                <w:rFonts w:cs="Calibri"/>
                <w:sz w:val="14"/>
                <w:szCs w:val="14"/>
              </w:rPr>
              <w:t>100,6</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3E8AA6B" w14:textId="77777777">
            <w:pPr>
              <w:spacing w:line="240" w:lineRule="auto"/>
              <w:jc w:val="center"/>
              <w:rPr>
                <w:rFonts w:eastAsia="Times New Roman" w:cs="Calibri"/>
                <w:sz w:val="14"/>
                <w:szCs w:val="14"/>
              </w:rPr>
            </w:pPr>
            <w:r w:rsidRPr="002B622A">
              <w:rPr>
                <w:rFonts w:cs="Calibri"/>
                <w:sz w:val="14"/>
                <w:szCs w:val="14"/>
              </w:rPr>
              <w:t>101,1</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FDEA1CA" w14:textId="77777777">
            <w:pPr>
              <w:spacing w:line="240" w:lineRule="auto"/>
              <w:jc w:val="center"/>
              <w:rPr>
                <w:rFonts w:eastAsia="Times New Roman" w:cs="Calibri"/>
                <w:sz w:val="14"/>
                <w:szCs w:val="14"/>
              </w:rPr>
            </w:pPr>
            <w:r w:rsidRPr="002B622A">
              <w:rPr>
                <w:rFonts w:cs="Calibri"/>
                <w:sz w:val="14"/>
                <w:szCs w:val="14"/>
              </w:rPr>
              <w:t>98,6</w:t>
            </w:r>
          </w:p>
        </w:tc>
      </w:tr>
      <w:tr w:rsidRPr="009555A6" w:rsidR="00894FC0" w:rsidTr="003E5498" w14:paraId="554F872D"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604E1C09" w14:textId="77777777">
            <w:pPr>
              <w:spacing w:line="240" w:lineRule="auto"/>
              <w:jc w:val="center"/>
              <w:rPr>
                <w:rFonts w:eastAsia="Times New Roman" w:cs="Calibri"/>
                <w:sz w:val="14"/>
                <w:szCs w:val="14"/>
              </w:rPr>
            </w:pPr>
            <w:r w:rsidRPr="002B622A">
              <w:rPr>
                <w:rFonts w:eastAsia="Times New Roman" w:cs="Calibri"/>
                <w:sz w:val="14"/>
                <w:szCs w:val="14"/>
              </w:rPr>
              <w:t>2018</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F966B40" w14:textId="77777777">
            <w:pPr>
              <w:spacing w:line="240" w:lineRule="auto"/>
              <w:jc w:val="center"/>
              <w:rPr>
                <w:rFonts w:eastAsia="Times New Roman" w:cs="Calibri"/>
                <w:sz w:val="14"/>
                <w:szCs w:val="14"/>
              </w:rPr>
            </w:pPr>
            <w:r w:rsidRPr="002B622A">
              <w:rPr>
                <w:rFonts w:cs="Calibri"/>
                <w:sz w:val="14"/>
                <w:szCs w:val="14"/>
              </w:rPr>
              <w:t>97,1</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89D31E5" w14:textId="77777777">
            <w:pPr>
              <w:spacing w:line="240" w:lineRule="auto"/>
              <w:jc w:val="center"/>
              <w:rPr>
                <w:rFonts w:eastAsia="Times New Roman" w:cs="Calibri"/>
                <w:sz w:val="14"/>
                <w:szCs w:val="14"/>
              </w:rPr>
            </w:pPr>
            <w:r w:rsidRPr="002B622A">
              <w:rPr>
                <w:rFonts w:cs="Calibri"/>
                <w:sz w:val="14"/>
                <w:szCs w:val="14"/>
              </w:rPr>
              <w:t>103,8</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18FE826" w14:textId="77777777">
            <w:pPr>
              <w:spacing w:line="240" w:lineRule="auto"/>
              <w:jc w:val="center"/>
              <w:rPr>
                <w:rFonts w:eastAsia="Times New Roman" w:cs="Calibri"/>
                <w:sz w:val="14"/>
                <w:szCs w:val="14"/>
              </w:rPr>
            </w:pPr>
            <w:r w:rsidRPr="002B622A">
              <w:rPr>
                <w:rFonts w:cs="Calibri"/>
                <w:sz w:val="14"/>
                <w:szCs w:val="14"/>
              </w:rPr>
              <w:t>113,9</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8C9B800" w14:textId="77777777">
            <w:pPr>
              <w:spacing w:line="240" w:lineRule="auto"/>
              <w:jc w:val="center"/>
              <w:rPr>
                <w:rFonts w:eastAsia="Times New Roman" w:cs="Calibri"/>
                <w:sz w:val="14"/>
                <w:szCs w:val="14"/>
              </w:rPr>
            </w:pPr>
            <w:r w:rsidRPr="002B622A">
              <w:rPr>
                <w:rFonts w:cs="Calibri"/>
                <w:sz w:val="14"/>
                <w:szCs w:val="14"/>
              </w:rPr>
              <w:t>118,3</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DA48256" w14:textId="77777777">
            <w:pPr>
              <w:spacing w:line="240" w:lineRule="auto"/>
              <w:jc w:val="center"/>
              <w:rPr>
                <w:rFonts w:eastAsia="Times New Roman" w:cs="Calibri"/>
                <w:sz w:val="14"/>
                <w:szCs w:val="14"/>
              </w:rPr>
            </w:pPr>
            <w:r w:rsidRPr="002B622A">
              <w:rPr>
                <w:rFonts w:cs="Calibri"/>
                <w:sz w:val="14"/>
                <w:szCs w:val="14"/>
              </w:rPr>
              <w:t>97,7</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B28F445" w14:textId="77777777">
            <w:pPr>
              <w:spacing w:line="240" w:lineRule="auto"/>
              <w:jc w:val="center"/>
              <w:rPr>
                <w:rFonts w:eastAsia="Times New Roman" w:cs="Calibri"/>
                <w:sz w:val="14"/>
                <w:szCs w:val="14"/>
              </w:rPr>
            </w:pPr>
            <w:r w:rsidRPr="002B622A">
              <w:rPr>
                <w:rFonts w:cs="Calibri"/>
                <w:sz w:val="14"/>
                <w:szCs w:val="14"/>
              </w:rPr>
              <w:t>101,3</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D2FE71E" w14:textId="77777777">
            <w:pPr>
              <w:spacing w:line="240" w:lineRule="auto"/>
              <w:jc w:val="center"/>
              <w:rPr>
                <w:rFonts w:eastAsia="Times New Roman" w:cs="Calibri"/>
                <w:sz w:val="14"/>
                <w:szCs w:val="14"/>
              </w:rPr>
            </w:pPr>
            <w:r w:rsidRPr="002B622A">
              <w:rPr>
                <w:rFonts w:cs="Calibri"/>
                <w:sz w:val="14"/>
                <w:szCs w:val="14"/>
              </w:rPr>
              <w:t>99,4</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1C21AAD" w14:textId="77777777">
            <w:pPr>
              <w:spacing w:line="240" w:lineRule="auto"/>
              <w:jc w:val="center"/>
              <w:rPr>
                <w:rFonts w:eastAsia="Times New Roman" w:cs="Calibri"/>
                <w:sz w:val="14"/>
                <w:szCs w:val="14"/>
              </w:rPr>
            </w:pPr>
            <w:r w:rsidRPr="002B622A">
              <w:rPr>
                <w:rFonts w:cs="Calibri"/>
                <w:sz w:val="14"/>
                <w:szCs w:val="14"/>
              </w:rPr>
              <w:t>102,3</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E864234" w14:textId="77777777">
            <w:pPr>
              <w:spacing w:line="240" w:lineRule="auto"/>
              <w:jc w:val="center"/>
              <w:rPr>
                <w:rFonts w:eastAsia="Times New Roman" w:cs="Calibri"/>
                <w:sz w:val="14"/>
                <w:szCs w:val="14"/>
              </w:rPr>
            </w:pPr>
            <w:r w:rsidRPr="002B622A">
              <w:rPr>
                <w:rFonts w:cs="Calibri"/>
                <w:sz w:val="14"/>
                <w:szCs w:val="14"/>
              </w:rPr>
              <w:t>97,5</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FA69930" w14:textId="77777777">
            <w:pPr>
              <w:spacing w:line="240" w:lineRule="auto"/>
              <w:jc w:val="center"/>
              <w:rPr>
                <w:rFonts w:eastAsia="Times New Roman" w:cs="Calibri"/>
                <w:sz w:val="14"/>
                <w:szCs w:val="14"/>
              </w:rPr>
            </w:pPr>
            <w:r w:rsidRPr="002B622A">
              <w:rPr>
                <w:rFonts w:cs="Calibri"/>
                <w:sz w:val="14"/>
                <w:szCs w:val="14"/>
              </w:rPr>
              <w:t>101,3</w:t>
            </w:r>
          </w:p>
        </w:tc>
      </w:tr>
      <w:tr w:rsidRPr="009555A6" w:rsidR="00894FC0" w:rsidTr="003E5498" w14:paraId="6BA53E07"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6701A0C9" w14:textId="77777777">
            <w:pPr>
              <w:spacing w:line="240" w:lineRule="auto"/>
              <w:jc w:val="center"/>
              <w:rPr>
                <w:rFonts w:eastAsia="Times New Roman" w:cs="Calibri"/>
                <w:sz w:val="14"/>
                <w:szCs w:val="14"/>
              </w:rPr>
            </w:pPr>
            <w:r w:rsidRPr="002B622A">
              <w:rPr>
                <w:rFonts w:eastAsia="Times New Roman" w:cs="Calibri"/>
                <w:sz w:val="14"/>
                <w:szCs w:val="14"/>
              </w:rPr>
              <w:t>2019</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4823E3F" w14:textId="77777777">
            <w:pPr>
              <w:spacing w:line="240" w:lineRule="auto"/>
              <w:jc w:val="center"/>
              <w:rPr>
                <w:rFonts w:eastAsia="Times New Roman" w:cs="Calibri"/>
                <w:sz w:val="14"/>
                <w:szCs w:val="14"/>
              </w:rPr>
            </w:pPr>
            <w:r w:rsidRPr="002B622A">
              <w:rPr>
                <w:rFonts w:cs="Calibri"/>
                <w:sz w:val="14"/>
                <w:szCs w:val="14"/>
              </w:rPr>
              <w:t>97,8</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39AE10F" w14:textId="77777777">
            <w:pPr>
              <w:spacing w:line="240" w:lineRule="auto"/>
              <w:jc w:val="center"/>
              <w:rPr>
                <w:rFonts w:eastAsia="Times New Roman" w:cs="Calibri"/>
                <w:sz w:val="14"/>
                <w:szCs w:val="14"/>
              </w:rPr>
            </w:pPr>
            <w:r w:rsidRPr="002B622A">
              <w:rPr>
                <w:rFonts w:cs="Calibri"/>
                <w:sz w:val="14"/>
                <w:szCs w:val="14"/>
              </w:rPr>
              <w:t>95,8</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7B8E50C" w14:textId="77777777">
            <w:pPr>
              <w:spacing w:line="240" w:lineRule="auto"/>
              <w:jc w:val="center"/>
              <w:rPr>
                <w:rFonts w:eastAsia="Times New Roman" w:cs="Calibri"/>
                <w:sz w:val="14"/>
                <w:szCs w:val="14"/>
              </w:rPr>
            </w:pPr>
            <w:r w:rsidRPr="002B622A">
              <w:rPr>
                <w:rFonts w:cs="Calibri"/>
                <w:sz w:val="14"/>
                <w:szCs w:val="14"/>
              </w:rPr>
              <w:t>114,4</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B37ED15" w14:textId="77777777">
            <w:pPr>
              <w:spacing w:line="240" w:lineRule="auto"/>
              <w:jc w:val="center"/>
              <w:rPr>
                <w:rFonts w:eastAsia="Times New Roman" w:cs="Calibri"/>
                <w:sz w:val="14"/>
                <w:szCs w:val="14"/>
              </w:rPr>
            </w:pPr>
            <w:r w:rsidRPr="002B622A">
              <w:rPr>
                <w:rFonts w:cs="Calibri"/>
                <w:sz w:val="14"/>
                <w:szCs w:val="14"/>
              </w:rPr>
              <w:t>112,4</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B8EEB82" w14:textId="77777777">
            <w:pPr>
              <w:spacing w:line="240" w:lineRule="auto"/>
              <w:jc w:val="center"/>
              <w:rPr>
                <w:rFonts w:eastAsia="Times New Roman" w:cs="Calibri"/>
                <w:sz w:val="14"/>
                <w:szCs w:val="14"/>
              </w:rPr>
            </w:pPr>
            <w:r w:rsidRPr="002B622A">
              <w:rPr>
                <w:rFonts w:cs="Calibri"/>
                <w:sz w:val="14"/>
                <w:szCs w:val="14"/>
              </w:rPr>
              <w:t>98,9</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4EDD2DD" w14:textId="77777777">
            <w:pPr>
              <w:spacing w:line="240" w:lineRule="auto"/>
              <w:jc w:val="center"/>
              <w:rPr>
                <w:rFonts w:eastAsia="Times New Roman" w:cs="Calibri"/>
                <w:sz w:val="14"/>
                <w:szCs w:val="14"/>
              </w:rPr>
            </w:pPr>
            <w:r w:rsidRPr="002B622A">
              <w:rPr>
                <w:rFonts w:cs="Calibri"/>
                <w:sz w:val="14"/>
                <w:szCs w:val="14"/>
              </w:rPr>
              <w:t>96,9</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2BF2CD9" w14:textId="77777777">
            <w:pPr>
              <w:spacing w:line="240" w:lineRule="auto"/>
              <w:jc w:val="center"/>
              <w:rPr>
                <w:rFonts w:eastAsia="Times New Roman" w:cs="Calibri"/>
                <w:sz w:val="14"/>
                <w:szCs w:val="14"/>
              </w:rPr>
            </w:pPr>
            <w:r w:rsidRPr="002B622A">
              <w:rPr>
                <w:rFonts w:cs="Calibri"/>
                <w:sz w:val="14"/>
                <w:szCs w:val="14"/>
              </w:rPr>
              <w:t>99,1</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B283C07" w14:textId="77777777">
            <w:pPr>
              <w:spacing w:line="240" w:lineRule="auto"/>
              <w:jc w:val="center"/>
              <w:rPr>
                <w:rFonts w:eastAsia="Times New Roman" w:cs="Calibri"/>
                <w:sz w:val="14"/>
                <w:szCs w:val="14"/>
              </w:rPr>
            </w:pPr>
            <w:r w:rsidRPr="002B622A">
              <w:rPr>
                <w:rFonts w:cs="Calibri"/>
                <w:sz w:val="14"/>
                <w:szCs w:val="14"/>
              </w:rPr>
              <w:t>97,6</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1939F0C" w14:textId="77777777">
            <w:pPr>
              <w:spacing w:line="240" w:lineRule="auto"/>
              <w:jc w:val="center"/>
              <w:rPr>
                <w:rFonts w:eastAsia="Times New Roman" w:cs="Calibri"/>
                <w:sz w:val="14"/>
                <w:szCs w:val="14"/>
              </w:rPr>
            </w:pPr>
            <w:r w:rsidRPr="002B622A">
              <w:rPr>
                <w:rFonts w:cs="Calibri"/>
                <w:sz w:val="14"/>
                <w:szCs w:val="14"/>
              </w:rPr>
              <w:t>99,2</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7498CA4" w14:textId="77777777">
            <w:pPr>
              <w:spacing w:line="240" w:lineRule="auto"/>
              <w:jc w:val="center"/>
              <w:rPr>
                <w:rFonts w:eastAsia="Times New Roman" w:cs="Calibri"/>
                <w:sz w:val="14"/>
                <w:szCs w:val="14"/>
              </w:rPr>
            </w:pPr>
            <w:r w:rsidRPr="002B622A">
              <w:rPr>
                <w:rFonts w:cs="Calibri"/>
                <w:sz w:val="14"/>
                <w:szCs w:val="14"/>
              </w:rPr>
              <w:t>96,5</w:t>
            </w:r>
          </w:p>
        </w:tc>
      </w:tr>
      <w:tr w:rsidRPr="009555A6" w:rsidR="00894FC0" w:rsidTr="003E5498" w14:paraId="638C43AE"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3D497333" w14:textId="77777777">
            <w:pPr>
              <w:spacing w:line="240" w:lineRule="auto"/>
              <w:jc w:val="center"/>
              <w:rPr>
                <w:rFonts w:eastAsia="Times New Roman" w:cs="Calibri"/>
                <w:sz w:val="14"/>
                <w:szCs w:val="14"/>
              </w:rPr>
            </w:pPr>
            <w:r w:rsidRPr="002B622A">
              <w:rPr>
                <w:rFonts w:eastAsia="Times New Roman" w:cs="Calibri"/>
                <w:sz w:val="14"/>
                <w:szCs w:val="14"/>
              </w:rPr>
              <w:t>2020</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5D551A8" w14:textId="77777777">
            <w:pPr>
              <w:spacing w:line="240" w:lineRule="auto"/>
              <w:jc w:val="center"/>
              <w:rPr>
                <w:rFonts w:eastAsia="Times New Roman" w:cs="Calibri"/>
                <w:sz w:val="14"/>
                <w:szCs w:val="14"/>
              </w:rPr>
            </w:pPr>
            <w:r w:rsidRPr="002B622A">
              <w:rPr>
                <w:rFonts w:cs="Calibri"/>
                <w:sz w:val="14"/>
                <w:szCs w:val="14"/>
              </w:rPr>
              <w:t>93,5</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3AA639D" w14:textId="77777777">
            <w:pPr>
              <w:spacing w:line="240" w:lineRule="auto"/>
              <w:jc w:val="center"/>
              <w:rPr>
                <w:rFonts w:eastAsia="Times New Roman" w:cs="Calibri"/>
                <w:sz w:val="14"/>
                <w:szCs w:val="14"/>
              </w:rPr>
            </w:pPr>
            <w:r w:rsidRPr="002B622A">
              <w:rPr>
                <w:rFonts w:cs="Calibri"/>
                <w:sz w:val="14"/>
                <w:szCs w:val="14"/>
              </w:rPr>
              <w:t>87,6</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ABC3FBF" w14:textId="77777777">
            <w:pPr>
              <w:spacing w:line="240" w:lineRule="auto"/>
              <w:jc w:val="center"/>
              <w:rPr>
                <w:rFonts w:eastAsia="Times New Roman" w:cs="Calibri"/>
                <w:sz w:val="14"/>
                <w:szCs w:val="14"/>
              </w:rPr>
            </w:pPr>
            <w:r w:rsidRPr="002B622A">
              <w:rPr>
                <w:rFonts w:cs="Calibri"/>
                <w:sz w:val="14"/>
                <w:szCs w:val="14"/>
              </w:rPr>
              <w:t>111,6</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2E667B2" w14:textId="77777777">
            <w:pPr>
              <w:spacing w:line="240" w:lineRule="auto"/>
              <w:jc w:val="center"/>
              <w:rPr>
                <w:rFonts w:eastAsia="Times New Roman" w:cs="Calibri"/>
                <w:sz w:val="14"/>
                <w:szCs w:val="14"/>
              </w:rPr>
            </w:pPr>
            <w:r w:rsidRPr="002B622A">
              <w:rPr>
                <w:rFonts w:cs="Calibri"/>
                <w:sz w:val="14"/>
                <w:szCs w:val="14"/>
              </w:rPr>
              <w:t>105,7</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C24BAF4" w14:textId="77777777">
            <w:pPr>
              <w:spacing w:line="240" w:lineRule="auto"/>
              <w:jc w:val="center"/>
              <w:rPr>
                <w:rFonts w:eastAsia="Times New Roman" w:cs="Calibri"/>
                <w:sz w:val="14"/>
                <w:szCs w:val="14"/>
              </w:rPr>
            </w:pPr>
            <w:r w:rsidRPr="002B622A">
              <w:rPr>
                <w:rFonts w:cs="Calibri"/>
                <w:sz w:val="14"/>
                <w:szCs w:val="14"/>
              </w:rPr>
              <w:t>97,6</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82511B1" w14:textId="77777777">
            <w:pPr>
              <w:spacing w:line="240" w:lineRule="auto"/>
              <w:jc w:val="center"/>
              <w:rPr>
                <w:rFonts w:eastAsia="Times New Roman" w:cs="Calibri"/>
                <w:sz w:val="14"/>
                <w:szCs w:val="14"/>
              </w:rPr>
            </w:pPr>
            <w:r w:rsidRPr="002B622A">
              <w:rPr>
                <w:rFonts w:cs="Calibri"/>
                <w:sz w:val="14"/>
                <w:szCs w:val="14"/>
              </w:rPr>
              <w:t>92,3</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1245EC3" w14:textId="77777777">
            <w:pPr>
              <w:spacing w:line="240" w:lineRule="auto"/>
              <w:jc w:val="center"/>
              <w:rPr>
                <w:rFonts w:eastAsia="Times New Roman" w:cs="Calibri"/>
                <w:sz w:val="14"/>
                <w:szCs w:val="14"/>
              </w:rPr>
            </w:pPr>
            <w:r w:rsidRPr="002B622A">
              <w:rPr>
                <w:rFonts w:cs="Calibri"/>
                <w:sz w:val="14"/>
                <w:szCs w:val="14"/>
              </w:rPr>
              <w:t>96,3</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B541FCE" w14:textId="77777777">
            <w:pPr>
              <w:spacing w:line="240" w:lineRule="auto"/>
              <w:jc w:val="center"/>
              <w:rPr>
                <w:rFonts w:eastAsia="Times New Roman" w:cs="Calibri"/>
                <w:sz w:val="14"/>
                <w:szCs w:val="14"/>
              </w:rPr>
            </w:pPr>
            <w:r w:rsidRPr="002B622A">
              <w:rPr>
                <w:rFonts w:cs="Calibri"/>
                <w:sz w:val="14"/>
                <w:szCs w:val="14"/>
              </w:rPr>
              <w:t>91,3</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554E7D2" w14:textId="77777777">
            <w:pPr>
              <w:spacing w:line="240" w:lineRule="auto"/>
              <w:jc w:val="center"/>
              <w:rPr>
                <w:rFonts w:eastAsia="Times New Roman" w:cs="Calibri"/>
                <w:sz w:val="14"/>
                <w:szCs w:val="14"/>
              </w:rPr>
            </w:pPr>
            <w:r w:rsidRPr="002B622A">
              <w:rPr>
                <w:rFonts w:cs="Calibri"/>
                <w:sz w:val="14"/>
                <w:szCs w:val="14"/>
              </w:rPr>
              <w:t>92,6</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54E2FCA" w14:textId="77777777">
            <w:pPr>
              <w:spacing w:line="240" w:lineRule="auto"/>
              <w:jc w:val="center"/>
              <w:rPr>
                <w:rFonts w:eastAsia="Times New Roman" w:cs="Calibri"/>
                <w:sz w:val="14"/>
                <w:szCs w:val="14"/>
              </w:rPr>
            </w:pPr>
            <w:r w:rsidRPr="002B622A">
              <w:rPr>
                <w:rFonts w:cs="Calibri"/>
                <w:sz w:val="14"/>
                <w:szCs w:val="14"/>
              </w:rPr>
              <w:t>88,3</w:t>
            </w:r>
          </w:p>
        </w:tc>
      </w:tr>
      <w:tr w:rsidRPr="009555A6" w:rsidR="00894FC0" w:rsidTr="003E5498" w14:paraId="2C76C2B4"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170D4840" w14:textId="77777777">
            <w:pPr>
              <w:spacing w:line="240" w:lineRule="auto"/>
              <w:jc w:val="center"/>
              <w:rPr>
                <w:rFonts w:eastAsia="Times New Roman" w:cs="Calibri"/>
                <w:sz w:val="14"/>
                <w:szCs w:val="14"/>
              </w:rPr>
            </w:pPr>
            <w:r w:rsidRPr="002B622A">
              <w:rPr>
                <w:rFonts w:eastAsia="Times New Roman" w:cs="Calibri"/>
                <w:sz w:val="14"/>
                <w:szCs w:val="14"/>
              </w:rPr>
              <w:t>2021</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3997126" w14:textId="77777777">
            <w:pPr>
              <w:spacing w:line="240" w:lineRule="auto"/>
              <w:jc w:val="center"/>
              <w:rPr>
                <w:rFonts w:eastAsia="Times New Roman" w:cs="Calibri"/>
                <w:sz w:val="14"/>
                <w:szCs w:val="14"/>
              </w:rPr>
            </w:pPr>
            <w:r w:rsidRPr="002B622A">
              <w:rPr>
                <w:rFonts w:cs="Calibri"/>
                <w:sz w:val="14"/>
                <w:szCs w:val="14"/>
              </w:rPr>
              <w:t>110,6</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096BDF5" w14:textId="77777777">
            <w:pPr>
              <w:spacing w:line="240" w:lineRule="auto"/>
              <w:jc w:val="center"/>
              <w:rPr>
                <w:rFonts w:eastAsia="Times New Roman" w:cs="Calibri"/>
                <w:sz w:val="14"/>
                <w:szCs w:val="14"/>
              </w:rPr>
            </w:pPr>
            <w:r w:rsidRPr="002B622A">
              <w:rPr>
                <w:rFonts w:cs="Calibri"/>
                <w:sz w:val="14"/>
                <w:szCs w:val="14"/>
              </w:rPr>
              <w:t>102,8</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2024349" w14:textId="77777777">
            <w:pPr>
              <w:spacing w:line="240" w:lineRule="auto"/>
              <w:jc w:val="center"/>
              <w:rPr>
                <w:rFonts w:eastAsia="Times New Roman" w:cs="Calibri"/>
                <w:sz w:val="14"/>
                <w:szCs w:val="14"/>
              </w:rPr>
            </w:pPr>
            <w:r w:rsidRPr="002B622A">
              <w:rPr>
                <w:rFonts w:cs="Calibri"/>
                <w:sz w:val="14"/>
                <w:szCs w:val="14"/>
              </w:rPr>
              <w:t>125,3</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BDC14D8" w14:textId="77777777">
            <w:pPr>
              <w:spacing w:line="240" w:lineRule="auto"/>
              <w:jc w:val="center"/>
              <w:rPr>
                <w:rFonts w:eastAsia="Times New Roman" w:cs="Calibri"/>
                <w:sz w:val="14"/>
                <w:szCs w:val="14"/>
              </w:rPr>
            </w:pPr>
            <w:r w:rsidRPr="002B622A">
              <w:rPr>
                <w:rFonts w:cs="Calibri"/>
                <w:sz w:val="14"/>
                <w:szCs w:val="14"/>
              </w:rPr>
              <w:t>119,3</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5188DB1" w14:textId="77777777">
            <w:pPr>
              <w:spacing w:line="240" w:lineRule="auto"/>
              <w:jc w:val="center"/>
              <w:rPr>
                <w:rFonts w:eastAsia="Times New Roman" w:cs="Calibri"/>
                <w:sz w:val="14"/>
                <w:szCs w:val="14"/>
              </w:rPr>
            </w:pPr>
            <w:r w:rsidRPr="002B622A">
              <w:rPr>
                <w:rFonts w:cs="Calibri"/>
                <w:sz w:val="14"/>
                <w:szCs w:val="14"/>
              </w:rPr>
              <w:t>108,3</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A009671" w14:textId="77777777">
            <w:pPr>
              <w:spacing w:line="240" w:lineRule="auto"/>
              <w:jc w:val="center"/>
              <w:rPr>
                <w:rFonts w:eastAsia="Times New Roman" w:cs="Calibri"/>
                <w:sz w:val="14"/>
                <w:szCs w:val="14"/>
              </w:rPr>
            </w:pPr>
            <w:r w:rsidRPr="002B622A">
              <w:rPr>
                <w:rFonts w:cs="Calibri"/>
                <w:sz w:val="14"/>
                <w:szCs w:val="14"/>
              </w:rPr>
              <w:t>103,2</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3985067" w14:textId="77777777">
            <w:pPr>
              <w:spacing w:line="240" w:lineRule="auto"/>
              <w:jc w:val="center"/>
              <w:rPr>
                <w:rFonts w:eastAsia="Times New Roman" w:cs="Calibri"/>
                <w:sz w:val="14"/>
                <w:szCs w:val="14"/>
              </w:rPr>
            </w:pPr>
            <w:r w:rsidRPr="002B622A">
              <w:rPr>
                <w:rFonts w:cs="Calibri"/>
                <w:sz w:val="14"/>
                <w:szCs w:val="14"/>
              </w:rPr>
              <w:t>106,7</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5517A13" w14:textId="77777777">
            <w:pPr>
              <w:spacing w:line="240" w:lineRule="auto"/>
              <w:jc w:val="center"/>
              <w:rPr>
                <w:rFonts w:eastAsia="Times New Roman" w:cs="Calibri"/>
                <w:sz w:val="14"/>
                <w:szCs w:val="14"/>
              </w:rPr>
            </w:pPr>
            <w:r w:rsidRPr="002B622A">
              <w:rPr>
                <w:rFonts w:cs="Calibri"/>
                <w:sz w:val="14"/>
                <w:szCs w:val="14"/>
              </w:rPr>
              <w:t>100,9</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1C51202" w14:textId="77777777">
            <w:pPr>
              <w:spacing w:line="240" w:lineRule="auto"/>
              <w:jc w:val="center"/>
              <w:rPr>
                <w:rFonts w:eastAsia="Times New Roman" w:cs="Calibri"/>
                <w:sz w:val="14"/>
                <w:szCs w:val="14"/>
              </w:rPr>
            </w:pPr>
            <w:r w:rsidRPr="002B622A">
              <w:rPr>
                <w:rFonts w:cs="Calibri"/>
                <w:sz w:val="14"/>
                <w:szCs w:val="14"/>
              </w:rPr>
              <w:t>106,6</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05087CF" w14:textId="77777777">
            <w:pPr>
              <w:spacing w:line="240" w:lineRule="auto"/>
              <w:jc w:val="center"/>
              <w:rPr>
                <w:rFonts w:eastAsia="Times New Roman" w:cs="Calibri"/>
                <w:sz w:val="14"/>
                <w:szCs w:val="14"/>
              </w:rPr>
            </w:pPr>
            <w:r w:rsidRPr="002B622A">
              <w:rPr>
                <w:rFonts w:cs="Calibri"/>
                <w:sz w:val="14"/>
                <w:szCs w:val="14"/>
              </w:rPr>
              <w:t>99,7</w:t>
            </w:r>
          </w:p>
        </w:tc>
      </w:tr>
      <w:tr w:rsidRPr="009555A6" w:rsidR="00894FC0" w:rsidTr="003E5498" w14:paraId="65F39986"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63184E32" w14:textId="77777777">
            <w:pPr>
              <w:spacing w:line="240" w:lineRule="auto"/>
              <w:jc w:val="center"/>
              <w:rPr>
                <w:rFonts w:eastAsia="Times New Roman" w:cs="Calibri"/>
                <w:sz w:val="14"/>
                <w:szCs w:val="14"/>
              </w:rPr>
            </w:pPr>
            <w:r w:rsidRPr="002B622A">
              <w:rPr>
                <w:rFonts w:eastAsia="Times New Roman" w:cs="Calibri"/>
                <w:sz w:val="14"/>
                <w:szCs w:val="14"/>
              </w:rPr>
              <w:t>2022</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67CC9CD" w14:textId="77777777">
            <w:pPr>
              <w:spacing w:line="240" w:lineRule="auto"/>
              <w:jc w:val="center"/>
              <w:rPr>
                <w:rFonts w:eastAsia="Times New Roman" w:cs="Calibri"/>
                <w:sz w:val="14"/>
                <w:szCs w:val="14"/>
              </w:rPr>
            </w:pPr>
            <w:r w:rsidRPr="002B622A">
              <w:rPr>
                <w:rFonts w:cs="Calibri"/>
                <w:sz w:val="14"/>
                <w:szCs w:val="14"/>
              </w:rPr>
              <w:t>110,9</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C569E0E" w14:textId="77777777">
            <w:pPr>
              <w:spacing w:line="240" w:lineRule="auto"/>
              <w:jc w:val="center"/>
              <w:rPr>
                <w:rFonts w:eastAsia="Times New Roman" w:cs="Calibri"/>
                <w:sz w:val="14"/>
                <w:szCs w:val="14"/>
              </w:rPr>
            </w:pPr>
            <w:r w:rsidRPr="002B622A">
              <w:rPr>
                <w:rFonts w:cs="Calibri"/>
                <w:sz w:val="14"/>
                <w:szCs w:val="14"/>
              </w:rPr>
              <w:t>118,6</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1FA5E18" w14:textId="77777777">
            <w:pPr>
              <w:spacing w:line="240" w:lineRule="auto"/>
              <w:jc w:val="center"/>
              <w:rPr>
                <w:rFonts w:eastAsia="Times New Roman" w:cs="Calibri"/>
                <w:sz w:val="14"/>
                <w:szCs w:val="14"/>
              </w:rPr>
            </w:pPr>
            <w:r w:rsidRPr="002B622A">
              <w:rPr>
                <w:rFonts w:cs="Calibri"/>
                <w:sz w:val="14"/>
                <w:szCs w:val="14"/>
              </w:rPr>
              <w:t>122,1</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CF8A4D9" w14:textId="77777777">
            <w:pPr>
              <w:spacing w:line="240" w:lineRule="auto"/>
              <w:jc w:val="center"/>
              <w:rPr>
                <w:rFonts w:eastAsia="Times New Roman" w:cs="Calibri"/>
                <w:sz w:val="14"/>
                <w:szCs w:val="14"/>
              </w:rPr>
            </w:pPr>
            <w:r w:rsidRPr="002B622A">
              <w:rPr>
                <w:rFonts w:cs="Calibri"/>
                <w:sz w:val="14"/>
                <w:szCs w:val="14"/>
              </w:rPr>
              <w:t>131,5</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9D8E26A" w14:textId="77777777">
            <w:pPr>
              <w:spacing w:line="240" w:lineRule="auto"/>
              <w:jc w:val="center"/>
              <w:rPr>
                <w:rFonts w:eastAsia="Times New Roman" w:cs="Calibri"/>
                <w:sz w:val="14"/>
                <w:szCs w:val="14"/>
              </w:rPr>
            </w:pPr>
            <w:r w:rsidRPr="002B622A">
              <w:rPr>
                <w:rFonts w:cs="Calibri"/>
                <w:sz w:val="14"/>
                <w:szCs w:val="14"/>
              </w:rPr>
              <w:t>110,4</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072BE38" w14:textId="77777777">
            <w:pPr>
              <w:spacing w:line="240" w:lineRule="auto"/>
              <w:jc w:val="center"/>
              <w:rPr>
                <w:rFonts w:eastAsia="Times New Roman" w:cs="Calibri"/>
                <w:sz w:val="14"/>
                <w:szCs w:val="14"/>
              </w:rPr>
            </w:pPr>
            <w:r w:rsidRPr="002B622A">
              <w:rPr>
                <w:rFonts w:cs="Calibri"/>
                <w:sz w:val="14"/>
                <w:szCs w:val="14"/>
              </w:rPr>
              <w:t>111,7</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CF84FA5" w14:textId="77777777">
            <w:pPr>
              <w:spacing w:line="240" w:lineRule="auto"/>
              <w:jc w:val="center"/>
              <w:rPr>
                <w:rFonts w:eastAsia="Times New Roman" w:cs="Calibri"/>
                <w:sz w:val="14"/>
                <w:szCs w:val="14"/>
              </w:rPr>
            </w:pPr>
            <w:r w:rsidRPr="002B622A">
              <w:rPr>
                <w:rFonts w:cs="Calibri"/>
                <w:sz w:val="14"/>
                <w:szCs w:val="14"/>
              </w:rPr>
              <w:t>106,7</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D145CF6" w14:textId="77777777">
            <w:pPr>
              <w:spacing w:line="240" w:lineRule="auto"/>
              <w:jc w:val="center"/>
              <w:rPr>
                <w:rFonts w:eastAsia="Times New Roman" w:cs="Calibri"/>
                <w:sz w:val="14"/>
                <w:szCs w:val="14"/>
              </w:rPr>
            </w:pPr>
            <w:r w:rsidRPr="002B622A">
              <w:rPr>
                <w:rFonts w:cs="Calibri"/>
                <w:sz w:val="14"/>
                <w:szCs w:val="14"/>
              </w:rPr>
              <w:t>108,1</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13F120C" w14:textId="77777777">
            <w:pPr>
              <w:spacing w:line="240" w:lineRule="auto"/>
              <w:jc w:val="center"/>
              <w:rPr>
                <w:rFonts w:eastAsia="Times New Roman" w:cs="Calibri"/>
                <w:sz w:val="14"/>
                <w:szCs w:val="14"/>
              </w:rPr>
            </w:pPr>
            <w:r w:rsidRPr="002B622A">
              <w:rPr>
                <w:rFonts w:cs="Calibri"/>
                <w:sz w:val="14"/>
                <w:szCs w:val="14"/>
              </w:rPr>
              <w:t>108,7</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BA4378A" w14:textId="77777777">
            <w:pPr>
              <w:spacing w:line="240" w:lineRule="auto"/>
              <w:jc w:val="center"/>
              <w:rPr>
                <w:rFonts w:eastAsia="Times New Roman" w:cs="Calibri"/>
                <w:sz w:val="14"/>
                <w:szCs w:val="14"/>
              </w:rPr>
            </w:pPr>
            <w:r w:rsidRPr="002B622A">
              <w:rPr>
                <w:rFonts w:cs="Calibri"/>
                <w:sz w:val="14"/>
                <w:szCs w:val="14"/>
              </w:rPr>
              <w:t>111,5</w:t>
            </w:r>
          </w:p>
        </w:tc>
      </w:tr>
      <w:tr w:rsidRPr="009555A6" w:rsidR="00894FC0" w:rsidTr="003E5498" w14:paraId="518281AB"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4D559534" w14:textId="77777777">
            <w:pPr>
              <w:spacing w:line="240" w:lineRule="auto"/>
              <w:jc w:val="center"/>
              <w:rPr>
                <w:rFonts w:eastAsia="Times New Roman" w:cs="Calibri"/>
                <w:sz w:val="14"/>
                <w:szCs w:val="14"/>
              </w:rPr>
            </w:pPr>
            <w:r w:rsidRPr="002B622A">
              <w:rPr>
                <w:rFonts w:eastAsia="Times New Roman" w:cs="Calibri"/>
                <w:sz w:val="14"/>
                <w:szCs w:val="14"/>
              </w:rPr>
              <w:t>2023</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749B877" w14:textId="77777777">
            <w:pPr>
              <w:spacing w:line="240" w:lineRule="auto"/>
              <w:jc w:val="center"/>
              <w:rPr>
                <w:rFonts w:eastAsia="Times New Roman" w:cs="Calibri"/>
                <w:sz w:val="14"/>
                <w:szCs w:val="14"/>
              </w:rPr>
            </w:pPr>
            <w:r w:rsidRPr="002B622A">
              <w:rPr>
                <w:rFonts w:cs="Calibri"/>
                <w:sz w:val="14"/>
                <w:szCs w:val="14"/>
              </w:rPr>
              <w:t>110,5</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12369F80" w14:textId="77777777">
            <w:pPr>
              <w:spacing w:line="240" w:lineRule="auto"/>
              <w:jc w:val="center"/>
              <w:rPr>
                <w:rFonts w:eastAsia="Times New Roman" w:cs="Calibri"/>
                <w:sz w:val="14"/>
                <w:szCs w:val="14"/>
              </w:rPr>
            </w:pPr>
            <w:r w:rsidRPr="002B622A">
              <w:rPr>
                <w:rFonts w:cs="Calibri"/>
                <w:sz w:val="14"/>
                <w:szCs w:val="14"/>
              </w:rPr>
              <w:t>113,9</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491A50D" w14:textId="77777777">
            <w:pPr>
              <w:spacing w:line="240" w:lineRule="auto"/>
              <w:jc w:val="center"/>
              <w:rPr>
                <w:rFonts w:eastAsia="Times New Roman" w:cs="Calibri"/>
                <w:sz w:val="14"/>
                <w:szCs w:val="14"/>
              </w:rPr>
            </w:pPr>
            <w:r w:rsidRPr="002B622A">
              <w:rPr>
                <w:rFonts w:cs="Calibri"/>
                <w:sz w:val="14"/>
                <w:szCs w:val="14"/>
              </w:rPr>
              <w:t>123,9</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275BC5C" w14:textId="77777777">
            <w:pPr>
              <w:spacing w:line="240" w:lineRule="auto"/>
              <w:jc w:val="center"/>
              <w:rPr>
                <w:rFonts w:eastAsia="Times New Roman" w:cs="Calibri"/>
                <w:sz w:val="14"/>
                <w:szCs w:val="14"/>
              </w:rPr>
            </w:pPr>
            <w:r w:rsidRPr="002B622A">
              <w:rPr>
                <w:rFonts w:cs="Calibri"/>
                <w:sz w:val="14"/>
                <w:szCs w:val="14"/>
              </w:rPr>
              <w:t>124,7</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9C8110E" w14:textId="77777777">
            <w:pPr>
              <w:spacing w:line="240" w:lineRule="auto"/>
              <w:jc w:val="center"/>
              <w:rPr>
                <w:rFonts w:eastAsia="Times New Roman" w:cs="Calibri"/>
                <w:sz w:val="14"/>
                <w:szCs w:val="14"/>
              </w:rPr>
            </w:pPr>
            <w:r w:rsidRPr="002B622A">
              <w:rPr>
                <w:rFonts w:cs="Calibri"/>
                <w:sz w:val="14"/>
                <w:szCs w:val="14"/>
              </w:rPr>
              <w:t>109,4</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B4314D5" w14:textId="77777777">
            <w:pPr>
              <w:spacing w:line="240" w:lineRule="auto"/>
              <w:jc w:val="center"/>
              <w:rPr>
                <w:rFonts w:eastAsia="Times New Roman" w:cs="Calibri"/>
                <w:sz w:val="14"/>
                <w:szCs w:val="14"/>
              </w:rPr>
            </w:pPr>
            <w:r w:rsidRPr="002B622A">
              <w:rPr>
                <w:rFonts w:cs="Calibri"/>
                <w:sz w:val="14"/>
                <w:szCs w:val="14"/>
              </w:rPr>
              <w:t>113,3</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7832BE9" w14:textId="77777777">
            <w:pPr>
              <w:spacing w:line="240" w:lineRule="auto"/>
              <w:jc w:val="center"/>
              <w:rPr>
                <w:rFonts w:eastAsia="Times New Roman" w:cs="Calibri"/>
                <w:sz w:val="14"/>
                <w:szCs w:val="14"/>
              </w:rPr>
            </w:pPr>
            <w:r w:rsidRPr="002B622A">
              <w:rPr>
                <w:rFonts w:cs="Calibri"/>
                <w:sz w:val="14"/>
                <w:szCs w:val="14"/>
              </w:rPr>
              <w:t>105,8</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E385F49" w14:textId="77777777">
            <w:pPr>
              <w:spacing w:line="240" w:lineRule="auto"/>
              <w:jc w:val="center"/>
              <w:rPr>
                <w:rFonts w:eastAsia="Times New Roman" w:cs="Calibri"/>
                <w:sz w:val="14"/>
                <w:szCs w:val="14"/>
              </w:rPr>
            </w:pPr>
            <w:r w:rsidRPr="002B622A">
              <w:rPr>
                <w:rFonts w:cs="Calibri"/>
                <w:sz w:val="14"/>
                <w:szCs w:val="14"/>
              </w:rPr>
              <w:t>109,9</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3AC64F6" w14:textId="77777777">
            <w:pPr>
              <w:spacing w:line="240" w:lineRule="auto"/>
              <w:jc w:val="center"/>
              <w:rPr>
                <w:rFonts w:eastAsia="Times New Roman" w:cs="Calibri"/>
                <w:sz w:val="14"/>
                <w:szCs w:val="14"/>
              </w:rPr>
            </w:pPr>
            <w:r w:rsidRPr="002B622A">
              <w:rPr>
                <w:rFonts w:cs="Calibri"/>
                <w:sz w:val="14"/>
                <w:szCs w:val="14"/>
              </w:rPr>
              <w:t>106,1</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77AA0B5A" w14:textId="77777777">
            <w:pPr>
              <w:spacing w:line="240" w:lineRule="auto"/>
              <w:jc w:val="center"/>
              <w:rPr>
                <w:rFonts w:eastAsia="Times New Roman" w:cs="Calibri"/>
                <w:sz w:val="14"/>
                <w:szCs w:val="14"/>
              </w:rPr>
            </w:pPr>
            <w:r w:rsidRPr="002B622A">
              <w:rPr>
                <w:rFonts w:cs="Calibri"/>
                <w:sz w:val="14"/>
                <w:szCs w:val="14"/>
              </w:rPr>
              <w:t>112</w:t>
            </w:r>
          </w:p>
        </w:tc>
      </w:tr>
      <w:tr w:rsidRPr="009555A6" w:rsidR="00894FC0" w:rsidTr="003E5498" w14:paraId="4E5B6E2D"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16B54E45" w14:textId="77777777">
            <w:pPr>
              <w:spacing w:line="240" w:lineRule="auto"/>
              <w:jc w:val="center"/>
              <w:rPr>
                <w:rFonts w:eastAsia="Times New Roman" w:cs="Calibri"/>
                <w:sz w:val="14"/>
                <w:szCs w:val="14"/>
              </w:rPr>
            </w:pPr>
            <w:r w:rsidRPr="002B622A">
              <w:rPr>
                <w:rFonts w:eastAsia="Times New Roman" w:cs="Calibri"/>
                <w:sz w:val="14"/>
                <w:szCs w:val="14"/>
              </w:rPr>
              <w:t>2024</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4887C0A" w14:textId="77777777">
            <w:pPr>
              <w:spacing w:line="240" w:lineRule="auto"/>
              <w:jc w:val="center"/>
              <w:rPr>
                <w:rFonts w:eastAsia="Times New Roman" w:cs="Calibri"/>
                <w:sz w:val="14"/>
                <w:szCs w:val="14"/>
              </w:rPr>
            </w:pPr>
            <w:r w:rsidRPr="002B622A">
              <w:rPr>
                <w:rFonts w:cs="Calibri"/>
                <w:sz w:val="14"/>
                <w:szCs w:val="14"/>
              </w:rPr>
              <w:t>111,7</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430B76B5" w14:textId="77777777">
            <w:pPr>
              <w:spacing w:line="240" w:lineRule="auto"/>
              <w:jc w:val="center"/>
              <w:rPr>
                <w:rFonts w:eastAsia="Times New Roman" w:cs="Calibri"/>
                <w:sz w:val="14"/>
                <w:szCs w:val="14"/>
              </w:rPr>
            </w:pPr>
            <w:r w:rsidRPr="002B622A">
              <w:rPr>
                <w:rFonts w:cs="Calibri"/>
                <w:sz w:val="14"/>
                <w:szCs w:val="14"/>
              </w:rPr>
              <w:t>113,1</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9D5C6E3" w14:textId="77777777">
            <w:pPr>
              <w:spacing w:line="240" w:lineRule="auto"/>
              <w:jc w:val="center"/>
              <w:rPr>
                <w:rFonts w:eastAsia="Times New Roman" w:cs="Calibri"/>
                <w:sz w:val="14"/>
                <w:szCs w:val="14"/>
              </w:rPr>
            </w:pPr>
            <w:r w:rsidRPr="002B622A">
              <w:rPr>
                <w:rFonts w:cs="Calibri"/>
                <w:sz w:val="14"/>
                <w:szCs w:val="14"/>
              </w:rPr>
              <w:t>125,6</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93BB0BC" w14:textId="77777777">
            <w:pPr>
              <w:spacing w:line="240" w:lineRule="auto"/>
              <w:jc w:val="center"/>
              <w:rPr>
                <w:rFonts w:eastAsia="Times New Roman" w:cs="Calibri"/>
                <w:sz w:val="14"/>
                <w:szCs w:val="14"/>
              </w:rPr>
            </w:pPr>
            <w:r w:rsidRPr="002B622A">
              <w:rPr>
                <w:rFonts w:cs="Calibri"/>
                <w:sz w:val="14"/>
                <w:szCs w:val="14"/>
              </w:rPr>
              <w:t>126,3</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51F7CD99" w14:textId="77777777">
            <w:pPr>
              <w:spacing w:line="240" w:lineRule="auto"/>
              <w:jc w:val="center"/>
              <w:rPr>
                <w:rFonts w:eastAsia="Times New Roman" w:cs="Calibri"/>
                <w:sz w:val="14"/>
                <w:szCs w:val="14"/>
              </w:rPr>
            </w:pPr>
            <w:r w:rsidRPr="002B622A">
              <w:rPr>
                <w:rFonts w:cs="Calibri"/>
                <w:sz w:val="14"/>
                <w:szCs w:val="14"/>
              </w:rPr>
              <w:t>113</w:t>
            </w:r>
          </w:p>
        </w:tc>
        <w:tc>
          <w:tcPr>
            <w:tcW w:w="49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A97545B" w14:textId="77777777">
            <w:pPr>
              <w:spacing w:line="240" w:lineRule="auto"/>
              <w:jc w:val="center"/>
              <w:rPr>
                <w:rFonts w:eastAsia="Times New Roman" w:cs="Calibri"/>
                <w:sz w:val="14"/>
                <w:szCs w:val="14"/>
              </w:rPr>
            </w:pPr>
            <w:r w:rsidRPr="002B622A">
              <w:rPr>
                <w:rFonts w:cs="Calibri"/>
                <w:sz w:val="14"/>
                <w:szCs w:val="14"/>
              </w:rPr>
              <w:t>112,7</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A8BDE82" w14:textId="77777777">
            <w:pPr>
              <w:spacing w:line="240" w:lineRule="auto"/>
              <w:jc w:val="center"/>
              <w:rPr>
                <w:rFonts w:eastAsia="Times New Roman" w:cs="Calibri"/>
                <w:sz w:val="14"/>
                <w:szCs w:val="14"/>
              </w:rPr>
            </w:pPr>
            <w:r w:rsidRPr="002B622A">
              <w:rPr>
                <w:rFonts w:cs="Calibri"/>
                <w:sz w:val="14"/>
                <w:szCs w:val="14"/>
              </w:rPr>
              <w:t>108,4</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2E3E497" w14:textId="77777777">
            <w:pPr>
              <w:spacing w:line="240" w:lineRule="auto"/>
              <w:jc w:val="center"/>
              <w:rPr>
                <w:rFonts w:eastAsia="Times New Roman" w:cs="Calibri"/>
                <w:sz w:val="14"/>
                <w:szCs w:val="14"/>
              </w:rPr>
            </w:pPr>
            <w:r w:rsidRPr="002B622A">
              <w:rPr>
                <w:rFonts w:cs="Calibri"/>
                <w:sz w:val="14"/>
                <w:szCs w:val="14"/>
              </w:rPr>
              <w:t>108,4</w:t>
            </w:r>
          </w:p>
        </w:tc>
        <w:tc>
          <w:tcPr>
            <w:tcW w:w="501"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BC533A5" w14:textId="77777777">
            <w:pPr>
              <w:spacing w:line="240" w:lineRule="auto"/>
              <w:jc w:val="center"/>
              <w:rPr>
                <w:rFonts w:eastAsia="Times New Roman" w:cs="Calibri"/>
                <w:sz w:val="14"/>
                <w:szCs w:val="14"/>
              </w:rPr>
            </w:pPr>
            <w:r w:rsidRPr="002B622A">
              <w:rPr>
                <w:rFonts w:cs="Calibri"/>
                <w:sz w:val="14"/>
                <w:szCs w:val="14"/>
              </w:rPr>
              <w:t>109,8</w:t>
            </w:r>
          </w:p>
        </w:tc>
        <w:tc>
          <w:tcPr>
            <w:tcW w:w="416" w:type="pct"/>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75B2307" w14:textId="77777777">
            <w:pPr>
              <w:spacing w:line="240" w:lineRule="auto"/>
              <w:jc w:val="center"/>
              <w:rPr>
                <w:rFonts w:eastAsia="Times New Roman" w:cs="Calibri"/>
                <w:sz w:val="14"/>
                <w:szCs w:val="14"/>
              </w:rPr>
            </w:pPr>
            <w:r w:rsidRPr="002B622A">
              <w:rPr>
                <w:rFonts w:cs="Calibri"/>
                <w:sz w:val="14"/>
                <w:szCs w:val="14"/>
              </w:rPr>
              <w:t>108,9</w:t>
            </w:r>
          </w:p>
        </w:tc>
      </w:tr>
      <w:tr w:rsidRPr="009555A6" w:rsidR="00894FC0" w:rsidTr="003E5498" w14:paraId="7CD17A4E" w14:textId="77777777">
        <w:trPr>
          <w:trHeight w:val="255"/>
        </w:trPr>
        <w:tc>
          <w:tcPr>
            <w:tcW w:w="336" w:type="pct"/>
            <w:tcBorders>
              <w:top w:val="single" w:color="auto" w:sz="4" w:space="0"/>
              <w:left w:val="single" w:color="auto" w:sz="4" w:space="0"/>
              <w:bottom w:val="single" w:color="auto" w:sz="4" w:space="0"/>
              <w:right w:val="single" w:color="auto" w:sz="4" w:space="0"/>
            </w:tcBorders>
            <w:noWrap/>
            <w:vAlign w:val="bottom"/>
          </w:tcPr>
          <w:p w:rsidRPr="002B622A" w:rsidR="00894FC0" w:rsidP="003E5498" w:rsidRDefault="00894FC0" w14:paraId="249E9BC0" w14:textId="77777777">
            <w:pPr>
              <w:spacing w:line="240" w:lineRule="auto"/>
              <w:jc w:val="center"/>
              <w:rPr>
                <w:rFonts w:eastAsia="Times New Roman" w:cs="Calibri"/>
                <w:sz w:val="14"/>
                <w:szCs w:val="14"/>
              </w:rPr>
            </w:pPr>
            <w:r w:rsidRPr="002B622A">
              <w:rPr>
                <w:rFonts w:eastAsia="Times New Roman" w:cs="Calibri"/>
                <w:sz w:val="14"/>
                <w:szCs w:val="14"/>
              </w:rPr>
              <w:t>2025</w:t>
            </w:r>
          </w:p>
        </w:tc>
        <w:tc>
          <w:tcPr>
            <w:tcW w:w="501"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73C9E1B3" w14:textId="77777777">
            <w:pPr>
              <w:spacing w:line="240" w:lineRule="auto"/>
              <w:jc w:val="center"/>
              <w:rPr>
                <w:rFonts w:eastAsia="Times New Roman" w:cs="Calibri"/>
                <w:sz w:val="14"/>
                <w:szCs w:val="14"/>
              </w:rPr>
            </w:pPr>
            <w:r w:rsidRPr="002B622A">
              <w:rPr>
                <w:rFonts w:cs="Calibri"/>
                <w:sz w:val="14"/>
                <w:szCs w:val="14"/>
              </w:rPr>
              <w:t>123,5</w:t>
            </w:r>
          </w:p>
        </w:tc>
        <w:tc>
          <w:tcPr>
            <w:tcW w:w="416"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22E47EC6" w14:textId="77777777">
            <w:pPr>
              <w:spacing w:line="240" w:lineRule="auto"/>
              <w:jc w:val="center"/>
              <w:rPr>
                <w:rFonts w:eastAsia="Times New Roman" w:cs="Calibri"/>
                <w:sz w:val="14"/>
                <w:szCs w:val="14"/>
              </w:rPr>
            </w:pPr>
            <w:r w:rsidRPr="002B622A">
              <w:rPr>
                <w:rFonts w:cs="Calibri"/>
                <w:sz w:val="14"/>
                <w:szCs w:val="14"/>
              </w:rPr>
              <w:t>118,3</w:t>
            </w:r>
          </w:p>
        </w:tc>
        <w:tc>
          <w:tcPr>
            <w:tcW w:w="501"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32E03764" w14:textId="77777777">
            <w:pPr>
              <w:spacing w:line="240" w:lineRule="auto"/>
              <w:jc w:val="center"/>
              <w:rPr>
                <w:rFonts w:eastAsia="Times New Roman" w:cs="Calibri"/>
                <w:sz w:val="14"/>
                <w:szCs w:val="14"/>
              </w:rPr>
            </w:pPr>
            <w:r w:rsidRPr="002B622A">
              <w:rPr>
                <w:rFonts w:cs="Calibri"/>
                <w:sz w:val="14"/>
                <w:szCs w:val="14"/>
              </w:rPr>
              <w:t>141,1</w:t>
            </w:r>
          </w:p>
        </w:tc>
        <w:tc>
          <w:tcPr>
            <w:tcW w:w="416"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5EB9B96A" w14:textId="77777777">
            <w:pPr>
              <w:spacing w:line="240" w:lineRule="auto"/>
              <w:jc w:val="center"/>
              <w:rPr>
                <w:rFonts w:eastAsia="Times New Roman" w:cs="Calibri"/>
                <w:sz w:val="14"/>
                <w:szCs w:val="14"/>
              </w:rPr>
            </w:pPr>
            <w:r w:rsidRPr="002B622A">
              <w:rPr>
                <w:rFonts w:cs="Calibri"/>
                <w:sz w:val="14"/>
                <w:szCs w:val="14"/>
              </w:rPr>
              <w:t>133,1</w:t>
            </w:r>
          </w:p>
        </w:tc>
        <w:tc>
          <w:tcPr>
            <w:tcW w:w="501"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160AF94B" w14:textId="77777777">
            <w:pPr>
              <w:spacing w:line="240" w:lineRule="auto"/>
              <w:jc w:val="center"/>
              <w:rPr>
                <w:rFonts w:eastAsia="Times New Roman" w:cs="Calibri"/>
                <w:sz w:val="14"/>
                <w:szCs w:val="14"/>
              </w:rPr>
            </w:pPr>
            <w:r w:rsidRPr="002B622A">
              <w:rPr>
                <w:rFonts w:cs="Calibri"/>
                <w:sz w:val="14"/>
                <w:szCs w:val="14"/>
              </w:rPr>
              <w:t>125,3</w:t>
            </w:r>
          </w:p>
        </w:tc>
        <w:tc>
          <w:tcPr>
            <w:tcW w:w="496"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3E0A674C" w14:textId="77777777">
            <w:pPr>
              <w:spacing w:line="240" w:lineRule="auto"/>
              <w:jc w:val="center"/>
              <w:rPr>
                <w:rFonts w:eastAsia="Times New Roman" w:cs="Calibri"/>
                <w:sz w:val="14"/>
                <w:szCs w:val="14"/>
              </w:rPr>
            </w:pPr>
            <w:r w:rsidRPr="002B622A">
              <w:rPr>
                <w:rFonts w:cs="Calibri"/>
                <w:sz w:val="14"/>
                <w:szCs w:val="14"/>
              </w:rPr>
              <w:t>120,1</w:t>
            </w:r>
          </w:p>
        </w:tc>
        <w:tc>
          <w:tcPr>
            <w:tcW w:w="501"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3029992A" w14:textId="77777777">
            <w:pPr>
              <w:spacing w:line="240" w:lineRule="auto"/>
              <w:jc w:val="center"/>
              <w:rPr>
                <w:rFonts w:eastAsia="Times New Roman" w:cs="Calibri"/>
                <w:sz w:val="14"/>
                <w:szCs w:val="14"/>
              </w:rPr>
            </w:pPr>
            <w:r w:rsidRPr="002B622A">
              <w:rPr>
                <w:rFonts w:cs="Calibri"/>
                <w:sz w:val="14"/>
                <w:szCs w:val="14"/>
              </w:rPr>
              <w:t>122,3</w:t>
            </w:r>
          </w:p>
        </w:tc>
        <w:tc>
          <w:tcPr>
            <w:tcW w:w="416"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46E5AFD5" w14:textId="77777777">
            <w:pPr>
              <w:spacing w:line="240" w:lineRule="auto"/>
              <w:jc w:val="center"/>
              <w:rPr>
                <w:rFonts w:eastAsia="Times New Roman" w:cs="Calibri"/>
                <w:sz w:val="14"/>
                <w:szCs w:val="14"/>
              </w:rPr>
            </w:pPr>
            <w:r w:rsidRPr="002B622A">
              <w:rPr>
                <w:rFonts w:cs="Calibri"/>
                <w:sz w:val="14"/>
                <w:szCs w:val="14"/>
              </w:rPr>
              <w:t>115,3</w:t>
            </w:r>
          </w:p>
        </w:tc>
        <w:tc>
          <w:tcPr>
            <w:tcW w:w="501"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74975478" w14:textId="77777777">
            <w:pPr>
              <w:spacing w:line="240" w:lineRule="auto"/>
              <w:jc w:val="center"/>
              <w:rPr>
                <w:rFonts w:eastAsia="Times New Roman" w:cs="Calibri"/>
                <w:sz w:val="14"/>
                <w:szCs w:val="14"/>
              </w:rPr>
            </w:pPr>
            <w:r w:rsidRPr="002B622A">
              <w:rPr>
                <w:rFonts w:cs="Calibri"/>
                <w:sz w:val="14"/>
                <w:szCs w:val="14"/>
              </w:rPr>
              <w:t>126</w:t>
            </w:r>
          </w:p>
        </w:tc>
        <w:tc>
          <w:tcPr>
            <w:tcW w:w="416" w:type="pct"/>
            <w:tcBorders>
              <w:top w:val="single" w:color="auto" w:sz="4" w:space="0"/>
              <w:left w:val="single" w:color="auto" w:sz="4" w:space="0"/>
              <w:bottom w:val="single" w:color="auto" w:sz="4" w:space="0"/>
              <w:right w:val="single" w:color="auto" w:sz="4" w:space="0"/>
            </w:tcBorders>
            <w:noWrap/>
            <w:vAlign w:val="center"/>
          </w:tcPr>
          <w:p w:rsidRPr="002B622A" w:rsidR="00894FC0" w:rsidP="003E5498" w:rsidRDefault="00894FC0" w14:paraId="6C90747B" w14:textId="77777777">
            <w:pPr>
              <w:spacing w:line="240" w:lineRule="auto"/>
              <w:jc w:val="center"/>
              <w:rPr>
                <w:rFonts w:eastAsia="Times New Roman" w:cs="Calibri"/>
                <w:sz w:val="14"/>
                <w:szCs w:val="14"/>
              </w:rPr>
            </w:pPr>
            <w:r w:rsidRPr="002B622A">
              <w:rPr>
                <w:rFonts w:cs="Calibri"/>
                <w:sz w:val="14"/>
                <w:szCs w:val="14"/>
              </w:rPr>
              <w:t>117,7</w:t>
            </w:r>
          </w:p>
        </w:tc>
      </w:tr>
    </w:tbl>
    <w:p w:rsidRPr="00F90422" w:rsidR="00894FC0" w:rsidP="00894FC0" w:rsidRDefault="00894FC0" w14:paraId="0B4E0AA2" w14:textId="77777777">
      <w:pPr>
        <w:rPr>
          <w:rFonts w:ascii="Calibri" w:hAnsi="Calibri" w:cs="Calibri"/>
          <w:sz w:val="20"/>
          <w:szCs w:val="20"/>
        </w:rPr>
      </w:pPr>
      <w:r w:rsidRPr="00F90422">
        <w:rPr>
          <w:rFonts w:ascii="Calibri" w:hAnsi="Calibri" w:cs="Calibri"/>
          <w:sz w:val="20"/>
          <w:szCs w:val="20"/>
        </w:rPr>
        <w:t>Bron: Jaarverslagen pensioenfondsen, website pensioenfondsen</w:t>
      </w:r>
    </w:p>
    <w:p w:rsidR="00894FC0" w:rsidP="00C20282" w:rsidRDefault="00894FC0" w14:paraId="13005726" w14:textId="77777777"/>
    <w:p w:rsidR="00894FC0" w:rsidP="00C20282" w:rsidRDefault="00894FC0" w14:paraId="09C158B9" w14:textId="77777777"/>
    <w:p w:rsidR="00894FC0" w:rsidP="00C20282" w:rsidRDefault="00894FC0" w14:paraId="5C7360DE" w14:textId="77777777"/>
    <w:p w:rsidR="00894FC0" w:rsidP="00C20282" w:rsidRDefault="00894FC0" w14:paraId="79DFB4AC" w14:textId="77777777"/>
    <w:p w:rsidR="002B622A" w:rsidP="00C20282" w:rsidRDefault="002B622A" w14:paraId="4B1F562F" w14:textId="77777777"/>
    <w:tbl>
      <w:tblPr>
        <w:tblW w:w="6296" w:type="pct"/>
        <w:tblCellMar>
          <w:left w:w="70" w:type="dxa"/>
          <w:right w:w="70" w:type="dxa"/>
        </w:tblCellMar>
        <w:tblLook w:val="04A0" w:firstRow="1" w:lastRow="0" w:firstColumn="1" w:lastColumn="0" w:noHBand="0" w:noVBand="1"/>
      </w:tblPr>
      <w:tblGrid>
        <w:gridCol w:w="601"/>
        <w:gridCol w:w="1156"/>
        <w:gridCol w:w="1219"/>
        <w:gridCol w:w="991"/>
        <w:gridCol w:w="844"/>
        <w:gridCol w:w="914"/>
        <w:gridCol w:w="847"/>
        <w:gridCol w:w="919"/>
        <w:gridCol w:w="707"/>
        <w:gridCol w:w="621"/>
        <w:gridCol w:w="707"/>
      </w:tblGrid>
      <w:tr w:rsidRPr="002B622A" w:rsidR="00894FC0" w:rsidTr="003E5498" w14:paraId="3424B9BC" w14:textId="77777777">
        <w:tc>
          <w:tcPr>
            <w:tcW w:w="3941" w:type="pct"/>
            <w:gridSpan w:val="8"/>
            <w:tcBorders>
              <w:top w:val="nil"/>
              <w:left w:val="nil"/>
              <w:bottom w:val="single" w:color="auto" w:sz="4" w:space="0"/>
              <w:right w:val="nil"/>
            </w:tcBorders>
            <w:noWrap/>
            <w:vAlign w:val="bottom"/>
            <w:hideMark/>
          </w:tcPr>
          <w:p w:rsidRPr="002B622A" w:rsidR="00894FC0" w:rsidP="003E5498" w:rsidRDefault="00894FC0" w14:paraId="079283E0" w14:textId="77777777">
            <w:pPr>
              <w:spacing w:line="240" w:lineRule="auto"/>
              <w:rPr>
                <w:rFonts w:eastAsia="Times New Roman" w:cs="Calibri"/>
                <w:sz w:val="16"/>
                <w:szCs w:val="16"/>
              </w:rPr>
            </w:pPr>
            <w:r w:rsidRPr="002B622A">
              <w:rPr>
                <w:rFonts w:eastAsia="Times New Roman" w:cs="Calibri"/>
                <w:b/>
                <w:bCs/>
                <w:sz w:val="16"/>
                <w:szCs w:val="16"/>
              </w:rPr>
              <w:lastRenderedPageBreak/>
              <w:t>Tabel 3: Verleende indexatie per fonds (in percentages) en cumulatieve indexatie</w:t>
            </w:r>
          </w:p>
        </w:tc>
        <w:tc>
          <w:tcPr>
            <w:tcW w:w="340" w:type="pct"/>
            <w:tcBorders>
              <w:top w:val="nil"/>
              <w:left w:val="nil"/>
              <w:bottom w:val="single" w:color="auto" w:sz="4" w:space="0"/>
              <w:right w:val="nil"/>
            </w:tcBorders>
            <w:noWrap/>
            <w:vAlign w:val="bottom"/>
            <w:hideMark/>
          </w:tcPr>
          <w:p w:rsidRPr="002B622A" w:rsidR="00894FC0" w:rsidP="003E5498" w:rsidRDefault="00894FC0" w14:paraId="1AD9E8BE" w14:textId="77777777">
            <w:pPr>
              <w:spacing w:line="240" w:lineRule="auto"/>
              <w:rPr>
                <w:rFonts w:eastAsia="Times New Roman" w:cs="Calibri"/>
                <w:sz w:val="16"/>
                <w:szCs w:val="16"/>
              </w:rPr>
            </w:pPr>
          </w:p>
        </w:tc>
        <w:tc>
          <w:tcPr>
            <w:tcW w:w="381" w:type="pct"/>
            <w:tcBorders>
              <w:top w:val="nil"/>
              <w:left w:val="nil"/>
              <w:bottom w:val="single" w:color="auto" w:sz="4" w:space="0"/>
              <w:right w:val="nil"/>
            </w:tcBorders>
            <w:noWrap/>
            <w:vAlign w:val="bottom"/>
            <w:hideMark/>
          </w:tcPr>
          <w:p w:rsidRPr="002B622A" w:rsidR="00894FC0" w:rsidP="003E5498" w:rsidRDefault="00894FC0" w14:paraId="34C275A0" w14:textId="77777777">
            <w:pPr>
              <w:spacing w:line="240" w:lineRule="auto"/>
              <w:rPr>
                <w:rFonts w:eastAsia="Times New Roman" w:cs="Calibri"/>
                <w:sz w:val="16"/>
                <w:szCs w:val="16"/>
              </w:rPr>
            </w:pPr>
          </w:p>
        </w:tc>
        <w:tc>
          <w:tcPr>
            <w:tcW w:w="338" w:type="pct"/>
            <w:tcBorders>
              <w:top w:val="nil"/>
              <w:left w:val="nil"/>
              <w:bottom w:val="single" w:color="auto" w:sz="4" w:space="0"/>
              <w:right w:val="nil"/>
            </w:tcBorders>
            <w:noWrap/>
            <w:vAlign w:val="bottom"/>
            <w:hideMark/>
          </w:tcPr>
          <w:p w:rsidRPr="002B622A" w:rsidR="00894FC0" w:rsidP="003E5498" w:rsidRDefault="00894FC0" w14:paraId="2327423C" w14:textId="77777777">
            <w:pPr>
              <w:spacing w:line="240" w:lineRule="auto"/>
              <w:rPr>
                <w:rFonts w:eastAsia="Times New Roman" w:cs="Calibri"/>
                <w:sz w:val="16"/>
                <w:szCs w:val="16"/>
              </w:rPr>
            </w:pPr>
          </w:p>
        </w:tc>
      </w:tr>
      <w:tr w:rsidRPr="002B622A" w:rsidR="00894FC0" w:rsidTr="003E5498" w14:paraId="4B6CB4D3"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7FF63523" w14:textId="77777777">
            <w:pPr>
              <w:spacing w:line="240" w:lineRule="auto"/>
              <w:rPr>
                <w:rFonts w:eastAsia="Times New Roman" w:cs="Calibri"/>
                <w:sz w:val="16"/>
                <w:szCs w:val="16"/>
              </w:rPr>
            </w:pPr>
          </w:p>
        </w:tc>
        <w:tc>
          <w:tcPr>
            <w:tcW w:w="1249" w:type="pct"/>
            <w:gridSpan w:val="2"/>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36189BC" w14:textId="77777777">
            <w:pPr>
              <w:spacing w:line="240" w:lineRule="auto"/>
              <w:jc w:val="center"/>
              <w:rPr>
                <w:rFonts w:eastAsia="Times New Roman" w:cs="Calibri"/>
                <w:b/>
                <w:bCs/>
                <w:sz w:val="16"/>
                <w:szCs w:val="16"/>
              </w:rPr>
            </w:pPr>
            <w:r w:rsidRPr="002B622A">
              <w:rPr>
                <w:rFonts w:eastAsia="Times New Roman" w:cs="Calibri"/>
                <w:b/>
                <w:bCs/>
                <w:sz w:val="16"/>
                <w:szCs w:val="16"/>
              </w:rPr>
              <w:t>ABP</w:t>
            </w:r>
          </w:p>
        </w:tc>
        <w:tc>
          <w:tcPr>
            <w:tcW w:w="965" w:type="pct"/>
            <w:gridSpan w:val="2"/>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6FEDBB40" w14:textId="77777777">
            <w:pPr>
              <w:spacing w:line="240" w:lineRule="auto"/>
              <w:jc w:val="center"/>
              <w:rPr>
                <w:rFonts w:eastAsia="Times New Roman" w:cs="Calibri"/>
                <w:b/>
                <w:bCs/>
                <w:sz w:val="16"/>
                <w:szCs w:val="16"/>
              </w:rPr>
            </w:pPr>
            <w:r w:rsidRPr="002B622A">
              <w:rPr>
                <w:rFonts w:eastAsia="Times New Roman" w:cs="Calibri"/>
                <w:b/>
                <w:bCs/>
                <w:sz w:val="16"/>
                <w:szCs w:val="16"/>
              </w:rPr>
              <w:t>Bouw</w:t>
            </w:r>
          </w:p>
        </w:tc>
        <w:tc>
          <w:tcPr>
            <w:tcW w:w="927" w:type="pct"/>
            <w:gridSpan w:val="2"/>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0E356ACF" w14:textId="77777777">
            <w:pPr>
              <w:spacing w:line="240" w:lineRule="auto"/>
              <w:jc w:val="center"/>
              <w:rPr>
                <w:rFonts w:eastAsia="Times New Roman" w:cs="Calibri"/>
                <w:b/>
                <w:bCs/>
                <w:sz w:val="16"/>
                <w:szCs w:val="16"/>
              </w:rPr>
            </w:pPr>
            <w:r w:rsidRPr="002B622A">
              <w:rPr>
                <w:rFonts w:eastAsia="Times New Roman" w:cs="Calibri"/>
                <w:b/>
                <w:bCs/>
                <w:sz w:val="16"/>
                <w:szCs w:val="16"/>
              </w:rPr>
              <w:t>PME</w:t>
            </w:r>
          </w:p>
        </w:tc>
        <w:tc>
          <w:tcPr>
            <w:tcW w:w="824" w:type="pct"/>
            <w:gridSpan w:val="2"/>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324F31AF" w14:textId="77777777">
            <w:pPr>
              <w:spacing w:line="240" w:lineRule="auto"/>
              <w:jc w:val="center"/>
              <w:rPr>
                <w:rFonts w:eastAsia="Times New Roman" w:cs="Calibri"/>
                <w:b/>
                <w:bCs/>
                <w:sz w:val="16"/>
                <w:szCs w:val="16"/>
              </w:rPr>
            </w:pPr>
            <w:r w:rsidRPr="002B622A">
              <w:rPr>
                <w:rFonts w:eastAsia="Times New Roman" w:cs="Calibri"/>
                <w:b/>
                <w:bCs/>
                <w:sz w:val="16"/>
                <w:szCs w:val="16"/>
              </w:rPr>
              <w:t>PMT</w:t>
            </w:r>
          </w:p>
        </w:tc>
        <w:tc>
          <w:tcPr>
            <w:tcW w:w="719" w:type="pct"/>
            <w:gridSpan w:val="2"/>
            <w:tcBorders>
              <w:top w:val="single" w:color="auto" w:sz="4" w:space="0"/>
              <w:left w:val="single" w:color="auto" w:sz="4" w:space="0"/>
              <w:bottom w:val="single" w:color="auto" w:sz="4" w:space="0"/>
              <w:right w:val="single" w:color="auto" w:sz="4" w:space="0"/>
            </w:tcBorders>
            <w:noWrap/>
            <w:vAlign w:val="center"/>
            <w:hideMark/>
          </w:tcPr>
          <w:p w:rsidRPr="002B622A" w:rsidR="00894FC0" w:rsidP="003E5498" w:rsidRDefault="00894FC0" w14:paraId="2331E00A" w14:textId="77777777">
            <w:pPr>
              <w:spacing w:line="240" w:lineRule="auto"/>
              <w:jc w:val="center"/>
              <w:rPr>
                <w:rFonts w:eastAsia="Times New Roman" w:cs="Calibri"/>
                <w:b/>
                <w:bCs/>
                <w:sz w:val="16"/>
                <w:szCs w:val="16"/>
              </w:rPr>
            </w:pPr>
            <w:r w:rsidRPr="002B622A">
              <w:rPr>
                <w:rFonts w:eastAsia="Times New Roman" w:cs="Calibri"/>
                <w:b/>
                <w:bCs/>
                <w:sz w:val="16"/>
                <w:szCs w:val="16"/>
              </w:rPr>
              <w:t>PFZW</w:t>
            </w:r>
          </w:p>
        </w:tc>
      </w:tr>
      <w:tr w:rsidRPr="002B622A" w:rsidR="00894FC0" w:rsidTr="003E5498" w14:paraId="5150EAFA" w14:textId="77777777">
        <w:trPr>
          <w:trHeight w:val="227"/>
        </w:trPr>
        <w:tc>
          <w:tcPr>
            <w:tcW w:w="316" w:type="pct"/>
            <w:tcBorders>
              <w:top w:val="single" w:color="auto" w:sz="4" w:space="0"/>
              <w:left w:val="single" w:color="auto" w:sz="4" w:space="0"/>
              <w:bottom w:val="single" w:color="auto" w:sz="4" w:space="0"/>
              <w:right w:val="single" w:color="auto" w:sz="4" w:space="0"/>
            </w:tcBorders>
            <w:noWrap/>
            <w:hideMark/>
          </w:tcPr>
          <w:p w:rsidRPr="002B622A" w:rsidR="00894FC0" w:rsidP="003E5498" w:rsidRDefault="00894FC0" w14:paraId="2461F0A6" w14:textId="77777777">
            <w:pPr>
              <w:spacing w:line="240" w:lineRule="auto"/>
              <w:jc w:val="center"/>
              <w:rPr>
                <w:rFonts w:eastAsia="Times New Roman" w:cs="Calibri"/>
                <w:b/>
                <w:bCs/>
                <w:sz w:val="16"/>
                <w:szCs w:val="16"/>
              </w:rPr>
            </w:pPr>
            <w:r w:rsidRPr="002B622A">
              <w:rPr>
                <w:rFonts w:eastAsia="Times New Roman" w:cs="Calibri"/>
                <w:b/>
                <w:bCs/>
                <w:sz w:val="16"/>
                <w:szCs w:val="16"/>
              </w:rPr>
              <w:t>Jaar</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C59DCA8" w14:textId="77777777">
            <w:pPr>
              <w:spacing w:line="240" w:lineRule="auto"/>
              <w:jc w:val="center"/>
              <w:rPr>
                <w:rFonts w:eastAsia="Times New Roman" w:cs="Calibri"/>
                <w:b/>
                <w:bCs/>
                <w:sz w:val="16"/>
                <w:szCs w:val="16"/>
              </w:rPr>
            </w:pPr>
            <w:r w:rsidRPr="002B622A">
              <w:rPr>
                <w:rFonts w:eastAsia="Times New Roman" w:cs="Calibri"/>
                <w:b/>
                <w:bCs/>
                <w:sz w:val="16"/>
                <w:szCs w:val="16"/>
              </w:rPr>
              <w:t>Groei</w:t>
            </w:r>
          </w:p>
        </w:tc>
        <w:tc>
          <w:tcPr>
            <w:tcW w:w="641" w:type="pct"/>
            <w:tcBorders>
              <w:top w:val="single" w:color="auto" w:sz="4" w:space="0"/>
              <w:left w:val="nil"/>
              <w:bottom w:val="single" w:color="auto" w:sz="4" w:space="0"/>
              <w:right w:val="single" w:color="auto" w:sz="4" w:space="0"/>
            </w:tcBorders>
            <w:vAlign w:val="center"/>
          </w:tcPr>
          <w:p w:rsidRPr="002B622A" w:rsidR="00894FC0" w:rsidP="003E5498" w:rsidRDefault="00894FC0" w14:paraId="7E72F663" w14:textId="77777777">
            <w:pPr>
              <w:spacing w:line="240" w:lineRule="auto"/>
              <w:jc w:val="center"/>
              <w:rPr>
                <w:rFonts w:eastAsia="Times New Roman" w:cs="Calibri"/>
                <w:b/>
                <w:bCs/>
                <w:sz w:val="16"/>
                <w:szCs w:val="16"/>
              </w:rPr>
            </w:pPr>
            <w:r w:rsidRPr="002B622A">
              <w:rPr>
                <w:rFonts w:eastAsia="Times New Roman" w:cs="Calibri"/>
                <w:b/>
                <w:bCs/>
                <w:sz w:val="16"/>
                <w:szCs w:val="16"/>
              </w:rPr>
              <w:t>Cum.</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B63409C" w14:textId="77777777">
            <w:pPr>
              <w:spacing w:line="240" w:lineRule="auto"/>
              <w:jc w:val="center"/>
              <w:rPr>
                <w:rFonts w:eastAsia="Times New Roman" w:cs="Calibri"/>
                <w:b/>
                <w:bCs/>
                <w:sz w:val="16"/>
                <w:szCs w:val="16"/>
              </w:rPr>
            </w:pPr>
            <w:r w:rsidRPr="002B622A">
              <w:rPr>
                <w:rFonts w:eastAsia="Times New Roman" w:cs="Calibri"/>
                <w:b/>
                <w:bCs/>
                <w:sz w:val="16"/>
                <w:szCs w:val="16"/>
              </w:rPr>
              <w:t>Groei</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9B251E6" w14:textId="77777777">
            <w:pPr>
              <w:spacing w:line="240" w:lineRule="auto"/>
              <w:jc w:val="center"/>
              <w:rPr>
                <w:rFonts w:eastAsia="Times New Roman" w:cs="Calibri"/>
                <w:b/>
                <w:bCs/>
                <w:sz w:val="16"/>
                <w:szCs w:val="16"/>
              </w:rPr>
            </w:pPr>
            <w:r w:rsidRPr="002B622A">
              <w:rPr>
                <w:rFonts w:eastAsia="Times New Roman" w:cs="Calibri"/>
                <w:b/>
                <w:bCs/>
                <w:sz w:val="16"/>
                <w:szCs w:val="16"/>
              </w:rPr>
              <w:t>Cum.</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8FCCB5B" w14:textId="77777777">
            <w:pPr>
              <w:spacing w:line="240" w:lineRule="auto"/>
              <w:jc w:val="center"/>
              <w:rPr>
                <w:rFonts w:eastAsia="Times New Roman" w:cs="Calibri"/>
                <w:b/>
                <w:bCs/>
                <w:sz w:val="16"/>
                <w:szCs w:val="16"/>
              </w:rPr>
            </w:pPr>
            <w:r w:rsidRPr="002B622A">
              <w:rPr>
                <w:rFonts w:eastAsia="Times New Roman" w:cs="Calibri"/>
                <w:b/>
                <w:bCs/>
                <w:sz w:val="16"/>
                <w:szCs w:val="16"/>
              </w:rPr>
              <w:t>Groei</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51243FD" w14:textId="77777777">
            <w:pPr>
              <w:spacing w:line="240" w:lineRule="auto"/>
              <w:jc w:val="center"/>
              <w:rPr>
                <w:rFonts w:eastAsia="Times New Roman" w:cs="Calibri"/>
                <w:b/>
                <w:bCs/>
                <w:sz w:val="16"/>
                <w:szCs w:val="16"/>
              </w:rPr>
            </w:pPr>
            <w:r w:rsidRPr="002B622A">
              <w:rPr>
                <w:rFonts w:eastAsia="Times New Roman" w:cs="Calibri"/>
                <w:b/>
                <w:bCs/>
                <w:sz w:val="16"/>
                <w:szCs w:val="16"/>
              </w:rPr>
              <w:t>Cum.</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8C72A42" w14:textId="77777777">
            <w:pPr>
              <w:spacing w:line="240" w:lineRule="auto"/>
              <w:jc w:val="center"/>
              <w:rPr>
                <w:rFonts w:eastAsia="Times New Roman" w:cs="Calibri"/>
                <w:b/>
                <w:bCs/>
                <w:sz w:val="16"/>
                <w:szCs w:val="16"/>
              </w:rPr>
            </w:pPr>
            <w:r w:rsidRPr="002B622A">
              <w:rPr>
                <w:rFonts w:eastAsia="Times New Roman" w:cs="Calibri"/>
                <w:b/>
                <w:bCs/>
                <w:sz w:val="16"/>
                <w:szCs w:val="16"/>
              </w:rPr>
              <w:t>Groei</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BAD0ECD" w14:textId="77777777">
            <w:pPr>
              <w:spacing w:line="240" w:lineRule="auto"/>
              <w:jc w:val="center"/>
              <w:rPr>
                <w:rFonts w:eastAsia="Times New Roman" w:cs="Calibri"/>
                <w:b/>
                <w:bCs/>
                <w:sz w:val="16"/>
                <w:szCs w:val="16"/>
              </w:rPr>
            </w:pPr>
            <w:r w:rsidRPr="002B622A">
              <w:rPr>
                <w:rFonts w:eastAsia="Times New Roman" w:cs="Calibri"/>
                <w:b/>
                <w:bCs/>
                <w:sz w:val="16"/>
                <w:szCs w:val="16"/>
              </w:rPr>
              <w:t>Cum.</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91DACBB" w14:textId="77777777">
            <w:pPr>
              <w:spacing w:line="240" w:lineRule="auto"/>
              <w:jc w:val="center"/>
              <w:rPr>
                <w:rFonts w:eastAsia="Times New Roman" w:cs="Calibri"/>
                <w:b/>
                <w:bCs/>
                <w:sz w:val="16"/>
                <w:szCs w:val="16"/>
              </w:rPr>
            </w:pPr>
            <w:r w:rsidRPr="002B622A">
              <w:rPr>
                <w:rFonts w:eastAsia="Times New Roman" w:cs="Calibri"/>
                <w:b/>
                <w:bCs/>
                <w:sz w:val="16"/>
                <w:szCs w:val="16"/>
              </w:rPr>
              <w:t>Groei</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2786F41" w14:textId="77777777">
            <w:pPr>
              <w:spacing w:line="240" w:lineRule="auto"/>
              <w:jc w:val="center"/>
              <w:rPr>
                <w:rFonts w:eastAsia="Times New Roman" w:cs="Calibri"/>
                <w:b/>
                <w:bCs/>
                <w:sz w:val="16"/>
                <w:szCs w:val="16"/>
              </w:rPr>
            </w:pPr>
            <w:r w:rsidRPr="002B622A">
              <w:rPr>
                <w:rFonts w:eastAsia="Times New Roman" w:cs="Calibri"/>
                <w:b/>
                <w:bCs/>
                <w:sz w:val="16"/>
                <w:szCs w:val="16"/>
              </w:rPr>
              <w:t>Cum.</w:t>
            </w:r>
          </w:p>
        </w:tc>
      </w:tr>
      <w:tr w:rsidRPr="002B622A" w:rsidR="00894FC0" w:rsidTr="003E5498" w14:paraId="05979FAB"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285354E9" w14:textId="77777777">
            <w:pPr>
              <w:spacing w:line="240" w:lineRule="auto"/>
              <w:jc w:val="center"/>
              <w:rPr>
                <w:rFonts w:eastAsia="Times New Roman" w:cs="Calibri"/>
                <w:sz w:val="16"/>
                <w:szCs w:val="16"/>
              </w:rPr>
            </w:pPr>
            <w:r w:rsidRPr="002B622A">
              <w:rPr>
                <w:rFonts w:eastAsia="Times New Roman" w:cs="Calibri"/>
                <w:sz w:val="16"/>
                <w:szCs w:val="16"/>
              </w:rPr>
              <w:t>2013</w:t>
            </w:r>
          </w:p>
        </w:tc>
        <w:tc>
          <w:tcPr>
            <w:tcW w:w="608" w:type="pct"/>
            <w:tcBorders>
              <w:top w:val="single" w:color="auto" w:sz="4" w:space="0"/>
              <w:left w:val="nil"/>
              <w:bottom w:val="single" w:color="auto" w:sz="4" w:space="0"/>
              <w:right w:val="single" w:color="auto" w:sz="4" w:space="0"/>
            </w:tcBorders>
            <w:noWrap/>
            <w:vAlign w:val="bottom"/>
            <w:hideMark/>
          </w:tcPr>
          <w:p w:rsidRPr="002B622A" w:rsidR="00894FC0" w:rsidP="003E5498" w:rsidRDefault="00894FC0" w14:paraId="1FED2B30" w14:textId="77777777">
            <w:pPr>
              <w:spacing w:line="240" w:lineRule="auto"/>
              <w:jc w:val="center"/>
              <w:rPr>
                <w:rFonts w:eastAsia="Times New Roman" w:cs="Calibri"/>
                <w:sz w:val="16"/>
                <w:szCs w:val="16"/>
              </w:rPr>
            </w:pPr>
            <w:r w:rsidRPr="002B622A">
              <w:rPr>
                <w:rFonts w:cs="Calibri"/>
                <w:sz w:val="16"/>
                <w:szCs w:val="16"/>
              </w:rPr>
              <w:t> </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89EA148" w14:textId="77777777">
            <w:pPr>
              <w:spacing w:line="240" w:lineRule="auto"/>
              <w:jc w:val="center"/>
              <w:rPr>
                <w:rFonts w:eastAsia="Times New Roman" w:cs="Calibri"/>
                <w:sz w:val="16"/>
                <w:szCs w:val="16"/>
              </w:rPr>
            </w:pPr>
            <w:r w:rsidRPr="002B622A">
              <w:rPr>
                <w:rFonts w:cs="Calibri"/>
                <w:sz w:val="16"/>
                <w:szCs w:val="16"/>
              </w:rPr>
              <w:t>100</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89E46FC" w14:textId="77777777">
            <w:pPr>
              <w:spacing w:line="240" w:lineRule="auto"/>
              <w:jc w:val="center"/>
              <w:rPr>
                <w:rFonts w:eastAsia="Times New Roman" w:cs="Calibri"/>
                <w:sz w:val="16"/>
                <w:szCs w:val="16"/>
              </w:rPr>
            </w:pPr>
            <w:r w:rsidRPr="002B622A">
              <w:rPr>
                <w:rFonts w:cs="Calibri"/>
                <w:sz w:val="16"/>
                <w:szCs w:val="16"/>
              </w:rPr>
              <w:t> </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B1606BD" w14:textId="77777777">
            <w:pPr>
              <w:spacing w:line="240" w:lineRule="auto"/>
              <w:jc w:val="center"/>
              <w:rPr>
                <w:rFonts w:eastAsia="Times New Roman" w:cs="Calibri"/>
                <w:sz w:val="16"/>
                <w:szCs w:val="16"/>
              </w:rPr>
            </w:pPr>
            <w:r w:rsidRPr="002B622A">
              <w:rPr>
                <w:rFonts w:cs="Calibri"/>
                <w:sz w:val="16"/>
                <w:szCs w:val="16"/>
              </w:rPr>
              <w:t>100,00</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70D6EA7" w14:textId="77777777">
            <w:pPr>
              <w:spacing w:line="240" w:lineRule="auto"/>
              <w:jc w:val="center"/>
              <w:rPr>
                <w:rFonts w:eastAsia="Times New Roman" w:cs="Calibri"/>
                <w:sz w:val="16"/>
                <w:szCs w:val="16"/>
              </w:rPr>
            </w:pPr>
            <w:r w:rsidRPr="002B622A">
              <w:rPr>
                <w:rFonts w:cs="Calibri"/>
                <w:sz w:val="16"/>
                <w:szCs w:val="16"/>
              </w:rPr>
              <w:t> </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95AEF62" w14:textId="77777777">
            <w:pPr>
              <w:spacing w:line="240" w:lineRule="auto"/>
              <w:jc w:val="center"/>
              <w:rPr>
                <w:rFonts w:eastAsia="Times New Roman" w:cs="Calibri"/>
                <w:sz w:val="16"/>
                <w:szCs w:val="16"/>
              </w:rPr>
            </w:pPr>
            <w:r w:rsidRPr="002B622A">
              <w:rPr>
                <w:rFonts w:cs="Calibri"/>
                <w:sz w:val="16"/>
                <w:szCs w:val="16"/>
              </w:rPr>
              <w:t>100</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09E600A" w14:textId="77777777">
            <w:pPr>
              <w:spacing w:line="240" w:lineRule="auto"/>
              <w:jc w:val="center"/>
              <w:rPr>
                <w:rFonts w:eastAsia="Times New Roman" w:cs="Calibri"/>
                <w:sz w:val="16"/>
                <w:szCs w:val="16"/>
              </w:rPr>
            </w:pPr>
            <w:r w:rsidRPr="002B622A">
              <w:rPr>
                <w:rFonts w:cs="Calibri"/>
                <w:sz w:val="16"/>
                <w:szCs w:val="16"/>
              </w:rPr>
              <w:t> </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6D72684" w14:textId="77777777">
            <w:pPr>
              <w:spacing w:line="240" w:lineRule="auto"/>
              <w:jc w:val="center"/>
              <w:rPr>
                <w:rFonts w:eastAsia="Times New Roman" w:cs="Calibri"/>
                <w:sz w:val="16"/>
                <w:szCs w:val="16"/>
              </w:rPr>
            </w:pPr>
            <w:r w:rsidRPr="002B622A">
              <w:rPr>
                <w:rFonts w:cs="Calibri"/>
                <w:sz w:val="16"/>
                <w:szCs w:val="16"/>
              </w:rPr>
              <w:t>100,00</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6ED695A" w14:textId="77777777">
            <w:pPr>
              <w:spacing w:line="240" w:lineRule="auto"/>
              <w:jc w:val="center"/>
              <w:rPr>
                <w:rFonts w:eastAsia="Times New Roman" w:cs="Calibri"/>
                <w:sz w:val="16"/>
                <w:szCs w:val="16"/>
              </w:rPr>
            </w:pPr>
            <w:r w:rsidRPr="002B622A">
              <w:rPr>
                <w:rFonts w:cs="Calibri"/>
                <w:sz w:val="16"/>
                <w:szCs w:val="16"/>
              </w:rPr>
              <w:t> </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CEF5B89" w14:textId="77777777">
            <w:pPr>
              <w:spacing w:line="240" w:lineRule="auto"/>
              <w:jc w:val="center"/>
              <w:rPr>
                <w:rFonts w:eastAsia="Times New Roman" w:cs="Calibri"/>
                <w:sz w:val="16"/>
                <w:szCs w:val="16"/>
              </w:rPr>
            </w:pPr>
            <w:r w:rsidRPr="002B622A">
              <w:rPr>
                <w:rFonts w:cs="Calibri"/>
                <w:sz w:val="16"/>
                <w:szCs w:val="16"/>
              </w:rPr>
              <w:t>100</w:t>
            </w:r>
          </w:p>
        </w:tc>
      </w:tr>
      <w:tr w:rsidRPr="002B622A" w:rsidR="00894FC0" w:rsidTr="003E5498" w14:paraId="5FA1C35C"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24D51134" w14:textId="77777777">
            <w:pPr>
              <w:spacing w:line="240" w:lineRule="auto"/>
              <w:jc w:val="center"/>
              <w:rPr>
                <w:rFonts w:eastAsia="Times New Roman" w:cs="Calibri"/>
                <w:sz w:val="16"/>
                <w:szCs w:val="16"/>
              </w:rPr>
            </w:pPr>
            <w:r w:rsidRPr="002B622A">
              <w:rPr>
                <w:rFonts w:eastAsia="Times New Roman" w:cs="Calibri"/>
                <w:sz w:val="16"/>
                <w:szCs w:val="16"/>
              </w:rPr>
              <w:t>2014</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D01C691" w14:textId="77777777">
            <w:pPr>
              <w:spacing w:line="240" w:lineRule="auto"/>
              <w:jc w:val="center"/>
              <w:rPr>
                <w:rFonts w:eastAsia="Times New Roman" w:cs="Calibri"/>
                <w:sz w:val="16"/>
                <w:szCs w:val="16"/>
              </w:rPr>
            </w:pPr>
            <w:r w:rsidRPr="002B622A">
              <w:rPr>
                <w:rFonts w:cs="Calibri"/>
                <w:sz w:val="16"/>
                <w:szCs w:val="16"/>
              </w:rPr>
              <w:t>0</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82B77DF" w14:textId="77777777">
            <w:pPr>
              <w:spacing w:line="240" w:lineRule="auto"/>
              <w:jc w:val="center"/>
              <w:rPr>
                <w:rFonts w:eastAsia="Times New Roman" w:cs="Calibri"/>
                <w:sz w:val="16"/>
                <w:szCs w:val="16"/>
              </w:rPr>
            </w:pPr>
            <w:r w:rsidRPr="002B622A">
              <w:rPr>
                <w:rFonts w:cs="Calibri"/>
                <w:sz w:val="16"/>
                <w:szCs w:val="16"/>
              </w:rPr>
              <w:t>100</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6A2A5FD" w14:textId="77777777">
            <w:pPr>
              <w:spacing w:line="240" w:lineRule="auto"/>
              <w:jc w:val="center"/>
              <w:rPr>
                <w:rFonts w:eastAsia="Times New Roman" w:cs="Calibri"/>
                <w:sz w:val="16"/>
                <w:szCs w:val="16"/>
              </w:rPr>
            </w:pPr>
            <w:r w:rsidRPr="002B622A">
              <w:rPr>
                <w:rFonts w:cs="Calibri"/>
                <w:sz w:val="16"/>
                <w:szCs w:val="16"/>
              </w:rPr>
              <w:t>0,2</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8C6BE0B" w14:textId="77777777">
            <w:pPr>
              <w:spacing w:line="240" w:lineRule="auto"/>
              <w:jc w:val="center"/>
              <w:rPr>
                <w:rFonts w:eastAsia="Times New Roman" w:cs="Calibri"/>
                <w:sz w:val="16"/>
                <w:szCs w:val="16"/>
              </w:rPr>
            </w:pPr>
            <w:r w:rsidRPr="002B622A">
              <w:rPr>
                <w:rFonts w:cs="Calibri"/>
                <w:sz w:val="16"/>
                <w:szCs w:val="16"/>
              </w:rPr>
              <w:t>100,20</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B756B63" w14:textId="77777777">
            <w:pPr>
              <w:spacing w:line="240" w:lineRule="auto"/>
              <w:jc w:val="center"/>
              <w:rPr>
                <w:rFonts w:eastAsia="Times New Roman" w:cs="Calibri"/>
                <w:sz w:val="16"/>
                <w:szCs w:val="16"/>
              </w:rPr>
            </w:pPr>
            <w:r w:rsidRPr="002B622A">
              <w:rPr>
                <w:rFonts w:cs="Calibri"/>
                <w:sz w:val="16"/>
                <w:szCs w:val="16"/>
              </w:rPr>
              <w:t>0</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2A58210" w14:textId="77777777">
            <w:pPr>
              <w:spacing w:line="240" w:lineRule="auto"/>
              <w:jc w:val="center"/>
              <w:rPr>
                <w:rFonts w:eastAsia="Times New Roman" w:cs="Calibri"/>
                <w:sz w:val="16"/>
                <w:szCs w:val="16"/>
              </w:rPr>
            </w:pPr>
            <w:r w:rsidRPr="002B622A">
              <w:rPr>
                <w:rFonts w:cs="Calibri"/>
                <w:sz w:val="16"/>
                <w:szCs w:val="16"/>
              </w:rPr>
              <w:t>100</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27B9C7E" w14:textId="77777777">
            <w:pPr>
              <w:spacing w:line="240" w:lineRule="auto"/>
              <w:jc w:val="center"/>
              <w:rPr>
                <w:rFonts w:eastAsia="Times New Roman" w:cs="Calibri"/>
                <w:sz w:val="16"/>
                <w:szCs w:val="16"/>
              </w:rPr>
            </w:pPr>
            <w:r w:rsidRPr="002B622A">
              <w:rPr>
                <w:rFonts w:cs="Calibri"/>
                <w:sz w:val="16"/>
                <w:szCs w:val="16"/>
              </w:rPr>
              <w:t>-0,4</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B2F7133" w14:textId="77777777">
            <w:pPr>
              <w:spacing w:line="240" w:lineRule="auto"/>
              <w:jc w:val="center"/>
              <w:rPr>
                <w:rFonts w:eastAsia="Times New Roman" w:cs="Calibri"/>
                <w:sz w:val="16"/>
                <w:szCs w:val="16"/>
              </w:rPr>
            </w:pPr>
            <w:r w:rsidRPr="002B622A">
              <w:rPr>
                <w:rFonts w:cs="Calibri"/>
                <w:sz w:val="16"/>
                <w:szCs w:val="16"/>
              </w:rPr>
              <w:t>99,60</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616B328" w14:textId="77777777">
            <w:pPr>
              <w:spacing w:line="240" w:lineRule="auto"/>
              <w:jc w:val="center"/>
              <w:rPr>
                <w:rFonts w:eastAsia="Times New Roman" w:cs="Calibri"/>
                <w:sz w:val="16"/>
                <w:szCs w:val="16"/>
              </w:rPr>
            </w:pPr>
            <w:r w:rsidRPr="002B622A">
              <w:rPr>
                <w:rFonts w:cs="Calibri"/>
                <w:sz w:val="16"/>
                <w:szCs w:val="16"/>
              </w:rPr>
              <w:t>0</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FE3C24B" w14:textId="77777777">
            <w:pPr>
              <w:spacing w:line="240" w:lineRule="auto"/>
              <w:jc w:val="center"/>
              <w:rPr>
                <w:rFonts w:eastAsia="Times New Roman" w:cs="Calibri"/>
                <w:sz w:val="16"/>
                <w:szCs w:val="16"/>
              </w:rPr>
            </w:pPr>
            <w:r w:rsidRPr="002B622A">
              <w:rPr>
                <w:rFonts w:cs="Calibri"/>
                <w:sz w:val="16"/>
                <w:szCs w:val="16"/>
              </w:rPr>
              <w:t>100,00</w:t>
            </w:r>
          </w:p>
        </w:tc>
      </w:tr>
      <w:tr w:rsidRPr="002B622A" w:rsidR="00894FC0" w:rsidTr="003E5498" w14:paraId="4CB972F9"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5BD09409" w14:textId="77777777">
            <w:pPr>
              <w:spacing w:line="240" w:lineRule="auto"/>
              <w:jc w:val="center"/>
              <w:rPr>
                <w:rFonts w:eastAsia="Times New Roman" w:cs="Calibri"/>
                <w:sz w:val="16"/>
                <w:szCs w:val="16"/>
              </w:rPr>
            </w:pPr>
            <w:r w:rsidRPr="002B622A">
              <w:rPr>
                <w:rFonts w:eastAsia="Times New Roman" w:cs="Calibri"/>
                <w:sz w:val="16"/>
                <w:szCs w:val="16"/>
              </w:rPr>
              <w:t>2015</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BCC0185" w14:textId="77777777">
            <w:pPr>
              <w:spacing w:line="240" w:lineRule="auto"/>
              <w:jc w:val="center"/>
              <w:rPr>
                <w:rFonts w:eastAsia="Times New Roman" w:cs="Calibri"/>
                <w:sz w:val="16"/>
                <w:szCs w:val="16"/>
              </w:rPr>
            </w:pPr>
            <w:r w:rsidRPr="002B622A">
              <w:rPr>
                <w:rFonts w:cs="Calibri"/>
                <w:sz w:val="16"/>
                <w:szCs w:val="16"/>
              </w:rPr>
              <w:t>0</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C634CDF" w14:textId="77777777">
            <w:pPr>
              <w:spacing w:line="240" w:lineRule="auto"/>
              <w:jc w:val="center"/>
              <w:rPr>
                <w:rFonts w:eastAsia="Times New Roman" w:cs="Calibri"/>
                <w:sz w:val="16"/>
                <w:szCs w:val="16"/>
              </w:rPr>
            </w:pPr>
            <w:r w:rsidRPr="002B622A">
              <w:rPr>
                <w:rFonts w:cs="Calibri"/>
                <w:sz w:val="16"/>
                <w:szCs w:val="16"/>
              </w:rPr>
              <w:t>100</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888BCBC" w14:textId="77777777">
            <w:pPr>
              <w:spacing w:line="240" w:lineRule="auto"/>
              <w:jc w:val="center"/>
              <w:rPr>
                <w:rFonts w:eastAsia="Times New Roman" w:cs="Calibri"/>
                <w:sz w:val="16"/>
                <w:szCs w:val="16"/>
              </w:rPr>
            </w:pPr>
            <w:r w:rsidRPr="002B622A">
              <w:rPr>
                <w:rFonts w:cs="Calibri"/>
                <w:sz w:val="16"/>
                <w:szCs w:val="16"/>
              </w:rPr>
              <w:t>0</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0BD5B35" w14:textId="77777777">
            <w:pPr>
              <w:spacing w:line="240" w:lineRule="auto"/>
              <w:jc w:val="center"/>
              <w:rPr>
                <w:rFonts w:eastAsia="Times New Roman" w:cs="Calibri"/>
                <w:sz w:val="16"/>
                <w:szCs w:val="16"/>
              </w:rPr>
            </w:pPr>
            <w:r w:rsidRPr="002B622A">
              <w:rPr>
                <w:rFonts w:cs="Calibri"/>
                <w:sz w:val="16"/>
                <w:szCs w:val="16"/>
              </w:rPr>
              <w:t>100,20</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B60AABD" w14:textId="77777777">
            <w:pPr>
              <w:spacing w:line="240" w:lineRule="auto"/>
              <w:jc w:val="center"/>
              <w:rPr>
                <w:rFonts w:eastAsia="Times New Roman" w:cs="Calibri"/>
                <w:sz w:val="16"/>
                <w:szCs w:val="16"/>
              </w:rPr>
            </w:pPr>
            <w:r w:rsidRPr="002B622A">
              <w:rPr>
                <w:rFonts w:cs="Calibri"/>
                <w:sz w:val="16"/>
                <w:szCs w:val="16"/>
              </w:rPr>
              <w:t>0</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682EE20" w14:textId="77777777">
            <w:pPr>
              <w:spacing w:line="240" w:lineRule="auto"/>
              <w:jc w:val="center"/>
              <w:rPr>
                <w:rFonts w:eastAsia="Times New Roman" w:cs="Calibri"/>
                <w:sz w:val="16"/>
                <w:szCs w:val="16"/>
              </w:rPr>
            </w:pPr>
            <w:r w:rsidRPr="002B622A">
              <w:rPr>
                <w:rFonts w:cs="Calibri"/>
                <w:sz w:val="16"/>
                <w:szCs w:val="16"/>
              </w:rPr>
              <w:t>100</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7F616D1" w14:textId="77777777">
            <w:pPr>
              <w:spacing w:line="240" w:lineRule="auto"/>
              <w:jc w:val="center"/>
              <w:rPr>
                <w:rFonts w:eastAsia="Times New Roman" w:cs="Calibri"/>
                <w:sz w:val="16"/>
                <w:szCs w:val="16"/>
              </w:rPr>
            </w:pPr>
            <w:r w:rsidRPr="002B622A">
              <w:rPr>
                <w:rFonts w:cs="Calibri"/>
                <w:sz w:val="16"/>
                <w:szCs w:val="16"/>
              </w:rPr>
              <w:t>0</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6D63DEC" w14:textId="77777777">
            <w:pPr>
              <w:spacing w:line="240" w:lineRule="auto"/>
              <w:jc w:val="center"/>
              <w:rPr>
                <w:rFonts w:eastAsia="Times New Roman" w:cs="Calibri"/>
                <w:sz w:val="16"/>
                <w:szCs w:val="16"/>
              </w:rPr>
            </w:pPr>
            <w:r w:rsidRPr="002B622A">
              <w:rPr>
                <w:rFonts w:cs="Calibri"/>
                <w:sz w:val="16"/>
                <w:szCs w:val="16"/>
              </w:rPr>
              <w:t>99,60</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4125316" w14:textId="77777777">
            <w:pPr>
              <w:spacing w:line="240" w:lineRule="auto"/>
              <w:jc w:val="center"/>
              <w:rPr>
                <w:rFonts w:eastAsia="Times New Roman" w:cs="Calibri"/>
                <w:sz w:val="16"/>
                <w:szCs w:val="16"/>
              </w:rPr>
            </w:pPr>
            <w:r w:rsidRPr="002B622A">
              <w:rPr>
                <w:rFonts w:cs="Calibri"/>
                <w:sz w:val="16"/>
                <w:szCs w:val="16"/>
              </w:rPr>
              <w:t>0</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E0A505A" w14:textId="77777777">
            <w:pPr>
              <w:spacing w:line="240" w:lineRule="auto"/>
              <w:jc w:val="center"/>
              <w:rPr>
                <w:rFonts w:eastAsia="Times New Roman" w:cs="Calibri"/>
                <w:sz w:val="16"/>
                <w:szCs w:val="16"/>
              </w:rPr>
            </w:pPr>
            <w:r w:rsidRPr="002B622A">
              <w:rPr>
                <w:rFonts w:cs="Calibri"/>
                <w:sz w:val="16"/>
                <w:szCs w:val="16"/>
              </w:rPr>
              <w:t>100,00</w:t>
            </w:r>
          </w:p>
        </w:tc>
      </w:tr>
      <w:tr w:rsidRPr="002B622A" w:rsidR="00894FC0" w:rsidTr="003E5498" w14:paraId="1BDE70D7"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017C91FA" w14:textId="77777777">
            <w:pPr>
              <w:spacing w:line="240" w:lineRule="auto"/>
              <w:jc w:val="center"/>
              <w:rPr>
                <w:rFonts w:eastAsia="Times New Roman" w:cs="Calibri"/>
                <w:sz w:val="16"/>
                <w:szCs w:val="16"/>
              </w:rPr>
            </w:pPr>
            <w:r w:rsidRPr="002B622A">
              <w:rPr>
                <w:rFonts w:eastAsia="Times New Roman" w:cs="Calibri"/>
                <w:sz w:val="16"/>
                <w:szCs w:val="16"/>
              </w:rPr>
              <w:t>2016</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2F8DD4B" w14:textId="77777777">
            <w:pPr>
              <w:spacing w:line="240" w:lineRule="auto"/>
              <w:jc w:val="center"/>
              <w:rPr>
                <w:rFonts w:eastAsia="Times New Roman" w:cs="Calibri"/>
                <w:sz w:val="16"/>
                <w:szCs w:val="16"/>
              </w:rPr>
            </w:pPr>
            <w:r w:rsidRPr="002B622A">
              <w:rPr>
                <w:rFonts w:cs="Calibri"/>
                <w:sz w:val="16"/>
                <w:szCs w:val="16"/>
              </w:rPr>
              <w:t>0</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04E45F0" w14:textId="77777777">
            <w:pPr>
              <w:spacing w:line="240" w:lineRule="auto"/>
              <w:jc w:val="center"/>
              <w:rPr>
                <w:rFonts w:eastAsia="Times New Roman" w:cs="Calibri"/>
                <w:sz w:val="16"/>
                <w:szCs w:val="16"/>
              </w:rPr>
            </w:pPr>
            <w:r w:rsidRPr="002B622A">
              <w:rPr>
                <w:rFonts w:cs="Calibri"/>
                <w:sz w:val="16"/>
                <w:szCs w:val="16"/>
              </w:rPr>
              <w:t>100</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5DDD64E" w14:textId="77777777">
            <w:pPr>
              <w:spacing w:line="240" w:lineRule="auto"/>
              <w:jc w:val="center"/>
              <w:rPr>
                <w:rFonts w:eastAsia="Times New Roman" w:cs="Calibri"/>
                <w:sz w:val="16"/>
                <w:szCs w:val="16"/>
              </w:rPr>
            </w:pPr>
            <w:r w:rsidRPr="002B622A">
              <w:rPr>
                <w:rFonts w:cs="Calibri"/>
                <w:sz w:val="16"/>
                <w:szCs w:val="16"/>
              </w:rPr>
              <w:t>0</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A731C7D" w14:textId="77777777">
            <w:pPr>
              <w:spacing w:line="240" w:lineRule="auto"/>
              <w:jc w:val="center"/>
              <w:rPr>
                <w:rFonts w:eastAsia="Times New Roman" w:cs="Calibri"/>
                <w:sz w:val="16"/>
                <w:szCs w:val="16"/>
              </w:rPr>
            </w:pPr>
            <w:r w:rsidRPr="002B622A">
              <w:rPr>
                <w:rFonts w:cs="Calibri"/>
                <w:sz w:val="16"/>
                <w:szCs w:val="16"/>
              </w:rPr>
              <w:t>100,20</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D18E36B" w14:textId="77777777">
            <w:pPr>
              <w:spacing w:line="240" w:lineRule="auto"/>
              <w:jc w:val="center"/>
              <w:rPr>
                <w:rFonts w:eastAsia="Times New Roman" w:cs="Calibri"/>
                <w:sz w:val="16"/>
                <w:szCs w:val="16"/>
              </w:rPr>
            </w:pPr>
            <w:r w:rsidRPr="002B622A">
              <w:rPr>
                <w:rFonts w:cs="Calibri"/>
                <w:sz w:val="16"/>
                <w:szCs w:val="16"/>
              </w:rPr>
              <w:t>0</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ED94B07" w14:textId="77777777">
            <w:pPr>
              <w:spacing w:line="240" w:lineRule="auto"/>
              <w:jc w:val="center"/>
              <w:rPr>
                <w:rFonts w:eastAsia="Times New Roman" w:cs="Calibri"/>
                <w:sz w:val="16"/>
                <w:szCs w:val="16"/>
              </w:rPr>
            </w:pPr>
            <w:r w:rsidRPr="002B622A">
              <w:rPr>
                <w:rFonts w:cs="Calibri"/>
                <w:sz w:val="16"/>
                <w:szCs w:val="16"/>
              </w:rPr>
              <w:t>100</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1200623" w14:textId="77777777">
            <w:pPr>
              <w:spacing w:line="240" w:lineRule="auto"/>
              <w:jc w:val="center"/>
              <w:rPr>
                <w:rFonts w:eastAsia="Times New Roman" w:cs="Calibri"/>
                <w:sz w:val="16"/>
                <w:szCs w:val="16"/>
              </w:rPr>
            </w:pPr>
            <w:r w:rsidRPr="002B622A">
              <w:rPr>
                <w:rFonts w:cs="Calibri"/>
                <w:sz w:val="16"/>
                <w:szCs w:val="16"/>
              </w:rPr>
              <w:t>0</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4984834" w14:textId="77777777">
            <w:pPr>
              <w:spacing w:line="240" w:lineRule="auto"/>
              <w:jc w:val="center"/>
              <w:rPr>
                <w:rFonts w:eastAsia="Times New Roman" w:cs="Calibri"/>
                <w:sz w:val="16"/>
                <w:szCs w:val="16"/>
              </w:rPr>
            </w:pPr>
            <w:r w:rsidRPr="002B622A">
              <w:rPr>
                <w:rFonts w:cs="Calibri"/>
                <w:sz w:val="16"/>
                <w:szCs w:val="16"/>
              </w:rPr>
              <w:t>99,60</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116C46B" w14:textId="77777777">
            <w:pPr>
              <w:spacing w:line="240" w:lineRule="auto"/>
              <w:jc w:val="center"/>
              <w:rPr>
                <w:rFonts w:eastAsia="Times New Roman" w:cs="Calibri"/>
                <w:sz w:val="16"/>
                <w:szCs w:val="16"/>
              </w:rPr>
            </w:pPr>
            <w:r w:rsidRPr="002B622A">
              <w:rPr>
                <w:rFonts w:cs="Calibri"/>
                <w:sz w:val="16"/>
                <w:szCs w:val="16"/>
              </w:rPr>
              <w:t>0</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179E1F5" w14:textId="77777777">
            <w:pPr>
              <w:spacing w:line="240" w:lineRule="auto"/>
              <w:jc w:val="center"/>
              <w:rPr>
                <w:rFonts w:eastAsia="Times New Roman" w:cs="Calibri"/>
                <w:sz w:val="16"/>
                <w:szCs w:val="16"/>
              </w:rPr>
            </w:pPr>
            <w:r w:rsidRPr="002B622A">
              <w:rPr>
                <w:rFonts w:cs="Calibri"/>
                <w:sz w:val="16"/>
                <w:szCs w:val="16"/>
              </w:rPr>
              <w:t>100,00</w:t>
            </w:r>
          </w:p>
        </w:tc>
      </w:tr>
      <w:tr w:rsidRPr="002B622A" w:rsidR="00894FC0" w:rsidTr="003E5498" w14:paraId="3C72839C"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3F9B9836" w14:textId="77777777">
            <w:pPr>
              <w:spacing w:line="240" w:lineRule="auto"/>
              <w:jc w:val="center"/>
              <w:rPr>
                <w:rFonts w:eastAsia="Times New Roman" w:cs="Calibri"/>
                <w:sz w:val="16"/>
                <w:szCs w:val="16"/>
              </w:rPr>
            </w:pPr>
            <w:r w:rsidRPr="002B622A">
              <w:rPr>
                <w:rFonts w:eastAsia="Times New Roman" w:cs="Calibri"/>
                <w:sz w:val="16"/>
                <w:szCs w:val="16"/>
              </w:rPr>
              <w:t>2017</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F2B1A9F" w14:textId="77777777">
            <w:pPr>
              <w:spacing w:line="240" w:lineRule="auto"/>
              <w:jc w:val="center"/>
              <w:rPr>
                <w:rFonts w:eastAsia="Times New Roman" w:cs="Calibri"/>
                <w:sz w:val="16"/>
                <w:szCs w:val="16"/>
              </w:rPr>
            </w:pPr>
            <w:r w:rsidRPr="002B622A">
              <w:rPr>
                <w:rFonts w:cs="Calibri"/>
                <w:sz w:val="16"/>
                <w:szCs w:val="16"/>
              </w:rPr>
              <w:t>0</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3A918C8" w14:textId="77777777">
            <w:pPr>
              <w:spacing w:line="240" w:lineRule="auto"/>
              <w:jc w:val="center"/>
              <w:rPr>
                <w:rFonts w:eastAsia="Times New Roman" w:cs="Calibri"/>
                <w:sz w:val="16"/>
                <w:szCs w:val="16"/>
              </w:rPr>
            </w:pPr>
            <w:r w:rsidRPr="002B622A">
              <w:rPr>
                <w:rFonts w:cs="Calibri"/>
                <w:sz w:val="16"/>
                <w:szCs w:val="16"/>
              </w:rPr>
              <w:t>100</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9289463" w14:textId="77777777">
            <w:pPr>
              <w:spacing w:line="240" w:lineRule="auto"/>
              <w:jc w:val="center"/>
              <w:rPr>
                <w:rFonts w:eastAsia="Times New Roman" w:cs="Calibri"/>
                <w:sz w:val="16"/>
                <w:szCs w:val="16"/>
              </w:rPr>
            </w:pPr>
            <w:r w:rsidRPr="002B622A">
              <w:rPr>
                <w:rFonts w:cs="Calibri"/>
                <w:sz w:val="16"/>
                <w:szCs w:val="16"/>
              </w:rPr>
              <w:t>0,59</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4D16ABD" w14:textId="77777777">
            <w:pPr>
              <w:spacing w:line="240" w:lineRule="auto"/>
              <w:jc w:val="center"/>
              <w:rPr>
                <w:rFonts w:eastAsia="Times New Roman" w:cs="Calibri"/>
                <w:sz w:val="16"/>
                <w:szCs w:val="16"/>
              </w:rPr>
            </w:pPr>
            <w:r w:rsidRPr="002B622A">
              <w:rPr>
                <w:rFonts w:cs="Calibri"/>
                <w:sz w:val="16"/>
                <w:szCs w:val="16"/>
              </w:rPr>
              <w:t>100,79</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0F8A728" w14:textId="77777777">
            <w:pPr>
              <w:spacing w:line="240" w:lineRule="auto"/>
              <w:jc w:val="center"/>
              <w:rPr>
                <w:rFonts w:eastAsia="Times New Roman" w:cs="Calibri"/>
                <w:sz w:val="16"/>
                <w:szCs w:val="16"/>
              </w:rPr>
            </w:pPr>
            <w:r w:rsidRPr="002B622A">
              <w:rPr>
                <w:rFonts w:cs="Calibri"/>
                <w:sz w:val="16"/>
                <w:szCs w:val="16"/>
              </w:rPr>
              <w:t>0</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E3182D9" w14:textId="77777777">
            <w:pPr>
              <w:spacing w:line="240" w:lineRule="auto"/>
              <w:jc w:val="center"/>
              <w:rPr>
                <w:rFonts w:eastAsia="Times New Roman" w:cs="Calibri"/>
                <w:sz w:val="16"/>
                <w:szCs w:val="16"/>
              </w:rPr>
            </w:pPr>
            <w:r w:rsidRPr="002B622A">
              <w:rPr>
                <w:rFonts w:cs="Calibri"/>
                <w:sz w:val="16"/>
                <w:szCs w:val="16"/>
              </w:rPr>
              <w:t>100</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C758618" w14:textId="77777777">
            <w:pPr>
              <w:spacing w:line="240" w:lineRule="auto"/>
              <w:jc w:val="center"/>
              <w:rPr>
                <w:rFonts w:eastAsia="Times New Roman" w:cs="Calibri"/>
                <w:sz w:val="16"/>
                <w:szCs w:val="16"/>
              </w:rPr>
            </w:pPr>
            <w:r w:rsidRPr="002B622A">
              <w:rPr>
                <w:rFonts w:cs="Calibri"/>
                <w:sz w:val="16"/>
                <w:szCs w:val="16"/>
              </w:rPr>
              <w:t>0</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3A5F03B" w14:textId="77777777">
            <w:pPr>
              <w:spacing w:line="240" w:lineRule="auto"/>
              <w:jc w:val="center"/>
              <w:rPr>
                <w:rFonts w:eastAsia="Times New Roman" w:cs="Calibri"/>
                <w:sz w:val="16"/>
                <w:szCs w:val="16"/>
              </w:rPr>
            </w:pPr>
            <w:r w:rsidRPr="002B622A">
              <w:rPr>
                <w:rFonts w:cs="Calibri"/>
                <w:sz w:val="16"/>
                <w:szCs w:val="16"/>
              </w:rPr>
              <w:t>99,60</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FFDD309" w14:textId="77777777">
            <w:pPr>
              <w:spacing w:line="240" w:lineRule="auto"/>
              <w:jc w:val="center"/>
              <w:rPr>
                <w:rFonts w:eastAsia="Times New Roman" w:cs="Calibri"/>
                <w:sz w:val="16"/>
                <w:szCs w:val="16"/>
              </w:rPr>
            </w:pPr>
            <w:r w:rsidRPr="002B622A">
              <w:rPr>
                <w:rFonts w:cs="Calibri"/>
                <w:sz w:val="16"/>
                <w:szCs w:val="16"/>
              </w:rPr>
              <w:t>0</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795E4AD" w14:textId="77777777">
            <w:pPr>
              <w:spacing w:line="240" w:lineRule="auto"/>
              <w:jc w:val="center"/>
              <w:rPr>
                <w:rFonts w:eastAsia="Times New Roman" w:cs="Calibri"/>
                <w:sz w:val="16"/>
                <w:szCs w:val="16"/>
              </w:rPr>
            </w:pPr>
            <w:r w:rsidRPr="002B622A">
              <w:rPr>
                <w:rFonts w:cs="Calibri"/>
                <w:sz w:val="16"/>
                <w:szCs w:val="16"/>
              </w:rPr>
              <w:t>100,00</w:t>
            </w:r>
          </w:p>
        </w:tc>
      </w:tr>
      <w:tr w:rsidRPr="002B622A" w:rsidR="00894FC0" w:rsidTr="003E5498" w14:paraId="3F635D50"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102FCB72" w14:textId="77777777">
            <w:pPr>
              <w:spacing w:line="240" w:lineRule="auto"/>
              <w:jc w:val="center"/>
              <w:rPr>
                <w:rFonts w:eastAsia="Times New Roman" w:cs="Calibri"/>
                <w:sz w:val="16"/>
                <w:szCs w:val="16"/>
              </w:rPr>
            </w:pPr>
            <w:r w:rsidRPr="002B622A">
              <w:rPr>
                <w:rFonts w:eastAsia="Times New Roman" w:cs="Calibri"/>
                <w:sz w:val="16"/>
                <w:szCs w:val="16"/>
              </w:rPr>
              <w:t>2018</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49C8ABD" w14:textId="77777777">
            <w:pPr>
              <w:spacing w:line="240" w:lineRule="auto"/>
              <w:jc w:val="center"/>
              <w:rPr>
                <w:rFonts w:eastAsia="Times New Roman" w:cs="Calibri"/>
                <w:sz w:val="16"/>
                <w:szCs w:val="16"/>
              </w:rPr>
            </w:pPr>
            <w:r w:rsidRPr="002B622A">
              <w:rPr>
                <w:rFonts w:cs="Calibri"/>
                <w:sz w:val="16"/>
                <w:szCs w:val="16"/>
              </w:rPr>
              <w:t>0</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4834296" w14:textId="77777777">
            <w:pPr>
              <w:spacing w:line="240" w:lineRule="auto"/>
              <w:jc w:val="center"/>
              <w:rPr>
                <w:rFonts w:eastAsia="Times New Roman" w:cs="Calibri"/>
                <w:sz w:val="16"/>
                <w:szCs w:val="16"/>
              </w:rPr>
            </w:pPr>
            <w:r w:rsidRPr="002B622A">
              <w:rPr>
                <w:rFonts w:cs="Calibri"/>
                <w:sz w:val="16"/>
                <w:szCs w:val="16"/>
              </w:rPr>
              <w:t>100</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A9E4ABC" w14:textId="77777777">
            <w:pPr>
              <w:spacing w:line="240" w:lineRule="auto"/>
              <w:jc w:val="center"/>
              <w:rPr>
                <w:rFonts w:eastAsia="Times New Roman" w:cs="Calibri"/>
                <w:sz w:val="16"/>
                <w:szCs w:val="16"/>
              </w:rPr>
            </w:pPr>
            <w:r w:rsidRPr="002B622A">
              <w:rPr>
                <w:rFonts w:cs="Calibri"/>
                <w:sz w:val="16"/>
                <w:szCs w:val="16"/>
              </w:rPr>
              <w:t>1,07</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5A5EAC2" w14:textId="77777777">
            <w:pPr>
              <w:spacing w:line="240" w:lineRule="auto"/>
              <w:jc w:val="center"/>
              <w:rPr>
                <w:rFonts w:eastAsia="Times New Roman" w:cs="Calibri"/>
                <w:sz w:val="16"/>
                <w:szCs w:val="16"/>
              </w:rPr>
            </w:pPr>
            <w:r w:rsidRPr="002B622A">
              <w:rPr>
                <w:rFonts w:cs="Calibri"/>
                <w:sz w:val="16"/>
                <w:szCs w:val="16"/>
              </w:rPr>
              <w:t>101,87</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92BF3DC" w14:textId="77777777">
            <w:pPr>
              <w:spacing w:line="240" w:lineRule="auto"/>
              <w:jc w:val="center"/>
              <w:rPr>
                <w:rFonts w:eastAsia="Times New Roman" w:cs="Calibri"/>
                <w:sz w:val="16"/>
                <w:szCs w:val="16"/>
              </w:rPr>
            </w:pPr>
            <w:r w:rsidRPr="002B622A">
              <w:rPr>
                <w:rFonts w:cs="Calibri"/>
                <w:sz w:val="16"/>
                <w:szCs w:val="16"/>
              </w:rPr>
              <w:t>0</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6372187" w14:textId="77777777">
            <w:pPr>
              <w:spacing w:line="240" w:lineRule="auto"/>
              <w:jc w:val="center"/>
              <w:rPr>
                <w:rFonts w:eastAsia="Times New Roman" w:cs="Calibri"/>
                <w:sz w:val="16"/>
                <w:szCs w:val="16"/>
              </w:rPr>
            </w:pPr>
            <w:r w:rsidRPr="002B622A">
              <w:rPr>
                <w:rFonts w:cs="Calibri"/>
                <w:sz w:val="16"/>
                <w:szCs w:val="16"/>
              </w:rPr>
              <w:t>100</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C0E1361" w14:textId="77777777">
            <w:pPr>
              <w:spacing w:line="240" w:lineRule="auto"/>
              <w:jc w:val="center"/>
              <w:rPr>
                <w:rFonts w:eastAsia="Times New Roman" w:cs="Calibri"/>
                <w:sz w:val="16"/>
                <w:szCs w:val="16"/>
              </w:rPr>
            </w:pPr>
            <w:r w:rsidRPr="002B622A">
              <w:rPr>
                <w:rFonts w:cs="Calibri"/>
                <w:sz w:val="16"/>
                <w:szCs w:val="16"/>
              </w:rPr>
              <w:t>0</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30A5A2F" w14:textId="77777777">
            <w:pPr>
              <w:spacing w:line="240" w:lineRule="auto"/>
              <w:jc w:val="center"/>
              <w:rPr>
                <w:rFonts w:eastAsia="Times New Roman" w:cs="Calibri"/>
                <w:sz w:val="16"/>
                <w:szCs w:val="16"/>
              </w:rPr>
            </w:pPr>
            <w:r w:rsidRPr="002B622A">
              <w:rPr>
                <w:rFonts w:cs="Calibri"/>
                <w:sz w:val="16"/>
                <w:szCs w:val="16"/>
              </w:rPr>
              <w:t>99,60</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F32B748" w14:textId="77777777">
            <w:pPr>
              <w:spacing w:line="240" w:lineRule="auto"/>
              <w:jc w:val="center"/>
              <w:rPr>
                <w:rFonts w:eastAsia="Times New Roman" w:cs="Calibri"/>
                <w:sz w:val="16"/>
                <w:szCs w:val="16"/>
              </w:rPr>
            </w:pPr>
            <w:r w:rsidRPr="002B622A">
              <w:rPr>
                <w:rFonts w:cs="Calibri"/>
                <w:sz w:val="16"/>
                <w:szCs w:val="16"/>
              </w:rPr>
              <w:t>0</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7AE28E4" w14:textId="77777777">
            <w:pPr>
              <w:spacing w:line="240" w:lineRule="auto"/>
              <w:jc w:val="center"/>
              <w:rPr>
                <w:rFonts w:eastAsia="Times New Roman" w:cs="Calibri"/>
                <w:sz w:val="16"/>
                <w:szCs w:val="16"/>
              </w:rPr>
            </w:pPr>
            <w:r w:rsidRPr="002B622A">
              <w:rPr>
                <w:rFonts w:cs="Calibri"/>
                <w:sz w:val="16"/>
                <w:szCs w:val="16"/>
              </w:rPr>
              <w:t>100,00</w:t>
            </w:r>
          </w:p>
        </w:tc>
      </w:tr>
      <w:tr w:rsidRPr="002B622A" w:rsidR="00894FC0" w:rsidTr="003E5498" w14:paraId="58FD110E"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61FF9F86" w14:textId="77777777">
            <w:pPr>
              <w:spacing w:line="240" w:lineRule="auto"/>
              <w:jc w:val="center"/>
              <w:rPr>
                <w:rFonts w:eastAsia="Times New Roman" w:cs="Calibri"/>
                <w:sz w:val="16"/>
                <w:szCs w:val="16"/>
              </w:rPr>
            </w:pPr>
            <w:r w:rsidRPr="002B622A">
              <w:rPr>
                <w:rFonts w:eastAsia="Times New Roman" w:cs="Calibri"/>
                <w:sz w:val="16"/>
                <w:szCs w:val="16"/>
              </w:rPr>
              <w:t>2019</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697D33D" w14:textId="77777777">
            <w:pPr>
              <w:spacing w:line="240" w:lineRule="auto"/>
              <w:jc w:val="center"/>
              <w:rPr>
                <w:rFonts w:eastAsia="Times New Roman" w:cs="Calibri"/>
                <w:sz w:val="16"/>
                <w:szCs w:val="16"/>
              </w:rPr>
            </w:pPr>
            <w:r w:rsidRPr="002B622A">
              <w:rPr>
                <w:rFonts w:cs="Calibri"/>
                <w:sz w:val="16"/>
                <w:szCs w:val="16"/>
              </w:rPr>
              <w:t>0</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98F92CB" w14:textId="77777777">
            <w:pPr>
              <w:spacing w:line="240" w:lineRule="auto"/>
              <w:jc w:val="center"/>
              <w:rPr>
                <w:rFonts w:eastAsia="Times New Roman" w:cs="Calibri"/>
                <w:sz w:val="16"/>
                <w:szCs w:val="16"/>
              </w:rPr>
            </w:pPr>
            <w:r w:rsidRPr="002B622A">
              <w:rPr>
                <w:rFonts w:cs="Calibri"/>
                <w:sz w:val="16"/>
                <w:szCs w:val="16"/>
              </w:rPr>
              <w:t>100</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3FF421A" w14:textId="77777777">
            <w:pPr>
              <w:spacing w:line="240" w:lineRule="auto"/>
              <w:jc w:val="center"/>
              <w:rPr>
                <w:rFonts w:eastAsia="Times New Roman" w:cs="Calibri"/>
                <w:sz w:val="16"/>
                <w:szCs w:val="16"/>
              </w:rPr>
            </w:pPr>
            <w:r w:rsidRPr="002B622A">
              <w:rPr>
                <w:rFonts w:cs="Calibri"/>
                <w:sz w:val="16"/>
                <w:szCs w:val="16"/>
              </w:rPr>
              <w:t>0,26</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2979671" w14:textId="77777777">
            <w:pPr>
              <w:spacing w:line="240" w:lineRule="auto"/>
              <w:jc w:val="center"/>
              <w:rPr>
                <w:rFonts w:eastAsia="Times New Roman" w:cs="Calibri"/>
                <w:sz w:val="16"/>
                <w:szCs w:val="16"/>
              </w:rPr>
            </w:pPr>
            <w:r w:rsidRPr="002B622A">
              <w:rPr>
                <w:rFonts w:cs="Calibri"/>
                <w:sz w:val="16"/>
                <w:szCs w:val="16"/>
              </w:rPr>
              <w:t>102,13</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C735354" w14:textId="77777777">
            <w:pPr>
              <w:spacing w:line="240" w:lineRule="auto"/>
              <w:jc w:val="center"/>
              <w:rPr>
                <w:rFonts w:eastAsia="Times New Roman" w:cs="Calibri"/>
                <w:sz w:val="16"/>
                <w:szCs w:val="16"/>
              </w:rPr>
            </w:pPr>
            <w:r w:rsidRPr="002B622A">
              <w:rPr>
                <w:rFonts w:cs="Calibri"/>
                <w:sz w:val="16"/>
                <w:szCs w:val="16"/>
              </w:rPr>
              <w:t>0</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F50951C" w14:textId="77777777">
            <w:pPr>
              <w:spacing w:line="240" w:lineRule="auto"/>
              <w:jc w:val="center"/>
              <w:rPr>
                <w:rFonts w:eastAsia="Times New Roman" w:cs="Calibri"/>
                <w:sz w:val="16"/>
                <w:szCs w:val="16"/>
              </w:rPr>
            </w:pPr>
            <w:r w:rsidRPr="002B622A">
              <w:rPr>
                <w:rFonts w:cs="Calibri"/>
                <w:sz w:val="16"/>
                <w:szCs w:val="16"/>
              </w:rPr>
              <w:t>100</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175139C" w14:textId="77777777">
            <w:pPr>
              <w:spacing w:line="240" w:lineRule="auto"/>
              <w:jc w:val="center"/>
              <w:rPr>
                <w:rFonts w:eastAsia="Times New Roman" w:cs="Calibri"/>
                <w:sz w:val="16"/>
                <w:szCs w:val="16"/>
              </w:rPr>
            </w:pPr>
            <w:r w:rsidRPr="002B622A">
              <w:rPr>
                <w:rFonts w:cs="Calibri"/>
                <w:sz w:val="16"/>
                <w:szCs w:val="16"/>
              </w:rPr>
              <w:t>0</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37E299A" w14:textId="77777777">
            <w:pPr>
              <w:spacing w:line="240" w:lineRule="auto"/>
              <w:jc w:val="center"/>
              <w:rPr>
                <w:rFonts w:eastAsia="Times New Roman" w:cs="Calibri"/>
                <w:sz w:val="16"/>
                <w:szCs w:val="16"/>
              </w:rPr>
            </w:pPr>
            <w:r w:rsidRPr="002B622A">
              <w:rPr>
                <w:rFonts w:cs="Calibri"/>
                <w:sz w:val="16"/>
                <w:szCs w:val="16"/>
              </w:rPr>
              <w:t>99,60</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A0EE24B" w14:textId="77777777">
            <w:pPr>
              <w:spacing w:line="240" w:lineRule="auto"/>
              <w:jc w:val="center"/>
              <w:rPr>
                <w:rFonts w:eastAsia="Times New Roman" w:cs="Calibri"/>
                <w:sz w:val="16"/>
                <w:szCs w:val="16"/>
              </w:rPr>
            </w:pPr>
            <w:r w:rsidRPr="002B622A">
              <w:rPr>
                <w:rFonts w:cs="Calibri"/>
                <w:sz w:val="16"/>
                <w:szCs w:val="16"/>
              </w:rPr>
              <w:t>0</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80C3FED" w14:textId="77777777">
            <w:pPr>
              <w:spacing w:line="240" w:lineRule="auto"/>
              <w:jc w:val="center"/>
              <w:rPr>
                <w:rFonts w:eastAsia="Times New Roman" w:cs="Calibri"/>
                <w:sz w:val="16"/>
                <w:szCs w:val="16"/>
              </w:rPr>
            </w:pPr>
            <w:r w:rsidRPr="002B622A">
              <w:rPr>
                <w:rFonts w:cs="Calibri"/>
                <w:sz w:val="16"/>
                <w:szCs w:val="16"/>
              </w:rPr>
              <w:t>100,00</w:t>
            </w:r>
          </w:p>
        </w:tc>
      </w:tr>
      <w:tr w:rsidRPr="002B622A" w:rsidR="00894FC0" w:rsidTr="003E5498" w14:paraId="6B0F401E"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7F843B7F" w14:textId="77777777">
            <w:pPr>
              <w:spacing w:line="240" w:lineRule="auto"/>
              <w:jc w:val="center"/>
              <w:rPr>
                <w:rFonts w:eastAsia="Times New Roman" w:cs="Calibri"/>
                <w:sz w:val="16"/>
                <w:szCs w:val="16"/>
              </w:rPr>
            </w:pPr>
            <w:r w:rsidRPr="002B622A">
              <w:rPr>
                <w:rFonts w:eastAsia="Times New Roman" w:cs="Calibri"/>
                <w:sz w:val="16"/>
                <w:szCs w:val="16"/>
              </w:rPr>
              <w:t>2020</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EEB692E" w14:textId="77777777">
            <w:pPr>
              <w:spacing w:line="240" w:lineRule="auto"/>
              <w:jc w:val="center"/>
              <w:rPr>
                <w:rFonts w:eastAsia="Times New Roman" w:cs="Calibri"/>
                <w:sz w:val="16"/>
                <w:szCs w:val="16"/>
              </w:rPr>
            </w:pPr>
            <w:r w:rsidRPr="002B622A">
              <w:rPr>
                <w:rFonts w:cs="Calibri"/>
                <w:sz w:val="16"/>
                <w:szCs w:val="16"/>
              </w:rPr>
              <w:t>0</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82ECEDE" w14:textId="77777777">
            <w:pPr>
              <w:spacing w:line="240" w:lineRule="auto"/>
              <w:jc w:val="center"/>
              <w:rPr>
                <w:rFonts w:eastAsia="Times New Roman" w:cs="Calibri"/>
                <w:sz w:val="16"/>
                <w:szCs w:val="16"/>
              </w:rPr>
            </w:pPr>
            <w:r w:rsidRPr="002B622A">
              <w:rPr>
                <w:rFonts w:cs="Calibri"/>
                <w:sz w:val="16"/>
                <w:szCs w:val="16"/>
              </w:rPr>
              <w:t>100</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6C30D97" w14:textId="77777777">
            <w:pPr>
              <w:spacing w:line="240" w:lineRule="auto"/>
              <w:jc w:val="center"/>
              <w:rPr>
                <w:rFonts w:eastAsia="Times New Roman" w:cs="Calibri"/>
                <w:sz w:val="16"/>
                <w:szCs w:val="16"/>
              </w:rPr>
            </w:pPr>
            <w:r w:rsidRPr="002B622A">
              <w:rPr>
                <w:rFonts w:cs="Calibri"/>
                <w:sz w:val="16"/>
                <w:szCs w:val="16"/>
              </w:rPr>
              <w:t>0</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3ED25E8" w14:textId="77777777">
            <w:pPr>
              <w:spacing w:line="240" w:lineRule="auto"/>
              <w:jc w:val="center"/>
              <w:rPr>
                <w:rFonts w:eastAsia="Times New Roman" w:cs="Calibri"/>
                <w:sz w:val="16"/>
                <w:szCs w:val="16"/>
              </w:rPr>
            </w:pPr>
            <w:r w:rsidRPr="002B622A">
              <w:rPr>
                <w:rFonts w:cs="Calibri"/>
                <w:sz w:val="16"/>
                <w:szCs w:val="16"/>
              </w:rPr>
              <w:t>102,13</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BD41D21" w14:textId="77777777">
            <w:pPr>
              <w:spacing w:line="240" w:lineRule="auto"/>
              <w:jc w:val="center"/>
              <w:rPr>
                <w:rFonts w:eastAsia="Times New Roman" w:cs="Calibri"/>
                <w:sz w:val="16"/>
                <w:szCs w:val="16"/>
              </w:rPr>
            </w:pPr>
            <w:r w:rsidRPr="002B622A">
              <w:rPr>
                <w:rFonts w:cs="Calibri"/>
                <w:sz w:val="16"/>
                <w:szCs w:val="16"/>
              </w:rPr>
              <w:t>0</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36E71E6" w14:textId="77777777">
            <w:pPr>
              <w:spacing w:line="240" w:lineRule="auto"/>
              <w:jc w:val="center"/>
              <w:rPr>
                <w:rFonts w:eastAsia="Times New Roman" w:cs="Calibri"/>
                <w:sz w:val="16"/>
                <w:szCs w:val="16"/>
              </w:rPr>
            </w:pPr>
            <w:r w:rsidRPr="002B622A">
              <w:rPr>
                <w:rFonts w:cs="Calibri"/>
                <w:sz w:val="16"/>
                <w:szCs w:val="16"/>
              </w:rPr>
              <w:t>100</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F146895" w14:textId="77777777">
            <w:pPr>
              <w:spacing w:line="240" w:lineRule="auto"/>
              <w:jc w:val="center"/>
              <w:rPr>
                <w:rFonts w:eastAsia="Times New Roman" w:cs="Calibri"/>
                <w:sz w:val="16"/>
                <w:szCs w:val="16"/>
              </w:rPr>
            </w:pPr>
            <w:r w:rsidRPr="002B622A">
              <w:rPr>
                <w:rFonts w:cs="Calibri"/>
                <w:sz w:val="16"/>
                <w:szCs w:val="16"/>
              </w:rPr>
              <w:t>0</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CFD08C6" w14:textId="77777777">
            <w:pPr>
              <w:spacing w:line="240" w:lineRule="auto"/>
              <w:jc w:val="center"/>
              <w:rPr>
                <w:rFonts w:eastAsia="Times New Roman" w:cs="Calibri"/>
                <w:sz w:val="16"/>
                <w:szCs w:val="16"/>
              </w:rPr>
            </w:pPr>
            <w:r w:rsidRPr="002B622A">
              <w:rPr>
                <w:rFonts w:cs="Calibri"/>
                <w:sz w:val="16"/>
                <w:szCs w:val="16"/>
              </w:rPr>
              <w:t>99,60</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2467C75" w14:textId="77777777">
            <w:pPr>
              <w:spacing w:line="240" w:lineRule="auto"/>
              <w:jc w:val="center"/>
              <w:rPr>
                <w:rFonts w:eastAsia="Times New Roman" w:cs="Calibri"/>
                <w:sz w:val="16"/>
                <w:szCs w:val="16"/>
              </w:rPr>
            </w:pPr>
            <w:r w:rsidRPr="002B622A">
              <w:rPr>
                <w:rFonts w:cs="Calibri"/>
                <w:sz w:val="16"/>
                <w:szCs w:val="16"/>
              </w:rPr>
              <w:t>0</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52156E5" w14:textId="77777777">
            <w:pPr>
              <w:spacing w:line="240" w:lineRule="auto"/>
              <w:jc w:val="center"/>
              <w:rPr>
                <w:rFonts w:eastAsia="Times New Roman" w:cs="Calibri"/>
                <w:sz w:val="16"/>
                <w:szCs w:val="16"/>
              </w:rPr>
            </w:pPr>
            <w:r w:rsidRPr="002B622A">
              <w:rPr>
                <w:rFonts w:cs="Calibri"/>
                <w:sz w:val="16"/>
                <w:szCs w:val="16"/>
              </w:rPr>
              <w:t>100,00</w:t>
            </w:r>
          </w:p>
        </w:tc>
      </w:tr>
      <w:tr w:rsidRPr="002B622A" w:rsidR="00894FC0" w:rsidTr="003E5498" w14:paraId="1192C9FA"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431BB031" w14:textId="77777777">
            <w:pPr>
              <w:spacing w:line="240" w:lineRule="auto"/>
              <w:jc w:val="center"/>
              <w:rPr>
                <w:rFonts w:eastAsia="Times New Roman" w:cs="Calibri"/>
                <w:sz w:val="16"/>
                <w:szCs w:val="16"/>
              </w:rPr>
            </w:pPr>
            <w:r w:rsidRPr="002B622A">
              <w:rPr>
                <w:rFonts w:eastAsia="Times New Roman" w:cs="Calibri"/>
                <w:sz w:val="16"/>
                <w:szCs w:val="16"/>
              </w:rPr>
              <w:t>2021</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84313DB" w14:textId="77777777">
            <w:pPr>
              <w:spacing w:line="240" w:lineRule="auto"/>
              <w:jc w:val="center"/>
              <w:rPr>
                <w:rFonts w:eastAsia="Times New Roman" w:cs="Calibri"/>
                <w:sz w:val="16"/>
                <w:szCs w:val="16"/>
              </w:rPr>
            </w:pPr>
            <w:r w:rsidRPr="002B622A">
              <w:rPr>
                <w:rFonts w:cs="Calibri"/>
                <w:sz w:val="16"/>
                <w:szCs w:val="16"/>
              </w:rPr>
              <w:t>0</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605D7A0B" w14:textId="77777777">
            <w:pPr>
              <w:spacing w:line="240" w:lineRule="auto"/>
              <w:jc w:val="center"/>
              <w:rPr>
                <w:rFonts w:eastAsia="Times New Roman" w:cs="Calibri"/>
                <w:sz w:val="16"/>
                <w:szCs w:val="16"/>
              </w:rPr>
            </w:pPr>
            <w:r w:rsidRPr="002B622A">
              <w:rPr>
                <w:rFonts w:cs="Calibri"/>
                <w:sz w:val="16"/>
                <w:szCs w:val="16"/>
              </w:rPr>
              <w:t>100</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D1FEEC1" w14:textId="77777777">
            <w:pPr>
              <w:spacing w:line="240" w:lineRule="auto"/>
              <w:jc w:val="center"/>
              <w:rPr>
                <w:rFonts w:eastAsia="Times New Roman" w:cs="Calibri"/>
                <w:sz w:val="16"/>
                <w:szCs w:val="16"/>
              </w:rPr>
            </w:pPr>
            <w:r w:rsidRPr="002B622A">
              <w:rPr>
                <w:rFonts w:cs="Calibri"/>
                <w:sz w:val="16"/>
                <w:szCs w:val="16"/>
              </w:rPr>
              <w:t>1,76</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D175E7E" w14:textId="77777777">
            <w:pPr>
              <w:spacing w:line="240" w:lineRule="auto"/>
              <w:jc w:val="center"/>
              <w:rPr>
                <w:rFonts w:eastAsia="Times New Roman" w:cs="Calibri"/>
                <w:sz w:val="16"/>
                <w:szCs w:val="16"/>
              </w:rPr>
            </w:pPr>
            <w:r w:rsidRPr="002B622A">
              <w:rPr>
                <w:rFonts w:cs="Calibri"/>
                <w:sz w:val="16"/>
                <w:szCs w:val="16"/>
              </w:rPr>
              <w:t>103,93</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490F5B2" w14:textId="77777777">
            <w:pPr>
              <w:spacing w:line="240" w:lineRule="auto"/>
              <w:jc w:val="center"/>
              <w:rPr>
                <w:rFonts w:eastAsia="Times New Roman" w:cs="Calibri"/>
                <w:sz w:val="16"/>
                <w:szCs w:val="16"/>
              </w:rPr>
            </w:pPr>
            <w:r w:rsidRPr="002B622A">
              <w:rPr>
                <w:rFonts w:cs="Calibri"/>
                <w:sz w:val="16"/>
                <w:szCs w:val="16"/>
              </w:rPr>
              <w:t>0</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82E730D" w14:textId="77777777">
            <w:pPr>
              <w:spacing w:line="240" w:lineRule="auto"/>
              <w:jc w:val="center"/>
              <w:rPr>
                <w:rFonts w:eastAsia="Times New Roman" w:cs="Calibri"/>
                <w:sz w:val="16"/>
                <w:szCs w:val="16"/>
              </w:rPr>
            </w:pPr>
            <w:r w:rsidRPr="002B622A">
              <w:rPr>
                <w:rFonts w:cs="Calibri"/>
                <w:sz w:val="16"/>
                <w:szCs w:val="16"/>
              </w:rPr>
              <w:t>100</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90074D7" w14:textId="77777777">
            <w:pPr>
              <w:spacing w:line="240" w:lineRule="auto"/>
              <w:jc w:val="center"/>
              <w:rPr>
                <w:rFonts w:eastAsia="Times New Roman" w:cs="Calibri"/>
                <w:sz w:val="16"/>
                <w:szCs w:val="16"/>
              </w:rPr>
            </w:pPr>
            <w:r w:rsidRPr="002B622A">
              <w:rPr>
                <w:rFonts w:cs="Calibri"/>
                <w:sz w:val="16"/>
                <w:szCs w:val="16"/>
              </w:rPr>
              <w:t>0</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18F4202" w14:textId="77777777">
            <w:pPr>
              <w:spacing w:line="240" w:lineRule="auto"/>
              <w:jc w:val="center"/>
              <w:rPr>
                <w:rFonts w:eastAsia="Times New Roman" w:cs="Calibri"/>
                <w:sz w:val="16"/>
                <w:szCs w:val="16"/>
              </w:rPr>
            </w:pPr>
            <w:r w:rsidRPr="002B622A">
              <w:rPr>
                <w:rFonts w:cs="Calibri"/>
                <w:sz w:val="16"/>
                <w:szCs w:val="16"/>
              </w:rPr>
              <w:t>99,60</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FE421C3" w14:textId="77777777">
            <w:pPr>
              <w:spacing w:line="240" w:lineRule="auto"/>
              <w:jc w:val="center"/>
              <w:rPr>
                <w:rFonts w:eastAsia="Times New Roman" w:cs="Calibri"/>
                <w:sz w:val="16"/>
                <w:szCs w:val="16"/>
              </w:rPr>
            </w:pPr>
            <w:r w:rsidRPr="002B622A">
              <w:rPr>
                <w:rFonts w:cs="Calibri"/>
                <w:sz w:val="16"/>
                <w:szCs w:val="16"/>
              </w:rPr>
              <w:t>0</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DF02A47" w14:textId="77777777">
            <w:pPr>
              <w:spacing w:line="240" w:lineRule="auto"/>
              <w:jc w:val="center"/>
              <w:rPr>
                <w:rFonts w:eastAsia="Times New Roman" w:cs="Calibri"/>
                <w:sz w:val="16"/>
                <w:szCs w:val="16"/>
              </w:rPr>
            </w:pPr>
            <w:r w:rsidRPr="002B622A">
              <w:rPr>
                <w:rFonts w:cs="Calibri"/>
                <w:sz w:val="16"/>
                <w:szCs w:val="16"/>
              </w:rPr>
              <w:t>100,00</w:t>
            </w:r>
          </w:p>
        </w:tc>
      </w:tr>
      <w:tr w:rsidRPr="002B622A" w:rsidR="00894FC0" w:rsidTr="003E5498" w14:paraId="5724FA8A"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475B29AD" w14:textId="77777777">
            <w:pPr>
              <w:spacing w:line="240" w:lineRule="auto"/>
              <w:jc w:val="center"/>
              <w:rPr>
                <w:rFonts w:eastAsia="Times New Roman" w:cs="Calibri"/>
                <w:sz w:val="16"/>
                <w:szCs w:val="16"/>
              </w:rPr>
            </w:pPr>
            <w:r w:rsidRPr="002B622A">
              <w:rPr>
                <w:rFonts w:eastAsia="Times New Roman" w:cs="Calibri"/>
                <w:sz w:val="16"/>
                <w:szCs w:val="16"/>
              </w:rPr>
              <w:t>2022</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F5AB1FC" w14:textId="77777777">
            <w:pPr>
              <w:spacing w:line="240" w:lineRule="auto"/>
              <w:jc w:val="center"/>
              <w:rPr>
                <w:rFonts w:eastAsia="Times New Roman" w:cs="Calibri"/>
                <w:sz w:val="16"/>
                <w:szCs w:val="16"/>
              </w:rPr>
            </w:pPr>
            <w:r w:rsidRPr="002B622A">
              <w:rPr>
                <w:rFonts w:cs="Calibri"/>
                <w:sz w:val="16"/>
                <w:szCs w:val="16"/>
              </w:rPr>
              <w:t>14,35</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56AC5BF" w14:textId="77777777">
            <w:pPr>
              <w:spacing w:line="240" w:lineRule="auto"/>
              <w:jc w:val="center"/>
              <w:rPr>
                <w:rFonts w:eastAsia="Times New Roman" w:cs="Calibri"/>
                <w:sz w:val="16"/>
                <w:szCs w:val="16"/>
              </w:rPr>
            </w:pPr>
            <w:r w:rsidRPr="002B622A">
              <w:rPr>
                <w:rFonts w:cs="Calibri"/>
                <w:sz w:val="16"/>
                <w:szCs w:val="16"/>
              </w:rPr>
              <w:t>114,35</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C3108E1" w14:textId="77777777">
            <w:pPr>
              <w:spacing w:line="240" w:lineRule="auto"/>
              <w:jc w:val="center"/>
              <w:rPr>
                <w:rFonts w:eastAsia="Times New Roman" w:cs="Calibri"/>
                <w:sz w:val="16"/>
                <w:szCs w:val="16"/>
              </w:rPr>
            </w:pPr>
            <w:r w:rsidRPr="002B622A">
              <w:rPr>
                <w:rFonts w:cs="Calibri"/>
                <w:sz w:val="16"/>
                <w:szCs w:val="16"/>
              </w:rPr>
              <w:t>15,31</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02E6712" w14:textId="77777777">
            <w:pPr>
              <w:spacing w:line="240" w:lineRule="auto"/>
              <w:jc w:val="center"/>
              <w:rPr>
                <w:rFonts w:eastAsia="Times New Roman" w:cs="Calibri"/>
                <w:sz w:val="16"/>
                <w:szCs w:val="16"/>
              </w:rPr>
            </w:pPr>
            <w:r w:rsidRPr="002B622A">
              <w:rPr>
                <w:rFonts w:cs="Calibri"/>
                <w:sz w:val="16"/>
                <w:szCs w:val="16"/>
              </w:rPr>
              <w:t>119,84</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F34F462" w14:textId="77777777">
            <w:pPr>
              <w:spacing w:line="240" w:lineRule="auto"/>
              <w:jc w:val="center"/>
              <w:rPr>
                <w:rFonts w:eastAsia="Times New Roman" w:cs="Calibri"/>
                <w:sz w:val="16"/>
                <w:szCs w:val="16"/>
              </w:rPr>
            </w:pPr>
            <w:r w:rsidRPr="002B622A">
              <w:rPr>
                <w:rFonts w:cs="Calibri"/>
                <w:sz w:val="16"/>
                <w:szCs w:val="16"/>
              </w:rPr>
              <w:t>7,49</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D901B15" w14:textId="77777777">
            <w:pPr>
              <w:spacing w:line="240" w:lineRule="auto"/>
              <w:jc w:val="center"/>
              <w:rPr>
                <w:rFonts w:eastAsia="Times New Roman" w:cs="Calibri"/>
                <w:sz w:val="16"/>
                <w:szCs w:val="16"/>
              </w:rPr>
            </w:pPr>
            <w:r w:rsidRPr="002B622A">
              <w:rPr>
                <w:rFonts w:cs="Calibri"/>
                <w:sz w:val="16"/>
                <w:szCs w:val="16"/>
              </w:rPr>
              <w:t>107,49</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C6BD969" w14:textId="77777777">
            <w:pPr>
              <w:spacing w:line="240" w:lineRule="auto"/>
              <w:jc w:val="center"/>
              <w:rPr>
                <w:rFonts w:eastAsia="Times New Roman" w:cs="Calibri"/>
                <w:sz w:val="16"/>
                <w:szCs w:val="16"/>
              </w:rPr>
            </w:pPr>
            <w:r w:rsidRPr="002B622A">
              <w:rPr>
                <w:rFonts w:cs="Calibri"/>
                <w:sz w:val="16"/>
                <w:szCs w:val="16"/>
              </w:rPr>
              <w:t>5,49</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0805062" w14:textId="77777777">
            <w:pPr>
              <w:spacing w:line="240" w:lineRule="auto"/>
              <w:jc w:val="center"/>
              <w:rPr>
                <w:rFonts w:eastAsia="Times New Roman" w:cs="Calibri"/>
                <w:sz w:val="16"/>
                <w:szCs w:val="16"/>
              </w:rPr>
            </w:pPr>
            <w:r w:rsidRPr="002B622A">
              <w:rPr>
                <w:rFonts w:cs="Calibri"/>
                <w:sz w:val="16"/>
                <w:szCs w:val="16"/>
              </w:rPr>
              <w:t>105,07</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598A522" w14:textId="77777777">
            <w:pPr>
              <w:spacing w:line="240" w:lineRule="auto"/>
              <w:jc w:val="center"/>
              <w:rPr>
                <w:rFonts w:eastAsia="Times New Roman" w:cs="Calibri"/>
                <w:sz w:val="16"/>
                <w:szCs w:val="16"/>
              </w:rPr>
            </w:pPr>
            <w:r w:rsidRPr="002B622A">
              <w:rPr>
                <w:rFonts w:cs="Calibri"/>
                <w:sz w:val="16"/>
                <w:szCs w:val="16"/>
              </w:rPr>
              <w:t>8,7</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C03C18D" w14:textId="77777777">
            <w:pPr>
              <w:spacing w:line="240" w:lineRule="auto"/>
              <w:jc w:val="center"/>
              <w:rPr>
                <w:rFonts w:eastAsia="Times New Roman" w:cs="Calibri"/>
                <w:sz w:val="16"/>
                <w:szCs w:val="16"/>
              </w:rPr>
            </w:pPr>
            <w:r w:rsidRPr="002B622A">
              <w:rPr>
                <w:rFonts w:cs="Calibri"/>
                <w:sz w:val="16"/>
                <w:szCs w:val="16"/>
              </w:rPr>
              <w:t>108,70</w:t>
            </w:r>
          </w:p>
        </w:tc>
      </w:tr>
      <w:tr w:rsidRPr="002B622A" w:rsidR="00894FC0" w:rsidTr="003E5498" w14:paraId="2060E431"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40AC6270" w14:textId="77777777">
            <w:pPr>
              <w:spacing w:line="240" w:lineRule="auto"/>
              <w:jc w:val="center"/>
              <w:rPr>
                <w:rFonts w:eastAsia="Times New Roman" w:cs="Calibri"/>
                <w:sz w:val="16"/>
                <w:szCs w:val="16"/>
              </w:rPr>
            </w:pPr>
            <w:r w:rsidRPr="002B622A">
              <w:rPr>
                <w:rFonts w:eastAsia="Times New Roman" w:cs="Calibri"/>
                <w:sz w:val="16"/>
                <w:szCs w:val="16"/>
              </w:rPr>
              <w:t>2023</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0494884" w14:textId="77777777">
            <w:pPr>
              <w:spacing w:line="240" w:lineRule="auto"/>
              <w:jc w:val="center"/>
              <w:rPr>
                <w:rFonts w:eastAsia="Times New Roman" w:cs="Calibri"/>
                <w:sz w:val="16"/>
                <w:szCs w:val="16"/>
              </w:rPr>
            </w:pPr>
            <w:r w:rsidRPr="002B622A">
              <w:rPr>
                <w:rFonts w:cs="Calibri"/>
                <w:sz w:val="16"/>
                <w:szCs w:val="16"/>
              </w:rPr>
              <w:t>3,03</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66FC407" w14:textId="77777777">
            <w:pPr>
              <w:spacing w:line="240" w:lineRule="auto"/>
              <w:jc w:val="center"/>
              <w:rPr>
                <w:rFonts w:eastAsia="Times New Roman" w:cs="Calibri"/>
                <w:sz w:val="16"/>
                <w:szCs w:val="16"/>
              </w:rPr>
            </w:pPr>
            <w:r w:rsidRPr="002B622A">
              <w:rPr>
                <w:rFonts w:cs="Calibri"/>
                <w:sz w:val="16"/>
                <w:szCs w:val="16"/>
              </w:rPr>
              <w:t>117,81</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8BFEC61" w14:textId="77777777">
            <w:pPr>
              <w:spacing w:line="240" w:lineRule="auto"/>
              <w:jc w:val="center"/>
              <w:rPr>
                <w:rFonts w:eastAsia="Times New Roman" w:cs="Calibri"/>
                <w:sz w:val="16"/>
                <w:szCs w:val="16"/>
              </w:rPr>
            </w:pPr>
            <w:r w:rsidRPr="002B622A">
              <w:rPr>
                <w:rFonts w:cs="Calibri"/>
                <w:sz w:val="16"/>
                <w:szCs w:val="16"/>
              </w:rPr>
              <w:t>0</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5DC02AE" w14:textId="77777777">
            <w:pPr>
              <w:spacing w:line="240" w:lineRule="auto"/>
              <w:jc w:val="center"/>
              <w:rPr>
                <w:rFonts w:eastAsia="Times New Roman" w:cs="Calibri"/>
                <w:sz w:val="16"/>
                <w:szCs w:val="16"/>
              </w:rPr>
            </w:pPr>
            <w:r w:rsidRPr="002B622A">
              <w:rPr>
                <w:rFonts w:cs="Calibri"/>
                <w:sz w:val="16"/>
                <w:szCs w:val="16"/>
              </w:rPr>
              <w:t>119,84</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45FA4F4" w14:textId="77777777">
            <w:pPr>
              <w:spacing w:line="240" w:lineRule="auto"/>
              <w:jc w:val="center"/>
              <w:rPr>
                <w:rFonts w:eastAsia="Times New Roman" w:cs="Calibri"/>
                <w:sz w:val="16"/>
                <w:szCs w:val="16"/>
              </w:rPr>
            </w:pPr>
            <w:r w:rsidRPr="002B622A">
              <w:rPr>
                <w:rFonts w:cs="Calibri"/>
                <w:sz w:val="16"/>
                <w:szCs w:val="16"/>
              </w:rPr>
              <w:t>3,26</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447F305" w14:textId="77777777">
            <w:pPr>
              <w:spacing w:line="240" w:lineRule="auto"/>
              <w:jc w:val="center"/>
              <w:rPr>
                <w:rFonts w:eastAsia="Times New Roman" w:cs="Calibri"/>
                <w:sz w:val="16"/>
                <w:szCs w:val="16"/>
              </w:rPr>
            </w:pPr>
            <w:r w:rsidRPr="002B622A">
              <w:rPr>
                <w:rFonts w:cs="Calibri"/>
                <w:sz w:val="16"/>
                <w:szCs w:val="16"/>
              </w:rPr>
              <w:t>110,99</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742BA24" w14:textId="77777777">
            <w:pPr>
              <w:spacing w:line="240" w:lineRule="auto"/>
              <w:jc w:val="center"/>
              <w:rPr>
                <w:rFonts w:eastAsia="Times New Roman" w:cs="Calibri"/>
                <w:sz w:val="16"/>
                <w:szCs w:val="16"/>
              </w:rPr>
            </w:pPr>
            <w:r w:rsidRPr="002B622A">
              <w:rPr>
                <w:rFonts w:cs="Calibri"/>
                <w:sz w:val="16"/>
                <w:szCs w:val="16"/>
              </w:rPr>
              <w:t>3,2</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5EBE12D" w14:textId="77777777">
            <w:pPr>
              <w:spacing w:line="240" w:lineRule="auto"/>
              <w:jc w:val="center"/>
              <w:rPr>
                <w:rFonts w:eastAsia="Times New Roman" w:cs="Calibri"/>
                <w:sz w:val="16"/>
                <w:szCs w:val="16"/>
              </w:rPr>
            </w:pPr>
            <w:r w:rsidRPr="002B622A">
              <w:rPr>
                <w:rFonts w:cs="Calibri"/>
                <w:sz w:val="16"/>
                <w:szCs w:val="16"/>
              </w:rPr>
              <w:t>108,43</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52A5CFB" w14:textId="77777777">
            <w:pPr>
              <w:spacing w:line="240" w:lineRule="auto"/>
              <w:jc w:val="center"/>
              <w:rPr>
                <w:rFonts w:eastAsia="Times New Roman" w:cs="Calibri"/>
                <w:sz w:val="16"/>
                <w:szCs w:val="16"/>
              </w:rPr>
            </w:pPr>
            <w:r w:rsidRPr="002B622A">
              <w:rPr>
                <w:rFonts w:cs="Calibri"/>
                <w:sz w:val="16"/>
                <w:szCs w:val="16"/>
              </w:rPr>
              <w:t>4,8</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53DD6A9" w14:textId="77777777">
            <w:pPr>
              <w:spacing w:line="240" w:lineRule="auto"/>
              <w:jc w:val="center"/>
              <w:rPr>
                <w:rFonts w:eastAsia="Times New Roman" w:cs="Calibri"/>
                <w:sz w:val="16"/>
                <w:szCs w:val="16"/>
              </w:rPr>
            </w:pPr>
            <w:r w:rsidRPr="002B622A">
              <w:rPr>
                <w:rFonts w:cs="Calibri"/>
                <w:sz w:val="16"/>
                <w:szCs w:val="16"/>
              </w:rPr>
              <w:t>113,92</w:t>
            </w:r>
          </w:p>
        </w:tc>
      </w:tr>
      <w:tr w:rsidRPr="002B622A" w:rsidR="00894FC0" w:rsidTr="003E5498" w14:paraId="428EEA03"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hideMark/>
          </w:tcPr>
          <w:p w:rsidRPr="002B622A" w:rsidR="00894FC0" w:rsidP="003E5498" w:rsidRDefault="00894FC0" w14:paraId="401EFAA0" w14:textId="77777777">
            <w:pPr>
              <w:spacing w:line="240" w:lineRule="auto"/>
              <w:jc w:val="center"/>
              <w:rPr>
                <w:rFonts w:eastAsia="Times New Roman" w:cs="Calibri"/>
                <w:sz w:val="16"/>
                <w:szCs w:val="16"/>
              </w:rPr>
            </w:pPr>
            <w:r w:rsidRPr="002B622A">
              <w:rPr>
                <w:rFonts w:eastAsia="Times New Roman" w:cs="Calibri"/>
                <w:sz w:val="16"/>
                <w:szCs w:val="16"/>
              </w:rPr>
              <w:t>2024</w:t>
            </w:r>
          </w:p>
        </w:tc>
        <w:tc>
          <w:tcPr>
            <w:tcW w:w="60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7F81A942" w14:textId="77777777">
            <w:pPr>
              <w:spacing w:line="240" w:lineRule="auto"/>
              <w:jc w:val="center"/>
              <w:rPr>
                <w:rFonts w:eastAsia="Times New Roman" w:cs="Calibri"/>
                <w:sz w:val="16"/>
                <w:szCs w:val="16"/>
              </w:rPr>
            </w:pPr>
            <w:r w:rsidRPr="002B622A">
              <w:rPr>
                <w:rFonts w:cs="Calibri"/>
                <w:sz w:val="16"/>
                <w:szCs w:val="16"/>
              </w:rPr>
              <w:t>1,84</w:t>
            </w:r>
          </w:p>
        </w:tc>
        <w:tc>
          <w:tcPr>
            <w:tcW w:w="64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2C4740B7" w14:textId="77777777">
            <w:pPr>
              <w:spacing w:line="240" w:lineRule="auto"/>
              <w:jc w:val="center"/>
              <w:rPr>
                <w:rFonts w:eastAsia="Times New Roman" w:cs="Calibri"/>
                <w:sz w:val="16"/>
                <w:szCs w:val="16"/>
              </w:rPr>
            </w:pPr>
            <w:r w:rsidRPr="002B622A">
              <w:rPr>
                <w:rFonts w:cs="Calibri"/>
                <w:sz w:val="16"/>
                <w:szCs w:val="16"/>
              </w:rPr>
              <w:t>119,98</w:t>
            </w:r>
          </w:p>
        </w:tc>
        <w:tc>
          <w:tcPr>
            <w:tcW w:w="52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48A6A26" w14:textId="77777777">
            <w:pPr>
              <w:spacing w:line="240" w:lineRule="auto"/>
              <w:jc w:val="center"/>
              <w:rPr>
                <w:rFonts w:eastAsia="Times New Roman" w:cs="Calibri"/>
                <w:sz w:val="16"/>
                <w:szCs w:val="16"/>
              </w:rPr>
            </w:pPr>
            <w:r w:rsidRPr="002B622A">
              <w:rPr>
                <w:rFonts w:cs="Calibri"/>
                <w:sz w:val="16"/>
                <w:szCs w:val="16"/>
              </w:rPr>
              <w:t>0,75</w:t>
            </w:r>
          </w:p>
        </w:tc>
        <w:tc>
          <w:tcPr>
            <w:tcW w:w="444"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0D16FA17" w14:textId="77777777">
            <w:pPr>
              <w:spacing w:line="240" w:lineRule="auto"/>
              <w:jc w:val="center"/>
              <w:rPr>
                <w:rFonts w:eastAsia="Times New Roman" w:cs="Calibri"/>
                <w:sz w:val="16"/>
                <w:szCs w:val="16"/>
              </w:rPr>
            </w:pPr>
            <w:r w:rsidRPr="002B622A">
              <w:rPr>
                <w:rFonts w:cs="Calibri"/>
                <w:sz w:val="16"/>
                <w:szCs w:val="16"/>
              </w:rPr>
              <w:t>120,74</w:t>
            </w:r>
          </w:p>
        </w:tc>
        <w:tc>
          <w:tcPr>
            <w:tcW w:w="4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585065E" w14:textId="77777777">
            <w:pPr>
              <w:spacing w:line="240" w:lineRule="auto"/>
              <w:jc w:val="center"/>
              <w:rPr>
                <w:rFonts w:eastAsia="Times New Roman" w:cs="Calibri"/>
                <w:sz w:val="16"/>
                <w:szCs w:val="16"/>
              </w:rPr>
            </w:pPr>
            <w:r w:rsidRPr="002B622A">
              <w:rPr>
                <w:rFonts w:cs="Calibri"/>
                <w:sz w:val="16"/>
                <w:szCs w:val="16"/>
              </w:rPr>
              <w:t>0,3</w:t>
            </w:r>
          </w:p>
        </w:tc>
        <w:tc>
          <w:tcPr>
            <w:tcW w:w="446"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1B521EF7" w14:textId="77777777">
            <w:pPr>
              <w:spacing w:line="240" w:lineRule="auto"/>
              <w:jc w:val="center"/>
              <w:rPr>
                <w:rFonts w:eastAsia="Times New Roman" w:cs="Calibri"/>
                <w:sz w:val="16"/>
                <w:szCs w:val="16"/>
              </w:rPr>
            </w:pPr>
            <w:r w:rsidRPr="002B622A">
              <w:rPr>
                <w:rFonts w:cs="Calibri"/>
                <w:sz w:val="16"/>
                <w:szCs w:val="16"/>
              </w:rPr>
              <w:t>111,33</w:t>
            </w:r>
          </w:p>
        </w:tc>
        <w:tc>
          <w:tcPr>
            <w:tcW w:w="483"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387AA2E7" w14:textId="77777777">
            <w:pPr>
              <w:spacing w:line="240" w:lineRule="auto"/>
              <w:jc w:val="center"/>
              <w:rPr>
                <w:rFonts w:eastAsia="Times New Roman" w:cs="Calibri"/>
                <w:sz w:val="16"/>
                <w:szCs w:val="16"/>
              </w:rPr>
            </w:pPr>
            <w:r w:rsidRPr="002B622A">
              <w:rPr>
                <w:rFonts w:cs="Calibri"/>
                <w:sz w:val="16"/>
                <w:szCs w:val="16"/>
              </w:rPr>
              <w:t>0</w:t>
            </w:r>
          </w:p>
        </w:tc>
        <w:tc>
          <w:tcPr>
            <w:tcW w:w="340"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53C84219" w14:textId="77777777">
            <w:pPr>
              <w:spacing w:line="240" w:lineRule="auto"/>
              <w:jc w:val="center"/>
              <w:rPr>
                <w:rFonts w:eastAsia="Times New Roman" w:cs="Calibri"/>
                <w:sz w:val="16"/>
                <w:szCs w:val="16"/>
              </w:rPr>
            </w:pPr>
            <w:r w:rsidRPr="002B622A">
              <w:rPr>
                <w:rFonts w:cs="Calibri"/>
                <w:sz w:val="16"/>
                <w:szCs w:val="16"/>
              </w:rPr>
              <w:t>108,43</w:t>
            </w:r>
          </w:p>
        </w:tc>
        <w:tc>
          <w:tcPr>
            <w:tcW w:w="381"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49C8C2D" w14:textId="77777777">
            <w:pPr>
              <w:spacing w:line="240" w:lineRule="auto"/>
              <w:jc w:val="center"/>
              <w:rPr>
                <w:rFonts w:eastAsia="Times New Roman" w:cs="Calibri"/>
                <w:sz w:val="16"/>
                <w:szCs w:val="16"/>
              </w:rPr>
            </w:pPr>
            <w:r w:rsidRPr="002B622A">
              <w:rPr>
                <w:rFonts w:cs="Calibri"/>
                <w:sz w:val="16"/>
                <w:szCs w:val="16"/>
              </w:rPr>
              <w:t>0</w:t>
            </w:r>
          </w:p>
        </w:tc>
        <w:tc>
          <w:tcPr>
            <w:tcW w:w="338" w:type="pct"/>
            <w:tcBorders>
              <w:top w:val="single" w:color="auto" w:sz="4" w:space="0"/>
              <w:left w:val="nil"/>
              <w:bottom w:val="single" w:color="auto" w:sz="4" w:space="0"/>
              <w:right w:val="single" w:color="auto" w:sz="4" w:space="0"/>
            </w:tcBorders>
            <w:noWrap/>
            <w:vAlign w:val="center"/>
            <w:hideMark/>
          </w:tcPr>
          <w:p w:rsidRPr="002B622A" w:rsidR="00894FC0" w:rsidP="003E5498" w:rsidRDefault="00894FC0" w14:paraId="44BA850C" w14:textId="77777777">
            <w:pPr>
              <w:spacing w:line="240" w:lineRule="auto"/>
              <w:jc w:val="center"/>
              <w:rPr>
                <w:rFonts w:eastAsia="Times New Roman" w:cs="Calibri"/>
                <w:sz w:val="16"/>
                <w:szCs w:val="16"/>
              </w:rPr>
            </w:pPr>
            <w:r w:rsidRPr="002B622A">
              <w:rPr>
                <w:rFonts w:cs="Calibri"/>
                <w:sz w:val="16"/>
                <w:szCs w:val="16"/>
              </w:rPr>
              <w:t>113,92</w:t>
            </w:r>
          </w:p>
        </w:tc>
      </w:tr>
      <w:tr w:rsidRPr="002B622A" w:rsidR="00894FC0" w:rsidTr="003E5498" w14:paraId="2E5107CB" w14:textId="77777777">
        <w:trPr>
          <w:trHeight w:val="227"/>
        </w:trPr>
        <w:tc>
          <w:tcPr>
            <w:tcW w:w="316" w:type="pct"/>
            <w:tcBorders>
              <w:top w:val="single" w:color="auto" w:sz="4" w:space="0"/>
              <w:left w:val="single" w:color="auto" w:sz="4" w:space="0"/>
              <w:bottom w:val="single" w:color="auto" w:sz="4" w:space="0"/>
              <w:right w:val="single" w:color="auto" w:sz="4" w:space="0"/>
            </w:tcBorders>
            <w:noWrap/>
            <w:vAlign w:val="bottom"/>
          </w:tcPr>
          <w:p w:rsidRPr="002B622A" w:rsidR="00894FC0" w:rsidP="003E5498" w:rsidRDefault="00894FC0" w14:paraId="7FB447F5" w14:textId="77777777">
            <w:pPr>
              <w:spacing w:line="240" w:lineRule="auto"/>
              <w:jc w:val="center"/>
              <w:rPr>
                <w:rFonts w:eastAsia="Times New Roman" w:cs="Calibri"/>
                <w:sz w:val="16"/>
                <w:szCs w:val="16"/>
              </w:rPr>
            </w:pPr>
            <w:r w:rsidRPr="002B622A">
              <w:rPr>
                <w:rFonts w:eastAsia="Times New Roman" w:cs="Calibri"/>
                <w:sz w:val="16"/>
                <w:szCs w:val="16"/>
              </w:rPr>
              <w:t>2025</w:t>
            </w:r>
          </w:p>
        </w:tc>
        <w:tc>
          <w:tcPr>
            <w:tcW w:w="608"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42397E29" w14:textId="77777777">
            <w:pPr>
              <w:spacing w:line="240" w:lineRule="auto"/>
              <w:jc w:val="center"/>
              <w:rPr>
                <w:rFonts w:eastAsia="Times New Roman" w:cs="Calibri"/>
                <w:sz w:val="16"/>
                <w:szCs w:val="16"/>
              </w:rPr>
            </w:pPr>
            <w:r w:rsidRPr="002B622A">
              <w:rPr>
                <w:rFonts w:cs="Calibri"/>
                <w:sz w:val="16"/>
                <w:szCs w:val="16"/>
              </w:rPr>
              <w:t>2,84</w:t>
            </w:r>
          </w:p>
        </w:tc>
        <w:tc>
          <w:tcPr>
            <w:tcW w:w="641"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32A9C3FC" w14:textId="77777777">
            <w:pPr>
              <w:spacing w:line="240" w:lineRule="auto"/>
              <w:jc w:val="center"/>
              <w:rPr>
                <w:rFonts w:eastAsia="Times New Roman" w:cs="Calibri"/>
                <w:sz w:val="16"/>
                <w:szCs w:val="16"/>
              </w:rPr>
            </w:pPr>
            <w:r w:rsidRPr="002B622A">
              <w:rPr>
                <w:rFonts w:cs="Calibri"/>
                <w:sz w:val="16"/>
                <w:szCs w:val="16"/>
              </w:rPr>
              <w:t>123,39</w:t>
            </w:r>
          </w:p>
        </w:tc>
        <w:tc>
          <w:tcPr>
            <w:tcW w:w="521"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35D07343" w14:textId="77777777">
            <w:pPr>
              <w:spacing w:line="240" w:lineRule="auto"/>
              <w:jc w:val="center"/>
              <w:rPr>
                <w:rFonts w:eastAsia="Times New Roman" w:cs="Calibri"/>
                <w:sz w:val="16"/>
                <w:szCs w:val="16"/>
              </w:rPr>
            </w:pPr>
            <w:r w:rsidRPr="002B622A">
              <w:rPr>
                <w:rFonts w:cs="Calibri"/>
                <w:sz w:val="16"/>
                <w:szCs w:val="16"/>
              </w:rPr>
              <w:t>20,8</w:t>
            </w:r>
          </w:p>
        </w:tc>
        <w:tc>
          <w:tcPr>
            <w:tcW w:w="444"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18E2AD94" w14:textId="77777777">
            <w:pPr>
              <w:spacing w:line="240" w:lineRule="auto"/>
              <w:jc w:val="center"/>
              <w:rPr>
                <w:rFonts w:eastAsia="Times New Roman" w:cs="Calibri"/>
                <w:sz w:val="16"/>
                <w:szCs w:val="16"/>
              </w:rPr>
            </w:pPr>
            <w:r w:rsidRPr="002B622A">
              <w:rPr>
                <w:rFonts w:cs="Calibri"/>
                <w:sz w:val="16"/>
                <w:szCs w:val="16"/>
              </w:rPr>
              <w:t>145,86</w:t>
            </w:r>
          </w:p>
        </w:tc>
        <w:tc>
          <w:tcPr>
            <w:tcW w:w="481"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4B29D13E" w14:textId="77777777">
            <w:pPr>
              <w:spacing w:line="240" w:lineRule="auto"/>
              <w:jc w:val="center"/>
              <w:rPr>
                <w:rFonts w:eastAsia="Times New Roman" w:cs="Calibri"/>
                <w:sz w:val="16"/>
                <w:szCs w:val="16"/>
              </w:rPr>
            </w:pPr>
            <w:r w:rsidRPr="002B622A">
              <w:rPr>
                <w:rFonts w:cs="Calibri"/>
                <w:sz w:val="16"/>
                <w:szCs w:val="16"/>
              </w:rPr>
              <w:t>2,82</w:t>
            </w:r>
          </w:p>
        </w:tc>
        <w:tc>
          <w:tcPr>
            <w:tcW w:w="446"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1E4D267F" w14:textId="77777777">
            <w:pPr>
              <w:spacing w:line="240" w:lineRule="auto"/>
              <w:jc w:val="center"/>
              <w:rPr>
                <w:rFonts w:eastAsia="Times New Roman" w:cs="Calibri"/>
                <w:sz w:val="16"/>
                <w:szCs w:val="16"/>
              </w:rPr>
            </w:pPr>
            <w:r w:rsidRPr="002B622A">
              <w:rPr>
                <w:rFonts w:cs="Calibri"/>
                <w:sz w:val="16"/>
                <w:szCs w:val="16"/>
              </w:rPr>
              <w:t>114,47</w:t>
            </w:r>
          </w:p>
        </w:tc>
        <w:tc>
          <w:tcPr>
            <w:tcW w:w="483"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10CA89FE" w14:textId="77777777">
            <w:pPr>
              <w:spacing w:line="240" w:lineRule="auto"/>
              <w:jc w:val="center"/>
              <w:rPr>
                <w:rFonts w:eastAsia="Times New Roman" w:cs="Calibri"/>
                <w:sz w:val="16"/>
                <w:szCs w:val="16"/>
              </w:rPr>
            </w:pPr>
            <w:r w:rsidRPr="002B622A">
              <w:rPr>
                <w:rFonts w:cs="Calibri"/>
                <w:sz w:val="16"/>
                <w:szCs w:val="16"/>
              </w:rPr>
              <w:t>8,3</w:t>
            </w:r>
          </w:p>
        </w:tc>
        <w:tc>
          <w:tcPr>
            <w:tcW w:w="340"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451C7D0F" w14:textId="77777777">
            <w:pPr>
              <w:spacing w:line="240" w:lineRule="auto"/>
              <w:jc w:val="center"/>
              <w:rPr>
                <w:rFonts w:eastAsia="Times New Roman" w:cs="Calibri"/>
                <w:sz w:val="16"/>
                <w:szCs w:val="16"/>
              </w:rPr>
            </w:pPr>
            <w:r w:rsidRPr="002B622A">
              <w:rPr>
                <w:rFonts w:cs="Calibri"/>
                <w:sz w:val="16"/>
                <w:szCs w:val="16"/>
              </w:rPr>
              <w:t>117,43</w:t>
            </w:r>
          </w:p>
        </w:tc>
        <w:tc>
          <w:tcPr>
            <w:tcW w:w="381"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70F69398" w14:textId="77777777">
            <w:pPr>
              <w:spacing w:line="240" w:lineRule="auto"/>
              <w:jc w:val="center"/>
              <w:rPr>
                <w:rFonts w:eastAsia="Times New Roman" w:cs="Calibri"/>
                <w:sz w:val="16"/>
                <w:szCs w:val="16"/>
              </w:rPr>
            </w:pPr>
            <w:r w:rsidRPr="002B622A">
              <w:rPr>
                <w:rFonts w:cs="Calibri"/>
                <w:sz w:val="16"/>
                <w:szCs w:val="16"/>
              </w:rPr>
              <w:t>12*</w:t>
            </w:r>
          </w:p>
        </w:tc>
        <w:tc>
          <w:tcPr>
            <w:tcW w:w="338" w:type="pct"/>
            <w:tcBorders>
              <w:top w:val="single" w:color="auto" w:sz="4" w:space="0"/>
              <w:left w:val="nil"/>
              <w:bottom w:val="single" w:color="auto" w:sz="4" w:space="0"/>
              <w:right w:val="single" w:color="auto" w:sz="4" w:space="0"/>
            </w:tcBorders>
            <w:noWrap/>
            <w:vAlign w:val="center"/>
          </w:tcPr>
          <w:p w:rsidRPr="002B622A" w:rsidR="00894FC0" w:rsidP="003E5498" w:rsidRDefault="00894FC0" w14:paraId="3E8924AE" w14:textId="77777777">
            <w:pPr>
              <w:spacing w:line="240" w:lineRule="auto"/>
              <w:jc w:val="center"/>
              <w:rPr>
                <w:rFonts w:eastAsia="Times New Roman" w:cs="Calibri"/>
                <w:sz w:val="16"/>
                <w:szCs w:val="16"/>
              </w:rPr>
            </w:pPr>
            <w:r w:rsidRPr="002B622A">
              <w:rPr>
                <w:rFonts w:cs="Calibri"/>
                <w:sz w:val="16"/>
                <w:szCs w:val="16"/>
              </w:rPr>
              <w:t>127,59</w:t>
            </w:r>
          </w:p>
        </w:tc>
      </w:tr>
    </w:tbl>
    <w:p w:rsidRPr="002B622A" w:rsidR="00894FC0" w:rsidP="00894FC0" w:rsidRDefault="00894FC0" w14:paraId="75A4D5C1" w14:textId="6D9E031A">
      <w:pPr>
        <w:rPr>
          <w:rFonts w:cs="Calibri"/>
          <w:sz w:val="16"/>
          <w:szCs w:val="16"/>
        </w:rPr>
      </w:pPr>
      <w:r w:rsidRPr="002B622A">
        <w:rPr>
          <w:rFonts w:cs="Calibri"/>
          <w:sz w:val="16"/>
          <w:szCs w:val="16"/>
        </w:rPr>
        <w:t>Bron:</w:t>
      </w:r>
      <w:r w:rsidRPr="002B622A" w:rsidR="005025EF">
        <w:rPr>
          <w:rFonts w:cs="Calibri"/>
          <w:sz w:val="16"/>
          <w:szCs w:val="16"/>
        </w:rPr>
        <w:t xml:space="preserve"> DNB,</w:t>
      </w:r>
      <w:r w:rsidRPr="002B622A">
        <w:rPr>
          <w:rFonts w:cs="Calibri"/>
          <w:sz w:val="16"/>
          <w:szCs w:val="16"/>
        </w:rPr>
        <w:t xml:space="preserve"> Jaarverslagen en website pensioenfondsen</w:t>
      </w:r>
    </w:p>
    <w:p w:rsidRPr="002B622A" w:rsidR="00894FC0" w:rsidP="00894FC0" w:rsidRDefault="00894FC0" w14:paraId="4FA9333D" w14:textId="77777777">
      <w:pPr>
        <w:rPr>
          <w:rFonts w:cs="Calibri"/>
          <w:sz w:val="16"/>
          <w:szCs w:val="16"/>
        </w:rPr>
      </w:pPr>
      <w:r w:rsidRPr="002B622A">
        <w:rPr>
          <w:rFonts w:cs="Calibri"/>
          <w:sz w:val="16"/>
          <w:szCs w:val="16"/>
        </w:rPr>
        <w:t>*PFZW spreekt van ‘ongeveer 12 procent’ op haar website.</w:t>
      </w:r>
      <w:r w:rsidRPr="002B622A">
        <w:rPr>
          <w:rStyle w:val="Voetnootmarkering"/>
          <w:rFonts w:cs="Calibri"/>
          <w:sz w:val="16"/>
          <w:szCs w:val="16"/>
        </w:rPr>
        <w:footnoteReference w:id="51"/>
      </w:r>
    </w:p>
    <w:p w:rsidR="00894FC0" w:rsidP="00C20282" w:rsidRDefault="00894FC0" w14:paraId="141D27D4" w14:textId="77777777"/>
    <w:p w:rsidRPr="006F2178" w:rsidR="004432DF" w:rsidP="00BE02B0" w:rsidRDefault="004432DF" w14:paraId="5503669C" w14:textId="77777777"/>
    <w:sectPr w:rsidRPr="006F2178" w:rsidR="004432DF">
      <w:headerReference w:type="even" r:id="rId17"/>
      <w:headerReference w:type="default" r:id="rId18"/>
      <w:footerReference w:type="even" r:id="rId19"/>
      <w:footerReference w:type="default" r:id="rId20"/>
      <w:headerReference w:type="first" r:id="rId21"/>
      <w:footerReference w:type="first" r:id="rId2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C4C5" w14:textId="77777777" w:rsidR="008A7EAD" w:rsidRDefault="008A7EAD">
      <w:pPr>
        <w:spacing w:line="240" w:lineRule="auto"/>
      </w:pPr>
      <w:r>
        <w:separator/>
      </w:r>
    </w:p>
  </w:endnote>
  <w:endnote w:type="continuationSeparator" w:id="0">
    <w:p w14:paraId="6B2110B9" w14:textId="77777777" w:rsidR="008A7EAD" w:rsidRDefault="008A7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EYInterstate">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EYInterstate Light">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85BD" w14:textId="77777777" w:rsidR="001E272E" w:rsidRDefault="001E27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9EFA" w14:textId="77777777" w:rsidR="001E272E" w:rsidRDefault="001E27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5AC0" w14:textId="77777777" w:rsidR="001E272E" w:rsidRDefault="001E27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277A" w14:textId="77777777" w:rsidR="008A7EAD" w:rsidRDefault="008A7EAD">
      <w:pPr>
        <w:spacing w:line="240" w:lineRule="auto"/>
      </w:pPr>
      <w:r>
        <w:separator/>
      </w:r>
    </w:p>
  </w:footnote>
  <w:footnote w:type="continuationSeparator" w:id="0">
    <w:p w14:paraId="6D50CD7F" w14:textId="77777777" w:rsidR="008A7EAD" w:rsidRDefault="008A7EAD">
      <w:pPr>
        <w:spacing w:line="240" w:lineRule="auto"/>
      </w:pPr>
      <w:r>
        <w:continuationSeparator/>
      </w:r>
    </w:p>
  </w:footnote>
  <w:footnote w:id="1">
    <w:p w14:paraId="60802B87" w14:textId="77777777" w:rsidR="00D72B96" w:rsidRPr="00AC60B7" w:rsidRDefault="00D72B96" w:rsidP="00D72B96">
      <w:pPr>
        <w:pStyle w:val="Voetnoottekst"/>
        <w:rPr>
          <w:sz w:val="16"/>
          <w:szCs w:val="16"/>
        </w:rPr>
      </w:pPr>
      <w:r w:rsidRPr="00AC60B7">
        <w:rPr>
          <w:rStyle w:val="Voetnootmarkering"/>
          <w:sz w:val="16"/>
          <w:szCs w:val="16"/>
        </w:rPr>
        <w:footnoteRef/>
      </w:r>
      <w:r w:rsidRPr="00AC60B7">
        <w:rPr>
          <w:sz w:val="16"/>
          <w:szCs w:val="16"/>
        </w:rPr>
        <w:t xml:space="preserve"> Deze voortgangsrapportage en de onderliggende stukken zijn een momentopname van de stand van zaken, omdat de sector volop in beweging is. Daarnaast betreft het een algemeen beeld van de transitie. Ik geef daarbij geen oordeel over de gemaakte keuzes, noch ga ik in op individuele casussen.</w:t>
      </w:r>
    </w:p>
  </w:footnote>
  <w:footnote w:id="2">
    <w:p w14:paraId="71986493" w14:textId="6CF904A5" w:rsidR="00837FF9" w:rsidRPr="00AC60B7" w:rsidRDefault="00837FF9">
      <w:pPr>
        <w:pStyle w:val="Voetnoottekst"/>
        <w:rPr>
          <w:sz w:val="16"/>
          <w:szCs w:val="16"/>
        </w:rPr>
      </w:pPr>
      <w:r w:rsidRPr="00AC60B7">
        <w:rPr>
          <w:rStyle w:val="Voetnootmarkering"/>
          <w:sz w:val="16"/>
          <w:szCs w:val="16"/>
        </w:rPr>
        <w:footnoteRef/>
      </w:r>
      <w:r w:rsidRPr="00AC60B7">
        <w:rPr>
          <w:sz w:val="16"/>
          <w:szCs w:val="16"/>
        </w:rPr>
        <w:t xml:space="preserve"> Kamerstukken II, 2025-2026, 36915 nr. 14.</w:t>
      </w:r>
    </w:p>
  </w:footnote>
  <w:footnote w:id="3">
    <w:p w14:paraId="31192EDE" w14:textId="2EB16F02" w:rsidR="00837FF9" w:rsidRPr="00AC60B7" w:rsidRDefault="00837FF9">
      <w:pPr>
        <w:pStyle w:val="Voetnoottekst"/>
        <w:rPr>
          <w:sz w:val="16"/>
          <w:szCs w:val="16"/>
        </w:rPr>
      </w:pPr>
      <w:r w:rsidRPr="00AC60B7">
        <w:rPr>
          <w:rStyle w:val="Voetnootmarkering"/>
          <w:sz w:val="16"/>
          <w:szCs w:val="16"/>
        </w:rPr>
        <w:footnoteRef/>
      </w:r>
      <w:r w:rsidRPr="00AC60B7">
        <w:rPr>
          <w:sz w:val="16"/>
          <w:szCs w:val="16"/>
        </w:rPr>
        <w:t xml:space="preserve"> Kamerstukken II, 2025-2026, TZ202602-011.</w:t>
      </w:r>
    </w:p>
  </w:footnote>
  <w:footnote w:id="4">
    <w:p w14:paraId="28D937B2" w14:textId="3680A0B9" w:rsidR="00837FF9" w:rsidRDefault="00837FF9">
      <w:pPr>
        <w:pStyle w:val="Voetnoottekst"/>
      </w:pPr>
      <w:r w:rsidRPr="00AC60B7">
        <w:rPr>
          <w:rStyle w:val="Voetnootmarkering"/>
          <w:sz w:val="16"/>
          <w:szCs w:val="16"/>
        </w:rPr>
        <w:footnoteRef/>
      </w:r>
      <w:r w:rsidRPr="00AC60B7">
        <w:rPr>
          <w:sz w:val="16"/>
          <w:szCs w:val="16"/>
        </w:rPr>
        <w:t xml:space="preserve"> Kamerstukken II, 2025-2026, TZ202602-012.</w:t>
      </w:r>
    </w:p>
  </w:footnote>
  <w:footnote w:id="5">
    <w:p w14:paraId="7810B8F1" w14:textId="1C326EE3" w:rsidR="0078218D" w:rsidRPr="00AF47A5" w:rsidRDefault="0078218D" w:rsidP="0078218D">
      <w:pPr>
        <w:pStyle w:val="Voetnoottekst"/>
        <w:rPr>
          <w:sz w:val="16"/>
          <w:szCs w:val="16"/>
        </w:rPr>
      </w:pPr>
      <w:r w:rsidRPr="00AF47A5">
        <w:rPr>
          <w:rStyle w:val="Voetnootmarkering"/>
          <w:sz w:val="16"/>
          <w:szCs w:val="16"/>
        </w:rPr>
        <w:footnoteRef/>
      </w:r>
      <w:r w:rsidRPr="00AF47A5">
        <w:rPr>
          <w:sz w:val="16"/>
          <w:szCs w:val="16"/>
        </w:rPr>
        <w:t xml:space="preserve"> Kamerstukken II, 2022-2023, 36067 nr. 191.</w:t>
      </w:r>
    </w:p>
  </w:footnote>
  <w:footnote w:id="6">
    <w:p w14:paraId="6F8E2D65" w14:textId="39B37AA2" w:rsidR="00373EFC" w:rsidRPr="00037767" w:rsidRDefault="00373EFC" w:rsidP="00373EFC">
      <w:pPr>
        <w:pStyle w:val="Voetnoottekst"/>
        <w:rPr>
          <w:sz w:val="16"/>
          <w:szCs w:val="16"/>
        </w:rPr>
      </w:pPr>
      <w:r w:rsidRPr="00037767">
        <w:rPr>
          <w:rStyle w:val="Voetnootmarkering"/>
          <w:sz w:val="16"/>
          <w:szCs w:val="16"/>
        </w:rPr>
        <w:footnoteRef/>
      </w:r>
      <w:r w:rsidRPr="00037767">
        <w:rPr>
          <w:sz w:val="16"/>
          <w:szCs w:val="16"/>
        </w:rPr>
        <w:t xml:space="preserve"> Kamerstukken II, 2026-2026, 32043 nr. 712.</w:t>
      </w:r>
    </w:p>
  </w:footnote>
  <w:footnote w:id="7">
    <w:p w14:paraId="74FFF833" w14:textId="6ACC2A13" w:rsidR="009E6C03" w:rsidRPr="005C1BAB" w:rsidRDefault="009E6C03" w:rsidP="009E6C03">
      <w:pPr>
        <w:pStyle w:val="Voetnoottekst"/>
        <w:rPr>
          <w:sz w:val="16"/>
          <w:szCs w:val="16"/>
        </w:rPr>
      </w:pPr>
      <w:r w:rsidRPr="005C1BAB">
        <w:rPr>
          <w:rStyle w:val="Voetnootmarkering"/>
          <w:sz w:val="16"/>
          <w:szCs w:val="16"/>
        </w:rPr>
        <w:footnoteRef/>
      </w:r>
      <w:r w:rsidRPr="005C1BAB">
        <w:rPr>
          <w:sz w:val="16"/>
          <w:szCs w:val="16"/>
        </w:rPr>
        <w:t xml:space="preserve"> Het relatief hoge aantal deelnemers is toe te schrijven aan het feit dat personen gemiddeld bij ongeveer twee pensioenfondsen deelnemer zijn.</w:t>
      </w:r>
    </w:p>
  </w:footnote>
  <w:footnote w:id="8">
    <w:p w14:paraId="41F6799D" w14:textId="51947AB8" w:rsidR="004C7EB4" w:rsidRPr="005C1BAB" w:rsidRDefault="004C7EB4">
      <w:pPr>
        <w:pStyle w:val="Voetnoottekst"/>
        <w:rPr>
          <w:sz w:val="16"/>
          <w:szCs w:val="16"/>
        </w:rPr>
      </w:pPr>
      <w:r w:rsidRPr="005C1BAB">
        <w:rPr>
          <w:rStyle w:val="Voetnootmarkering"/>
          <w:sz w:val="16"/>
          <w:szCs w:val="16"/>
        </w:rPr>
        <w:footnoteRef/>
      </w:r>
      <w:r w:rsidRPr="005C1BAB">
        <w:rPr>
          <w:sz w:val="16"/>
          <w:szCs w:val="16"/>
        </w:rPr>
        <w:t xml:space="preserve"> </w:t>
      </w:r>
      <w:proofErr w:type="spellStart"/>
      <w:r w:rsidRPr="005C1BAB">
        <w:rPr>
          <w:sz w:val="16"/>
          <w:szCs w:val="16"/>
        </w:rPr>
        <w:t>Wtp</w:t>
      </w:r>
      <w:proofErr w:type="spellEnd"/>
      <w:r w:rsidRPr="005C1BAB">
        <w:rPr>
          <w:sz w:val="16"/>
          <w:szCs w:val="16"/>
        </w:rPr>
        <w:t xml:space="preserve">-uitvraag van Q2-2026, De Nederlandsche Bank in combinatie met bericht: </w:t>
      </w:r>
      <w:hyperlink r:id="rId1" w:history="1">
        <w:r w:rsidRPr="005C1BAB">
          <w:rPr>
            <w:rStyle w:val="Hyperlink"/>
            <w:sz w:val="16"/>
            <w:szCs w:val="16"/>
          </w:rPr>
          <w:t>Invaarklas van 1 juli 2026 heeft beschikking van DNB binnen | Pensioen Pro</w:t>
        </w:r>
      </w:hyperlink>
    </w:p>
  </w:footnote>
  <w:footnote w:id="9">
    <w:p w14:paraId="030EA129" w14:textId="4B548BF3" w:rsidR="00534323" w:rsidRPr="00133A16" w:rsidRDefault="00534323" w:rsidP="00444FBC">
      <w:pPr>
        <w:pStyle w:val="Geenafstand"/>
        <w:rPr>
          <w:sz w:val="16"/>
          <w:szCs w:val="16"/>
          <w:lang w:val="nl-NL"/>
        </w:rPr>
      </w:pPr>
      <w:r w:rsidRPr="00133A16">
        <w:rPr>
          <w:rStyle w:val="Voetnootmarkering"/>
          <w:sz w:val="16"/>
          <w:szCs w:val="16"/>
        </w:rPr>
        <w:footnoteRef/>
      </w:r>
      <w:r w:rsidRPr="00133A16">
        <w:rPr>
          <w:sz w:val="16"/>
          <w:szCs w:val="16"/>
          <w:lang w:val="nl-NL"/>
        </w:rPr>
        <w:t xml:space="preserve"> </w:t>
      </w:r>
      <w:r w:rsidR="00050B31" w:rsidRPr="00133A16">
        <w:rPr>
          <w:sz w:val="16"/>
          <w:szCs w:val="16"/>
          <w:lang w:val="nl-NL"/>
        </w:rPr>
        <w:t>In de uitvraag van DNB is geen nader onderscheid gemaakt van de nieuwe contracten. Nieuwe contracten kunnen onder andere ontstaan als een werkgever met een bestaande regeling kiest voor een andere pensioenuitvoerder of als een werkgever die niet eerder een pensioenregeling had een contract afspreekt</w:t>
      </w:r>
      <w:r w:rsidR="000D35E6" w:rsidRPr="00133A16">
        <w:rPr>
          <w:sz w:val="16"/>
          <w:szCs w:val="16"/>
          <w:lang w:val="nl-NL"/>
        </w:rPr>
        <w:t xml:space="preserve"> (naar verwachting een klein aandeel)</w:t>
      </w:r>
      <w:r w:rsidR="00050B31" w:rsidRPr="00133A16">
        <w:rPr>
          <w:sz w:val="16"/>
          <w:szCs w:val="16"/>
          <w:lang w:val="nl-NL"/>
        </w:rPr>
        <w:t>.</w:t>
      </w:r>
    </w:p>
  </w:footnote>
  <w:footnote w:id="10">
    <w:p w14:paraId="1C63E9E4" w14:textId="37FAE04E" w:rsidR="00050FB3" w:rsidRPr="00133A16" w:rsidRDefault="00050FB3">
      <w:pPr>
        <w:pStyle w:val="Voetnoottekst"/>
        <w:rPr>
          <w:sz w:val="16"/>
          <w:szCs w:val="16"/>
        </w:rPr>
      </w:pPr>
      <w:r w:rsidRPr="00133A16">
        <w:rPr>
          <w:rStyle w:val="Voetnootmarkering"/>
          <w:sz w:val="16"/>
          <w:szCs w:val="16"/>
        </w:rPr>
        <w:footnoteRef/>
      </w:r>
      <w:r w:rsidRPr="00133A16">
        <w:rPr>
          <w:sz w:val="16"/>
          <w:szCs w:val="16"/>
        </w:rPr>
        <w:t xml:space="preserve"> In deze cijfers zit ook de omzetting van contracten bij verzekeraars naar contracten bij </w:t>
      </w:r>
      <w:proofErr w:type="spellStart"/>
      <w:r w:rsidRPr="00133A16">
        <w:rPr>
          <w:sz w:val="16"/>
          <w:szCs w:val="16"/>
        </w:rPr>
        <w:t>PPI’s</w:t>
      </w:r>
      <w:proofErr w:type="spellEnd"/>
      <w:r w:rsidRPr="00133A16">
        <w:rPr>
          <w:sz w:val="16"/>
          <w:szCs w:val="16"/>
        </w:rPr>
        <w:t xml:space="preserve"> en </w:t>
      </w:r>
      <w:proofErr w:type="spellStart"/>
      <w:r w:rsidRPr="00133A16">
        <w:rPr>
          <w:sz w:val="16"/>
          <w:szCs w:val="16"/>
        </w:rPr>
        <w:t>vice</w:t>
      </w:r>
      <w:proofErr w:type="spellEnd"/>
      <w:r w:rsidRPr="00133A16">
        <w:rPr>
          <w:sz w:val="16"/>
          <w:szCs w:val="16"/>
        </w:rPr>
        <w:t xml:space="preserve"> versa. Aangezien </w:t>
      </w:r>
      <w:proofErr w:type="spellStart"/>
      <w:r w:rsidRPr="00133A16">
        <w:rPr>
          <w:sz w:val="16"/>
          <w:szCs w:val="16"/>
        </w:rPr>
        <w:t>PPI’s</w:t>
      </w:r>
      <w:proofErr w:type="spellEnd"/>
      <w:r w:rsidRPr="00133A16">
        <w:rPr>
          <w:sz w:val="16"/>
          <w:szCs w:val="16"/>
        </w:rPr>
        <w:t xml:space="preserve"> initieel een kleinere portefeuille hadden dan verzekeraars, is er bij verzekeraars mogelijk sprake van een onderschatting en bij </w:t>
      </w:r>
      <w:proofErr w:type="spellStart"/>
      <w:r w:rsidRPr="00133A16">
        <w:rPr>
          <w:sz w:val="16"/>
          <w:szCs w:val="16"/>
        </w:rPr>
        <w:t>PPI’s</w:t>
      </w:r>
      <w:proofErr w:type="spellEnd"/>
      <w:r w:rsidRPr="00133A16">
        <w:rPr>
          <w:sz w:val="16"/>
          <w:szCs w:val="16"/>
        </w:rPr>
        <w:t xml:space="preserve"> van een overschatting van het percentage omzettingen.</w:t>
      </w:r>
      <w:r w:rsidR="00213433">
        <w:rPr>
          <w:sz w:val="16"/>
          <w:szCs w:val="16"/>
        </w:rPr>
        <w:t xml:space="preserve"> </w:t>
      </w:r>
    </w:p>
  </w:footnote>
  <w:footnote w:id="11">
    <w:p w14:paraId="77E82D3B" w14:textId="77777777" w:rsidR="00157688" w:rsidRPr="00FF4118" w:rsidRDefault="00157688" w:rsidP="00157688">
      <w:pPr>
        <w:pStyle w:val="Voetnoottekst"/>
        <w:rPr>
          <w:sz w:val="16"/>
          <w:szCs w:val="16"/>
        </w:rPr>
      </w:pPr>
      <w:r w:rsidRPr="00133A16">
        <w:rPr>
          <w:rStyle w:val="Voetnootmarkering"/>
          <w:sz w:val="16"/>
          <w:szCs w:val="16"/>
        </w:rPr>
        <w:footnoteRef/>
      </w:r>
      <w:r w:rsidRPr="00133A16">
        <w:rPr>
          <w:sz w:val="16"/>
          <w:szCs w:val="16"/>
        </w:rPr>
        <w:t xml:space="preserve"> Aangezien per abuis de data van één PPI (deels) zijn opgenomen bij verzekeraars ontstaat er eenmalig een lichte verschuiving. Bij de volgende rapportage wordt dit gecorrigeerd.</w:t>
      </w:r>
      <w:r w:rsidRPr="00FF4118">
        <w:rPr>
          <w:sz w:val="16"/>
          <w:szCs w:val="16"/>
        </w:rPr>
        <w:t xml:space="preserve"> </w:t>
      </w:r>
    </w:p>
  </w:footnote>
  <w:footnote w:id="12">
    <w:p w14:paraId="7A76C135" w14:textId="083D8560" w:rsidR="0011233F" w:rsidRPr="00F43D45" w:rsidRDefault="0011233F">
      <w:pPr>
        <w:pStyle w:val="Voetnoottekst"/>
        <w:rPr>
          <w:sz w:val="16"/>
          <w:szCs w:val="16"/>
        </w:rPr>
      </w:pPr>
      <w:r w:rsidRPr="00F43D45">
        <w:rPr>
          <w:rStyle w:val="Voetnootmarkering"/>
          <w:sz w:val="16"/>
          <w:szCs w:val="16"/>
        </w:rPr>
        <w:footnoteRef/>
      </w:r>
      <w:r w:rsidRPr="00F43D45">
        <w:rPr>
          <w:sz w:val="16"/>
          <w:szCs w:val="16"/>
        </w:rPr>
        <w:t xml:space="preserve"> </w:t>
      </w:r>
      <w:r w:rsidR="00DC5828">
        <w:rPr>
          <w:sz w:val="16"/>
          <w:szCs w:val="16"/>
        </w:rPr>
        <w:t>Kamerstukken II, 2025-2026, 32043 nr. 694</w:t>
      </w:r>
    </w:p>
  </w:footnote>
  <w:footnote w:id="13">
    <w:p w14:paraId="44673D98" w14:textId="570F67E5" w:rsidR="005F157B" w:rsidRPr="00182CF4" w:rsidRDefault="005F157B">
      <w:pPr>
        <w:pStyle w:val="Voetnoottekst"/>
        <w:rPr>
          <w:sz w:val="16"/>
          <w:szCs w:val="16"/>
        </w:rPr>
      </w:pPr>
      <w:r w:rsidRPr="00182CF4">
        <w:rPr>
          <w:rStyle w:val="Voetnootmarkering"/>
          <w:sz w:val="16"/>
          <w:szCs w:val="16"/>
        </w:rPr>
        <w:footnoteRef/>
      </w:r>
      <w:r w:rsidRPr="00182CF4">
        <w:rPr>
          <w:sz w:val="16"/>
          <w:szCs w:val="16"/>
        </w:rPr>
        <w:t xml:space="preserve"> </w:t>
      </w:r>
      <w:hyperlink r:id="rId2" w:history="1">
        <w:r w:rsidR="005B18B6" w:rsidRPr="00182CF4">
          <w:rPr>
            <w:rStyle w:val="Hyperlink"/>
            <w:sz w:val="16"/>
            <w:szCs w:val="16"/>
          </w:rPr>
          <w:t>Persbericht Pensioenfederatie (26</w:t>
        </w:r>
        <w:r w:rsidR="00182CF4">
          <w:rPr>
            <w:rStyle w:val="Hyperlink"/>
            <w:sz w:val="16"/>
            <w:szCs w:val="16"/>
          </w:rPr>
          <w:t>/2/26</w:t>
        </w:r>
        <w:r w:rsidR="005B18B6" w:rsidRPr="00182CF4">
          <w:rPr>
            <w:rStyle w:val="Hyperlink"/>
            <w:sz w:val="16"/>
            <w:szCs w:val="16"/>
          </w:rPr>
          <w:t>): Ruim 1 miljoen pensioenuitkeringen omhoog</w:t>
        </w:r>
      </w:hyperlink>
    </w:p>
  </w:footnote>
  <w:footnote w:id="14">
    <w:p w14:paraId="03B5C4ED" w14:textId="4DDA372C" w:rsidR="005B18B6" w:rsidRPr="00182CF4" w:rsidRDefault="005B18B6">
      <w:pPr>
        <w:pStyle w:val="Voetnoottekst"/>
        <w:rPr>
          <w:sz w:val="16"/>
          <w:szCs w:val="16"/>
        </w:rPr>
      </w:pPr>
      <w:r w:rsidRPr="00182CF4">
        <w:rPr>
          <w:rStyle w:val="Voetnootmarkering"/>
          <w:sz w:val="16"/>
          <w:szCs w:val="16"/>
        </w:rPr>
        <w:footnoteRef/>
      </w:r>
      <w:r w:rsidRPr="00182CF4">
        <w:rPr>
          <w:sz w:val="16"/>
          <w:szCs w:val="16"/>
        </w:rPr>
        <w:t xml:space="preserve"> Bij pensioenfondsen waar de wijziging van de pensioenuitkering varieert, is de wijziging voor 67-jarigen vermeld.</w:t>
      </w:r>
    </w:p>
  </w:footnote>
  <w:footnote w:id="15">
    <w:p w14:paraId="30E59045" w14:textId="2377AF4F" w:rsidR="00157688" w:rsidRPr="00CF02F4" w:rsidRDefault="00157688" w:rsidP="00157688">
      <w:pPr>
        <w:pStyle w:val="Voetnoottekst"/>
        <w:rPr>
          <w:sz w:val="16"/>
          <w:szCs w:val="16"/>
        </w:rPr>
      </w:pPr>
      <w:r w:rsidRPr="00182CF4">
        <w:rPr>
          <w:rStyle w:val="Voetnootmarkering"/>
          <w:sz w:val="16"/>
          <w:szCs w:val="16"/>
        </w:rPr>
        <w:footnoteRef/>
      </w:r>
      <w:r w:rsidRPr="00182CF4">
        <w:rPr>
          <w:sz w:val="16"/>
          <w:szCs w:val="16"/>
        </w:rPr>
        <w:t xml:space="preserve"> Kamerstukken II, 2025-</w:t>
      </w:r>
      <w:r w:rsidR="00DC5828">
        <w:rPr>
          <w:sz w:val="16"/>
          <w:szCs w:val="16"/>
        </w:rPr>
        <w:t>20</w:t>
      </w:r>
      <w:r w:rsidRPr="00182CF4">
        <w:rPr>
          <w:sz w:val="16"/>
          <w:szCs w:val="16"/>
        </w:rPr>
        <w:t>26, 32043 nr. 694</w:t>
      </w:r>
      <w:r w:rsidR="00C9033E" w:rsidRPr="00182CF4">
        <w:rPr>
          <w:sz w:val="16"/>
          <w:szCs w:val="16"/>
        </w:rPr>
        <w:t>.</w:t>
      </w:r>
    </w:p>
  </w:footnote>
  <w:footnote w:id="16">
    <w:p w14:paraId="7B3538AE" w14:textId="77777777" w:rsidR="00706DCB" w:rsidRPr="00F43D45" w:rsidRDefault="00706DCB" w:rsidP="00706DCB">
      <w:pPr>
        <w:pStyle w:val="Voetnoottekst"/>
        <w:rPr>
          <w:sz w:val="16"/>
          <w:szCs w:val="16"/>
        </w:rPr>
      </w:pPr>
      <w:r w:rsidRPr="00F43D45">
        <w:rPr>
          <w:rStyle w:val="Voetnootmarkering"/>
          <w:sz w:val="16"/>
          <w:szCs w:val="16"/>
        </w:rPr>
        <w:footnoteRef/>
      </w:r>
      <w:r w:rsidRPr="00F43D45">
        <w:rPr>
          <w:sz w:val="16"/>
          <w:szCs w:val="16"/>
        </w:rPr>
        <w:t xml:space="preserve"> </w:t>
      </w:r>
      <w:hyperlink r:id="rId3" w:history="1">
        <w:r w:rsidRPr="00E711C8">
          <w:rPr>
            <w:rStyle w:val="Hyperlink"/>
            <w:sz w:val="16"/>
            <w:szCs w:val="16"/>
          </w:rPr>
          <w:t>https://news.pressmailings.com/hvdm/persbericht-start-voor-1-juli-met-omzetting-van-de-pensioenregeling-voor-uw-bedrijf</w:t>
        </w:r>
      </w:hyperlink>
      <w:r w:rsidRPr="00F43D45">
        <w:rPr>
          <w:sz w:val="16"/>
          <w:szCs w:val="16"/>
        </w:rPr>
        <w:t xml:space="preserve"> </w:t>
      </w:r>
    </w:p>
  </w:footnote>
  <w:footnote w:id="17">
    <w:p w14:paraId="3330371E" w14:textId="77777777" w:rsidR="00157688" w:rsidRPr="00706DCB" w:rsidRDefault="00157688" w:rsidP="00157688">
      <w:pPr>
        <w:pStyle w:val="Voetnoottekst"/>
        <w:rPr>
          <w:sz w:val="16"/>
          <w:szCs w:val="16"/>
        </w:rPr>
      </w:pPr>
      <w:r w:rsidRPr="00706DCB">
        <w:rPr>
          <w:rStyle w:val="Voetnootmarkering"/>
          <w:sz w:val="16"/>
          <w:szCs w:val="16"/>
        </w:rPr>
        <w:footnoteRef/>
      </w:r>
      <w:r w:rsidRPr="00706DCB">
        <w:rPr>
          <w:sz w:val="16"/>
          <w:szCs w:val="16"/>
        </w:rPr>
        <w:t xml:space="preserve"> </w:t>
      </w:r>
      <w:hyperlink r:id="rId4" w:history="1">
        <w:r w:rsidRPr="00706DCB">
          <w:rPr>
            <w:rStyle w:val="Hyperlink"/>
            <w:sz w:val="16"/>
            <w:szCs w:val="16"/>
          </w:rPr>
          <w:t>https://www.nba.nl/tools-en-ondersteuning/publicaties/2026/pensioentransitie-mkb-accountant/</w:t>
        </w:r>
      </w:hyperlink>
      <w:r w:rsidRPr="00706DCB">
        <w:rPr>
          <w:sz w:val="16"/>
          <w:szCs w:val="16"/>
        </w:rPr>
        <w:t xml:space="preserve"> </w:t>
      </w:r>
    </w:p>
  </w:footnote>
  <w:footnote w:id="18">
    <w:p w14:paraId="5BBF5216" w14:textId="77777777" w:rsidR="00157688" w:rsidRPr="00F43D45" w:rsidRDefault="00157688" w:rsidP="00157688">
      <w:pPr>
        <w:pStyle w:val="Voetnoottekst"/>
        <w:rPr>
          <w:sz w:val="16"/>
          <w:szCs w:val="16"/>
        </w:rPr>
      </w:pPr>
      <w:r w:rsidRPr="00706DCB">
        <w:rPr>
          <w:rStyle w:val="Voetnootmarkering"/>
          <w:sz w:val="16"/>
          <w:szCs w:val="16"/>
        </w:rPr>
        <w:footnoteRef/>
      </w:r>
      <w:r w:rsidRPr="00706DCB">
        <w:rPr>
          <w:sz w:val="16"/>
          <w:szCs w:val="16"/>
        </w:rPr>
        <w:t xml:space="preserve"> </w:t>
      </w:r>
      <w:hyperlink r:id="rId5" w:history="1">
        <w:r w:rsidRPr="00706DCB">
          <w:rPr>
            <w:rStyle w:val="Hyperlink"/>
            <w:sz w:val="16"/>
            <w:szCs w:val="16"/>
          </w:rPr>
          <w:t>https://www.telegraaf.nl/opinie/regeringscommissaris-en-mkb-voorman-slaan-alarm-oude-dag-kan-rampzalig-uitpakken-als-de-baas-pensioendeadline-mist/125032324.html</w:t>
        </w:r>
      </w:hyperlink>
      <w:r w:rsidRPr="00F43D45">
        <w:rPr>
          <w:sz w:val="16"/>
          <w:szCs w:val="16"/>
        </w:rPr>
        <w:t xml:space="preserve"> </w:t>
      </w:r>
    </w:p>
  </w:footnote>
  <w:footnote w:id="19">
    <w:p w14:paraId="2215B9FC" w14:textId="77777777" w:rsidR="00F43D45" w:rsidRDefault="00F43D45" w:rsidP="00F43D45">
      <w:pPr>
        <w:pStyle w:val="Voetnoottekst"/>
      </w:pPr>
      <w:r w:rsidRPr="00F43D45">
        <w:rPr>
          <w:rStyle w:val="Voetnootmarkering"/>
          <w:sz w:val="16"/>
          <w:szCs w:val="16"/>
        </w:rPr>
        <w:footnoteRef/>
      </w:r>
      <w:r w:rsidRPr="00F43D45">
        <w:rPr>
          <w:sz w:val="16"/>
          <w:szCs w:val="16"/>
        </w:rPr>
        <w:t xml:space="preserve"> </w:t>
      </w:r>
      <w:hyperlink r:id="rId6" w:history="1">
        <w:r w:rsidRPr="004E293A">
          <w:rPr>
            <w:rStyle w:val="Hyperlink"/>
            <w:sz w:val="16"/>
            <w:szCs w:val="16"/>
          </w:rPr>
          <w:t>https://www.ondernemen.nl/hetnieuwepensioen/tegemoetkoming-verzekerde-regelingen</w:t>
        </w:r>
      </w:hyperlink>
      <w:r>
        <w:t xml:space="preserve"> </w:t>
      </w:r>
    </w:p>
  </w:footnote>
  <w:footnote w:id="20">
    <w:p w14:paraId="602CA58A" w14:textId="1678120D" w:rsidR="001A1780" w:rsidRPr="001A1780" w:rsidRDefault="001A1780">
      <w:pPr>
        <w:pStyle w:val="Voetnoottekst"/>
        <w:rPr>
          <w:sz w:val="16"/>
          <w:szCs w:val="16"/>
        </w:rPr>
      </w:pPr>
      <w:r w:rsidRPr="001A1780">
        <w:rPr>
          <w:rStyle w:val="Voetnootmarkering"/>
          <w:sz w:val="16"/>
          <w:szCs w:val="16"/>
        </w:rPr>
        <w:footnoteRef/>
      </w:r>
      <w:r w:rsidRPr="001A1780">
        <w:rPr>
          <w:sz w:val="16"/>
          <w:szCs w:val="16"/>
        </w:rPr>
        <w:t xml:space="preserve"> </w:t>
      </w:r>
      <w:hyperlink r:id="rId7" w:history="1">
        <w:r w:rsidRPr="001A1780">
          <w:rPr>
            <w:rStyle w:val="Hyperlink"/>
            <w:sz w:val="16"/>
            <w:szCs w:val="16"/>
          </w:rPr>
          <w:t>AFM - Transitieoverzichten</w:t>
        </w:r>
      </w:hyperlink>
    </w:p>
  </w:footnote>
  <w:footnote w:id="21">
    <w:p w14:paraId="7DBB0378" w14:textId="3A98781F" w:rsidR="00542454" w:rsidRPr="00542454" w:rsidRDefault="00542454">
      <w:pPr>
        <w:pStyle w:val="Voetnoottekst"/>
        <w:rPr>
          <w:sz w:val="16"/>
          <w:szCs w:val="16"/>
        </w:rPr>
      </w:pPr>
      <w:r w:rsidRPr="00542454">
        <w:rPr>
          <w:rStyle w:val="Voetnootmarkering"/>
          <w:sz w:val="16"/>
          <w:szCs w:val="16"/>
        </w:rPr>
        <w:footnoteRef/>
      </w:r>
      <w:r w:rsidRPr="00542454">
        <w:rPr>
          <w:sz w:val="16"/>
          <w:szCs w:val="16"/>
        </w:rPr>
        <w:t xml:space="preserve"> Een pensioenfonds/kring heeft nog geen datum om in te varen vastgesteld. </w:t>
      </w:r>
    </w:p>
  </w:footnote>
  <w:footnote w:id="22">
    <w:p w14:paraId="1A69689B" w14:textId="212941C0" w:rsidR="00542454" w:rsidRPr="00542454" w:rsidRDefault="00542454">
      <w:pPr>
        <w:pStyle w:val="Voetnoottekst"/>
        <w:rPr>
          <w:sz w:val="16"/>
          <w:szCs w:val="16"/>
        </w:rPr>
      </w:pPr>
      <w:r w:rsidRPr="00542454">
        <w:rPr>
          <w:rStyle w:val="Voetnootmarkering"/>
          <w:sz w:val="16"/>
          <w:szCs w:val="16"/>
        </w:rPr>
        <w:footnoteRef/>
      </w:r>
      <w:r w:rsidRPr="00542454">
        <w:rPr>
          <w:sz w:val="16"/>
          <w:szCs w:val="16"/>
        </w:rPr>
        <w:t xml:space="preserve"> Kamerstukken II, 2024</w:t>
      </w:r>
      <w:r w:rsidR="002C319A">
        <w:rPr>
          <w:sz w:val="16"/>
          <w:szCs w:val="16"/>
        </w:rPr>
        <w:t>-20</w:t>
      </w:r>
      <w:r w:rsidRPr="00542454">
        <w:rPr>
          <w:sz w:val="16"/>
          <w:szCs w:val="16"/>
        </w:rPr>
        <w:t>25, 32043 nr. 687</w:t>
      </w:r>
      <w:r w:rsidR="002C319A">
        <w:rPr>
          <w:sz w:val="16"/>
          <w:szCs w:val="16"/>
        </w:rPr>
        <w:t>.</w:t>
      </w:r>
    </w:p>
  </w:footnote>
  <w:footnote w:id="23">
    <w:p w14:paraId="6A944268" w14:textId="0897B7E8" w:rsidR="001751AC" w:rsidRPr="001751AC" w:rsidRDefault="001751AC">
      <w:pPr>
        <w:pStyle w:val="Voetnoottekst"/>
        <w:rPr>
          <w:sz w:val="16"/>
          <w:szCs w:val="16"/>
        </w:rPr>
      </w:pPr>
      <w:r w:rsidRPr="001751AC">
        <w:rPr>
          <w:rStyle w:val="Voetnootmarkering"/>
          <w:sz w:val="16"/>
          <w:szCs w:val="16"/>
        </w:rPr>
        <w:footnoteRef/>
      </w:r>
      <w:r w:rsidRPr="001751AC">
        <w:rPr>
          <w:sz w:val="16"/>
          <w:szCs w:val="16"/>
        </w:rPr>
        <w:t xml:space="preserve"> </w:t>
      </w:r>
      <w:r w:rsidR="00891E77">
        <w:rPr>
          <w:sz w:val="16"/>
          <w:szCs w:val="16"/>
        </w:rPr>
        <w:t>D</w:t>
      </w:r>
      <w:r w:rsidR="00194D9F">
        <w:rPr>
          <w:sz w:val="16"/>
          <w:szCs w:val="16"/>
        </w:rPr>
        <w:t xml:space="preserve">atum 8 mei 2026. </w:t>
      </w:r>
      <w:r w:rsidRPr="001751AC">
        <w:rPr>
          <w:sz w:val="16"/>
          <w:szCs w:val="16"/>
        </w:rPr>
        <w:t>De 28 fondsen die in H1 2026 zijn overgegaan, zijn niet allemaal ingevaren op 1 januari. Dit wordt gespreid in een periode tussen 1 januari 2026-30 juni 2026. Hetzelfde geldt voor de fondsen die in H2 van een jaar invaren, dit is de periode tussen 1 juli – 31 december.</w:t>
      </w:r>
      <w:r w:rsidR="00A03F3A">
        <w:rPr>
          <w:sz w:val="16"/>
          <w:szCs w:val="16"/>
        </w:rPr>
        <w:t xml:space="preserve"> </w:t>
      </w:r>
    </w:p>
  </w:footnote>
  <w:footnote w:id="24">
    <w:p w14:paraId="1C4A31C9" w14:textId="77777777" w:rsidR="00442125" w:rsidRPr="00254472" w:rsidRDefault="00442125" w:rsidP="00442125">
      <w:pPr>
        <w:pStyle w:val="Voetnoottekst"/>
        <w:rPr>
          <w:sz w:val="16"/>
          <w:szCs w:val="16"/>
        </w:rPr>
      </w:pPr>
      <w:r w:rsidRPr="00254472">
        <w:rPr>
          <w:rStyle w:val="Voetnootmarkering"/>
          <w:sz w:val="16"/>
          <w:szCs w:val="16"/>
        </w:rPr>
        <w:footnoteRef/>
      </w:r>
      <w:r w:rsidRPr="00254472">
        <w:rPr>
          <w:sz w:val="16"/>
          <w:szCs w:val="16"/>
        </w:rPr>
        <w:t xml:space="preserve"> DNB, </w:t>
      </w:r>
      <w:proofErr w:type="spellStart"/>
      <w:r w:rsidRPr="00254472">
        <w:rPr>
          <w:sz w:val="16"/>
          <w:szCs w:val="16"/>
        </w:rPr>
        <w:t>Wtp</w:t>
      </w:r>
      <w:proofErr w:type="spellEnd"/>
      <w:r w:rsidRPr="00254472">
        <w:rPr>
          <w:sz w:val="16"/>
          <w:szCs w:val="16"/>
        </w:rPr>
        <w:t>-uitvraag voor pensioenfondsen Q2-2026</w:t>
      </w:r>
    </w:p>
  </w:footnote>
  <w:footnote w:id="25">
    <w:p w14:paraId="44A15384" w14:textId="77777777" w:rsidR="00C0124F" w:rsidRPr="00F13F29" w:rsidRDefault="00C0124F" w:rsidP="00C0124F">
      <w:pPr>
        <w:pStyle w:val="Voetnoottekst"/>
        <w:rPr>
          <w:sz w:val="16"/>
          <w:szCs w:val="16"/>
        </w:rPr>
      </w:pPr>
      <w:r w:rsidRPr="00F13F29">
        <w:rPr>
          <w:rStyle w:val="Voetnootmarkering"/>
          <w:sz w:val="16"/>
          <w:szCs w:val="16"/>
        </w:rPr>
        <w:footnoteRef/>
      </w:r>
      <w:r w:rsidRPr="00F13F29">
        <w:rPr>
          <w:sz w:val="16"/>
          <w:szCs w:val="16"/>
        </w:rPr>
        <w:t xml:space="preserve"> Bij de behandeling van het wetsvoorstel tot Wijziging van de Wet verlaging maximumopbouw- en premiepercentages pensioen en maximering pensioengevend inkomen en het Belastingplan 2014 (novelle Witteveen, 33 847) is toegezegd de Eerste Kamer jaarlijks te informeren over de ontwikkeling van de pensioenpremies op basis van de jaarlijkse rapportage van De Nederlandsche Bank.</w:t>
      </w:r>
    </w:p>
  </w:footnote>
  <w:footnote w:id="26">
    <w:p w14:paraId="1351B841" w14:textId="7DD2ECE0" w:rsidR="00FE51CD" w:rsidRPr="00133A16" w:rsidRDefault="00FE51CD" w:rsidP="00FE51CD">
      <w:pPr>
        <w:pStyle w:val="Voetnoottekst"/>
        <w:rPr>
          <w:sz w:val="16"/>
          <w:szCs w:val="16"/>
        </w:rPr>
      </w:pPr>
      <w:r w:rsidRPr="00133A16">
        <w:rPr>
          <w:rStyle w:val="Voetnootmarkering"/>
          <w:sz w:val="16"/>
          <w:szCs w:val="16"/>
        </w:rPr>
        <w:footnoteRef/>
      </w:r>
      <w:r w:rsidRPr="00133A16">
        <w:rPr>
          <w:sz w:val="16"/>
          <w:szCs w:val="16"/>
        </w:rPr>
        <w:t xml:space="preserve"> In deze cijfers zit ook de omzetting van contracten bij verzekeraars naar contracten bij </w:t>
      </w:r>
      <w:proofErr w:type="spellStart"/>
      <w:r w:rsidRPr="00133A16">
        <w:rPr>
          <w:sz w:val="16"/>
          <w:szCs w:val="16"/>
        </w:rPr>
        <w:t>PPI’s</w:t>
      </w:r>
      <w:proofErr w:type="spellEnd"/>
      <w:r w:rsidRPr="00133A16">
        <w:rPr>
          <w:sz w:val="16"/>
          <w:szCs w:val="16"/>
        </w:rPr>
        <w:t xml:space="preserve"> en </w:t>
      </w:r>
      <w:proofErr w:type="spellStart"/>
      <w:r w:rsidRPr="00133A16">
        <w:rPr>
          <w:sz w:val="16"/>
          <w:szCs w:val="16"/>
        </w:rPr>
        <w:t>vice</w:t>
      </w:r>
      <w:proofErr w:type="spellEnd"/>
      <w:r w:rsidRPr="00133A16">
        <w:rPr>
          <w:sz w:val="16"/>
          <w:szCs w:val="16"/>
        </w:rPr>
        <w:t xml:space="preserve"> versa. Aangezien </w:t>
      </w:r>
      <w:proofErr w:type="spellStart"/>
      <w:r w:rsidRPr="00133A16">
        <w:rPr>
          <w:sz w:val="16"/>
          <w:szCs w:val="16"/>
        </w:rPr>
        <w:t>PPI’s</w:t>
      </w:r>
      <w:proofErr w:type="spellEnd"/>
      <w:r w:rsidRPr="00133A16">
        <w:rPr>
          <w:sz w:val="16"/>
          <w:szCs w:val="16"/>
        </w:rPr>
        <w:t xml:space="preserve"> initieel een kleinere portefeuille hadden dan verzekeraars, is er bij verzekeraars mogelijk sprake van een onderschatting en bij </w:t>
      </w:r>
      <w:proofErr w:type="spellStart"/>
      <w:r w:rsidRPr="00133A16">
        <w:rPr>
          <w:sz w:val="16"/>
          <w:szCs w:val="16"/>
        </w:rPr>
        <w:t>PPI’s</w:t>
      </w:r>
      <w:proofErr w:type="spellEnd"/>
      <w:r w:rsidRPr="00133A16">
        <w:rPr>
          <w:sz w:val="16"/>
          <w:szCs w:val="16"/>
        </w:rPr>
        <w:t xml:space="preserve"> van een overschatting van het percentage omzettingen.</w:t>
      </w:r>
    </w:p>
  </w:footnote>
  <w:footnote w:id="27">
    <w:p w14:paraId="41165B72" w14:textId="1605F69F" w:rsidR="00FE51CD" w:rsidRPr="00FF4118" w:rsidRDefault="00FE51CD" w:rsidP="00FE51CD">
      <w:pPr>
        <w:pStyle w:val="Voetnoottekst"/>
        <w:rPr>
          <w:sz w:val="16"/>
          <w:szCs w:val="16"/>
        </w:rPr>
      </w:pPr>
      <w:r w:rsidRPr="00133A16">
        <w:rPr>
          <w:rStyle w:val="Voetnootmarkering"/>
          <w:sz w:val="16"/>
          <w:szCs w:val="16"/>
        </w:rPr>
        <w:footnoteRef/>
      </w:r>
      <w:r w:rsidRPr="00133A16">
        <w:rPr>
          <w:sz w:val="16"/>
          <w:szCs w:val="16"/>
        </w:rPr>
        <w:t xml:space="preserve"> Aangezien per abuis de data van één PPI (deels) zijn opgenomen bij verzekeraars ontstaat er eenmalig een lichte verschuiving. Bij de volgende rapportage wordt dit gecorrigeerd.</w:t>
      </w:r>
      <w:r w:rsidRPr="00FF4118">
        <w:rPr>
          <w:sz w:val="16"/>
          <w:szCs w:val="16"/>
        </w:rPr>
        <w:t xml:space="preserve"> </w:t>
      </w:r>
    </w:p>
  </w:footnote>
  <w:footnote w:id="28">
    <w:p w14:paraId="522CE5CA" w14:textId="091DF88A" w:rsidR="008139C9" w:rsidRPr="00875E55" w:rsidRDefault="008139C9" w:rsidP="00875E55">
      <w:pPr>
        <w:pStyle w:val="Geenafstand"/>
        <w:rPr>
          <w:sz w:val="16"/>
          <w:szCs w:val="16"/>
          <w:lang w:val="nl-NL"/>
        </w:rPr>
      </w:pPr>
      <w:r w:rsidRPr="00F13F29">
        <w:rPr>
          <w:rStyle w:val="Voetnootmarkering"/>
          <w:sz w:val="16"/>
          <w:szCs w:val="16"/>
        </w:rPr>
        <w:footnoteRef/>
      </w:r>
      <w:r w:rsidRPr="002646D0">
        <w:rPr>
          <w:sz w:val="16"/>
          <w:szCs w:val="16"/>
          <w:lang w:val="nl-NL"/>
        </w:rPr>
        <w:t xml:space="preserve"> </w:t>
      </w:r>
      <w:r w:rsidR="00DC5828" w:rsidRPr="00F13F29">
        <w:rPr>
          <w:sz w:val="16"/>
          <w:szCs w:val="16"/>
          <w:lang w:val="nl-NL"/>
        </w:rPr>
        <w:t>In de uitvraag van DNB is geen nader onderscheid gemaakt van de nieuwe contracten. Nieuwe contracten kunnen onder andere ontstaan als een werkgever met een bestaande regeling kiest voor een andere pensioenuitvoerder of als een werkgever die niet eerder een pensioenregeling had een contract afspreekt.</w:t>
      </w:r>
    </w:p>
  </w:footnote>
  <w:footnote w:id="29">
    <w:p w14:paraId="5D4BDCE5" w14:textId="77A3D405" w:rsidR="00245CCC" w:rsidRPr="00933A30" w:rsidRDefault="00245CCC" w:rsidP="00245CCC">
      <w:pPr>
        <w:pStyle w:val="Voetnoottekst"/>
        <w:rPr>
          <w:sz w:val="16"/>
          <w:szCs w:val="16"/>
        </w:rPr>
      </w:pPr>
      <w:r w:rsidRPr="00933A30">
        <w:rPr>
          <w:rStyle w:val="Voetnootmarkering"/>
          <w:sz w:val="16"/>
          <w:szCs w:val="16"/>
        </w:rPr>
        <w:footnoteRef/>
      </w:r>
      <w:r w:rsidRPr="00933A30">
        <w:rPr>
          <w:sz w:val="16"/>
          <w:szCs w:val="16"/>
        </w:rPr>
        <w:t xml:space="preserve"> EY</w:t>
      </w:r>
      <w:r w:rsidR="00546949">
        <w:rPr>
          <w:sz w:val="16"/>
          <w:szCs w:val="16"/>
        </w:rPr>
        <w:t>,</w:t>
      </w:r>
      <w:r w:rsidRPr="00933A30">
        <w:rPr>
          <w:sz w:val="16"/>
          <w:szCs w:val="16"/>
        </w:rPr>
        <w:t xml:space="preserve"> </w:t>
      </w:r>
      <w:proofErr w:type="spellStart"/>
      <w:r w:rsidRPr="00933A30">
        <w:rPr>
          <w:sz w:val="16"/>
          <w:szCs w:val="16"/>
        </w:rPr>
        <w:t>Wtp</w:t>
      </w:r>
      <w:proofErr w:type="spellEnd"/>
      <w:r w:rsidRPr="00933A30">
        <w:rPr>
          <w:sz w:val="16"/>
          <w:szCs w:val="16"/>
        </w:rPr>
        <w:t xml:space="preserve"> Transitiemonitor zomerrapportage 2026</w:t>
      </w:r>
      <w:r w:rsidR="00546949">
        <w:rPr>
          <w:sz w:val="16"/>
          <w:szCs w:val="16"/>
        </w:rPr>
        <w:t>.</w:t>
      </w:r>
    </w:p>
  </w:footnote>
  <w:footnote w:id="30">
    <w:p w14:paraId="14762A2F" w14:textId="77777777" w:rsidR="00546949" w:rsidRPr="009B7A9A" w:rsidRDefault="00546949" w:rsidP="00546949">
      <w:pPr>
        <w:pStyle w:val="Voetnoottekst"/>
        <w:rPr>
          <w:sz w:val="16"/>
          <w:szCs w:val="16"/>
        </w:rPr>
      </w:pPr>
      <w:r w:rsidRPr="009B7A9A">
        <w:rPr>
          <w:rStyle w:val="Voetnootmarkering"/>
          <w:sz w:val="16"/>
          <w:szCs w:val="16"/>
        </w:rPr>
        <w:footnoteRef/>
      </w:r>
      <w:r w:rsidRPr="009B7A9A">
        <w:rPr>
          <w:sz w:val="16"/>
          <w:szCs w:val="16"/>
        </w:rPr>
        <w:t xml:space="preserve"> In de uitvraag van DNB is geen nader onderscheid gemaakt van de nieuwe contracten. Nieuwe contracten kunnen onder andere ontstaan als een werkgever met een bestaande regeling kiest voor een andere pensioenuitvoerder of als een werkgever die niet eerder een pensioenregeling had een contract afspreekt.</w:t>
      </w:r>
    </w:p>
    <w:p w14:paraId="143D1A2E" w14:textId="77777777" w:rsidR="00546949" w:rsidRDefault="00546949" w:rsidP="00546949">
      <w:pPr>
        <w:pStyle w:val="Voetnoottekst"/>
      </w:pPr>
    </w:p>
  </w:footnote>
  <w:footnote w:id="31">
    <w:p w14:paraId="7416E0C4" w14:textId="5B8CBD82" w:rsidR="00E375AE" w:rsidRPr="00E375AE" w:rsidRDefault="00E375AE">
      <w:pPr>
        <w:pStyle w:val="Voetnoottekst"/>
        <w:rPr>
          <w:sz w:val="16"/>
          <w:szCs w:val="16"/>
        </w:rPr>
      </w:pPr>
      <w:r w:rsidRPr="00E375AE">
        <w:rPr>
          <w:rStyle w:val="Voetnootmarkering"/>
          <w:sz w:val="16"/>
          <w:szCs w:val="16"/>
        </w:rPr>
        <w:footnoteRef/>
      </w:r>
      <w:r w:rsidRPr="00E375AE">
        <w:rPr>
          <w:sz w:val="16"/>
          <w:szCs w:val="16"/>
        </w:rPr>
        <w:t xml:space="preserve"> Kamerstukken II, 2024–2025, 32043 nr. 681</w:t>
      </w:r>
      <w:r w:rsidR="00E3295C">
        <w:rPr>
          <w:sz w:val="16"/>
          <w:szCs w:val="16"/>
        </w:rPr>
        <w:t>.</w:t>
      </w:r>
    </w:p>
  </w:footnote>
  <w:footnote w:id="32">
    <w:p w14:paraId="32004F91" w14:textId="446E0174" w:rsidR="00571206" w:rsidRPr="004C7582" w:rsidRDefault="00571206">
      <w:pPr>
        <w:pStyle w:val="Voetnoottekst"/>
        <w:rPr>
          <w:sz w:val="16"/>
          <w:szCs w:val="16"/>
        </w:rPr>
      </w:pPr>
      <w:r w:rsidRPr="004C7582">
        <w:rPr>
          <w:rStyle w:val="Voetnootmarkering"/>
          <w:sz w:val="16"/>
          <w:szCs w:val="16"/>
        </w:rPr>
        <w:footnoteRef/>
      </w:r>
      <w:r w:rsidRPr="004C7582">
        <w:rPr>
          <w:sz w:val="16"/>
          <w:szCs w:val="16"/>
        </w:rPr>
        <w:t xml:space="preserve"> Kamerstukken II, 2024-2025, </w:t>
      </w:r>
      <w:r w:rsidR="007650F8">
        <w:rPr>
          <w:sz w:val="16"/>
          <w:szCs w:val="16"/>
        </w:rPr>
        <w:t>32043 nr. 681.</w:t>
      </w:r>
    </w:p>
  </w:footnote>
  <w:footnote w:id="33">
    <w:p w14:paraId="3CFA8D42" w14:textId="1D50BAA4" w:rsidR="00397B1D" w:rsidRPr="007E6506" w:rsidRDefault="00397B1D" w:rsidP="00397B1D">
      <w:pPr>
        <w:pStyle w:val="Voetnoottekst"/>
        <w:rPr>
          <w:sz w:val="16"/>
          <w:szCs w:val="16"/>
        </w:rPr>
      </w:pPr>
      <w:r w:rsidRPr="007E6506">
        <w:rPr>
          <w:rStyle w:val="Voetnootmarkering"/>
          <w:sz w:val="16"/>
          <w:szCs w:val="16"/>
        </w:rPr>
        <w:footnoteRef/>
      </w:r>
      <w:r w:rsidRPr="007E6506">
        <w:rPr>
          <w:sz w:val="16"/>
          <w:szCs w:val="16"/>
        </w:rPr>
        <w:t xml:space="preserve"> Kamerstukken II</w:t>
      </w:r>
      <w:r>
        <w:rPr>
          <w:sz w:val="16"/>
          <w:szCs w:val="16"/>
        </w:rPr>
        <w:t>,</w:t>
      </w:r>
      <w:r w:rsidRPr="007E6506">
        <w:rPr>
          <w:sz w:val="16"/>
          <w:szCs w:val="16"/>
        </w:rPr>
        <w:t xml:space="preserve"> 2025-2026, 36915 XV, nr. 14</w:t>
      </w:r>
    </w:p>
  </w:footnote>
  <w:footnote w:id="34">
    <w:p w14:paraId="53A71C97" w14:textId="37DAC114" w:rsidR="00445937" w:rsidRPr="007E6506" w:rsidRDefault="00445937" w:rsidP="00445937">
      <w:pPr>
        <w:pStyle w:val="Voetnoottekst"/>
        <w:rPr>
          <w:sz w:val="16"/>
          <w:szCs w:val="16"/>
        </w:rPr>
      </w:pPr>
      <w:r w:rsidRPr="007E6506">
        <w:rPr>
          <w:rStyle w:val="Voetnootmarkering"/>
          <w:sz w:val="16"/>
          <w:szCs w:val="16"/>
        </w:rPr>
        <w:footnoteRef/>
      </w:r>
      <w:r w:rsidRPr="007E6506">
        <w:rPr>
          <w:sz w:val="16"/>
          <w:szCs w:val="16"/>
        </w:rPr>
        <w:t xml:space="preserve"> Kamerstukken II</w:t>
      </w:r>
      <w:r>
        <w:rPr>
          <w:sz w:val="16"/>
          <w:szCs w:val="16"/>
        </w:rPr>
        <w:t>,</w:t>
      </w:r>
      <w:r w:rsidRPr="007E6506">
        <w:rPr>
          <w:sz w:val="16"/>
          <w:szCs w:val="16"/>
        </w:rPr>
        <w:t xml:space="preserve"> 2025-2026, 32043, nr. 709</w:t>
      </w:r>
    </w:p>
  </w:footnote>
  <w:footnote w:id="35">
    <w:p w14:paraId="4D00A1F9" w14:textId="77777777" w:rsidR="00445937" w:rsidRPr="007E6506" w:rsidRDefault="00445937" w:rsidP="00445937">
      <w:pPr>
        <w:pStyle w:val="Voetnoottekst"/>
        <w:rPr>
          <w:sz w:val="16"/>
          <w:szCs w:val="16"/>
        </w:rPr>
      </w:pPr>
      <w:r w:rsidRPr="007E6506">
        <w:rPr>
          <w:rStyle w:val="Voetnootmarkering"/>
          <w:sz w:val="16"/>
          <w:szCs w:val="16"/>
        </w:rPr>
        <w:footnoteRef/>
      </w:r>
      <w:r w:rsidRPr="007E6506">
        <w:rPr>
          <w:sz w:val="16"/>
          <w:szCs w:val="16"/>
        </w:rPr>
        <w:t xml:space="preserve"> Als er hoge buffers opgebouwd zijn dan worden die op transitiedatum verdeeld omdat er voor </w:t>
      </w:r>
      <w:proofErr w:type="spellStart"/>
      <w:r w:rsidRPr="007E6506">
        <w:rPr>
          <w:sz w:val="16"/>
          <w:szCs w:val="16"/>
        </w:rPr>
        <w:t>Wtp</w:t>
      </w:r>
      <w:proofErr w:type="spellEnd"/>
      <w:r w:rsidRPr="007E6506">
        <w:rPr>
          <w:sz w:val="16"/>
          <w:szCs w:val="16"/>
        </w:rPr>
        <w:t>-regelingen andere buffervereisten gelden. Dit wordt ook wel de ‘invaarbonus’ genoemd die, anders dan voor toekomstig opbouwnadeel bedoelde compensatie, betrekking heeft op de in het verleden opgebouwde buffer. Naast actieve deelnemers komen ook gewezen deelnemers en gepensioneerden hiervoor in aanmerking.</w:t>
      </w:r>
    </w:p>
  </w:footnote>
  <w:footnote w:id="36">
    <w:p w14:paraId="2C52B47C" w14:textId="77777777" w:rsidR="00445937" w:rsidRPr="00D63AB1" w:rsidRDefault="00445937" w:rsidP="00445937">
      <w:pPr>
        <w:pStyle w:val="Voetnoottekst"/>
        <w:rPr>
          <w:sz w:val="16"/>
          <w:szCs w:val="16"/>
        </w:rPr>
      </w:pPr>
      <w:r w:rsidRPr="007E6506">
        <w:rPr>
          <w:rStyle w:val="Voetnootmarkering"/>
          <w:sz w:val="16"/>
          <w:szCs w:val="16"/>
        </w:rPr>
        <w:footnoteRef/>
      </w:r>
      <w:r w:rsidRPr="007E6506">
        <w:rPr>
          <w:sz w:val="16"/>
          <w:szCs w:val="16"/>
        </w:rPr>
        <w:t xml:space="preserve"> De nieuwe pensioencontracten zorgen voor een evenwichtige verdeling van rendementen en risico’s tussen</w:t>
      </w:r>
      <w:r w:rsidRPr="00D63AB1">
        <w:rPr>
          <w:sz w:val="16"/>
          <w:szCs w:val="16"/>
        </w:rPr>
        <w:t xml:space="preserve"> deelnemers. Ook is transparanter wat wordt ingelegd en hoe dit vermogen zich ontwikkelt</w:t>
      </w:r>
    </w:p>
  </w:footnote>
  <w:footnote w:id="37">
    <w:p w14:paraId="00219452" w14:textId="77777777" w:rsidR="00397B1D" w:rsidRPr="005C2918" w:rsidRDefault="00397B1D" w:rsidP="00397B1D">
      <w:pPr>
        <w:pStyle w:val="Voetnoottekst"/>
        <w:rPr>
          <w:sz w:val="16"/>
          <w:szCs w:val="16"/>
        </w:rPr>
      </w:pPr>
      <w:r w:rsidRPr="005C2918">
        <w:rPr>
          <w:rStyle w:val="Voetnootmarkering"/>
          <w:sz w:val="16"/>
          <w:szCs w:val="16"/>
        </w:rPr>
        <w:footnoteRef/>
      </w:r>
      <w:r w:rsidRPr="005C2918">
        <w:rPr>
          <w:sz w:val="16"/>
          <w:szCs w:val="16"/>
        </w:rPr>
        <w:t xml:space="preserve"> In de Kamerbehandeling van de </w:t>
      </w:r>
      <w:proofErr w:type="spellStart"/>
      <w:r w:rsidRPr="005C2918">
        <w:rPr>
          <w:sz w:val="16"/>
          <w:szCs w:val="16"/>
        </w:rPr>
        <w:t>Wtp</w:t>
      </w:r>
      <w:proofErr w:type="spellEnd"/>
      <w:r w:rsidRPr="005C2918">
        <w:rPr>
          <w:sz w:val="16"/>
          <w:szCs w:val="16"/>
        </w:rPr>
        <w:t xml:space="preserve"> is die termijn verlengd.</w:t>
      </w:r>
    </w:p>
  </w:footnote>
  <w:footnote w:id="38">
    <w:p w14:paraId="2343CDDB" w14:textId="77777777" w:rsidR="00397B1D" w:rsidRPr="005C2918" w:rsidRDefault="00397B1D" w:rsidP="00397B1D">
      <w:pPr>
        <w:pStyle w:val="Voetnoottekst"/>
        <w:rPr>
          <w:sz w:val="16"/>
          <w:szCs w:val="16"/>
        </w:rPr>
      </w:pPr>
      <w:r w:rsidRPr="005C2918">
        <w:rPr>
          <w:rStyle w:val="Voetnootmarkering"/>
          <w:sz w:val="16"/>
          <w:szCs w:val="16"/>
        </w:rPr>
        <w:footnoteRef/>
      </w:r>
      <w:r w:rsidRPr="005C2918">
        <w:rPr>
          <w:sz w:val="16"/>
          <w:szCs w:val="16"/>
        </w:rPr>
        <w:t xml:space="preserve"> Het is wettelijk mogelijk om het toekennen van </w:t>
      </w:r>
      <w:r w:rsidRPr="005C2918">
        <w:rPr>
          <w:rFonts w:cs="Calibri"/>
          <w:sz w:val="16"/>
          <w:szCs w:val="16"/>
        </w:rPr>
        <w:t>de compensatie aan het pensioenvermogen van deelnemers te verdelen over een langere periode. In dat geval wordt compensatie toegekend in de maanden of jaren dat de compensatieregeling is afgesproken. Het gaat hierbij om een periode van maximaal tien jaar.</w:t>
      </w:r>
    </w:p>
  </w:footnote>
  <w:footnote w:id="39">
    <w:p w14:paraId="7B3D09A5" w14:textId="77777777" w:rsidR="00397B1D" w:rsidRPr="000224B3" w:rsidRDefault="00397B1D" w:rsidP="00397B1D">
      <w:pPr>
        <w:pStyle w:val="Voetnoottekst"/>
        <w:rPr>
          <w:sz w:val="16"/>
          <w:szCs w:val="16"/>
        </w:rPr>
      </w:pPr>
      <w:r w:rsidRPr="000224B3">
        <w:rPr>
          <w:rStyle w:val="Voetnootmarkering"/>
          <w:sz w:val="16"/>
          <w:szCs w:val="16"/>
        </w:rPr>
        <w:footnoteRef/>
      </w:r>
      <w:r w:rsidRPr="000224B3">
        <w:rPr>
          <w:sz w:val="16"/>
          <w:szCs w:val="16"/>
        </w:rPr>
        <w:t xml:space="preserve"> Pensioenwet artikel 150b</w:t>
      </w:r>
      <w:r>
        <w:rPr>
          <w:sz w:val="16"/>
          <w:szCs w:val="16"/>
        </w:rPr>
        <w:t>.</w:t>
      </w:r>
    </w:p>
  </w:footnote>
  <w:footnote w:id="40">
    <w:p w14:paraId="6FA80B48" w14:textId="77777777" w:rsidR="00397B1D" w:rsidRPr="00C80CD4" w:rsidRDefault="00397B1D" w:rsidP="00397B1D">
      <w:pPr>
        <w:pStyle w:val="Voetnoottekst"/>
        <w:rPr>
          <w:sz w:val="16"/>
          <w:szCs w:val="16"/>
        </w:rPr>
      </w:pPr>
      <w:r w:rsidRPr="00C80CD4">
        <w:rPr>
          <w:rStyle w:val="Voetnootmarkering"/>
          <w:sz w:val="16"/>
          <w:szCs w:val="16"/>
        </w:rPr>
        <w:footnoteRef/>
      </w:r>
      <w:r w:rsidRPr="00C80CD4">
        <w:rPr>
          <w:sz w:val="16"/>
          <w:szCs w:val="16"/>
        </w:rPr>
        <w:t xml:space="preserve"> Pensioenwet artikel 48.</w:t>
      </w:r>
    </w:p>
  </w:footnote>
  <w:footnote w:id="41">
    <w:p w14:paraId="1CC5AB3D" w14:textId="1D5C63BA" w:rsidR="00397B1D" w:rsidRPr="006E69CA" w:rsidRDefault="00397B1D" w:rsidP="00397B1D">
      <w:pPr>
        <w:pStyle w:val="Voetnoottekst"/>
        <w:rPr>
          <w:sz w:val="16"/>
          <w:szCs w:val="16"/>
        </w:rPr>
      </w:pPr>
      <w:r w:rsidRPr="006E69CA">
        <w:rPr>
          <w:rStyle w:val="Voetnootmarkering"/>
          <w:sz w:val="16"/>
          <w:szCs w:val="16"/>
        </w:rPr>
        <w:footnoteRef/>
      </w:r>
      <w:r w:rsidRPr="006E69CA">
        <w:rPr>
          <w:sz w:val="16"/>
          <w:szCs w:val="16"/>
        </w:rPr>
        <w:t xml:space="preserve"> Dit speelt bij Unilever en AKZO</w:t>
      </w:r>
      <w:r>
        <w:rPr>
          <w:sz w:val="16"/>
          <w:szCs w:val="16"/>
        </w:rPr>
        <w:t xml:space="preserve"> Nobel</w:t>
      </w:r>
      <w:r w:rsidRPr="006E69CA">
        <w:rPr>
          <w:sz w:val="16"/>
          <w:szCs w:val="16"/>
        </w:rPr>
        <w:t>, naast de bedrijven genoemd in brief</w:t>
      </w:r>
      <w:r>
        <w:rPr>
          <w:sz w:val="16"/>
          <w:szCs w:val="16"/>
        </w:rPr>
        <w:t xml:space="preserve"> </w:t>
      </w:r>
      <w:r w:rsidRPr="00C80CD4">
        <w:rPr>
          <w:sz w:val="16"/>
          <w:szCs w:val="16"/>
        </w:rPr>
        <w:t>32043, nr. 709</w:t>
      </w:r>
      <w:r w:rsidRPr="006E69CA">
        <w:rPr>
          <w:sz w:val="16"/>
          <w:szCs w:val="16"/>
        </w:rPr>
        <w:t xml:space="preserve"> (voetnoot 8)</w:t>
      </w:r>
      <w:r>
        <w:rPr>
          <w:sz w:val="16"/>
          <w:szCs w:val="16"/>
        </w:rPr>
        <w:t>.</w:t>
      </w:r>
    </w:p>
  </w:footnote>
  <w:footnote w:id="42">
    <w:p w14:paraId="66471428" w14:textId="77777777" w:rsidR="00397B1D" w:rsidRPr="00F4788E" w:rsidRDefault="00397B1D" w:rsidP="00397B1D">
      <w:pPr>
        <w:pStyle w:val="Voetnoottekst"/>
        <w:rPr>
          <w:sz w:val="16"/>
          <w:szCs w:val="16"/>
        </w:rPr>
      </w:pPr>
      <w:r w:rsidRPr="00F4788E">
        <w:rPr>
          <w:rStyle w:val="Voetnootmarkering"/>
          <w:sz w:val="16"/>
          <w:szCs w:val="16"/>
        </w:rPr>
        <w:footnoteRef/>
      </w:r>
      <w:r w:rsidRPr="00F4788E">
        <w:rPr>
          <w:sz w:val="16"/>
          <w:szCs w:val="16"/>
        </w:rPr>
        <w:t xml:space="preserve"> </w:t>
      </w:r>
      <w:hyperlink r:id="rId8" w:history="1">
        <w:r w:rsidRPr="00BC0E1B">
          <w:rPr>
            <w:rStyle w:val="Hyperlink"/>
            <w:sz w:val="16"/>
            <w:szCs w:val="16"/>
          </w:rPr>
          <w:t>Transitieplan de Volksbank.pdf</w:t>
        </w:r>
      </w:hyperlink>
    </w:p>
  </w:footnote>
  <w:footnote w:id="43">
    <w:p w14:paraId="2A18B619" w14:textId="3D1AE8F6" w:rsidR="00E863BA" w:rsidRPr="00E863BA" w:rsidRDefault="00E863BA">
      <w:pPr>
        <w:pStyle w:val="Voetnoottekst"/>
        <w:rPr>
          <w:sz w:val="16"/>
          <w:szCs w:val="16"/>
        </w:rPr>
      </w:pPr>
      <w:r w:rsidRPr="00E863BA">
        <w:rPr>
          <w:rStyle w:val="Voetnootmarkering"/>
          <w:sz w:val="16"/>
          <w:szCs w:val="16"/>
        </w:rPr>
        <w:footnoteRef/>
      </w:r>
      <w:r w:rsidRPr="00E863BA">
        <w:rPr>
          <w:sz w:val="16"/>
          <w:szCs w:val="16"/>
        </w:rPr>
        <w:t xml:space="preserve"> Pensioenfederatie (2026) “Dialoog en communicatie over de overstap.”</w:t>
      </w:r>
    </w:p>
  </w:footnote>
  <w:footnote w:id="44">
    <w:p w14:paraId="10F6E161" w14:textId="25D36D1F" w:rsidR="0078218D" w:rsidRPr="00653A8F" w:rsidRDefault="0078218D" w:rsidP="0078218D">
      <w:pPr>
        <w:pStyle w:val="Voetnoottekst"/>
        <w:rPr>
          <w:sz w:val="16"/>
          <w:szCs w:val="16"/>
        </w:rPr>
      </w:pPr>
      <w:r w:rsidRPr="00653A8F">
        <w:rPr>
          <w:rStyle w:val="Voetnootmarkering"/>
          <w:sz w:val="16"/>
          <w:szCs w:val="16"/>
        </w:rPr>
        <w:footnoteRef/>
      </w:r>
      <w:r w:rsidRPr="00653A8F">
        <w:rPr>
          <w:sz w:val="16"/>
          <w:szCs w:val="16"/>
        </w:rPr>
        <w:t xml:space="preserve"> </w:t>
      </w:r>
      <w:hyperlink r:id="rId9" w:history="1">
        <w:r w:rsidR="00047606" w:rsidRPr="00047606">
          <w:rPr>
            <w:rStyle w:val="Hyperlink"/>
            <w:sz w:val="16"/>
            <w:szCs w:val="16"/>
          </w:rPr>
          <w:t>Nationale Enquête Arbeidsomstandigheden 2025 - Resultaten in vogelvlucht</w:t>
        </w:r>
      </w:hyperlink>
    </w:p>
  </w:footnote>
  <w:footnote w:id="45">
    <w:p w14:paraId="254756C1" w14:textId="5FB3F961" w:rsidR="007F16C4" w:rsidRPr="008D3FE8" w:rsidRDefault="007F16C4" w:rsidP="008D3FE8">
      <w:pPr>
        <w:pStyle w:val="Voetnoottekst"/>
        <w:rPr>
          <w:sz w:val="16"/>
          <w:szCs w:val="16"/>
        </w:rPr>
      </w:pPr>
      <w:r w:rsidRPr="008D3FE8">
        <w:rPr>
          <w:rStyle w:val="Voetnootmarkering"/>
          <w:sz w:val="16"/>
          <w:szCs w:val="16"/>
        </w:rPr>
        <w:footnoteRef/>
      </w:r>
      <w:r w:rsidRPr="008D3FE8">
        <w:rPr>
          <w:sz w:val="16"/>
          <w:szCs w:val="16"/>
        </w:rPr>
        <w:t xml:space="preserve"> </w:t>
      </w:r>
      <w:hyperlink r:id="rId10" w:history="1">
        <w:r w:rsidRPr="008D3FE8">
          <w:rPr>
            <w:rStyle w:val="Hyperlink"/>
            <w:sz w:val="16"/>
            <w:szCs w:val="16"/>
          </w:rPr>
          <w:t>https://zoek.officielebekendmakingen.nl/stcrt-2026-13480.html</w:t>
        </w:r>
      </w:hyperlink>
      <w:r w:rsidRPr="008D3FE8">
        <w:rPr>
          <w:sz w:val="16"/>
          <w:szCs w:val="16"/>
        </w:rPr>
        <w:t xml:space="preserve"> </w:t>
      </w:r>
    </w:p>
  </w:footnote>
  <w:footnote w:id="46">
    <w:p w14:paraId="06F942E1" w14:textId="61266F9F" w:rsidR="006940D7" w:rsidRPr="00124E10" w:rsidRDefault="006940D7">
      <w:pPr>
        <w:pStyle w:val="Voetnoottekst"/>
        <w:rPr>
          <w:sz w:val="16"/>
          <w:szCs w:val="16"/>
        </w:rPr>
      </w:pPr>
      <w:r w:rsidRPr="00124E10">
        <w:rPr>
          <w:rStyle w:val="Voetnootmarkering"/>
          <w:sz w:val="16"/>
          <w:szCs w:val="16"/>
        </w:rPr>
        <w:footnoteRef/>
      </w:r>
      <w:r w:rsidRPr="00124E10">
        <w:rPr>
          <w:sz w:val="16"/>
          <w:szCs w:val="16"/>
        </w:rPr>
        <w:t xml:space="preserve"> </w:t>
      </w:r>
      <w:hyperlink r:id="rId11" w:history="1">
        <w:r w:rsidRPr="00124E10">
          <w:rPr>
            <w:rStyle w:val="Hyperlink"/>
            <w:sz w:val="16"/>
            <w:szCs w:val="16"/>
          </w:rPr>
          <w:t>https://internetconsultatie.nl/besluittoezeggingenwtp/b1</w:t>
        </w:r>
      </w:hyperlink>
      <w:r w:rsidRPr="00124E10">
        <w:rPr>
          <w:sz w:val="16"/>
          <w:szCs w:val="16"/>
        </w:rPr>
        <w:t xml:space="preserve"> </w:t>
      </w:r>
    </w:p>
  </w:footnote>
  <w:footnote w:id="47">
    <w:p w14:paraId="7B4EBEA6" w14:textId="26E1C29B" w:rsidR="00E020C9" w:rsidRPr="00E020C9" w:rsidRDefault="00E020C9">
      <w:pPr>
        <w:pStyle w:val="Voetnoottekst"/>
        <w:rPr>
          <w:sz w:val="16"/>
          <w:szCs w:val="16"/>
        </w:rPr>
      </w:pPr>
      <w:r w:rsidRPr="00E020C9">
        <w:rPr>
          <w:rStyle w:val="Voetnootmarkering"/>
          <w:sz w:val="16"/>
          <w:szCs w:val="16"/>
        </w:rPr>
        <w:footnoteRef/>
      </w:r>
      <w:r w:rsidRPr="00E020C9">
        <w:rPr>
          <w:sz w:val="16"/>
          <w:szCs w:val="16"/>
        </w:rPr>
        <w:t xml:space="preserve"> Kamerstukken II, 2025-2026, 32043 nr. 711.</w:t>
      </w:r>
    </w:p>
  </w:footnote>
  <w:footnote w:id="48">
    <w:p w14:paraId="09238615" w14:textId="0CCB406B" w:rsidR="00A03F3A" w:rsidRPr="004C7EB4" w:rsidRDefault="00A03F3A" w:rsidP="008D3FE8">
      <w:pPr>
        <w:pStyle w:val="Geenafstand"/>
        <w:rPr>
          <w:sz w:val="16"/>
          <w:szCs w:val="16"/>
          <w:lang w:val="nl-NL"/>
        </w:rPr>
      </w:pPr>
      <w:r w:rsidRPr="008D3FE8">
        <w:rPr>
          <w:rStyle w:val="Voetnootmarkering"/>
          <w:sz w:val="16"/>
          <w:szCs w:val="16"/>
        </w:rPr>
        <w:footnoteRef/>
      </w:r>
      <w:r w:rsidRPr="008D3FE8">
        <w:rPr>
          <w:sz w:val="16"/>
          <w:szCs w:val="16"/>
          <w:lang w:val="nl-NL"/>
        </w:rPr>
        <w:t xml:space="preserve"> </w:t>
      </w:r>
      <w:proofErr w:type="spellStart"/>
      <w:r w:rsidR="004C7EB4" w:rsidRPr="008D3FE8">
        <w:rPr>
          <w:sz w:val="16"/>
          <w:szCs w:val="16"/>
          <w:lang w:val="nl-NL"/>
        </w:rPr>
        <w:t>Wtp</w:t>
      </w:r>
      <w:proofErr w:type="spellEnd"/>
      <w:r w:rsidR="004C7EB4" w:rsidRPr="008D3FE8">
        <w:rPr>
          <w:sz w:val="16"/>
          <w:szCs w:val="16"/>
          <w:lang w:val="nl-NL"/>
        </w:rPr>
        <w:t xml:space="preserve">-uitvraag van Q2-2026, De Nederlandsche Bank in combinatie met bericht: </w:t>
      </w:r>
      <w:hyperlink r:id="rId12" w:history="1">
        <w:r w:rsidR="000D4D3F" w:rsidRPr="008D3FE8">
          <w:rPr>
            <w:rStyle w:val="Hyperlink"/>
            <w:sz w:val="16"/>
            <w:szCs w:val="16"/>
            <w:lang w:val="nl-NL"/>
          </w:rPr>
          <w:t>Invaarklas van 1 juli 2026 heeft beschikking van DNB binnen | Pensioen Pro</w:t>
        </w:r>
      </w:hyperlink>
    </w:p>
  </w:footnote>
  <w:footnote w:id="49">
    <w:p w14:paraId="51FF3FD5" w14:textId="2C712AA7" w:rsidR="00C5258F" w:rsidRPr="00C5258F" w:rsidRDefault="00C5258F">
      <w:pPr>
        <w:pStyle w:val="Voetnoottekst"/>
        <w:rPr>
          <w:sz w:val="16"/>
          <w:szCs w:val="16"/>
        </w:rPr>
      </w:pPr>
      <w:r w:rsidRPr="00C5258F">
        <w:rPr>
          <w:rStyle w:val="Voetnootmarkering"/>
          <w:sz w:val="16"/>
          <w:szCs w:val="16"/>
        </w:rPr>
        <w:footnoteRef/>
      </w:r>
      <w:r w:rsidRPr="00C5258F">
        <w:rPr>
          <w:sz w:val="16"/>
          <w:szCs w:val="16"/>
        </w:rPr>
        <w:t xml:space="preserve"> Kamerstukken II, 2022-2023, 36067 nr. 191.</w:t>
      </w:r>
    </w:p>
  </w:footnote>
  <w:footnote w:id="50">
    <w:p w14:paraId="03B1E95E" w14:textId="5A1B3E84" w:rsidR="00C20282" w:rsidRPr="002B622A" w:rsidRDefault="00C20282" w:rsidP="00C20282">
      <w:pPr>
        <w:pStyle w:val="Voetnoottekst"/>
        <w:rPr>
          <w:rFonts w:cs="Calibri"/>
          <w:sz w:val="16"/>
          <w:szCs w:val="16"/>
        </w:rPr>
      </w:pPr>
      <w:r w:rsidRPr="002B622A">
        <w:rPr>
          <w:rStyle w:val="Voetnootmarkering"/>
          <w:rFonts w:cs="Calibri"/>
          <w:sz w:val="16"/>
          <w:szCs w:val="16"/>
        </w:rPr>
        <w:footnoteRef/>
      </w:r>
      <w:r w:rsidRPr="002B622A">
        <w:rPr>
          <w:rFonts w:cs="Calibri"/>
          <w:sz w:val="16"/>
          <w:szCs w:val="16"/>
        </w:rPr>
        <w:t xml:space="preserve"> Compound </w:t>
      </w:r>
      <w:proofErr w:type="spellStart"/>
      <w:r w:rsidRPr="002B622A">
        <w:rPr>
          <w:rFonts w:cs="Calibri"/>
          <w:sz w:val="16"/>
          <w:szCs w:val="16"/>
        </w:rPr>
        <w:t>Annual</w:t>
      </w:r>
      <w:proofErr w:type="spellEnd"/>
      <w:r w:rsidRPr="002B622A">
        <w:rPr>
          <w:rFonts w:cs="Calibri"/>
          <w:sz w:val="16"/>
          <w:szCs w:val="16"/>
        </w:rPr>
        <w:t xml:space="preserve"> </w:t>
      </w:r>
      <w:proofErr w:type="spellStart"/>
      <w:r w:rsidRPr="002B622A">
        <w:rPr>
          <w:rFonts w:cs="Calibri"/>
          <w:sz w:val="16"/>
          <w:szCs w:val="16"/>
        </w:rPr>
        <w:t>Growth</w:t>
      </w:r>
      <w:proofErr w:type="spellEnd"/>
      <w:r w:rsidRPr="002B622A">
        <w:rPr>
          <w:rFonts w:cs="Calibri"/>
          <w:sz w:val="16"/>
          <w:szCs w:val="16"/>
        </w:rPr>
        <w:t xml:space="preserve"> </w:t>
      </w:r>
      <w:proofErr w:type="spellStart"/>
      <w:r w:rsidRPr="002B622A">
        <w:rPr>
          <w:rFonts w:cs="Calibri"/>
          <w:sz w:val="16"/>
          <w:szCs w:val="16"/>
        </w:rPr>
        <w:t>Rate</w:t>
      </w:r>
      <w:proofErr w:type="spellEnd"/>
      <w:r w:rsidRPr="002B622A">
        <w:rPr>
          <w:rFonts w:cs="Calibri"/>
          <w:sz w:val="16"/>
          <w:szCs w:val="16"/>
        </w:rPr>
        <w:t xml:space="preserve"> in percentages: ((</w:t>
      </w:r>
      <w:proofErr w:type="gramStart"/>
      <w:r w:rsidRPr="002B622A">
        <w:rPr>
          <w:rFonts w:cs="Calibri"/>
          <w:sz w:val="16"/>
          <w:szCs w:val="16"/>
        </w:rPr>
        <w:t>Eindwaarde /</w:t>
      </w:r>
      <w:proofErr w:type="gramEnd"/>
      <w:r w:rsidRPr="002B622A">
        <w:rPr>
          <w:rFonts w:cs="Calibri"/>
          <w:sz w:val="16"/>
          <w:szCs w:val="16"/>
        </w:rPr>
        <w:t xml:space="preserve"> Beginwaarde) ^ (1 / Jaren) - 1) * 100</w:t>
      </w:r>
    </w:p>
  </w:footnote>
  <w:footnote w:id="51">
    <w:p w14:paraId="291F9B2E" w14:textId="5D0292E9" w:rsidR="00894FC0" w:rsidRPr="002B622A" w:rsidRDefault="00894FC0" w:rsidP="00894FC0">
      <w:pPr>
        <w:pStyle w:val="Voetnoottekst"/>
        <w:rPr>
          <w:rFonts w:cs="Calibri"/>
          <w:sz w:val="16"/>
          <w:szCs w:val="16"/>
        </w:rPr>
      </w:pPr>
      <w:r w:rsidRPr="002B622A">
        <w:rPr>
          <w:rStyle w:val="Voetnootmarkering"/>
          <w:rFonts w:cs="Calibri"/>
          <w:sz w:val="16"/>
          <w:szCs w:val="16"/>
        </w:rPr>
        <w:footnoteRef/>
      </w:r>
      <w:r w:rsidRPr="002B622A">
        <w:rPr>
          <w:rFonts w:cs="Calibri"/>
          <w:sz w:val="16"/>
          <w:szCs w:val="16"/>
        </w:rPr>
        <w:t xml:space="preserve"> </w:t>
      </w:r>
      <w:hyperlink r:id="rId13" w:history="1">
        <w:r w:rsidR="002B622A" w:rsidRPr="009D0273">
          <w:rPr>
            <w:rStyle w:val="Hyperlink"/>
            <w:rFonts w:cs="Calibri"/>
            <w:sz w:val="16"/>
            <w:szCs w:val="16"/>
          </w:rPr>
          <w:t>https://www.pfzw.nl/over-pfzw/nieuws/hoger-pensioeninkomen-vanaf-maart-2026.html</w:t>
        </w:r>
      </w:hyperlink>
      <w:r w:rsidR="002B622A">
        <w:rPr>
          <w:rFonts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22EA" w14:textId="77777777" w:rsidR="001E272E" w:rsidRDefault="001E27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E0BA" w14:textId="77777777" w:rsidR="004B168C" w:rsidRDefault="006F2178">
    <w:r>
      <w:rPr>
        <w:noProof/>
      </w:rPr>
      <mc:AlternateContent>
        <mc:Choice Requires="wps">
          <w:drawing>
            <wp:anchor distT="0" distB="0" distL="0" distR="0" simplePos="0" relativeHeight="251658240" behindDoc="0" locked="1" layoutInCell="1" allowOverlap="1" wp14:anchorId="4DC6E0BE" wp14:editId="4DC6E0BF">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DC6E0F0" w14:textId="77777777" w:rsidR="004B168C" w:rsidRDefault="006F2178">
                          <w:pPr>
                            <w:pStyle w:val="Referentiegegevenskopjes"/>
                          </w:pPr>
                          <w:r>
                            <w:t>Datum</w:t>
                          </w:r>
                        </w:p>
                        <w:p w14:paraId="506BAD2D" w14:textId="21C56B6D" w:rsidR="00B15259" w:rsidRDefault="00AD7C07">
                          <w:pPr>
                            <w:pStyle w:val="Referentiegegevens"/>
                          </w:pPr>
                          <w:r>
                            <w:t>02-07-2026</w:t>
                          </w:r>
                          <w:r w:rsidR="00F55090">
                            <w:fldChar w:fldCharType="begin"/>
                          </w:r>
                          <w:r w:rsidR="00F55090">
                            <w:instrText xml:space="preserve"> DOCPROPERTY  "iDatum"  \* MERGEFORMAT </w:instrText>
                          </w:r>
                          <w:r w:rsidR="00F55090">
                            <w:fldChar w:fldCharType="end"/>
                          </w:r>
                        </w:p>
                        <w:p w14:paraId="4DC6E0F2" w14:textId="77777777" w:rsidR="004B168C" w:rsidRDefault="004B168C">
                          <w:pPr>
                            <w:pStyle w:val="WitregelW1"/>
                          </w:pPr>
                        </w:p>
                        <w:p w14:paraId="4DC6E0F3" w14:textId="77777777" w:rsidR="004B168C" w:rsidRDefault="006F2178">
                          <w:pPr>
                            <w:pStyle w:val="Referentiegegevenskopjes"/>
                          </w:pPr>
                          <w:r>
                            <w:t>Onze referentie</w:t>
                          </w:r>
                        </w:p>
                        <w:p w14:paraId="53D53D8B" w14:textId="61F3F8E5" w:rsidR="00075669" w:rsidRDefault="00157505">
                          <w:pPr>
                            <w:pStyle w:val="ReferentiegegevensHL"/>
                          </w:pPr>
                          <w:fldSimple w:instr=" DOCPROPERTY  &quot;iOnsKenmerk&quot;  \* MERGEFORMAT ">
                            <w:r w:rsidR="001E272E">
                              <w:t>2026-0000212491</w:t>
                            </w:r>
                          </w:fldSimple>
                        </w:p>
                      </w:txbxContent>
                    </wps:txbx>
                    <wps:bodyPr vert="horz" wrap="square" lIns="0" tIns="0" rIns="0" bIns="0" anchor="t" anchorCtr="0"/>
                  </wps:wsp>
                </a:graphicData>
              </a:graphic>
            </wp:anchor>
          </w:drawing>
        </mc:Choice>
        <mc:Fallback>
          <w:pict>
            <v:shapetype w14:anchorId="4DC6E0B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DC6E0F0" w14:textId="77777777" w:rsidR="004B168C" w:rsidRDefault="006F2178">
                    <w:pPr>
                      <w:pStyle w:val="Referentiegegevenskopjes"/>
                    </w:pPr>
                    <w:r>
                      <w:t>Datum</w:t>
                    </w:r>
                  </w:p>
                  <w:p w14:paraId="506BAD2D" w14:textId="21C56B6D" w:rsidR="00B15259" w:rsidRDefault="00AD7C07">
                    <w:pPr>
                      <w:pStyle w:val="Referentiegegevens"/>
                    </w:pPr>
                    <w:r>
                      <w:t>02-07-2026</w:t>
                    </w:r>
                    <w:r w:rsidR="00F55090">
                      <w:fldChar w:fldCharType="begin"/>
                    </w:r>
                    <w:r w:rsidR="00F55090">
                      <w:instrText xml:space="preserve"> DOCPROPERTY  "iDatum"  \* MERGEFORMAT </w:instrText>
                    </w:r>
                    <w:r w:rsidR="00F55090">
                      <w:fldChar w:fldCharType="end"/>
                    </w:r>
                  </w:p>
                  <w:p w14:paraId="4DC6E0F2" w14:textId="77777777" w:rsidR="004B168C" w:rsidRDefault="004B168C">
                    <w:pPr>
                      <w:pStyle w:val="WitregelW1"/>
                    </w:pPr>
                  </w:p>
                  <w:p w14:paraId="4DC6E0F3" w14:textId="77777777" w:rsidR="004B168C" w:rsidRDefault="006F2178">
                    <w:pPr>
                      <w:pStyle w:val="Referentiegegevenskopjes"/>
                    </w:pPr>
                    <w:r>
                      <w:t>Onze referentie</w:t>
                    </w:r>
                  </w:p>
                  <w:p w14:paraId="53D53D8B" w14:textId="61F3F8E5" w:rsidR="00075669" w:rsidRDefault="00157505">
                    <w:pPr>
                      <w:pStyle w:val="ReferentiegegevensHL"/>
                    </w:pPr>
                    <w:fldSimple w:instr=" DOCPROPERTY  &quot;iOnsKenmerk&quot;  \* MERGEFORMAT ">
                      <w:r w:rsidR="001E272E">
                        <w:t>2026-0000212491</w:t>
                      </w:r>
                    </w:fldSimple>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4DC6E0C0" wp14:editId="4DC6E0C1">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CEE27A" w14:textId="77777777" w:rsidR="00B15259" w:rsidRDefault="00F5509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DC6E0C0"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8CEE27A" w14:textId="77777777" w:rsidR="00B15259" w:rsidRDefault="00F5509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E0BC" w14:textId="77777777" w:rsidR="004B168C" w:rsidRDefault="006F2178">
    <w:pPr>
      <w:spacing w:after="7029" w:line="14" w:lineRule="exact"/>
    </w:pPr>
    <w:r>
      <w:rPr>
        <w:noProof/>
      </w:rPr>
      <mc:AlternateContent>
        <mc:Choice Requires="wps">
          <w:drawing>
            <wp:anchor distT="0" distB="0" distL="0" distR="0" simplePos="0" relativeHeight="251658242" behindDoc="0" locked="1" layoutInCell="1" allowOverlap="1" wp14:anchorId="4DC6E0C2" wp14:editId="4DC6E0C3">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C6E0CE" w14:textId="77777777" w:rsidR="004B168C" w:rsidRDefault="006F2178">
                          <w:pPr>
                            <w:spacing w:line="240" w:lineRule="auto"/>
                          </w:pPr>
                          <w:r>
                            <w:rPr>
                              <w:noProof/>
                            </w:rPr>
                            <w:drawing>
                              <wp:inline distT="0" distB="0" distL="0" distR="0">
                                <wp:extent cx="2339975" cy="1582834"/>
                                <wp:effectExtent l="0" t="0" r="0" b="0"/>
                                <wp:docPr id="1261331737"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DC6E0C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DC6E0CE" w14:textId="77777777" w:rsidR="004B168C" w:rsidRDefault="006F2178">
                    <w:pPr>
                      <w:spacing w:line="240" w:lineRule="auto"/>
                    </w:pPr>
                    <w:r>
                      <w:rPr>
                        <w:noProof/>
                      </w:rPr>
                      <w:drawing>
                        <wp:inline distT="0" distB="0" distL="0" distR="0">
                          <wp:extent cx="2339975" cy="1582834"/>
                          <wp:effectExtent l="0" t="0" r="0" b="0"/>
                          <wp:docPr id="1261331737"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4DC6E0C4" wp14:editId="4DC6E0C5">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DC6E0D1" w14:textId="77777777" w:rsidR="004B168C" w:rsidRPr="00AD7C07" w:rsidRDefault="006F2178">
                          <w:pPr>
                            <w:pStyle w:val="Afzendgegevens"/>
                            <w:rPr>
                              <w:lang w:val="de-DE"/>
                            </w:rPr>
                          </w:pPr>
                          <w:r w:rsidRPr="00AD7C07">
                            <w:rPr>
                              <w:lang w:val="de-DE"/>
                            </w:rPr>
                            <w:t>Postbus 90801</w:t>
                          </w:r>
                        </w:p>
                        <w:p w14:paraId="4DC6E0D2" w14:textId="77777777" w:rsidR="004B168C" w:rsidRPr="00AD7C07" w:rsidRDefault="006F2178">
                          <w:pPr>
                            <w:pStyle w:val="Afzendgegevens"/>
                            <w:rPr>
                              <w:lang w:val="de-DE"/>
                            </w:rPr>
                          </w:pPr>
                          <w:r w:rsidRPr="00AD7C07">
                            <w:rPr>
                              <w:lang w:val="de-DE"/>
                            </w:rPr>
                            <w:t xml:space="preserve">2509 </w:t>
                          </w:r>
                          <w:proofErr w:type="gramStart"/>
                          <w:r w:rsidRPr="00AD7C07">
                            <w:rPr>
                              <w:lang w:val="de-DE"/>
                            </w:rPr>
                            <w:t>LV  Den</w:t>
                          </w:r>
                          <w:proofErr w:type="gramEnd"/>
                          <w:r w:rsidRPr="00AD7C07">
                            <w:rPr>
                              <w:lang w:val="de-DE"/>
                            </w:rPr>
                            <w:t xml:space="preserve"> Haag</w:t>
                          </w:r>
                        </w:p>
                        <w:p w14:paraId="4DC6E0D3" w14:textId="77777777" w:rsidR="004B168C" w:rsidRPr="00AD7C07" w:rsidRDefault="006F2178">
                          <w:pPr>
                            <w:pStyle w:val="Afzendgegevens"/>
                            <w:rPr>
                              <w:lang w:val="de-DE"/>
                            </w:rPr>
                          </w:pPr>
                          <w:r w:rsidRPr="00AD7C07">
                            <w:rPr>
                              <w:lang w:val="de-DE"/>
                            </w:rPr>
                            <w:t>T   070 333 44 44</w:t>
                          </w:r>
                        </w:p>
                        <w:p w14:paraId="4DC6E0D4" w14:textId="77777777" w:rsidR="004B168C" w:rsidRPr="00AD7C07" w:rsidRDefault="004B168C">
                          <w:pPr>
                            <w:pStyle w:val="WitregelW2"/>
                            <w:rPr>
                              <w:lang w:val="de-DE"/>
                            </w:rPr>
                          </w:pPr>
                        </w:p>
                        <w:p w14:paraId="4DC6E0D5" w14:textId="77777777" w:rsidR="004B168C" w:rsidRDefault="006F2178">
                          <w:pPr>
                            <w:pStyle w:val="Referentiegegevenskopjes"/>
                          </w:pPr>
                          <w:r>
                            <w:t>Onze referentie</w:t>
                          </w:r>
                        </w:p>
                        <w:p w14:paraId="7BA14118" w14:textId="0AAB5669" w:rsidR="00075669" w:rsidRDefault="00157505">
                          <w:pPr>
                            <w:pStyle w:val="ReferentiegegevensHL"/>
                          </w:pPr>
                          <w:fldSimple w:instr=" DOCPROPERTY  &quot;iOnsKenmerk&quot;  \* MERGEFORMAT ">
                            <w:r w:rsidR="001E272E">
                              <w:t>2026-0000212491</w:t>
                            </w:r>
                          </w:fldSimple>
                        </w:p>
                        <w:p w14:paraId="4DC6E0D7" w14:textId="77777777" w:rsidR="004B168C" w:rsidRDefault="004B168C">
                          <w:pPr>
                            <w:pStyle w:val="WitregelW1"/>
                          </w:pPr>
                        </w:p>
                        <w:p w14:paraId="2596A308" w14:textId="343152DE" w:rsidR="00B15259" w:rsidRDefault="00F55090">
                          <w:pPr>
                            <w:pStyle w:val="Referentiegegevens"/>
                          </w:pPr>
                          <w:r>
                            <w:fldChar w:fldCharType="begin"/>
                          </w:r>
                          <w:r>
                            <w:instrText xml:space="preserve"> DOCPROPERTY  "iCC"  \* MERGEFORMAT </w:instrText>
                          </w:r>
                          <w:r>
                            <w:fldChar w:fldCharType="end"/>
                          </w:r>
                        </w:p>
                        <w:p w14:paraId="4DC6E0D9" w14:textId="77777777" w:rsidR="004B168C" w:rsidRDefault="004B168C">
                          <w:pPr>
                            <w:pStyle w:val="WitregelW1"/>
                          </w:pPr>
                        </w:p>
                        <w:p w14:paraId="4DC6E0DA" w14:textId="77777777" w:rsidR="004B168C" w:rsidRDefault="006F2178">
                          <w:pPr>
                            <w:pStyle w:val="Referentiegegevenskopjes"/>
                          </w:pPr>
                          <w:r>
                            <w:t>Bijlage(n)</w:t>
                          </w:r>
                        </w:p>
                        <w:p w14:paraId="0540A666" w14:textId="67D7E7C4" w:rsidR="00075669" w:rsidRDefault="001B3B47">
                          <w:pPr>
                            <w:pStyle w:val="Referentiegegevens"/>
                          </w:pPr>
                          <w:r>
                            <w:t>6</w:t>
                          </w:r>
                        </w:p>
                      </w:txbxContent>
                    </wps:txbx>
                    <wps:bodyPr vert="horz" wrap="square" lIns="0" tIns="0" rIns="0" bIns="0" anchor="t" anchorCtr="0"/>
                  </wps:wsp>
                </a:graphicData>
              </a:graphic>
            </wp:anchor>
          </w:drawing>
        </mc:Choice>
        <mc:Fallback>
          <w:pict>
            <v:shape w14:anchorId="4DC6E0C4"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DC6E0D1" w14:textId="77777777" w:rsidR="004B168C" w:rsidRPr="00AD7C07" w:rsidRDefault="006F2178">
                    <w:pPr>
                      <w:pStyle w:val="Afzendgegevens"/>
                      <w:rPr>
                        <w:lang w:val="de-DE"/>
                      </w:rPr>
                    </w:pPr>
                    <w:r w:rsidRPr="00AD7C07">
                      <w:rPr>
                        <w:lang w:val="de-DE"/>
                      </w:rPr>
                      <w:t>Postbus 90801</w:t>
                    </w:r>
                  </w:p>
                  <w:p w14:paraId="4DC6E0D2" w14:textId="77777777" w:rsidR="004B168C" w:rsidRPr="00AD7C07" w:rsidRDefault="006F2178">
                    <w:pPr>
                      <w:pStyle w:val="Afzendgegevens"/>
                      <w:rPr>
                        <w:lang w:val="de-DE"/>
                      </w:rPr>
                    </w:pPr>
                    <w:r w:rsidRPr="00AD7C07">
                      <w:rPr>
                        <w:lang w:val="de-DE"/>
                      </w:rPr>
                      <w:t xml:space="preserve">2509 </w:t>
                    </w:r>
                    <w:proofErr w:type="gramStart"/>
                    <w:r w:rsidRPr="00AD7C07">
                      <w:rPr>
                        <w:lang w:val="de-DE"/>
                      </w:rPr>
                      <w:t>LV  Den</w:t>
                    </w:r>
                    <w:proofErr w:type="gramEnd"/>
                    <w:r w:rsidRPr="00AD7C07">
                      <w:rPr>
                        <w:lang w:val="de-DE"/>
                      </w:rPr>
                      <w:t xml:space="preserve"> Haag</w:t>
                    </w:r>
                  </w:p>
                  <w:p w14:paraId="4DC6E0D3" w14:textId="77777777" w:rsidR="004B168C" w:rsidRPr="00AD7C07" w:rsidRDefault="006F2178">
                    <w:pPr>
                      <w:pStyle w:val="Afzendgegevens"/>
                      <w:rPr>
                        <w:lang w:val="de-DE"/>
                      </w:rPr>
                    </w:pPr>
                    <w:r w:rsidRPr="00AD7C07">
                      <w:rPr>
                        <w:lang w:val="de-DE"/>
                      </w:rPr>
                      <w:t>T   070 333 44 44</w:t>
                    </w:r>
                  </w:p>
                  <w:p w14:paraId="4DC6E0D4" w14:textId="77777777" w:rsidR="004B168C" w:rsidRPr="00AD7C07" w:rsidRDefault="004B168C">
                    <w:pPr>
                      <w:pStyle w:val="WitregelW2"/>
                      <w:rPr>
                        <w:lang w:val="de-DE"/>
                      </w:rPr>
                    </w:pPr>
                  </w:p>
                  <w:p w14:paraId="4DC6E0D5" w14:textId="77777777" w:rsidR="004B168C" w:rsidRDefault="006F2178">
                    <w:pPr>
                      <w:pStyle w:val="Referentiegegevenskopjes"/>
                    </w:pPr>
                    <w:r>
                      <w:t>Onze referentie</w:t>
                    </w:r>
                  </w:p>
                  <w:p w14:paraId="7BA14118" w14:textId="0AAB5669" w:rsidR="00075669" w:rsidRDefault="00157505">
                    <w:pPr>
                      <w:pStyle w:val="ReferentiegegevensHL"/>
                    </w:pPr>
                    <w:fldSimple w:instr=" DOCPROPERTY  &quot;iOnsKenmerk&quot;  \* MERGEFORMAT ">
                      <w:r w:rsidR="001E272E">
                        <w:t>2026-0000212491</w:t>
                      </w:r>
                    </w:fldSimple>
                  </w:p>
                  <w:p w14:paraId="4DC6E0D7" w14:textId="77777777" w:rsidR="004B168C" w:rsidRDefault="004B168C">
                    <w:pPr>
                      <w:pStyle w:val="WitregelW1"/>
                    </w:pPr>
                  </w:p>
                  <w:p w14:paraId="2596A308" w14:textId="343152DE" w:rsidR="00B15259" w:rsidRDefault="00F55090">
                    <w:pPr>
                      <w:pStyle w:val="Referentiegegevens"/>
                    </w:pPr>
                    <w:r>
                      <w:fldChar w:fldCharType="begin"/>
                    </w:r>
                    <w:r>
                      <w:instrText xml:space="preserve"> DOCPROPERTY  "iCC"  \* MERGEFORMAT </w:instrText>
                    </w:r>
                    <w:r>
                      <w:fldChar w:fldCharType="end"/>
                    </w:r>
                  </w:p>
                  <w:p w14:paraId="4DC6E0D9" w14:textId="77777777" w:rsidR="004B168C" w:rsidRDefault="004B168C">
                    <w:pPr>
                      <w:pStyle w:val="WitregelW1"/>
                    </w:pPr>
                  </w:p>
                  <w:p w14:paraId="4DC6E0DA" w14:textId="77777777" w:rsidR="004B168C" w:rsidRDefault="006F2178">
                    <w:pPr>
                      <w:pStyle w:val="Referentiegegevenskopjes"/>
                    </w:pPr>
                    <w:r>
                      <w:t>Bijlage(n)</w:t>
                    </w:r>
                  </w:p>
                  <w:p w14:paraId="0540A666" w14:textId="67D7E7C4" w:rsidR="00075669" w:rsidRDefault="001B3B47">
                    <w:pPr>
                      <w:pStyle w:val="Referentiegegevens"/>
                    </w:pPr>
                    <w:r>
                      <w:t>6</w:t>
                    </w:r>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4DC6E0C6" wp14:editId="4DC6E0C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DC6E0DC" w14:textId="77777777" w:rsidR="004B168C" w:rsidRDefault="006F217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DC6E0C6"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DC6E0DC" w14:textId="77777777" w:rsidR="004B168C" w:rsidRDefault="006F2178">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4DC6E0C8" wp14:editId="4DC6E0C9">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DC6E0DD" w14:textId="77777777" w:rsidR="004B168C" w:rsidRDefault="006F2178">
                          <w:r>
                            <w:t>De voorzitter van de Tweede Kamer der Staten-Generaal</w:t>
                          </w:r>
                        </w:p>
                        <w:p w14:paraId="4DC6E0DE" w14:textId="77777777" w:rsidR="004B168C" w:rsidRDefault="006F2178">
                          <w:r>
                            <w:t xml:space="preserve">Postbus 20018 </w:t>
                          </w:r>
                        </w:p>
                        <w:p w14:paraId="4DC6E0DF" w14:textId="77777777" w:rsidR="004B168C" w:rsidRDefault="006F2178">
                          <w:r>
                            <w:t>2500 EA  Den Haag</w:t>
                          </w:r>
                        </w:p>
                        <w:p w14:paraId="4DC6E0E0" w14:textId="77777777" w:rsidR="004B168C" w:rsidRDefault="006F2178">
                          <w:pPr>
                            <w:pStyle w:val="KixCode"/>
                          </w:pPr>
                          <w:r>
                            <w:t>2500 EA</w:t>
                          </w:r>
                        </w:p>
                      </w:txbxContent>
                    </wps:txbx>
                    <wps:bodyPr vert="horz" wrap="square" lIns="0" tIns="0" rIns="0" bIns="0" anchor="t" anchorCtr="0"/>
                  </wps:wsp>
                </a:graphicData>
              </a:graphic>
            </wp:anchor>
          </w:drawing>
        </mc:Choice>
        <mc:Fallback>
          <w:pict>
            <v:shape w14:anchorId="4DC6E0C8"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DC6E0DD" w14:textId="77777777" w:rsidR="004B168C" w:rsidRDefault="006F2178">
                    <w:r>
                      <w:t>De voorzitter van de Tweede Kamer der Staten-Generaal</w:t>
                    </w:r>
                  </w:p>
                  <w:p w14:paraId="4DC6E0DE" w14:textId="77777777" w:rsidR="004B168C" w:rsidRDefault="006F2178">
                    <w:r>
                      <w:t xml:space="preserve">Postbus 20018 </w:t>
                    </w:r>
                  </w:p>
                  <w:p w14:paraId="4DC6E0DF" w14:textId="77777777" w:rsidR="004B168C" w:rsidRDefault="006F2178">
                    <w:r>
                      <w:t>2500 EA  Den Haag</w:t>
                    </w:r>
                  </w:p>
                  <w:p w14:paraId="4DC6E0E0" w14:textId="77777777" w:rsidR="004B168C" w:rsidRDefault="006F2178">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4DC6E0CA" wp14:editId="4DC6E0CB">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B168C" w14:paraId="4DC6E0E3" w14:textId="77777777">
                            <w:trPr>
                              <w:trHeight w:val="200"/>
                            </w:trPr>
                            <w:tc>
                              <w:tcPr>
                                <w:tcW w:w="1134" w:type="dxa"/>
                              </w:tcPr>
                              <w:p w14:paraId="4DC6E0E1" w14:textId="77777777" w:rsidR="004B168C" w:rsidRDefault="004B168C"/>
                            </w:tc>
                            <w:tc>
                              <w:tcPr>
                                <w:tcW w:w="5244" w:type="dxa"/>
                              </w:tcPr>
                              <w:p w14:paraId="4DC6E0E2" w14:textId="77777777" w:rsidR="004B168C" w:rsidRDefault="004B168C"/>
                            </w:tc>
                          </w:tr>
                          <w:tr w:rsidR="004B168C" w14:paraId="4DC6E0E6" w14:textId="77777777">
                            <w:trPr>
                              <w:trHeight w:val="240"/>
                            </w:trPr>
                            <w:tc>
                              <w:tcPr>
                                <w:tcW w:w="1134" w:type="dxa"/>
                              </w:tcPr>
                              <w:p w14:paraId="4DC6E0E4" w14:textId="77777777" w:rsidR="004B168C" w:rsidRDefault="006F2178">
                                <w:r>
                                  <w:t>Datum</w:t>
                                </w:r>
                              </w:p>
                            </w:tc>
                            <w:tc>
                              <w:tcPr>
                                <w:tcW w:w="5244" w:type="dxa"/>
                              </w:tcPr>
                              <w:p w14:paraId="58F69BD2" w14:textId="655E57AB" w:rsidR="00B15259" w:rsidRDefault="00AD7C07">
                                <w:r>
                                  <w:t>2 juli 2026</w:t>
                                </w:r>
                                <w:r w:rsidR="00F55090">
                                  <w:fldChar w:fldCharType="begin"/>
                                </w:r>
                                <w:r w:rsidR="00F55090">
                                  <w:instrText xml:space="preserve"> DOCPROPERTY  "iDatum"  \* MERGEFORMAT </w:instrText>
                                </w:r>
                                <w:r w:rsidR="00F55090">
                                  <w:fldChar w:fldCharType="end"/>
                                </w:r>
                              </w:p>
                            </w:tc>
                          </w:tr>
                          <w:tr w:rsidR="004B168C" w14:paraId="4DC6E0E9" w14:textId="77777777">
                            <w:trPr>
                              <w:trHeight w:val="240"/>
                            </w:trPr>
                            <w:tc>
                              <w:tcPr>
                                <w:tcW w:w="1134" w:type="dxa"/>
                              </w:tcPr>
                              <w:p w14:paraId="4DC6E0E7" w14:textId="77777777" w:rsidR="004B168C" w:rsidRDefault="006F2178">
                                <w:r>
                                  <w:t>Betreft</w:t>
                                </w:r>
                              </w:p>
                            </w:tc>
                            <w:tc>
                              <w:tcPr>
                                <w:tcW w:w="5244" w:type="dxa"/>
                              </w:tcPr>
                              <w:p w14:paraId="2BAB129B" w14:textId="553829FC" w:rsidR="00075669" w:rsidRDefault="00157505">
                                <w:fldSimple w:instr=" DOCPROPERTY  &quot;iOnderwerp&quot;  \* MERGEFORMAT ">
                                  <w:r w:rsidR="001E272E">
                                    <w:t>Voortgangsrapportage monitoring Wet toekomst pensioenen - zomer 2026</w:t>
                                  </w:r>
                                </w:fldSimple>
                              </w:p>
                            </w:tc>
                          </w:tr>
                          <w:tr w:rsidR="004B168C" w14:paraId="4DC6E0EC" w14:textId="77777777">
                            <w:trPr>
                              <w:trHeight w:val="200"/>
                            </w:trPr>
                            <w:tc>
                              <w:tcPr>
                                <w:tcW w:w="1134" w:type="dxa"/>
                              </w:tcPr>
                              <w:p w14:paraId="4DC6E0EA" w14:textId="77777777" w:rsidR="004B168C" w:rsidRDefault="004B168C"/>
                            </w:tc>
                            <w:tc>
                              <w:tcPr>
                                <w:tcW w:w="5244" w:type="dxa"/>
                              </w:tcPr>
                              <w:p w14:paraId="4DC6E0EB" w14:textId="77777777" w:rsidR="004B168C" w:rsidRDefault="004B168C"/>
                            </w:tc>
                          </w:tr>
                        </w:tbl>
                        <w:p w14:paraId="4DC6E0FA" w14:textId="77777777" w:rsidR="006F2178" w:rsidRDefault="006F2178"/>
                      </w:txbxContent>
                    </wps:txbx>
                    <wps:bodyPr vert="horz" wrap="square" lIns="0" tIns="0" rIns="0" bIns="0" anchor="t" anchorCtr="0"/>
                  </wps:wsp>
                </a:graphicData>
              </a:graphic>
            </wp:anchor>
          </w:drawing>
        </mc:Choice>
        <mc:Fallback>
          <w:pict>
            <v:shape w14:anchorId="4DC6E0CA"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B168C" w14:paraId="4DC6E0E3" w14:textId="77777777">
                      <w:trPr>
                        <w:trHeight w:val="200"/>
                      </w:trPr>
                      <w:tc>
                        <w:tcPr>
                          <w:tcW w:w="1134" w:type="dxa"/>
                        </w:tcPr>
                        <w:p w14:paraId="4DC6E0E1" w14:textId="77777777" w:rsidR="004B168C" w:rsidRDefault="004B168C"/>
                      </w:tc>
                      <w:tc>
                        <w:tcPr>
                          <w:tcW w:w="5244" w:type="dxa"/>
                        </w:tcPr>
                        <w:p w14:paraId="4DC6E0E2" w14:textId="77777777" w:rsidR="004B168C" w:rsidRDefault="004B168C"/>
                      </w:tc>
                    </w:tr>
                    <w:tr w:rsidR="004B168C" w14:paraId="4DC6E0E6" w14:textId="77777777">
                      <w:trPr>
                        <w:trHeight w:val="240"/>
                      </w:trPr>
                      <w:tc>
                        <w:tcPr>
                          <w:tcW w:w="1134" w:type="dxa"/>
                        </w:tcPr>
                        <w:p w14:paraId="4DC6E0E4" w14:textId="77777777" w:rsidR="004B168C" w:rsidRDefault="006F2178">
                          <w:r>
                            <w:t>Datum</w:t>
                          </w:r>
                        </w:p>
                      </w:tc>
                      <w:tc>
                        <w:tcPr>
                          <w:tcW w:w="5244" w:type="dxa"/>
                        </w:tcPr>
                        <w:p w14:paraId="58F69BD2" w14:textId="655E57AB" w:rsidR="00B15259" w:rsidRDefault="00AD7C07">
                          <w:r>
                            <w:t>2 juli 2026</w:t>
                          </w:r>
                          <w:r w:rsidR="00F55090">
                            <w:fldChar w:fldCharType="begin"/>
                          </w:r>
                          <w:r w:rsidR="00F55090">
                            <w:instrText xml:space="preserve"> DOCPROPERTY  "iDatum"  \* MERGEFORMAT </w:instrText>
                          </w:r>
                          <w:r w:rsidR="00F55090">
                            <w:fldChar w:fldCharType="end"/>
                          </w:r>
                        </w:p>
                      </w:tc>
                    </w:tr>
                    <w:tr w:rsidR="004B168C" w14:paraId="4DC6E0E9" w14:textId="77777777">
                      <w:trPr>
                        <w:trHeight w:val="240"/>
                      </w:trPr>
                      <w:tc>
                        <w:tcPr>
                          <w:tcW w:w="1134" w:type="dxa"/>
                        </w:tcPr>
                        <w:p w14:paraId="4DC6E0E7" w14:textId="77777777" w:rsidR="004B168C" w:rsidRDefault="006F2178">
                          <w:r>
                            <w:t>Betreft</w:t>
                          </w:r>
                        </w:p>
                      </w:tc>
                      <w:tc>
                        <w:tcPr>
                          <w:tcW w:w="5244" w:type="dxa"/>
                        </w:tcPr>
                        <w:p w14:paraId="2BAB129B" w14:textId="553829FC" w:rsidR="00075669" w:rsidRDefault="00157505">
                          <w:fldSimple w:instr=" DOCPROPERTY  &quot;iOnderwerp&quot;  \* MERGEFORMAT ">
                            <w:r w:rsidR="001E272E">
                              <w:t>Voortgangsrapportage monitoring Wet toekomst pensioenen - zomer 2026</w:t>
                            </w:r>
                          </w:fldSimple>
                        </w:p>
                      </w:tc>
                    </w:tr>
                    <w:tr w:rsidR="004B168C" w14:paraId="4DC6E0EC" w14:textId="77777777">
                      <w:trPr>
                        <w:trHeight w:val="200"/>
                      </w:trPr>
                      <w:tc>
                        <w:tcPr>
                          <w:tcW w:w="1134" w:type="dxa"/>
                        </w:tcPr>
                        <w:p w14:paraId="4DC6E0EA" w14:textId="77777777" w:rsidR="004B168C" w:rsidRDefault="004B168C"/>
                      </w:tc>
                      <w:tc>
                        <w:tcPr>
                          <w:tcW w:w="5244" w:type="dxa"/>
                        </w:tcPr>
                        <w:p w14:paraId="4DC6E0EB" w14:textId="77777777" w:rsidR="004B168C" w:rsidRDefault="004B168C"/>
                      </w:tc>
                    </w:tr>
                  </w:tbl>
                  <w:p w14:paraId="4DC6E0FA" w14:textId="77777777" w:rsidR="006F2178" w:rsidRDefault="006F2178"/>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4DC6E0CC" wp14:editId="4DC6E0C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AE7E2E" w14:textId="77777777" w:rsidR="00B15259" w:rsidRDefault="00F5509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DC6E0CC"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2AE7E2E" w14:textId="77777777" w:rsidR="00B15259" w:rsidRDefault="00F5509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31DDC"/>
    <w:multiLevelType w:val="multilevel"/>
    <w:tmpl w:val="B0FC97D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9E53133"/>
    <w:multiLevelType w:val="multilevel"/>
    <w:tmpl w:val="7DF9D16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26EF8D"/>
    <w:multiLevelType w:val="multilevel"/>
    <w:tmpl w:val="8666D6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C4F8E95"/>
    <w:multiLevelType w:val="multilevel"/>
    <w:tmpl w:val="A17FC62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EEA8C3"/>
    <w:multiLevelType w:val="multilevel"/>
    <w:tmpl w:val="81FE42E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90E02B8"/>
    <w:multiLevelType w:val="multilevel"/>
    <w:tmpl w:val="E65CF32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2D6EFB"/>
    <w:multiLevelType w:val="hybridMultilevel"/>
    <w:tmpl w:val="A91282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7650AA"/>
    <w:multiLevelType w:val="hybridMultilevel"/>
    <w:tmpl w:val="A720EEB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0D650EB2"/>
    <w:multiLevelType w:val="hybridMultilevel"/>
    <w:tmpl w:val="66460E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10165818"/>
    <w:multiLevelType w:val="hybridMultilevel"/>
    <w:tmpl w:val="A5788E0A"/>
    <w:lvl w:ilvl="0" w:tplc="4344D2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14F45D8"/>
    <w:multiLevelType w:val="hybridMultilevel"/>
    <w:tmpl w:val="CE0299D2"/>
    <w:lvl w:ilvl="0" w:tplc="7966D1F2">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A51C4C"/>
    <w:multiLevelType w:val="hybridMultilevel"/>
    <w:tmpl w:val="7BD4D1F0"/>
    <w:lvl w:ilvl="0" w:tplc="69C64488">
      <w:start w:val="1"/>
      <w:numFmt w:val="bullet"/>
      <w:lvlText w:val=""/>
      <w:lvlJc w:val="left"/>
      <w:pPr>
        <w:ind w:left="1440" w:hanging="360"/>
      </w:pPr>
      <w:rPr>
        <w:rFonts w:ascii="Symbol" w:hAnsi="Symbol"/>
      </w:rPr>
    </w:lvl>
    <w:lvl w:ilvl="1" w:tplc="6E4256BA">
      <w:start w:val="1"/>
      <w:numFmt w:val="bullet"/>
      <w:lvlText w:val=""/>
      <w:lvlJc w:val="left"/>
      <w:pPr>
        <w:ind w:left="1440" w:hanging="360"/>
      </w:pPr>
      <w:rPr>
        <w:rFonts w:ascii="Symbol" w:hAnsi="Symbol"/>
      </w:rPr>
    </w:lvl>
    <w:lvl w:ilvl="2" w:tplc="A3F0D7DC">
      <w:start w:val="1"/>
      <w:numFmt w:val="bullet"/>
      <w:lvlText w:val=""/>
      <w:lvlJc w:val="left"/>
      <w:pPr>
        <w:ind w:left="1440" w:hanging="360"/>
      </w:pPr>
      <w:rPr>
        <w:rFonts w:ascii="Symbol" w:hAnsi="Symbol"/>
      </w:rPr>
    </w:lvl>
    <w:lvl w:ilvl="3" w:tplc="A0426A28">
      <w:start w:val="1"/>
      <w:numFmt w:val="bullet"/>
      <w:lvlText w:val=""/>
      <w:lvlJc w:val="left"/>
      <w:pPr>
        <w:ind w:left="1440" w:hanging="360"/>
      </w:pPr>
      <w:rPr>
        <w:rFonts w:ascii="Symbol" w:hAnsi="Symbol"/>
      </w:rPr>
    </w:lvl>
    <w:lvl w:ilvl="4" w:tplc="F55ECDDA">
      <w:start w:val="1"/>
      <w:numFmt w:val="bullet"/>
      <w:lvlText w:val=""/>
      <w:lvlJc w:val="left"/>
      <w:pPr>
        <w:ind w:left="1440" w:hanging="360"/>
      </w:pPr>
      <w:rPr>
        <w:rFonts w:ascii="Symbol" w:hAnsi="Symbol"/>
      </w:rPr>
    </w:lvl>
    <w:lvl w:ilvl="5" w:tplc="9BB05AA8">
      <w:start w:val="1"/>
      <w:numFmt w:val="bullet"/>
      <w:lvlText w:val=""/>
      <w:lvlJc w:val="left"/>
      <w:pPr>
        <w:ind w:left="1440" w:hanging="360"/>
      </w:pPr>
      <w:rPr>
        <w:rFonts w:ascii="Symbol" w:hAnsi="Symbol"/>
      </w:rPr>
    </w:lvl>
    <w:lvl w:ilvl="6" w:tplc="591E24C6">
      <w:start w:val="1"/>
      <w:numFmt w:val="bullet"/>
      <w:lvlText w:val=""/>
      <w:lvlJc w:val="left"/>
      <w:pPr>
        <w:ind w:left="1440" w:hanging="360"/>
      </w:pPr>
      <w:rPr>
        <w:rFonts w:ascii="Symbol" w:hAnsi="Symbol"/>
      </w:rPr>
    </w:lvl>
    <w:lvl w:ilvl="7" w:tplc="27D8DCD2">
      <w:start w:val="1"/>
      <w:numFmt w:val="bullet"/>
      <w:lvlText w:val=""/>
      <w:lvlJc w:val="left"/>
      <w:pPr>
        <w:ind w:left="1440" w:hanging="360"/>
      </w:pPr>
      <w:rPr>
        <w:rFonts w:ascii="Symbol" w:hAnsi="Symbol"/>
      </w:rPr>
    </w:lvl>
    <w:lvl w:ilvl="8" w:tplc="E7C4E974">
      <w:start w:val="1"/>
      <w:numFmt w:val="bullet"/>
      <w:lvlText w:val=""/>
      <w:lvlJc w:val="left"/>
      <w:pPr>
        <w:ind w:left="1440" w:hanging="360"/>
      </w:pPr>
      <w:rPr>
        <w:rFonts w:ascii="Symbol" w:hAnsi="Symbol"/>
      </w:rPr>
    </w:lvl>
  </w:abstractNum>
  <w:abstractNum w:abstractNumId="12" w15:restartNumberingAfterBreak="0">
    <w:nsid w:val="23C1646D"/>
    <w:multiLevelType w:val="multilevel"/>
    <w:tmpl w:val="9404F838"/>
    <w:styleLink w:val="MultilevelListStyleYellow"/>
    <w:lvl w:ilvl="0">
      <w:start w:val="1"/>
      <w:numFmt w:val="bullet"/>
      <w:pStyle w:val="ListBulletYellow1"/>
      <w:lvlText w:val=""/>
      <w:lvlJc w:val="left"/>
      <w:pPr>
        <w:ind w:left="284" w:hanging="284"/>
      </w:pPr>
      <w:rPr>
        <w:rFonts w:ascii="Wingdings" w:hAnsi="Wingdings" w:hint="default"/>
        <w:b/>
        <w:i w:val="0"/>
        <w:strike w:val="0"/>
        <w:dstrike w:val="0"/>
        <w:color w:val="FFE600"/>
        <w:spacing w:val="8"/>
        <w:sz w:val="19"/>
        <w:szCs w:val="20"/>
        <w:u w:val="none"/>
        <w:effect w:val="none"/>
      </w:rPr>
    </w:lvl>
    <w:lvl w:ilvl="1">
      <w:start w:val="1"/>
      <w:numFmt w:val="bullet"/>
      <w:pStyle w:val="ListBulletYellow2"/>
      <w:lvlText w:val=""/>
      <w:lvlJc w:val="left"/>
      <w:pPr>
        <w:ind w:left="644" w:hanging="360"/>
      </w:pPr>
      <w:rPr>
        <w:rFonts w:ascii="Wingdings" w:hAnsi="Wingdings" w:hint="default"/>
        <w:color w:val="FFE600"/>
      </w:rPr>
    </w:lvl>
    <w:lvl w:ilvl="2">
      <w:start w:val="1"/>
      <w:numFmt w:val="bullet"/>
      <w:pStyle w:val="ListBulletYellow3"/>
      <w:lvlText w:val=""/>
      <w:lvlJc w:val="left"/>
      <w:pPr>
        <w:ind w:left="928" w:hanging="360"/>
      </w:pPr>
      <w:rPr>
        <w:rFonts w:ascii="Wingdings" w:hAnsi="Wingdings" w:hint="default"/>
        <w:color w:val="FFE600"/>
      </w:rPr>
    </w:lvl>
    <w:lvl w:ilvl="3">
      <w:start w:val="1"/>
      <w:numFmt w:val="bullet"/>
      <w:lvlText w:val="•"/>
      <w:lvlJc w:val="left"/>
      <w:pPr>
        <w:ind w:left="1136" w:hanging="284"/>
      </w:pPr>
      <w:rPr>
        <w:rFonts w:ascii="EYInterstate" w:hAnsi="EYInterstate" w:hint="default"/>
        <w:b/>
        <w:i w:val="0"/>
        <w:strike w:val="0"/>
        <w:dstrike w:val="0"/>
        <w:color w:val="FFE600"/>
        <w:sz w:val="19"/>
        <w:szCs w:val="20"/>
        <w:u w:val="none"/>
        <w:effect w:val="none"/>
      </w:rPr>
    </w:lvl>
    <w:lvl w:ilvl="4">
      <w:start w:val="1"/>
      <w:numFmt w:val="bullet"/>
      <w:lvlText w:val="•"/>
      <w:lvlJc w:val="left"/>
      <w:pPr>
        <w:ind w:left="1420" w:hanging="284"/>
      </w:pPr>
      <w:rPr>
        <w:rFonts w:ascii="EYInterstate" w:hAnsi="EYInterstate" w:hint="default"/>
        <w:b/>
        <w:i w:val="0"/>
        <w:strike w:val="0"/>
        <w:dstrike w:val="0"/>
        <w:color w:val="FFE600"/>
        <w:sz w:val="19"/>
        <w:szCs w:val="20"/>
        <w:u w:val="none"/>
        <w:effect w:val="none"/>
      </w:rPr>
    </w:lvl>
    <w:lvl w:ilvl="5">
      <w:start w:val="1"/>
      <w:numFmt w:val="bullet"/>
      <w:lvlText w:val="•"/>
      <w:lvlJc w:val="left"/>
      <w:pPr>
        <w:tabs>
          <w:tab w:val="num" w:pos="1701"/>
        </w:tabs>
        <w:ind w:left="1704" w:hanging="284"/>
      </w:pPr>
      <w:rPr>
        <w:rFonts w:ascii="EYInterstate" w:hAnsi="EYInterstate" w:hint="default"/>
        <w:b/>
        <w:i w:val="0"/>
        <w:strike w:val="0"/>
        <w:dstrike w:val="0"/>
        <w:color w:val="FFE600"/>
        <w:sz w:val="19"/>
        <w:szCs w:val="20"/>
        <w:u w:val="none"/>
        <w:effect w:val="none"/>
      </w:rPr>
    </w:lvl>
    <w:lvl w:ilvl="6">
      <w:start w:val="1"/>
      <w:numFmt w:val="bullet"/>
      <w:lvlText w:val="•"/>
      <w:lvlJc w:val="left"/>
      <w:pPr>
        <w:tabs>
          <w:tab w:val="num" w:pos="1985"/>
        </w:tabs>
        <w:ind w:left="1988" w:hanging="284"/>
      </w:pPr>
      <w:rPr>
        <w:rFonts w:ascii="EYInterstate" w:hAnsi="EYInterstate" w:hint="default"/>
        <w:b/>
        <w:i w:val="0"/>
        <w:strike w:val="0"/>
        <w:dstrike w:val="0"/>
        <w:color w:val="FFE600"/>
        <w:sz w:val="19"/>
        <w:szCs w:val="20"/>
        <w:u w:val="none"/>
        <w:effect w:val="none"/>
      </w:rPr>
    </w:lvl>
    <w:lvl w:ilvl="7">
      <w:start w:val="1"/>
      <w:numFmt w:val="bullet"/>
      <w:lvlText w:val="•"/>
      <w:lvlJc w:val="left"/>
      <w:pPr>
        <w:tabs>
          <w:tab w:val="num" w:pos="2268"/>
        </w:tabs>
        <w:ind w:left="2272" w:hanging="284"/>
      </w:pPr>
      <w:rPr>
        <w:rFonts w:ascii="EYInterstate" w:hAnsi="EYInterstate" w:hint="default"/>
        <w:b/>
        <w:i w:val="0"/>
        <w:strike w:val="0"/>
        <w:dstrike w:val="0"/>
        <w:color w:val="FFE600"/>
        <w:sz w:val="19"/>
        <w:szCs w:val="20"/>
        <w:u w:val="none"/>
        <w:effect w:val="none"/>
      </w:rPr>
    </w:lvl>
    <w:lvl w:ilvl="8">
      <w:start w:val="1"/>
      <w:numFmt w:val="bullet"/>
      <w:lvlText w:val="•"/>
      <w:lvlJc w:val="left"/>
      <w:pPr>
        <w:tabs>
          <w:tab w:val="num" w:pos="2552"/>
        </w:tabs>
        <w:ind w:left="2556" w:hanging="284"/>
      </w:pPr>
      <w:rPr>
        <w:rFonts w:ascii="EYInterstate" w:hAnsi="EYInterstate" w:hint="default"/>
        <w:b/>
        <w:i w:val="0"/>
        <w:strike w:val="0"/>
        <w:dstrike w:val="0"/>
        <w:color w:val="FFE600"/>
        <w:sz w:val="19"/>
        <w:szCs w:val="20"/>
        <w:u w:val="none"/>
        <w:effect w:val="none"/>
      </w:rPr>
    </w:lvl>
  </w:abstractNum>
  <w:abstractNum w:abstractNumId="13" w15:restartNumberingAfterBreak="0">
    <w:nsid w:val="2AC91AC1"/>
    <w:multiLevelType w:val="hybridMultilevel"/>
    <w:tmpl w:val="91F2700E"/>
    <w:lvl w:ilvl="0" w:tplc="89A05934">
      <w:start w:val="1"/>
      <w:numFmt w:val="bullet"/>
      <w:lvlText w:val="-"/>
      <w:lvlJc w:val="left"/>
      <w:pPr>
        <w:ind w:left="360" w:hanging="360"/>
      </w:pPr>
      <w:rPr>
        <w:rFonts w:ascii="Aptos" w:eastAsia="Aptos" w:hAnsi="Apto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34A26E1B"/>
    <w:multiLevelType w:val="hybridMultilevel"/>
    <w:tmpl w:val="7D64069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DC7424B"/>
    <w:multiLevelType w:val="hybridMultilevel"/>
    <w:tmpl w:val="C5C83DDE"/>
    <w:lvl w:ilvl="0" w:tplc="6D586C78">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2973FC"/>
    <w:multiLevelType w:val="hybridMultilevel"/>
    <w:tmpl w:val="714277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A96329E"/>
    <w:multiLevelType w:val="hybridMultilevel"/>
    <w:tmpl w:val="D228006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51F32B9D"/>
    <w:multiLevelType w:val="hybridMultilevel"/>
    <w:tmpl w:val="C8F60BF2"/>
    <w:lvl w:ilvl="0" w:tplc="C0A871A6">
      <w:start w:val="1"/>
      <w:numFmt w:val="bullet"/>
      <w:lvlText w:val=""/>
      <w:lvlJc w:val="left"/>
      <w:pPr>
        <w:ind w:left="1080" w:hanging="360"/>
      </w:pPr>
      <w:rPr>
        <w:rFonts w:ascii="Symbol" w:hAnsi="Symbol"/>
      </w:rPr>
    </w:lvl>
    <w:lvl w:ilvl="1" w:tplc="51046958">
      <w:start w:val="1"/>
      <w:numFmt w:val="bullet"/>
      <w:lvlText w:val=""/>
      <w:lvlJc w:val="left"/>
      <w:pPr>
        <w:ind w:left="1080" w:hanging="360"/>
      </w:pPr>
      <w:rPr>
        <w:rFonts w:ascii="Symbol" w:hAnsi="Symbol"/>
      </w:rPr>
    </w:lvl>
    <w:lvl w:ilvl="2" w:tplc="E0F49DA0">
      <w:start w:val="1"/>
      <w:numFmt w:val="bullet"/>
      <w:lvlText w:val=""/>
      <w:lvlJc w:val="left"/>
      <w:pPr>
        <w:ind w:left="1080" w:hanging="360"/>
      </w:pPr>
      <w:rPr>
        <w:rFonts w:ascii="Symbol" w:hAnsi="Symbol"/>
      </w:rPr>
    </w:lvl>
    <w:lvl w:ilvl="3" w:tplc="6EB20DAA">
      <w:start w:val="1"/>
      <w:numFmt w:val="bullet"/>
      <w:lvlText w:val=""/>
      <w:lvlJc w:val="left"/>
      <w:pPr>
        <w:ind w:left="1080" w:hanging="360"/>
      </w:pPr>
      <w:rPr>
        <w:rFonts w:ascii="Symbol" w:hAnsi="Symbol"/>
      </w:rPr>
    </w:lvl>
    <w:lvl w:ilvl="4" w:tplc="B29216B4">
      <w:start w:val="1"/>
      <w:numFmt w:val="bullet"/>
      <w:lvlText w:val=""/>
      <w:lvlJc w:val="left"/>
      <w:pPr>
        <w:ind w:left="1080" w:hanging="360"/>
      </w:pPr>
      <w:rPr>
        <w:rFonts w:ascii="Symbol" w:hAnsi="Symbol"/>
      </w:rPr>
    </w:lvl>
    <w:lvl w:ilvl="5" w:tplc="743ECE7A">
      <w:start w:val="1"/>
      <w:numFmt w:val="bullet"/>
      <w:lvlText w:val=""/>
      <w:lvlJc w:val="left"/>
      <w:pPr>
        <w:ind w:left="1080" w:hanging="360"/>
      </w:pPr>
      <w:rPr>
        <w:rFonts w:ascii="Symbol" w:hAnsi="Symbol"/>
      </w:rPr>
    </w:lvl>
    <w:lvl w:ilvl="6" w:tplc="92625DF2">
      <w:start w:val="1"/>
      <w:numFmt w:val="bullet"/>
      <w:lvlText w:val=""/>
      <w:lvlJc w:val="left"/>
      <w:pPr>
        <w:ind w:left="1080" w:hanging="360"/>
      </w:pPr>
      <w:rPr>
        <w:rFonts w:ascii="Symbol" w:hAnsi="Symbol"/>
      </w:rPr>
    </w:lvl>
    <w:lvl w:ilvl="7" w:tplc="7DA0DE3A">
      <w:start w:val="1"/>
      <w:numFmt w:val="bullet"/>
      <w:lvlText w:val=""/>
      <w:lvlJc w:val="left"/>
      <w:pPr>
        <w:ind w:left="1080" w:hanging="360"/>
      </w:pPr>
      <w:rPr>
        <w:rFonts w:ascii="Symbol" w:hAnsi="Symbol"/>
      </w:rPr>
    </w:lvl>
    <w:lvl w:ilvl="8" w:tplc="D1BC98A6">
      <w:start w:val="1"/>
      <w:numFmt w:val="bullet"/>
      <w:lvlText w:val=""/>
      <w:lvlJc w:val="left"/>
      <w:pPr>
        <w:ind w:left="1080" w:hanging="360"/>
      </w:pPr>
      <w:rPr>
        <w:rFonts w:ascii="Symbol" w:hAnsi="Symbol"/>
      </w:rPr>
    </w:lvl>
  </w:abstractNum>
  <w:abstractNum w:abstractNumId="19" w15:restartNumberingAfterBreak="0">
    <w:nsid w:val="530D6EA1"/>
    <w:multiLevelType w:val="hybridMultilevel"/>
    <w:tmpl w:val="D8D4DB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F3435A"/>
    <w:multiLevelType w:val="hybridMultilevel"/>
    <w:tmpl w:val="25F69B58"/>
    <w:lvl w:ilvl="0" w:tplc="E6366546">
      <w:start w:val="1"/>
      <w:numFmt w:val="bullet"/>
      <w:lvlText w:val=""/>
      <w:lvlJc w:val="left"/>
      <w:pPr>
        <w:ind w:left="1440" w:hanging="360"/>
      </w:pPr>
      <w:rPr>
        <w:rFonts w:ascii="Symbol" w:hAnsi="Symbol"/>
      </w:rPr>
    </w:lvl>
    <w:lvl w:ilvl="1" w:tplc="9516D696">
      <w:start w:val="1"/>
      <w:numFmt w:val="bullet"/>
      <w:lvlText w:val=""/>
      <w:lvlJc w:val="left"/>
      <w:pPr>
        <w:ind w:left="1440" w:hanging="360"/>
      </w:pPr>
      <w:rPr>
        <w:rFonts w:ascii="Symbol" w:hAnsi="Symbol"/>
      </w:rPr>
    </w:lvl>
    <w:lvl w:ilvl="2" w:tplc="ECAC3498">
      <w:start w:val="1"/>
      <w:numFmt w:val="bullet"/>
      <w:lvlText w:val=""/>
      <w:lvlJc w:val="left"/>
      <w:pPr>
        <w:ind w:left="1440" w:hanging="360"/>
      </w:pPr>
      <w:rPr>
        <w:rFonts w:ascii="Symbol" w:hAnsi="Symbol"/>
      </w:rPr>
    </w:lvl>
    <w:lvl w:ilvl="3" w:tplc="17E02EEC">
      <w:start w:val="1"/>
      <w:numFmt w:val="bullet"/>
      <w:lvlText w:val=""/>
      <w:lvlJc w:val="left"/>
      <w:pPr>
        <w:ind w:left="1440" w:hanging="360"/>
      </w:pPr>
      <w:rPr>
        <w:rFonts w:ascii="Symbol" w:hAnsi="Symbol"/>
      </w:rPr>
    </w:lvl>
    <w:lvl w:ilvl="4" w:tplc="801E5BD4">
      <w:start w:val="1"/>
      <w:numFmt w:val="bullet"/>
      <w:lvlText w:val=""/>
      <w:lvlJc w:val="left"/>
      <w:pPr>
        <w:ind w:left="1440" w:hanging="360"/>
      </w:pPr>
      <w:rPr>
        <w:rFonts w:ascii="Symbol" w:hAnsi="Symbol"/>
      </w:rPr>
    </w:lvl>
    <w:lvl w:ilvl="5" w:tplc="6BD8A108">
      <w:start w:val="1"/>
      <w:numFmt w:val="bullet"/>
      <w:lvlText w:val=""/>
      <w:lvlJc w:val="left"/>
      <w:pPr>
        <w:ind w:left="1440" w:hanging="360"/>
      </w:pPr>
      <w:rPr>
        <w:rFonts w:ascii="Symbol" w:hAnsi="Symbol"/>
      </w:rPr>
    </w:lvl>
    <w:lvl w:ilvl="6" w:tplc="61E26EB2">
      <w:start w:val="1"/>
      <w:numFmt w:val="bullet"/>
      <w:lvlText w:val=""/>
      <w:lvlJc w:val="left"/>
      <w:pPr>
        <w:ind w:left="1440" w:hanging="360"/>
      </w:pPr>
      <w:rPr>
        <w:rFonts w:ascii="Symbol" w:hAnsi="Symbol"/>
      </w:rPr>
    </w:lvl>
    <w:lvl w:ilvl="7" w:tplc="177E94F8">
      <w:start w:val="1"/>
      <w:numFmt w:val="bullet"/>
      <w:lvlText w:val=""/>
      <w:lvlJc w:val="left"/>
      <w:pPr>
        <w:ind w:left="1440" w:hanging="360"/>
      </w:pPr>
      <w:rPr>
        <w:rFonts w:ascii="Symbol" w:hAnsi="Symbol"/>
      </w:rPr>
    </w:lvl>
    <w:lvl w:ilvl="8" w:tplc="63D41D4C">
      <w:start w:val="1"/>
      <w:numFmt w:val="bullet"/>
      <w:lvlText w:val=""/>
      <w:lvlJc w:val="left"/>
      <w:pPr>
        <w:ind w:left="1440" w:hanging="360"/>
      </w:pPr>
      <w:rPr>
        <w:rFonts w:ascii="Symbol" w:hAnsi="Symbol"/>
      </w:rPr>
    </w:lvl>
  </w:abstractNum>
  <w:abstractNum w:abstractNumId="21" w15:restartNumberingAfterBreak="0">
    <w:nsid w:val="5CFD1FE2"/>
    <w:multiLevelType w:val="hybridMultilevel"/>
    <w:tmpl w:val="CFBAA7D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E92F299"/>
    <w:multiLevelType w:val="multilevel"/>
    <w:tmpl w:val="D21B63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619A1855"/>
    <w:multiLevelType w:val="hybridMultilevel"/>
    <w:tmpl w:val="D4FC5FAA"/>
    <w:lvl w:ilvl="0" w:tplc="A6266AB2">
      <w:numFmt w:val="bullet"/>
      <w:lvlText w:val="-"/>
      <w:lvlJc w:val="left"/>
      <w:pPr>
        <w:ind w:left="1068" w:hanging="360"/>
      </w:pPr>
      <w:rPr>
        <w:rFonts w:ascii="Segoe UI" w:eastAsia="Aptos" w:hAnsi="Segoe UI" w:cs="Segoe U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4" w15:restartNumberingAfterBreak="0">
    <w:nsid w:val="63D367E0"/>
    <w:multiLevelType w:val="hybridMultilevel"/>
    <w:tmpl w:val="7BF85F60"/>
    <w:lvl w:ilvl="0" w:tplc="563A87F0">
      <w:start w:val="1"/>
      <w:numFmt w:val="bullet"/>
      <w:lvlText w:val=""/>
      <w:lvlJc w:val="left"/>
      <w:pPr>
        <w:ind w:left="1080" w:hanging="360"/>
      </w:pPr>
      <w:rPr>
        <w:rFonts w:ascii="Symbol" w:hAnsi="Symbol"/>
      </w:rPr>
    </w:lvl>
    <w:lvl w:ilvl="1" w:tplc="A162A336">
      <w:start w:val="1"/>
      <w:numFmt w:val="bullet"/>
      <w:lvlText w:val=""/>
      <w:lvlJc w:val="left"/>
      <w:pPr>
        <w:ind w:left="1080" w:hanging="360"/>
      </w:pPr>
      <w:rPr>
        <w:rFonts w:ascii="Symbol" w:hAnsi="Symbol"/>
      </w:rPr>
    </w:lvl>
    <w:lvl w:ilvl="2" w:tplc="C3D420BC">
      <w:start w:val="1"/>
      <w:numFmt w:val="bullet"/>
      <w:lvlText w:val=""/>
      <w:lvlJc w:val="left"/>
      <w:pPr>
        <w:ind w:left="1080" w:hanging="360"/>
      </w:pPr>
      <w:rPr>
        <w:rFonts w:ascii="Symbol" w:hAnsi="Symbol"/>
      </w:rPr>
    </w:lvl>
    <w:lvl w:ilvl="3" w:tplc="3C40D28A">
      <w:start w:val="1"/>
      <w:numFmt w:val="bullet"/>
      <w:lvlText w:val=""/>
      <w:lvlJc w:val="left"/>
      <w:pPr>
        <w:ind w:left="1080" w:hanging="360"/>
      </w:pPr>
      <w:rPr>
        <w:rFonts w:ascii="Symbol" w:hAnsi="Symbol"/>
      </w:rPr>
    </w:lvl>
    <w:lvl w:ilvl="4" w:tplc="A7841A1E">
      <w:start w:val="1"/>
      <w:numFmt w:val="bullet"/>
      <w:lvlText w:val=""/>
      <w:lvlJc w:val="left"/>
      <w:pPr>
        <w:ind w:left="1080" w:hanging="360"/>
      </w:pPr>
      <w:rPr>
        <w:rFonts w:ascii="Symbol" w:hAnsi="Symbol"/>
      </w:rPr>
    </w:lvl>
    <w:lvl w:ilvl="5" w:tplc="5E181310">
      <w:start w:val="1"/>
      <w:numFmt w:val="bullet"/>
      <w:lvlText w:val=""/>
      <w:lvlJc w:val="left"/>
      <w:pPr>
        <w:ind w:left="1080" w:hanging="360"/>
      </w:pPr>
      <w:rPr>
        <w:rFonts w:ascii="Symbol" w:hAnsi="Symbol"/>
      </w:rPr>
    </w:lvl>
    <w:lvl w:ilvl="6" w:tplc="CCD4639E">
      <w:start w:val="1"/>
      <w:numFmt w:val="bullet"/>
      <w:lvlText w:val=""/>
      <w:lvlJc w:val="left"/>
      <w:pPr>
        <w:ind w:left="1080" w:hanging="360"/>
      </w:pPr>
      <w:rPr>
        <w:rFonts w:ascii="Symbol" w:hAnsi="Symbol"/>
      </w:rPr>
    </w:lvl>
    <w:lvl w:ilvl="7" w:tplc="140EB94E">
      <w:start w:val="1"/>
      <w:numFmt w:val="bullet"/>
      <w:lvlText w:val=""/>
      <w:lvlJc w:val="left"/>
      <w:pPr>
        <w:ind w:left="1080" w:hanging="360"/>
      </w:pPr>
      <w:rPr>
        <w:rFonts w:ascii="Symbol" w:hAnsi="Symbol"/>
      </w:rPr>
    </w:lvl>
    <w:lvl w:ilvl="8" w:tplc="96047B86">
      <w:start w:val="1"/>
      <w:numFmt w:val="bullet"/>
      <w:lvlText w:val=""/>
      <w:lvlJc w:val="left"/>
      <w:pPr>
        <w:ind w:left="1080" w:hanging="360"/>
      </w:pPr>
      <w:rPr>
        <w:rFonts w:ascii="Symbol" w:hAnsi="Symbol"/>
      </w:rPr>
    </w:lvl>
  </w:abstractNum>
  <w:abstractNum w:abstractNumId="25" w15:restartNumberingAfterBreak="0">
    <w:nsid w:val="66E81062"/>
    <w:multiLevelType w:val="hybridMultilevel"/>
    <w:tmpl w:val="7EF4CF24"/>
    <w:lvl w:ilvl="0" w:tplc="8F623B62">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ED52945"/>
    <w:multiLevelType w:val="multilevel"/>
    <w:tmpl w:val="EFDA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A76606"/>
    <w:multiLevelType w:val="multilevel"/>
    <w:tmpl w:val="39F9A2C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6B723D"/>
    <w:multiLevelType w:val="hybridMultilevel"/>
    <w:tmpl w:val="2EFA942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F5790F"/>
    <w:multiLevelType w:val="hybridMultilevel"/>
    <w:tmpl w:val="6DA49FC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3B4703"/>
    <w:multiLevelType w:val="hybridMultilevel"/>
    <w:tmpl w:val="28F20FF0"/>
    <w:lvl w:ilvl="0" w:tplc="AC500E92">
      <w:start w:val="1"/>
      <w:numFmt w:val="bullet"/>
      <w:lvlText w:val=""/>
      <w:lvlJc w:val="left"/>
      <w:pPr>
        <w:ind w:left="1440" w:hanging="360"/>
      </w:pPr>
      <w:rPr>
        <w:rFonts w:ascii="Symbol" w:hAnsi="Symbol"/>
      </w:rPr>
    </w:lvl>
    <w:lvl w:ilvl="1" w:tplc="72F0C278">
      <w:start w:val="1"/>
      <w:numFmt w:val="bullet"/>
      <w:lvlText w:val=""/>
      <w:lvlJc w:val="left"/>
      <w:pPr>
        <w:ind w:left="1440" w:hanging="360"/>
      </w:pPr>
      <w:rPr>
        <w:rFonts w:ascii="Symbol" w:hAnsi="Symbol"/>
      </w:rPr>
    </w:lvl>
    <w:lvl w:ilvl="2" w:tplc="00087D4C">
      <w:start w:val="1"/>
      <w:numFmt w:val="bullet"/>
      <w:lvlText w:val=""/>
      <w:lvlJc w:val="left"/>
      <w:pPr>
        <w:ind w:left="1440" w:hanging="360"/>
      </w:pPr>
      <w:rPr>
        <w:rFonts w:ascii="Symbol" w:hAnsi="Symbol"/>
      </w:rPr>
    </w:lvl>
    <w:lvl w:ilvl="3" w:tplc="6570F188">
      <w:start w:val="1"/>
      <w:numFmt w:val="bullet"/>
      <w:lvlText w:val=""/>
      <w:lvlJc w:val="left"/>
      <w:pPr>
        <w:ind w:left="1440" w:hanging="360"/>
      </w:pPr>
      <w:rPr>
        <w:rFonts w:ascii="Symbol" w:hAnsi="Symbol"/>
      </w:rPr>
    </w:lvl>
    <w:lvl w:ilvl="4" w:tplc="AD76F9E8">
      <w:start w:val="1"/>
      <w:numFmt w:val="bullet"/>
      <w:lvlText w:val=""/>
      <w:lvlJc w:val="left"/>
      <w:pPr>
        <w:ind w:left="1440" w:hanging="360"/>
      </w:pPr>
      <w:rPr>
        <w:rFonts w:ascii="Symbol" w:hAnsi="Symbol"/>
      </w:rPr>
    </w:lvl>
    <w:lvl w:ilvl="5" w:tplc="F13082FA">
      <w:start w:val="1"/>
      <w:numFmt w:val="bullet"/>
      <w:lvlText w:val=""/>
      <w:lvlJc w:val="left"/>
      <w:pPr>
        <w:ind w:left="1440" w:hanging="360"/>
      </w:pPr>
      <w:rPr>
        <w:rFonts w:ascii="Symbol" w:hAnsi="Symbol"/>
      </w:rPr>
    </w:lvl>
    <w:lvl w:ilvl="6" w:tplc="16A4FCD8">
      <w:start w:val="1"/>
      <w:numFmt w:val="bullet"/>
      <w:lvlText w:val=""/>
      <w:lvlJc w:val="left"/>
      <w:pPr>
        <w:ind w:left="1440" w:hanging="360"/>
      </w:pPr>
      <w:rPr>
        <w:rFonts w:ascii="Symbol" w:hAnsi="Symbol"/>
      </w:rPr>
    </w:lvl>
    <w:lvl w:ilvl="7" w:tplc="70283522">
      <w:start w:val="1"/>
      <w:numFmt w:val="bullet"/>
      <w:lvlText w:val=""/>
      <w:lvlJc w:val="left"/>
      <w:pPr>
        <w:ind w:left="1440" w:hanging="360"/>
      </w:pPr>
      <w:rPr>
        <w:rFonts w:ascii="Symbol" w:hAnsi="Symbol"/>
      </w:rPr>
    </w:lvl>
    <w:lvl w:ilvl="8" w:tplc="CFBACFC6">
      <w:start w:val="1"/>
      <w:numFmt w:val="bullet"/>
      <w:lvlText w:val=""/>
      <w:lvlJc w:val="left"/>
      <w:pPr>
        <w:ind w:left="1440" w:hanging="360"/>
      </w:pPr>
      <w:rPr>
        <w:rFonts w:ascii="Symbol" w:hAnsi="Symbol"/>
      </w:rPr>
    </w:lvl>
  </w:abstractNum>
  <w:num w:numId="1" w16cid:durableId="787898920">
    <w:abstractNumId w:val="4"/>
  </w:num>
  <w:num w:numId="2" w16cid:durableId="745225252">
    <w:abstractNumId w:val="5"/>
  </w:num>
  <w:num w:numId="3" w16cid:durableId="978922990">
    <w:abstractNumId w:val="2"/>
  </w:num>
  <w:num w:numId="4" w16cid:durableId="1198660931">
    <w:abstractNumId w:val="22"/>
  </w:num>
  <w:num w:numId="5" w16cid:durableId="28452746">
    <w:abstractNumId w:val="1"/>
  </w:num>
  <w:num w:numId="6" w16cid:durableId="527567737">
    <w:abstractNumId w:val="27"/>
  </w:num>
  <w:num w:numId="7" w16cid:durableId="1530489980">
    <w:abstractNumId w:val="3"/>
  </w:num>
  <w:num w:numId="8" w16cid:durableId="1472944421">
    <w:abstractNumId w:val="0"/>
  </w:num>
  <w:num w:numId="9" w16cid:durableId="4212318">
    <w:abstractNumId w:val="10"/>
  </w:num>
  <w:num w:numId="10" w16cid:durableId="423258668">
    <w:abstractNumId w:val="23"/>
  </w:num>
  <w:num w:numId="11" w16cid:durableId="1396522">
    <w:abstractNumId w:val="15"/>
  </w:num>
  <w:num w:numId="12" w16cid:durableId="1260870444">
    <w:abstractNumId w:val="30"/>
  </w:num>
  <w:num w:numId="13" w16cid:durableId="1781025777">
    <w:abstractNumId w:val="9"/>
  </w:num>
  <w:num w:numId="14" w16cid:durableId="914164101">
    <w:abstractNumId w:val="29"/>
  </w:num>
  <w:num w:numId="15" w16cid:durableId="793669916">
    <w:abstractNumId w:val="7"/>
  </w:num>
  <w:num w:numId="16" w16cid:durableId="1576474432">
    <w:abstractNumId w:val="14"/>
  </w:num>
  <w:num w:numId="17" w16cid:durableId="885608532">
    <w:abstractNumId w:val="21"/>
  </w:num>
  <w:num w:numId="18" w16cid:durableId="1126697431">
    <w:abstractNumId w:val="25"/>
  </w:num>
  <w:num w:numId="19" w16cid:durableId="1917084809">
    <w:abstractNumId w:val="26"/>
  </w:num>
  <w:num w:numId="20" w16cid:durableId="387336716">
    <w:abstractNumId w:val="12"/>
  </w:num>
  <w:num w:numId="21" w16cid:durableId="694043865">
    <w:abstractNumId w:val="13"/>
  </w:num>
  <w:num w:numId="22" w16cid:durableId="406221911">
    <w:abstractNumId w:val="24"/>
  </w:num>
  <w:num w:numId="23" w16cid:durableId="133764331">
    <w:abstractNumId w:val="8"/>
  </w:num>
  <w:num w:numId="24" w16cid:durableId="100342958">
    <w:abstractNumId w:val="17"/>
  </w:num>
  <w:num w:numId="25" w16cid:durableId="1063409554">
    <w:abstractNumId w:val="18"/>
  </w:num>
  <w:num w:numId="26" w16cid:durableId="1846363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3898484">
    <w:abstractNumId w:val="20"/>
  </w:num>
  <w:num w:numId="28" w16cid:durableId="1633487011">
    <w:abstractNumId w:val="11"/>
  </w:num>
  <w:num w:numId="29" w16cid:durableId="1143817862">
    <w:abstractNumId w:val="19"/>
  </w:num>
  <w:num w:numId="30" w16cid:durableId="105859069">
    <w:abstractNumId w:val="6"/>
  </w:num>
  <w:num w:numId="31" w16cid:durableId="4147166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8C"/>
    <w:rsid w:val="000013BB"/>
    <w:rsid w:val="000106B0"/>
    <w:rsid w:val="00011AA3"/>
    <w:rsid w:val="00012063"/>
    <w:rsid w:val="00013E6E"/>
    <w:rsid w:val="00014B66"/>
    <w:rsid w:val="00015758"/>
    <w:rsid w:val="00015FF0"/>
    <w:rsid w:val="00016802"/>
    <w:rsid w:val="00021515"/>
    <w:rsid w:val="00024DA8"/>
    <w:rsid w:val="00027EBB"/>
    <w:rsid w:val="00032BF2"/>
    <w:rsid w:val="0003361D"/>
    <w:rsid w:val="00036374"/>
    <w:rsid w:val="0003699D"/>
    <w:rsid w:val="00037767"/>
    <w:rsid w:val="000404E5"/>
    <w:rsid w:val="000420AB"/>
    <w:rsid w:val="000463D0"/>
    <w:rsid w:val="00047606"/>
    <w:rsid w:val="000476FB"/>
    <w:rsid w:val="00050B31"/>
    <w:rsid w:val="00050FB3"/>
    <w:rsid w:val="00053AD7"/>
    <w:rsid w:val="00054FC7"/>
    <w:rsid w:val="00055B6B"/>
    <w:rsid w:val="000564D5"/>
    <w:rsid w:val="00060B48"/>
    <w:rsid w:val="00061C45"/>
    <w:rsid w:val="00061E55"/>
    <w:rsid w:val="00064827"/>
    <w:rsid w:val="00064923"/>
    <w:rsid w:val="0006754B"/>
    <w:rsid w:val="00071352"/>
    <w:rsid w:val="00071AAD"/>
    <w:rsid w:val="00072330"/>
    <w:rsid w:val="00072BE0"/>
    <w:rsid w:val="00073EF2"/>
    <w:rsid w:val="000741A7"/>
    <w:rsid w:val="00075669"/>
    <w:rsid w:val="0008464C"/>
    <w:rsid w:val="0008516B"/>
    <w:rsid w:val="00092038"/>
    <w:rsid w:val="00093257"/>
    <w:rsid w:val="0009581D"/>
    <w:rsid w:val="00096379"/>
    <w:rsid w:val="0009699C"/>
    <w:rsid w:val="000A0D57"/>
    <w:rsid w:val="000A3ECF"/>
    <w:rsid w:val="000A574D"/>
    <w:rsid w:val="000A63D5"/>
    <w:rsid w:val="000A72DF"/>
    <w:rsid w:val="000B3667"/>
    <w:rsid w:val="000B5BFF"/>
    <w:rsid w:val="000B680A"/>
    <w:rsid w:val="000B7CDD"/>
    <w:rsid w:val="000C10A9"/>
    <w:rsid w:val="000C614A"/>
    <w:rsid w:val="000C7103"/>
    <w:rsid w:val="000D185F"/>
    <w:rsid w:val="000D1867"/>
    <w:rsid w:val="000D2A9D"/>
    <w:rsid w:val="000D35E6"/>
    <w:rsid w:val="000D4D3F"/>
    <w:rsid w:val="000D508E"/>
    <w:rsid w:val="000D57C4"/>
    <w:rsid w:val="000E0E55"/>
    <w:rsid w:val="000F1E88"/>
    <w:rsid w:val="000F4623"/>
    <w:rsid w:val="000F67E0"/>
    <w:rsid w:val="000F687A"/>
    <w:rsid w:val="000F7785"/>
    <w:rsid w:val="00100032"/>
    <w:rsid w:val="001000FE"/>
    <w:rsid w:val="001035A1"/>
    <w:rsid w:val="00104991"/>
    <w:rsid w:val="00104F19"/>
    <w:rsid w:val="00105120"/>
    <w:rsid w:val="001052B3"/>
    <w:rsid w:val="00105B13"/>
    <w:rsid w:val="00107CE1"/>
    <w:rsid w:val="0011233F"/>
    <w:rsid w:val="00112545"/>
    <w:rsid w:val="00113AC8"/>
    <w:rsid w:val="00114A5F"/>
    <w:rsid w:val="00117606"/>
    <w:rsid w:val="00122098"/>
    <w:rsid w:val="00122D4D"/>
    <w:rsid w:val="00123C1D"/>
    <w:rsid w:val="001247B5"/>
    <w:rsid w:val="00124E10"/>
    <w:rsid w:val="001278A9"/>
    <w:rsid w:val="00131547"/>
    <w:rsid w:val="00131B52"/>
    <w:rsid w:val="00132653"/>
    <w:rsid w:val="0013272E"/>
    <w:rsid w:val="00133A16"/>
    <w:rsid w:val="001400C8"/>
    <w:rsid w:val="00140F82"/>
    <w:rsid w:val="0014325D"/>
    <w:rsid w:val="001447D8"/>
    <w:rsid w:val="00147C5E"/>
    <w:rsid w:val="001514FF"/>
    <w:rsid w:val="00152F0A"/>
    <w:rsid w:val="0015312C"/>
    <w:rsid w:val="00153EAD"/>
    <w:rsid w:val="001541E7"/>
    <w:rsid w:val="00155A6C"/>
    <w:rsid w:val="00155FDB"/>
    <w:rsid w:val="00157505"/>
    <w:rsid w:val="00157688"/>
    <w:rsid w:val="001644E1"/>
    <w:rsid w:val="00167533"/>
    <w:rsid w:val="0017320B"/>
    <w:rsid w:val="00173EBC"/>
    <w:rsid w:val="001751AC"/>
    <w:rsid w:val="0017625A"/>
    <w:rsid w:val="0017663E"/>
    <w:rsid w:val="00176C32"/>
    <w:rsid w:val="00180117"/>
    <w:rsid w:val="00180316"/>
    <w:rsid w:val="00181219"/>
    <w:rsid w:val="00182CF4"/>
    <w:rsid w:val="001843B2"/>
    <w:rsid w:val="00185F61"/>
    <w:rsid w:val="001878F9"/>
    <w:rsid w:val="00187ACE"/>
    <w:rsid w:val="00194873"/>
    <w:rsid w:val="00194D9F"/>
    <w:rsid w:val="00195139"/>
    <w:rsid w:val="00195B24"/>
    <w:rsid w:val="00196D3D"/>
    <w:rsid w:val="00197568"/>
    <w:rsid w:val="001A1780"/>
    <w:rsid w:val="001A1E20"/>
    <w:rsid w:val="001A6EB9"/>
    <w:rsid w:val="001A7066"/>
    <w:rsid w:val="001B3B47"/>
    <w:rsid w:val="001B46CA"/>
    <w:rsid w:val="001C3495"/>
    <w:rsid w:val="001C4556"/>
    <w:rsid w:val="001C724E"/>
    <w:rsid w:val="001D088F"/>
    <w:rsid w:val="001D22D6"/>
    <w:rsid w:val="001D4696"/>
    <w:rsid w:val="001D646A"/>
    <w:rsid w:val="001D73CA"/>
    <w:rsid w:val="001E1964"/>
    <w:rsid w:val="001E272E"/>
    <w:rsid w:val="001E36E6"/>
    <w:rsid w:val="001F316E"/>
    <w:rsid w:val="001F4419"/>
    <w:rsid w:val="001F45B4"/>
    <w:rsid w:val="00203A3B"/>
    <w:rsid w:val="00203A58"/>
    <w:rsid w:val="00204DDA"/>
    <w:rsid w:val="00206C18"/>
    <w:rsid w:val="00207FE9"/>
    <w:rsid w:val="00211B65"/>
    <w:rsid w:val="0021307D"/>
    <w:rsid w:val="00213433"/>
    <w:rsid w:val="0021463E"/>
    <w:rsid w:val="00214D06"/>
    <w:rsid w:val="00215CFB"/>
    <w:rsid w:val="002201F4"/>
    <w:rsid w:val="00220C86"/>
    <w:rsid w:val="00221AA3"/>
    <w:rsid w:val="00226653"/>
    <w:rsid w:val="00227B29"/>
    <w:rsid w:val="0023076A"/>
    <w:rsid w:val="002325E6"/>
    <w:rsid w:val="00234EE1"/>
    <w:rsid w:val="0024357D"/>
    <w:rsid w:val="00245CCC"/>
    <w:rsid w:val="0024683B"/>
    <w:rsid w:val="00246DBB"/>
    <w:rsid w:val="0025306F"/>
    <w:rsid w:val="00254472"/>
    <w:rsid w:val="00255F87"/>
    <w:rsid w:val="00256ADB"/>
    <w:rsid w:val="00256EF9"/>
    <w:rsid w:val="00257B4D"/>
    <w:rsid w:val="002607C6"/>
    <w:rsid w:val="002613AC"/>
    <w:rsid w:val="00262969"/>
    <w:rsid w:val="002646D0"/>
    <w:rsid w:val="00270BC8"/>
    <w:rsid w:val="00271FC3"/>
    <w:rsid w:val="00272023"/>
    <w:rsid w:val="00272805"/>
    <w:rsid w:val="00281F6F"/>
    <w:rsid w:val="00281FF0"/>
    <w:rsid w:val="0028248E"/>
    <w:rsid w:val="00283DA4"/>
    <w:rsid w:val="00284E0D"/>
    <w:rsid w:val="00287A67"/>
    <w:rsid w:val="002A0C3C"/>
    <w:rsid w:val="002A1C4A"/>
    <w:rsid w:val="002A24E7"/>
    <w:rsid w:val="002A50D3"/>
    <w:rsid w:val="002A5230"/>
    <w:rsid w:val="002A540A"/>
    <w:rsid w:val="002A5CE2"/>
    <w:rsid w:val="002B02B3"/>
    <w:rsid w:val="002B318B"/>
    <w:rsid w:val="002B4BA6"/>
    <w:rsid w:val="002B580E"/>
    <w:rsid w:val="002B622A"/>
    <w:rsid w:val="002B75E8"/>
    <w:rsid w:val="002C1D3B"/>
    <w:rsid w:val="002C3187"/>
    <w:rsid w:val="002C319A"/>
    <w:rsid w:val="002C4ADB"/>
    <w:rsid w:val="002C7370"/>
    <w:rsid w:val="002D1E4C"/>
    <w:rsid w:val="002D22C5"/>
    <w:rsid w:val="002D2888"/>
    <w:rsid w:val="002D2A43"/>
    <w:rsid w:val="002D30BD"/>
    <w:rsid w:val="002D3C1C"/>
    <w:rsid w:val="002D4310"/>
    <w:rsid w:val="002D470D"/>
    <w:rsid w:val="002D4B84"/>
    <w:rsid w:val="002E1610"/>
    <w:rsid w:val="002E2366"/>
    <w:rsid w:val="002E4970"/>
    <w:rsid w:val="002E6E34"/>
    <w:rsid w:val="002E79D9"/>
    <w:rsid w:val="002F06DE"/>
    <w:rsid w:val="002F60AB"/>
    <w:rsid w:val="00301BF8"/>
    <w:rsid w:val="0030263C"/>
    <w:rsid w:val="00302D54"/>
    <w:rsid w:val="00303BCD"/>
    <w:rsid w:val="00303DED"/>
    <w:rsid w:val="0030505E"/>
    <w:rsid w:val="003051AD"/>
    <w:rsid w:val="003055C9"/>
    <w:rsid w:val="00306FBD"/>
    <w:rsid w:val="00307095"/>
    <w:rsid w:val="00307502"/>
    <w:rsid w:val="003108C0"/>
    <w:rsid w:val="00311BA3"/>
    <w:rsid w:val="003217FD"/>
    <w:rsid w:val="00321964"/>
    <w:rsid w:val="00323587"/>
    <w:rsid w:val="00323F3F"/>
    <w:rsid w:val="00331A5E"/>
    <w:rsid w:val="003345E7"/>
    <w:rsid w:val="003348C3"/>
    <w:rsid w:val="0033606C"/>
    <w:rsid w:val="00337F13"/>
    <w:rsid w:val="00340000"/>
    <w:rsid w:val="00340C23"/>
    <w:rsid w:val="00341D06"/>
    <w:rsid w:val="00341E97"/>
    <w:rsid w:val="00343713"/>
    <w:rsid w:val="00346F42"/>
    <w:rsid w:val="003547D0"/>
    <w:rsid w:val="00355785"/>
    <w:rsid w:val="00356068"/>
    <w:rsid w:val="00356762"/>
    <w:rsid w:val="00357D4B"/>
    <w:rsid w:val="0036163D"/>
    <w:rsid w:val="00361DEE"/>
    <w:rsid w:val="0036294C"/>
    <w:rsid w:val="00363AB0"/>
    <w:rsid w:val="00363E87"/>
    <w:rsid w:val="00366124"/>
    <w:rsid w:val="00372F8E"/>
    <w:rsid w:val="00373EFC"/>
    <w:rsid w:val="0037642C"/>
    <w:rsid w:val="003777C8"/>
    <w:rsid w:val="003777F5"/>
    <w:rsid w:val="00380994"/>
    <w:rsid w:val="00381968"/>
    <w:rsid w:val="00381CF1"/>
    <w:rsid w:val="00381FBA"/>
    <w:rsid w:val="00382016"/>
    <w:rsid w:val="0038410B"/>
    <w:rsid w:val="00384A38"/>
    <w:rsid w:val="003865A6"/>
    <w:rsid w:val="00386A02"/>
    <w:rsid w:val="00393C80"/>
    <w:rsid w:val="00394957"/>
    <w:rsid w:val="00397835"/>
    <w:rsid w:val="00397B1D"/>
    <w:rsid w:val="003A0480"/>
    <w:rsid w:val="003A1E13"/>
    <w:rsid w:val="003A221B"/>
    <w:rsid w:val="003A2EDF"/>
    <w:rsid w:val="003A4F0B"/>
    <w:rsid w:val="003A6C50"/>
    <w:rsid w:val="003A6E50"/>
    <w:rsid w:val="003B2197"/>
    <w:rsid w:val="003B32B4"/>
    <w:rsid w:val="003B4028"/>
    <w:rsid w:val="003B4132"/>
    <w:rsid w:val="003B609A"/>
    <w:rsid w:val="003C3270"/>
    <w:rsid w:val="003C3E1D"/>
    <w:rsid w:val="003C4E0B"/>
    <w:rsid w:val="003C6438"/>
    <w:rsid w:val="003D4752"/>
    <w:rsid w:val="003D6E76"/>
    <w:rsid w:val="003E34D7"/>
    <w:rsid w:val="003E378B"/>
    <w:rsid w:val="003E3E72"/>
    <w:rsid w:val="003E518D"/>
    <w:rsid w:val="003F11CD"/>
    <w:rsid w:val="003F1DC2"/>
    <w:rsid w:val="003F3E55"/>
    <w:rsid w:val="003F4B71"/>
    <w:rsid w:val="003F6784"/>
    <w:rsid w:val="00401821"/>
    <w:rsid w:val="00404784"/>
    <w:rsid w:val="004048A7"/>
    <w:rsid w:val="004113D4"/>
    <w:rsid w:val="0041178B"/>
    <w:rsid w:val="00411E80"/>
    <w:rsid w:val="00412205"/>
    <w:rsid w:val="004123CC"/>
    <w:rsid w:val="004155C7"/>
    <w:rsid w:val="00417F6E"/>
    <w:rsid w:val="004215D2"/>
    <w:rsid w:val="004224A1"/>
    <w:rsid w:val="00422BC5"/>
    <w:rsid w:val="00426E02"/>
    <w:rsid w:val="0042766F"/>
    <w:rsid w:val="00432208"/>
    <w:rsid w:val="00434519"/>
    <w:rsid w:val="00435BB8"/>
    <w:rsid w:val="0043713E"/>
    <w:rsid w:val="00440B0A"/>
    <w:rsid w:val="0044111A"/>
    <w:rsid w:val="00442125"/>
    <w:rsid w:val="00442D4C"/>
    <w:rsid w:val="004432DF"/>
    <w:rsid w:val="00443897"/>
    <w:rsid w:val="00444094"/>
    <w:rsid w:val="004442BE"/>
    <w:rsid w:val="00444FBC"/>
    <w:rsid w:val="00445937"/>
    <w:rsid w:val="00445BD5"/>
    <w:rsid w:val="0045085C"/>
    <w:rsid w:val="00454B3F"/>
    <w:rsid w:val="00462EC5"/>
    <w:rsid w:val="0046416B"/>
    <w:rsid w:val="00465211"/>
    <w:rsid w:val="004660F4"/>
    <w:rsid w:val="00467D1C"/>
    <w:rsid w:val="00470167"/>
    <w:rsid w:val="00472B0E"/>
    <w:rsid w:val="0047356F"/>
    <w:rsid w:val="00477DE4"/>
    <w:rsid w:val="004811FE"/>
    <w:rsid w:val="0048245F"/>
    <w:rsid w:val="00484C30"/>
    <w:rsid w:val="00487E72"/>
    <w:rsid w:val="00494DB9"/>
    <w:rsid w:val="004A6520"/>
    <w:rsid w:val="004A7787"/>
    <w:rsid w:val="004B168C"/>
    <w:rsid w:val="004B5205"/>
    <w:rsid w:val="004B61C2"/>
    <w:rsid w:val="004B6225"/>
    <w:rsid w:val="004C06F0"/>
    <w:rsid w:val="004C1A86"/>
    <w:rsid w:val="004C27DB"/>
    <w:rsid w:val="004C2D73"/>
    <w:rsid w:val="004C3279"/>
    <w:rsid w:val="004C32BA"/>
    <w:rsid w:val="004C4CAB"/>
    <w:rsid w:val="004C4DB7"/>
    <w:rsid w:val="004C6673"/>
    <w:rsid w:val="004C7582"/>
    <w:rsid w:val="004C7EB4"/>
    <w:rsid w:val="004D26B5"/>
    <w:rsid w:val="004D5752"/>
    <w:rsid w:val="004D6547"/>
    <w:rsid w:val="004E3146"/>
    <w:rsid w:val="004E4997"/>
    <w:rsid w:val="004E5ACE"/>
    <w:rsid w:val="004E7841"/>
    <w:rsid w:val="004F7E24"/>
    <w:rsid w:val="005025EF"/>
    <w:rsid w:val="00502691"/>
    <w:rsid w:val="005031E6"/>
    <w:rsid w:val="0050362E"/>
    <w:rsid w:val="00504457"/>
    <w:rsid w:val="00504561"/>
    <w:rsid w:val="00506428"/>
    <w:rsid w:val="00513D50"/>
    <w:rsid w:val="005162F7"/>
    <w:rsid w:val="0051688E"/>
    <w:rsid w:val="00520ACE"/>
    <w:rsid w:val="00524714"/>
    <w:rsid w:val="00526F52"/>
    <w:rsid w:val="00530EA8"/>
    <w:rsid w:val="00532A04"/>
    <w:rsid w:val="00534323"/>
    <w:rsid w:val="00535EA5"/>
    <w:rsid w:val="0053706F"/>
    <w:rsid w:val="00541DD5"/>
    <w:rsid w:val="00542454"/>
    <w:rsid w:val="00543B60"/>
    <w:rsid w:val="00546949"/>
    <w:rsid w:val="00546DEE"/>
    <w:rsid w:val="0054771C"/>
    <w:rsid w:val="00547F36"/>
    <w:rsid w:val="00547F65"/>
    <w:rsid w:val="0055262B"/>
    <w:rsid w:val="00553100"/>
    <w:rsid w:val="00553606"/>
    <w:rsid w:val="00553EEF"/>
    <w:rsid w:val="00555CF0"/>
    <w:rsid w:val="005566BD"/>
    <w:rsid w:val="00557538"/>
    <w:rsid w:val="00561255"/>
    <w:rsid w:val="005621B6"/>
    <w:rsid w:val="005627D1"/>
    <w:rsid w:val="00563856"/>
    <w:rsid w:val="00565F95"/>
    <w:rsid w:val="005672F3"/>
    <w:rsid w:val="0057066A"/>
    <w:rsid w:val="00570C6A"/>
    <w:rsid w:val="00571206"/>
    <w:rsid w:val="00573FAA"/>
    <w:rsid w:val="005749AF"/>
    <w:rsid w:val="00580F42"/>
    <w:rsid w:val="00580F72"/>
    <w:rsid w:val="005818B1"/>
    <w:rsid w:val="00581BFB"/>
    <w:rsid w:val="0058279C"/>
    <w:rsid w:val="00582A4C"/>
    <w:rsid w:val="005836AE"/>
    <w:rsid w:val="0058551E"/>
    <w:rsid w:val="00585B8A"/>
    <w:rsid w:val="005877A7"/>
    <w:rsid w:val="00590C73"/>
    <w:rsid w:val="00592150"/>
    <w:rsid w:val="00594119"/>
    <w:rsid w:val="005946FF"/>
    <w:rsid w:val="00594E96"/>
    <w:rsid w:val="005A01CD"/>
    <w:rsid w:val="005A1243"/>
    <w:rsid w:val="005A1810"/>
    <w:rsid w:val="005A2B1F"/>
    <w:rsid w:val="005A41C7"/>
    <w:rsid w:val="005B0DCF"/>
    <w:rsid w:val="005B18B6"/>
    <w:rsid w:val="005B4407"/>
    <w:rsid w:val="005B4BBF"/>
    <w:rsid w:val="005B4C00"/>
    <w:rsid w:val="005B5540"/>
    <w:rsid w:val="005B55E7"/>
    <w:rsid w:val="005C03B7"/>
    <w:rsid w:val="005C1BAB"/>
    <w:rsid w:val="005C2C03"/>
    <w:rsid w:val="005C7E8E"/>
    <w:rsid w:val="005C7F37"/>
    <w:rsid w:val="005D1670"/>
    <w:rsid w:val="005D1C69"/>
    <w:rsid w:val="005E0E94"/>
    <w:rsid w:val="005E2978"/>
    <w:rsid w:val="005E656A"/>
    <w:rsid w:val="005E6F26"/>
    <w:rsid w:val="005E76BF"/>
    <w:rsid w:val="005E7FBC"/>
    <w:rsid w:val="005F062A"/>
    <w:rsid w:val="005F157B"/>
    <w:rsid w:val="005F4F5A"/>
    <w:rsid w:val="00600477"/>
    <w:rsid w:val="00600997"/>
    <w:rsid w:val="00600DEA"/>
    <w:rsid w:val="006043D7"/>
    <w:rsid w:val="0060498E"/>
    <w:rsid w:val="00610A13"/>
    <w:rsid w:val="0061391F"/>
    <w:rsid w:val="0061466A"/>
    <w:rsid w:val="00615B1A"/>
    <w:rsid w:val="00616020"/>
    <w:rsid w:val="00616295"/>
    <w:rsid w:val="0061706E"/>
    <w:rsid w:val="0061764D"/>
    <w:rsid w:val="00620373"/>
    <w:rsid w:val="00620889"/>
    <w:rsid w:val="00623B6F"/>
    <w:rsid w:val="006329F5"/>
    <w:rsid w:val="00633745"/>
    <w:rsid w:val="006341A7"/>
    <w:rsid w:val="00634600"/>
    <w:rsid w:val="0063521C"/>
    <w:rsid w:val="00635D6D"/>
    <w:rsid w:val="00642999"/>
    <w:rsid w:val="00642C4D"/>
    <w:rsid w:val="006437B5"/>
    <w:rsid w:val="00646215"/>
    <w:rsid w:val="00651682"/>
    <w:rsid w:val="00652DDA"/>
    <w:rsid w:val="00653A8F"/>
    <w:rsid w:val="006571DF"/>
    <w:rsid w:val="00657D5B"/>
    <w:rsid w:val="0066384A"/>
    <w:rsid w:val="00663946"/>
    <w:rsid w:val="00663C32"/>
    <w:rsid w:val="00663EEA"/>
    <w:rsid w:val="006666AE"/>
    <w:rsid w:val="00667FEB"/>
    <w:rsid w:val="006764D4"/>
    <w:rsid w:val="0068092C"/>
    <w:rsid w:val="006811B3"/>
    <w:rsid w:val="00684062"/>
    <w:rsid w:val="00685426"/>
    <w:rsid w:val="0068739C"/>
    <w:rsid w:val="00690B47"/>
    <w:rsid w:val="00691722"/>
    <w:rsid w:val="006940D7"/>
    <w:rsid w:val="00696FBB"/>
    <w:rsid w:val="0069736E"/>
    <w:rsid w:val="00697C6E"/>
    <w:rsid w:val="006A0165"/>
    <w:rsid w:val="006A71C9"/>
    <w:rsid w:val="006B0DAF"/>
    <w:rsid w:val="006B5722"/>
    <w:rsid w:val="006B68C1"/>
    <w:rsid w:val="006B75E2"/>
    <w:rsid w:val="006C03AF"/>
    <w:rsid w:val="006C44C3"/>
    <w:rsid w:val="006C509C"/>
    <w:rsid w:val="006C56C4"/>
    <w:rsid w:val="006D0B3A"/>
    <w:rsid w:val="006D19D1"/>
    <w:rsid w:val="006D3A03"/>
    <w:rsid w:val="006D42F8"/>
    <w:rsid w:val="006D592A"/>
    <w:rsid w:val="006E3470"/>
    <w:rsid w:val="006E7943"/>
    <w:rsid w:val="006F043B"/>
    <w:rsid w:val="006F1D3F"/>
    <w:rsid w:val="006F2178"/>
    <w:rsid w:val="0070121B"/>
    <w:rsid w:val="00702320"/>
    <w:rsid w:val="007025A8"/>
    <w:rsid w:val="00705D99"/>
    <w:rsid w:val="00706DCB"/>
    <w:rsid w:val="007103FC"/>
    <w:rsid w:val="00710F5A"/>
    <w:rsid w:val="0071237E"/>
    <w:rsid w:val="0071465B"/>
    <w:rsid w:val="00720C20"/>
    <w:rsid w:val="0072311B"/>
    <w:rsid w:val="00726E48"/>
    <w:rsid w:val="00730BE0"/>
    <w:rsid w:val="00730F94"/>
    <w:rsid w:val="0073253E"/>
    <w:rsid w:val="007325EF"/>
    <w:rsid w:val="00744028"/>
    <w:rsid w:val="00746E9D"/>
    <w:rsid w:val="00750FBE"/>
    <w:rsid w:val="007544E9"/>
    <w:rsid w:val="00755D11"/>
    <w:rsid w:val="00757D9C"/>
    <w:rsid w:val="00763674"/>
    <w:rsid w:val="007641A6"/>
    <w:rsid w:val="00764D32"/>
    <w:rsid w:val="007650F8"/>
    <w:rsid w:val="0076513D"/>
    <w:rsid w:val="00770BC3"/>
    <w:rsid w:val="00777558"/>
    <w:rsid w:val="0078218D"/>
    <w:rsid w:val="007829A5"/>
    <w:rsid w:val="0078433F"/>
    <w:rsid w:val="0078515E"/>
    <w:rsid w:val="007857B6"/>
    <w:rsid w:val="00787CC3"/>
    <w:rsid w:val="0079093C"/>
    <w:rsid w:val="00796E77"/>
    <w:rsid w:val="007976AD"/>
    <w:rsid w:val="007A17A2"/>
    <w:rsid w:val="007A27A6"/>
    <w:rsid w:val="007A27B1"/>
    <w:rsid w:val="007A4057"/>
    <w:rsid w:val="007A5063"/>
    <w:rsid w:val="007A5393"/>
    <w:rsid w:val="007A6BB2"/>
    <w:rsid w:val="007A7013"/>
    <w:rsid w:val="007A7B47"/>
    <w:rsid w:val="007B1D00"/>
    <w:rsid w:val="007B2662"/>
    <w:rsid w:val="007B4539"/>
    <w:rsid w:val="007B4785"/>
    <w:rsid w:val="007C0B84"/>
    <w:rsid w:val="007C1092"/>
    <w:rsid w:val="007C19CE"/>
    <w:rsid w:val="007C1D65"/>
    <w:rsid w:val="007C1FD7"/>
    <w:rsid w:val="007C45E9"/>
    <w:rsid w:val="007C476B"/>
    <w:rsid w:val="007C6088"/>
    <w:rsid w:val="007C7E2D"/>
    <w:rsid w:val="007D45ED"/>
    <w:rsid w:val="007D70D7"/>
    <w:rsid w:val="007E09C8"/>
    <w:rsid w:val="007E1199"/>
    <w:rsid w:val="007E1A1D"/>
    <w:rsid w:val="007E492D"/>
    <w:rsid w:val="007E6B43"/>
    <w:rsid w:val="007F0CC9"/>
    <w:rsid w:val="007F16C4"/>
    <w:rsid w:val="007F2E7D"/>
    <w:rsid w:val="007F6C03"/>
    <w:rsid w:val="008018BF"/>
    <w:rsid w:val="008027CE"/>
    <w:rsid w:val="008027E2"/>
    <w:rsid w:val="0080659D"/>
    <w:rsid w:val="00807BDD"/>
    <w:rsid w:val="00812BBB"/>
    <w:rsid w:val="008139C9"/>
    <w:rsid w:val="00813C2B"/>
    <w:rsid w:val="00815EF3"/>
    <w:rsid w:val="00820F14"/>
    <w:rsid w:val="00820FD1"/>
    <w:rsid w:val="00821528"/>
    <w:rsid w:val="00823535"/>
    <w:rsid w:val="00824682"/>
    <w:rsid w:val="00825962"/>
    <w:rsid w:val="00826CBE"/>
    <w:rsid w:val="00827B67"/>
    <w:rsid w:val="008301EB"/>
    <w:rsid w:val="00833A9B"/>
    <w:rsid w:val="0083559E"/>
    <w:rsid w:val="00837307"/>
    <w:rsid w:val="00837DE6"/>
    <w:rsid w:val="00837FF9"/>
    <w:rsid w:val="00842491"/>
    <w:rsid w:val="0085034D"/>
    <w:rsid w:val="008577CB"/>
    <w:rsid w:val="0085783D"/>
    <w:rsid w:val="00860E6F"/>
    <w:rsid w:val="00864D8B"/>
    <w:rsid w:val="00865133"/>
    <w:rsid w:val="008659F9"/>
    <w:rsid w:val="00866E8B"/>
    <w:rsid w:val="0086741D"/>
    <w:rsid w:val="00875E55"/>
    <w:rsid w:val="008819CA"/>
    <w:rsid w:val="008863F9"/>
    <w:rsid w:val="0089145B"/>
    <w:rsid w:val="00891702"/>
    <w:rsid w:val="00891E77"/>
    <w:rsid w:val="00892C74"/>
    <w:rsid w:val="00893098"/>
    <w:rsid w:val="00894FC0"/>
    <w:rsid w:val="00896C26"/>
    <w:rsid w:val="00897754"/>
    <w:rsid w:val="008A04CE"/>
    <w:rsid w:val="008A3DB2"/>
    <w:rsid w:val="008A662F"/>
    <w:rsid w:val="008A6C8C"/>
    <w:rsid w:val="008A7EAD"/>
    <w:rsid w:val="008B10D8"/>
    <w:rsid w:val="008B2CD5"/>
    <w:rsid w:val="008C0433"/>
    <w:rsid w:val="008C2536"/>
    <w:rsid w:val="008C378F"/>
    <w:rsid w:val="008D1215"/>
    <w:rsid w:val="008D2C5D"/>
    <w:rsid w:val="008D3A94"/>
    <w:rsid w:val="008D3FE8"/>
    <w:rsid w:val="008D4E31"/>
    <w:rsid w:val="008D4F4E"/>
    <w:rsid w:val="008E085D"/>
    <w:rsid w:val="008E15CE"/>
    <w:rsid w:val="008E2F0C"/>
    <w:rsid w:val="008E3962"/>
    <w:rsid w:val="008E4624"/>
    <w:rsid w:val="008E59BF"/>
    <w:rsid w:val="008F07AE"/>
    <w:rsid w:val="008F2BA9"/>
    <w:rsid w:val="008F2DD0"/>
    <w:rsid w:val="008F6E97"/>
    <w:rsid w:val="009003CA"/>
    <w:rsid w:val="00902996"/>
    <w:rsid w:val="00902F4F"/>
    <w:rsid w:val="0090402D"/>
    <w:rsid w:val="009106FB"/>
    <w:rsid w:val="0091081D"/>
    <w:rsid w:val="00915137"/>
    <w:rsid w:val="009151CA"/>
    <w:rsid w:val="00920177"/>
    <w:rsid w:val="009204D3"/>
    <w:rsid w:val="00921550"/>
    <w:rsid w:val="009219AA"/>
    <w:rsid w:val="00922081"/>
    <w:rsid w:val="0092480D"/>
    <w:rsid w:val="0092676D"/>
    <w:rsid w:val="00926B87"/>
    <w:rsid w:val="00933906"/>
    <w:rsid w:val="00933A30"/>
    <w:rsid w:val="0093498F"/>
    <w:rsid w:val="00936660"/>
    <w:rsid w:val="009415D3"/>
    <w:rsid w:val="00941631"/>
    <w:rsid w:val="009420C8"/>
    <w:rsid w:val="00947A6D"/>
    <w:rsid w:val="00951B25"/>
    <w:rsid w:val="00954E41"/>
    <w:rsid w:val="0095545D"/>
    <w:rsid w:val="00955EA6"/>
    <w:rsid w:val="00960A18"/>
    <w:rsid w:val="00962608"/>
    <w:rsid w:val="00970067"/>
    <w:rsid w:val="00973531"/>
    <w:rsid w:val="009754CE"/>
    <w:rsid w:val="00976F1F"/>
    <w:rsid w:val="0098485F"/>
    <w:rsid w:val="00985E21"/>
    <w:rsid w:val="00987241"/>
    <w:rsid w:val="0099504C"/>
    <w:rsid w:val="0099621E"/>
    <w:rsid w:val="009A17B2"/>
    <w:rsid w:val="009A7F3D"/>
    <w:rsid w:val="009B35DB"/>
    <w:rsid w:val="009B3728"/>
    <w:rsid w:val="009B4FCA"/>
    <w:rsid w:val="009B7462"/>
    <w:rsid w:val="009B7A9A"/>
    <w:rsid w:val="009C1B18"/>
    <w:rsid w:val="009C50A1"/>
    <w:rsid w:val="009D0603"/>
    <w:rsid w:val="009D0CB5"/>
    <w:rsid w:val="009D28B1"/>
    <w:rsid w:val="009D47A4"/>
    <w:rsid w:val="009D4FF6"/>
    <w:rsid w:val="009D630A"/>
    <w:rsid w:val="009E1840"/>
    <w:rsid w:val="009E59A7"/>
    <w:rsid w:val="009E6C03"/>
    <w:rsid w:val="009F01DA"/>
    <w:rsid w:val="009F1A9F"/>
    <w:rsid w:val="009F4588"/>
    <w:rsid w:val="00A01DDE"/>
    <w:rsid w:val="00A03427"/>
    <w:rsid w:val="00A03476"/>
    <w:rsid w:val="00A03F3A"/>
    <w:rsid w:val="00A070BA"/>
    <w:rsid w:val="00A077B4"/>
    <w:rsid w:val="00A11CE1"/>
    <w:rsid w:val="00A14823"/>
    <w:rsid w:val="00A14A9D"/>
    <w:rsid w:val="00A21611"/>
    <w:rsid w:val="00A26BC6"/>
    <w:rsid w:val="00A2740E"/>
    <w:rsid w:val="00A27618"/>
    <w:rsid w:val="00A34F2F"/>
    <w:rsid w:val="00A40CB8"/>
    <w:rsid w:val="00A42F02"/>
    <w:rsid w:val="00A4407D"/>
    <w:rsid w:val="00A443C5"/>
    <w:rsid w:val="00A4579F"/>
    <w:rsid w:val="00A52FCD"/>
    <w:rsid w:val="00A53B9A"/>
    <w:rsid w:val="00A624BF"/>
    <w:rsid w:val="00A6551A"/>
    <w:rsid w:val="00A65BBE"/>
    <w:rsid w:val="00A667BC"/>
    <w:rsid w:val="00A6683D"/>
    <w:rsid w:val="00A66F39"/>
    <w:rsid w:val="00A70439"/>
    <w:rsid w:val="00A70B6F"/>
    <w:rsid w:val="00A7348D"/>
    <w:rsid w:val="00A77649"/>
    <w:rsid w:val="00A77A5D"/>
    <w:rsid w:val="00A800BB"/>
    <w:rsid w:val="00A86328"/>
    <w:rsid w:val="00A922D1"/>
    <w:rsid w:val="00A935F9"/>
    <w:rsid w:val="00A95893"/>
    <w:rsid w:val="00A9597D"/>
    <w:rsid w:val="00AA19F6"/>
    <w:rsid w:val="00AA2CB6"/>
    <w:rsid w:val="00AA3FD0"/>
    <w:rsid w:val="00AA44DF"/>
    <w:rsid w:val="00AB025A"/>
    <w:rsid w:val="00AB2DA1"/>
    <w:rsid w:val="00AC0020"/>
    <w:rsid w:val="00AC1A13"/>
    <w:rsid w:val="00AC3618"/>
    <w:rsid w:val="00AC4342"/>
    <w:rsid w:val="00AC4C11"/>
    <w:rsid w:val="00AC60B7"/>
    <w:rsid w:val="00AC6E20"/>
    <w:rsid w:val="00AD26D4"/>
    <w:rsid w:val="00AD2EB4"/>
    <w:rsid w:val="00AD6D68"/>
    <w:rsid w:val="00AD70B5"/>
    <w:rsid w:val="00AD7C07"/>
    <w:rsid w:val="00AE4CEA"/>
    <w:rsid w:val="00AE6334"/>
    <w:rsid w:val="00AF3164"/>
    <w:rsid w:val="00AF317F"/>
    <w:rsid w:val="00AF37D4"/>
    <w:rsid w:val="00AF5209"/>
    <w:rsid w:val="00AF5B65"/>
    <w:rsid w:val="00AF5D58"/>
    <w:rsid w:val="00B01FB1"/>
    <w:rsid w:val="00B02D7C"/>
    <w:rsid w:val="00B032B5"/>
    <w:rsid w:val="00B03D89"/>
    <w:rsid w:val="00B04673"/>
    <w:rsid w:val="00B05CD4"/>
    <w:rsid w:val="00B15259"/>
    <w:rsid w:val="00B21A83"/>
    <w:rsid w:val="00B22A05"/>
    <w:rsid w:val="00B2353A"/>
    <w:rsid w:val="00B27BD9"/>
    <w:rsid w:val="00B30699"/>
    <w:rsid w:val="00B30D76"/>
    <w:rsid w:val="00B31470"/>
    <w:rsid w:val="00B33DB4"/>
    <w:rsid w:val="00B35E57"/>
    <w:rsid w:val="00B415DF"/>
    <w:rsid w:val="00B42A6E"/>
    <w:rsid w:val="00B447D5"/>
    <w:rsid w:val="00B45771"/>
    <w:rsid w:val="00B50984"/>
    <w:rsid w:val="00B5119E"/>
    <w:rsid w:val="00B52B1C"/>
    <w:rsid w:val="00B55D3D"/>
    <w:rsid w:val="00B5733B"/>
    <w:rsid w:val="00B57A7F"/>
    <w:rsid w:val="00B61281"/>
    <w:rsid w:val="00B6149E"/>
    <w:rsid w:val="00B618F6"/>
    <w:rsid w:val="00B61B03"/>
    <w:rsid w:val="00B65DB5"/>
    <w:rsid w:val="00B7263C"/>
    <w:rsid w:val="00B74945"/>
    <w:rsid w:val="00B81079"/>
    <w:rsid w:val="00B81379"/>
    <w:rsid w:val="00B81AF2"/>
    <w:rsid w:val="00B839B4"/>
    <w:rsid w:val="00B845CC"/>
    <w:rsid w:val="00B87B44"/>
    <w:rsid w:val="00B916AB"/>
    <w:rsid w:val="00B91F98"/>
    <w:rsid w:val="00B942EC"/>
    <w:rsid w:val="00B95055"/>
    <w:rsid w:val="00B95F3D"/>
    <w:rsid w:val="00B96B81"/>
    <w:rsid w:val="00BA06B0"/>
    <w:rsid w:val="00BA26B5"/>
    <w:rsid w:val="00BA3943"/>
    <w:rsid w:val="00BA3C42"/>
    <w:rsid w:val="00BA59AA"/>
    <w:rsid w:val="00BA6281"/>
    <w:rsid w:val="00BA68B1"/>
    <w:rsid w:val="00BA75BB"/>
    <w:rsid w:val="00BB27CA"/>
    <w:rsid w:val="00BB303C"/>
    <w:rsid w:val="00BB38E6"/>
    <w:rsid w:val="00BB3A39"/>
    <w:rsid w:val="00BB55CF"/>
    <w:rsid w:val="00BB6B02"/>
    <w:rsid w:val="00BC02FF"/>
    <w:rsid w:val="00BC0F77"/>
    <w:rsid w:val="00BC4D23"/>
    <w:rsid w:val="00BC630A"/>
    <w:rsid w:val="00BD27F4"/>
    <w:rsid w:val="00BD6143"/>
    <w:rsid w:val="00BE02B0"/>
    <w:rsid w:val="00BE2659"/>
    <w:rsid w:val="00BE5804"/>
    <w:rsid w:val="00BE6048"/>
    <w:rsid w:val="00BE727F"/>
    <w:rsid w:val="00BF14D2"/>
    <w:rsid w:val="00BF1DB1"/>
    <w:rsid w:val="00BF2471"/>
    <w:rsid w:val="00BF3D10"/>
    <w:rsid w:val="00BF7BD6"/>
    <w:rsid w:val="00C0124F"/>
    <w:rsid w:val="00C0134C"/>
    <w:rsid w:val="00C01BA4"/>
    <w:rsid w:val="00C02644"/>
    <w:rsid w:val="00C042B9"/>
    <w:rsid w:val="00C051FB"/>
    <w:rsid w:val="00C10014"/>
    <w:rsid w:val="00C12549"/>
    <w:rsid w:val="00C12FC8"/>
    <w:rsid w:val="00C14B1B"/>
    <w:rsid w:val="00C20282"/>
    <w:rsid w:val="00C23132"/>
    <w:rsid w:val="00C256D2"/>
    <w:rsid w:val="00C25CD4"/>
    <w:rsid w:val="00C275A4"/>
    <w:rsid w:val="00C41217"/>
    <w:rsid w:val="00C4241A"/>
    <w:rsid w:val="00C43281"/>
    <w:rsid w:val="00C45F4D"/>
    <w:rsid w:val="00C50AC5"/>
    <w:rsid w:val="00C50B05"/>
    <w:rsid w:val="00C518BB"/>
    <w:rsid w:val="00C5258F"/>
    <w:rsid w:val="00C5468A"/>
    <w:rsid w:val="00C573C7"/>
    <w:rsid w:val="00C57A18"/>
    <w:rsid w:val="00C6069F"/>
    <w:rsid w:val="00C60AA1"/>
    <w:rsid w:val="00C61A53"/>
    <w:rsid w:val="00C61D71"/>
    <w:rsid w:val="00C627DC"/>
    <w:rsid w:val="00C6340F"/>
    <w:rsid w:val="00C64FA3"/>
    <w:rsid w:val="00C67827"/>
    <w:rsid w:val="00C70707"/>
    <w:rsid w:val="00C70C7B"/>
    <w:rsid w:val="00C724D7"/>
    <w:rsid w:val="00C733B1"/>
    <w:rsid w:val="00C73921"/>
    <w:rsid w:val="00C747BF"/>
    <w:rsid w:val="00C757E4"/>
    <w:rsid w:val="00C7601B"/>
    <w:rsid w:val="00C812F5"/>
    <w:rsid w:val="00C81CD7"/>
    <w:rsid w:val="00C835AE"/>
    <w:rsid w:val="00C85270"/>
    <w:rsid w:val="00C854D7"/>
    <w:rsid w:val="00C86852"/>
    <w:rsid w:val="00C86E2A"/>
    <w:rsid w:val="00C9033E"/>
    <w:rsid w:val="00C91B4D"/>
    <w:rsid w:val="00C92AFF"/>
    <w:rsid w:val="00C93076"/>
    <w:rsid w:val="00C931AE"/>
    <w:rsid w:val="00C9347F"/>
    <w:rsid w:val="00C943BD"/>
    <w:rsid w:val="00C945E6"/>
    <w:rsid w:val="00CA3C88"/>
    <w:rsid w:val="00CA4937"/>
    <w:rsid w:val="00CB0CAB"/>
    <w:rsid w:val="00CB5309"/>
    <w:rsid w:val="00CB5E9E"/>
    <w:rsid w:val="00CC1A20"/>
    <w:rsid w:val="00CC1A57"/>
    <w:rsid w:val="00CC2224"/>
    <w:rsid w:val="00CC2F95"/>
    <w:rsid w:val="00CC3C30"/>
    <w:rsid w:val="00CC542A"/>
    <w:rsid w:val="00CC5532"/>
    <w:rsid w:val="00CC5B11"/>
    <w:rsid w:val="00CD235B"/>
    <w:rsid w:val="00CD2516"/>
    <w:rsid w:val="00CD2917"/>
    <w:rsid w:val="00CD5A44"/>
    <w:rsid w:val="00CE052F"/>
    <w:rsid w:val="00CE2C12"/>
    <w:rsid w:val="00CF02F4"/>
    <w:rsid w:val="00CF18AC"/>
    <w:rsid w:val="00CF6558"/>
    <w:rsid w:val="00CF6A38"/>
    <w:rsid w:val="00D060FD"/>
    <w:rsid w:val="00D11038"/>
    <w:rsid w:val="00D11A04"/>
    <w:rsid w:val="00D13240"/>
    <w:rsid w:val="00D16244"/>
    <w:rsid w:val="00D16A62"/>
    <w:rsid w:val="00D203CE"/>
    <w:rsid w:val="00D23A16"/>
    <w:rsid w:val="00D24217"/>
    <w:rsid w:val="00D2441B"/>
    <w:rsid w:val="00D26AF7"/>
    <w:rsid w:val="00D304CA"/>
    <w:rsid w:val="00D31FA5"/>
    <w:rsid w:val="00D33217"/>
    <w:rsid w:val="00D338A5"/>
    <w:rsid w:val="00D34549"/>
    <w:rsid w:val="00D410DA"/>
    <w:rsid w:val="00D428E5"/>
    <w:rsid w:val="00D46155"/>
    <w:rsid w:val="00D5338A"/>
    <w:rsid w:val="00D550A6"/>
    <w:rsid w:val="00D5643B"/>
    <w:rsid w:val="00D66DA9"/>
    <w:rsid w:val="00D70DF4"/>
    <w:rsid w:val="00D72B96"/>
    <w:rsid w:val="00D76B1B"/>
    <w:rsid w:val="00D80773"/>
    <w:rsid w:val="00D8298B"/>
    <w:rsid w:val="00D876BD"/>
    <w:rsid w:val="00D90496"/>
    <w:rsid w:val="00D91D2B"/>
    <w:rsid w:val="00D92BAB"/>
    <w:rsid w:val="00D93847"/>
    <w:rsid w:val="00D94F0E"/>
    <w:rsid w:val="00DA07D5"/>
    <w:rsid w:val="00DA0E37"/>
    <w:rsid w:val="00DA4428"/>
    <w:rsid w:val="00DA7386"/>
    <w:rsid w:val="00DB1763"/>
    <w:rsid w:val="00DB36C1"/>
    <w:rsid w:val="00DB3A32"/>
    <w:rsid w:val="00DB559F"/>
    <w:rsid w:val="00DB5F00"/>
    <w:rsid w:val="00DC0CC5"/>
    <w:rsid w:val="00DC2E5D"/>
    <w:rsid w:val="00DC3025"/>
    <w:rsid w:val="00DC41AE"/>
    <w:rsid w:val="00DC5828"/>
    <w:rsid w:val="00DC62B8"/>
    <w:rsid w:val="00DC7C23"/>
    <w:rsid w:val="00DD341B"/>
    <w:rsid w:val="00DD3648"/>
    <w:rsid w:val="00DD5022"/>
    <w:rsid w:val="00DE167C"/>
    <w:rsid w:val="00DE5FC0"/>
    <w:rsid w:val="00DE680E"/>
    <w:rsid w:val="00DE6F30"/>
    <w:rsid w:val="00DF0DBF"/>
    <w:rsid w:val="00DF2688"/>
    <w:rsid w:val="00DF2906"/>
    <w:rsid w:val="00DF7652"/>
    <w:rsid w:val="00E0068A"/>
    <w:rsid w:val="00E01F7B"/>
    <w:rsid w:val="00E020C9"/>
    <w:rsid w:val="00E07628"/>
    <w:rsid w:val="00E14B59"/>
    <w:rsid w:val="00E15989"/>
    <w:rsid w:val="00E16290"/>
    <w:rsid w:val="00E21386"/>
    <w:rsid w:val="00E24E3A"/>
    <w:rsid w:val="00E26CDC"/>
    <w:rsid w:val="00E30D7E"/>
    <w:rsid w:val="00E3295C"/>
    <w:rsid w:val="00E35238"/>
    <w:rsid w:val="00E35307"/>
    <w:rsid w:val="00E375AE"/>
    <w:rsid w:val="00E43373"/>
    <w:rsid w:val="00E43BD0"/>
    <w:rsid w:val="00E46FC5"/>
    <w:rsid w:val="00E5151A"/>
    <w:rsid w:val="00E5610E"/>
    <w:rsid w:val="00E56A31"/>
    <w:rsid w:val="00E56B59"/>
    <w:rsid w:val="00E56BEC"/>
    <w:rsid w:val="00E573E0"/>
    <w:rsid w:val="00E60AED"/>
    <w:rsid w:val="00E67537"/>
    <w:rsid w:val="00E7308D"/>
    <w:rsid w:val="00E7539B"/>
    <w:rsid w:val="00E75E47"/>
    <w:rsid w:val="00E829DA"/>
    <w:rsid w:val="00E863BA"/>
    <w:rsid w:val="00E868F1"/>
    <w:rsid w:val="00E86E44"/>
    <w:rsid w:val="00E9026E"/>
    <w:rsid w:val="00E949B2"/>
    <w:rsid w:val="00EA2AFD"/>
    <w:rsid w:val="00EA3DE6"/>
    <w:rsid w:val="00EA6453"/>
    <w:rsid w:val="00EB0C92"/>
    <w:rsid w:val="00EB27B3"/>
    <w:rsid w:val="00EB3D63"/>
    <w:rsid w:val="00EB4C3B"/>
    <w:rsid w:val="00EB5A9B"/>
    <w:rsid w:val="00EB68D1"/>
    <w:rsid w:val="00EC133E"/>
    <w:rsid w:val="00EC54B6"/>
    <w:rsid w:val="00EC5826"/>
    <w:rsid w:val="00EC7E62"/>
    <w:rsid w:val="00ED037A"/>
    <w:rsid w:val="00ED2669"/>
    <w:rsid w:val="00ED30D9"/>
    <w:rsid w:val="00ED60EA"/>
    <w:rsid w:val="00ED69C3"/>
    <w:rsid w:val="00ED7CF7"/>
    <w:rsid w:val="00EE6134"/>
    <w:rsid w:val="00EE6D20"/>
    <w:rsid w:val="00EF171C"/>
    <w:rsid w:val="00EF374B"/>
    <w:rsid w:val="00EF4D5D"/>
    <w:rsid w:val="00EF4EA7"/>
    <w:rsid w:val="00EF5674"/>
    <w:rsid w:val="00EF60DB"/>
    <w:rsid w:val="00F00104"/>
    <w:rsid w:val="00F01BE1"/>
    <w:rsid w:val="00F040A4"/>
    <w:rsid w:val="00F0523C"/>
    <w:rsid w:val="00F0734F"/>
    <w:rsid w:val="00F07BC7"/>
    <w:rsid w:val="00F120B5"/>
    <w:rsid w:val="00F1246F"/>
    <w:rsid w:val="00F1259F"/>
    <w:rsid w:val="00F125D4"/>
    <w:rsid w:val="00F13321"/>
    <w:rsid w:val="00F136EF"/>
    <w:rsid w:val="00F13F29"/>
    <w:rsid w:val="00F14BE2"/>
    <w:rsid w:val="00F17355"/>
    <w:rsid w:val="00F17FEC"/>
    <w:rsid w:val="00F23BB2"/>
    <w:rsid w:val="00F27BBE"/>
    <w:rsid w:val="00F31E3F"/>
    <w:rsid w:val="00F3498D"/>
    <w:rsid w:val="00F42C1E"/>
    <w:rsid w:val="00F43D45"/>
    <w:rsid w:val="00F47D51"/>
    <w:rsid w:val="00F51299"/>
    <w:rsid w:val="00F56003"/>
    <w:rsid w:val="00F63D92"/>
    <w:rsid w:val="00F6441E"/>
    <w:rsid w:val="00F66847"/>
    <w:rsid w:val="00F66F2A"/>
    <w:rsid w:val="00F70730"/>
    <w:rsid w:val="00F73A6A"/>
    <w:rsid w:val="00F80C60"/>
    <w:rsid w:val="00F826D6"/>
    <w:rsid w:val="00F82D66"/>
    <w:rsid w:val="00F8359E"/>
    <w:rsid w:val="00F8512F"/>
    <w:rsid w:val="00F91B17"/>
    <w:rsid w:val="00F93859"/>
    <w:rsid w:val="00F95113"/>
    <w:rsid w:val="00FA42B2"/>
    <w:rsid w:val="00FA4676"/>
    <w:rsid w:val="00FA58A4"/>
    <w:rsid w:val="00FB2150"/>
    <w:rsid w:val="00FC2DDA"/>
    <w:rsid w:val="00FC398A"/>
    <w:rsid w:val="00FC6B07"/>
    <w:rsid w:val="00FD2C75"/>
    <w:rsid w:val="00FE00E0"/>
    <w:rsid w:val="00FE3B67"/>
    <w:rsid w:val="00FE51CD"/>
    <w:rsid w:val="00FE5975"/>
    <w:rsid w:val="00FF2B35"/>
    <w:rsid w:val="00FF4118"/>
    <w:rsid w:val="00FF6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6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F36"/>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Bijschrift">
    <w:name w:val="caption"/>
    <w:basedOn w:val="Standaard"/>
    <w:next w:val="Standaard"/>
    <w:uiPriority w:val="35"/>
    <w:unhideWhenUsed/>
    <w:qFormat/>
    <w:rsid w:val="00361DEE"/>
    <w:pPr>
      <w:spacing w:after="200" w:line="240" w:lineRule="auto"/>
    </w:pPr>
    <w:rPr>
      <w:i/>
      <w:iCs/>
      <w:color w:val="0E2841" w:themeColor="text2"/>
    </w:rPr>
  </w:style>
  <w:style w:type="paragraph" w:styleId="Voetnoottekst">
    <w:name w:val="footnote text"/>
    <w:basedOn w:val="Standaard"/>
    <w:link w:val="VoetnoottekstChar"/>
    <w:uiPriority w:val="99"/>
    <w:unhideWhenUsed/>
    <w:rsid w:val="00D72B96"/>
    <w:pPr>
      <w:spacing w:line="240" w:lineRule="auto"/>
    </w:pPr>
    <w:rPr>
      <w:sz w:val="20"/>
      <w:szCs w:val="20"/>
    </w:rPr>
  </w:style>
  <w:style w:type="character" w:customStyle="1" w:styleId="VoetnoottekstChar">
    <w:name w:val="Voetnoottekst Char"/>
    <w:basedOn w:val="Standaardalinea-lettertype"/>
    <w:link w:val="Voetnoottekst"/>
    <w:uiPriority w:val="99"/>
    <w:rsid w:val="00D72B96"/>
    <w:rPr>
      <w:rFonts w:ascii="Verdana" w:hAnsi="Verdana"/>
      <w:color w:val="000000"/>
    </w:rPr>
  </w:style>
  <w:style w:type="character" w:styleId="Voetnootmarkering">
    <w:name w:val="footnote reference"/>
    <w:basedOn w:val="Standaardalinea-lettertype"/>
    <w:uiPriority w:val="99"/>
    <w:semiHidden/>
    <w:unhideWhenUsed/>
    <w:rsid w:val="00D72B96"/>
    <w:rPr>
      <w:vertAlign w:val="superscript"/>
    </w:rPr>
  </w:style>
  <w:style w:type="paragraph" w:styleId="Lijstalinea">
    <w:name w:val="List Paragraph"/>
    <w:basedOn w:val="Standaard"/>
    <w:uiPriority w:val="34"/>
    <w:qFormat/>
    <w:rsid w:val="0078218D"/>
    <w:pPr>
      <w:ind w:left="720"/>
      <w:contextualSpacing/>
    </w:pPr>
  </w:style>
  <w:style w:type="table" w:styleId="Tabelrasterlicht">
    <w:name w:val="Grid Table Light"/>
    <w:basedOn w:val="Standaardtabel"/>
    <w:uiPriority w:val="40"/>
    <w:rsid w:val="007821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BE6048"/>
    <w:rPr>
      <w:color w:val="605E5C"/>
      <w:shd w:val="clear" w:color="auto" w:fill="E1DFDD"/>
    </w:rPr>
  </w:style>
  <w:style w:type="character" w:styleId="Verwijzingopmerking">
    <w:name w:val="annotation reference"/>
    <w:basedOn w:val="Standaardalinea-lettertype"/>
    <w:uiPriority w:val="99"/>
    <w:semiHidden/>
    <w:unhideWhenUsed/>
    <w:rsid w:val="00D33217"/>
    <w:rPr>
      <w:sz w:val="16"/>
      <w:szCs w:val="16"/>
    </w:rPr>
  </w:style>
  <w:style w:type="paragraph" w:styleId="Tekstopmerking">
    <w:name w:val="annotation text"/>
    <w:basedOn w:val="Standaard"/>
    <w:link w:val="TekstopmerkingChar"/>
    <w:uiPriority w:val="99"/>
    <w:unhideWhenUsed/>
    <w:rsid w:val="00D33217"/>
    <w:pPr>
      <w:spacing w:line="240" w:lineRule="auto"/>
    </w:pPr>
    <w:rPr>
      <w:sz w:val="20"/>
      <w:szCs w:val="20"/>
    </w:rPr>
  </w:style>
  <w:style w:type="character" w:customStyle="1" w:styleId="TekstopmerkingChar">
    <w:name w:val="Tekst opmerking Char"/>
    <w:basedOn w:val="Standaardalinea-lettertype"/>
    <w:link w:val="Tekstopmerking"/>
    <w:uiPriority w:val="99"/>
    <w:rsid w:val="00D3321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33217"/>
    <w:rPr>
      <w:b/>
      <w:bCs/>
    </w:rPr>
  </w:style>
  <w:style w:type="character" w:customStyle="1" w:styleId="OnderwerpvanopmerkingChar">
    <w:name w:val="Onderwerp van opmerking Char"/>
    <w:basedOn w:val="TekstopmerkingChar"/>
    <w:link w:val="Onderwerpvanopmerking"/>
    <w:uiPriority w:val="99"/>
    <w:semiHidden/>
    <w:rsid w:val="00D33217"/>
    <w:rPr>
      <w:rFonts w:ascii="Verdana" w:hAnsi="Verdana"/>
      <w:b/>
      <w:bCs/>
      <w:color w:val="000000"/>
    </w:rPr>
  </w:style>
  <w:style w:type="paragraph" w:styleId="Revisie">
    <w:name w:val="Revision"/>
    <w:hidden/>
    <w:uiPriority w:val="99"/>
    <w:semiHidden/>
    <w:rsid w:val="002F60AB"/>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CB5309"/>
    <w:rPr>
      <w:rFonts w:ascii="Times New Roman" w:hAnsi="Times New Roman" w:cs="Times New Roman"/>
      <w:sz w:val="24"/>
      <w:szCs w:val="24"/>
    </w:rPr>
  </w:style>
  <w:style w:type="paragraph" w:styleId="Geenafstand">
    <w:name w:val="No Spacing"/>
    <w:qFormat/>
    <w:rsid w:val="0086741D"/>
    <w:pPr>
      <w:autoSpaceDN/>
      <w:textAlignment w:val="auto"/>
    </w:pPr>
    <w:rPr>
      <w:rFonts w:ascii="Verdana" w:eastAsiaTheme="minorHAnsi" w:hAnsi="Verdana" w:cstheme="minorBidi"/>
      <w:sz w:val="18"/>
      <w:szCs w:val="22"/>
      <w:lang w:val="en-US" w:eastAsia="en-US"/>
    </w:rPr>
  </w:style>
  <w:style w:type="paragraph" w:customStyle="1" w:styleId="pf0">
    <w:name w:val="pf0"/>
    <w:basedOn w:val="Standaard"/>
    <w:rsid w:val="0086741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86741D"/>
    <w:rPr>
      <w:rFonts w:ascii="Segoe UI" w:hAnsi="Segoe UI" w:cs="Segoe UI" w:hint="default"/>
      <w:sz w:val="18"/>
      <w:szCs w:val="18"/>
    </w:rPr>
  </w:style>
  <w:style w:type="table" w:styleId="Tabelraster">
    <w:name w:val="Table Grid"/>
    <w:basedOn w:val="Standaardtabel"/>
    <w:uiPriority w:val="39"/>
    <w:rsid w:val="003D6E76"/>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Yellow1">
    <w:name w:val="List Bullet Yellow 1"/>
    <w:basedOn w:val="Standaard"/>
    <w:qFormat/>
    <w:rsid w:val="00EF4EA7"/>
    <w:pPr>
      <w:numPr>
        <w:numId w:val="20"/>
      </w:numPr>
      <w:overflowPunct w:val="0"/>
      <w:autoSpaceDE w:val="0"/>
      <w:adjustRightInd w:val="0"/>
      <w:spacing w:line="270" w:lineRule="atLeast"/>
      <w:textAlignment w:val="auto"/>
    </w:pPr>
    <w:rPr>
      <w:rFonts w:ascii="EYInterstate Light" w:eastAsia="Times New Roman" w:hAnsi="EYInterstate Light" w:cs="Times New Roman"/>
      <w:color w:val="000000" w:themeColor="text1"/>
      <w:spacing w:val="4"/>
      <w:kern w:val="12"/>
      <w:sz w:val="19"/>
      <w:szCs w:val="20"/>
      <w:lang w:eastAsia="en-US"/>
    </w:rPr>
  </w:style>
  <w:style w:type="paragraph" w:customStyle="1" w:styleId="ListBulletYellow3">
    <w:name w:val="List Bullet Yellow 3"/>
    <w:basedOn w:val="Standaard"/>
    <w:qFormat/>
    <w:rsid w:val="00EF4EA7"/>
    <w:pPr>
      <w:numPr>
        <w:ilvl w:val="2"/>
        <w:numId w:val="20"/>
      </w:numPr>
      <w:overflowPunct w:val="0"/>
      <w:autoSpaceDE w:val="0"/>
      <w:adjustRightInd w:val="0"/>
      <w:spacing w:line="270" w:lineRule="atLeast"/>
      <w:textAlignment w:val="auto"/>
    </w:pPr>
    <w:rPr>
      <w:rFonts w:ascii="EYInterstate Light" w:eastAsia="Times New Roman" w:hAnsi="EYInterstate Light" w:cs="Times New Roman"/>
      <w:color w:val="auto"/>
      <w:spacing w:val="4"/>
      <w:kern w:val="12"/>
      <w:sz w:val="19"/>
      <w:szCs w:val="20"/>
      <w:lang w:eastAsia="en-US"/>
    </w:rPr>
  </w:style>
  <w:style w:type="paragraph" w:customStyle="1" w:styleId="ListBulletYellow2">
    <w:name w:val="List Bullet Yellow 2"/>
    <w:basedOn w:val="Standaard"/>
    <w:qFormat/>
    <w:rsid w:val="00EF4EA7"/>
    <w:pPr>
      <w:numPr>
        <w:ilvl w:val="1"/>
        <w:numId w:val="20"/>
      </w:numPr>
      <w:overflowPunct w:val="0"/>
      <w:autoSpaceDE w:val="0"/>
      <w:adjustRightInd w:val="0"/>
      <w:spacing w:line="270" w:lineRule="atLeast"/>
      <w:textAlignment w:val="auto"/>
    </w:pPr>
    <w:rPr>
      <w:rFonts w:ascii="EYInterstate Light" w:eastAsia="Times New Roman" w:hAnsi="EYInterstate Light" w:cs="Times New Roman"/>
      <w:color w:val="auto"/>
      <w:spacing w:val="4"/>
      <w:kern w:val="12"/>
      <w:sz w:val="19"/>
      <w:szCs w:val="20"/>
      <w:lang w:eastAsia="en-US"/>
    </w:rPr>
  </w:style>
  <w:style w:type="numbering" w:customStyle="1" w:styleId="MultilevelListStyleYellow">
    <w:name w:val="Multilevel ListStyle Yellow"/>
    <w:uiPriority w:val="99"/>
    <w:rsid w:val="00EF4EA7"/>
    <w:pPr>
      <w:numPr>
        <w:numId w:val="20"/>
      </w:numPr>
    </w:pPr>
  </w:style>
  <w:style w:type="character" w:styleId="GevolgdeHyperlink">
    <w:name w:val="FollowedHyperlink"/>
    <w:basedOn w:val="Standaardalinea-lettertype"/>
    <w:uiPriority w:val="99"/>
    <w:semiHidden/>
    <w:unhideWhenUsed/>
    <w:rsid w:val="00DC62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645">
      <w:bodyDiv w:val="1"/>
      <w:marLeft w:val="0"/>
      <w:marRight w:val="0"/>
      <w:marTop w:val="0"/>
      <w:marBottom w:val="0"/>
      <w:divBdr>
        <w:top w:val="none" w:sz="0" w:space="0" w:color="auto"/>
        <w:left w:val="none" w:sz="0" w:space="0" w:color="auto"/>
        <w:bottom w:val="none" w:sz="0" w:space="0" w:color="auto"/>
        <w:right w:val="none" w:sz="0" w:space="0" w:color="auto"/>
      </w:divBdr>
    </w:div>
    <w:div w:id="21132396">
      <w:bodyDiv w:val="1"/>
      <w:marLeft w:val="0"/>
      <w:marRight w:val="0"/>
      <w:marTop w:val="0"/>
      <w:marBottom w:val="0"/>
      <w:divBdr>
        <w:top w:val="none" w:sz="0" w:space="0" w:color="auto"/>
        <w:left w:val="none" w:sz="0" w:space="0" w:color="auto"/>
        <w:bottom w:val="none" w:sz="0" w:space="0" w:color="auto"/>
        <w:right w:val="none" w:sz="0" w:space="0" w:color="auto"/>
      </w:divBdr>
    </w:div>
    <w:div w:id="21588619">
      <w:bodyDiv w:val="1"/>
      <w:marLeft w:val="0"/>
      <w:marRight w:val="0"/>
      <w:marTop w:val="0"/>
      <w:marBottom w:val="0"/>
      <w:divBdr>
        <w:top w:val="none" w:sz="0" w:space="0" w:color="auto"/>
        <w:left w:val="none" w:sz="0" w:space="0" w:color="auto"/>
        <w:bottom w:val="none" w:sz="0" w:space="0" w:color="auto"/>
        <w:right w:val="none" w:sz="0" w:space="0" w:color="auto"/>
      </w:divBdr>
    </w:div>
    <w:div w:id="49109839">
      <w:bodyDiv w:val="1"/>
      <w:marLeft w:val="0"/>
      <w:marRight w:val="0"/>
      <w:marTop w:val="0"/>
      <w:marBottom w:val="0"/>
      <w:divBdr>
        <w:top w:val="none" w:sz="0" w:space="0" w:color="auto"/>
        <w:left w:val="none" w:sz="0" w:space="0" w:color="auto"/>
        <w:bottom w:val="none" w:sz="0" w:space="0" w:color="auto"/>
        <w:right w:val="none" w:sz="0" w:space="0" w:color="auto"/>
      </w:divBdr>
    </w:div>
    <w:div w:id="51734836">
      <w:bodyDiv w:val="1"/>
      <w:marLeft w:val="0"/>
      <w:marRight w:val="0"/>
      <w:marTop w:val="0"/>
      <w:marBottom w:val="0"/>
      <w:divBdr>
        <w:top w:val="none" w:sz="0" w:space="0" w:color="auto"/>
        <w:left w:val="none" w:sz="0" w:space="0" w:color="auto"/>
        <w:bottom w:val="none" w:sz="0" w:space="0" w:color="auto"/>
        <w:right w:val="none" w:sz="0" w:space="0" w:color="auto"/>
      </w:divBdr>
    </w:div>
    <w:div w:id="67271681">
      <w:bodyDiv w:val="1"/>
      <w:marLeft w:val="0"/>
      <w:marRight w:val="0"/>
      <w:marTop w:val="0"/>
      <w:marBottom w:val="0"/>
      <w:divBdr>
        <w:top w:val="none" w:sz="0" w:space="0" w:color="auto"/>
        <w:left w:val="none" w:sz="0" w:space="0" w:color="auto"/>
        <w:bottom w:val="none" w:sz="0" w:space="0" w:color="auto"/>
        <w:right w:val="none" w:sz="0" w:space="0" w:color="auto"/>
      </w:divBdr>
    </w:div>
    <w:div w:id="108282757">
      <w:bodyDiv w:val="1"/>
      <w:marLeft w:val="0"/>
      <w:marRight w:val="0"/>
      <w:marTop w:val="0"/>
      <w:marBottom w:val="0"/>
      <w:divBdr>
        <w:top w:val="none" w:sz="0" w:space="0" w:color="auto"/>
        <w:left w:val="none" w:sz="0" w:space="0" w:color="auto"/>
        <w:bottom w:val="none" w:sz="0" w:space="0" w:color="auto"/>
        <w:right w:val="none" w:sz="0" w:space="0" w:color="auto"/>
      </w:divBdr>
      <w:divsChild>
        <w:div w:id="1624118490">
          <w:marLeft w:val="0"/>
          <w:marRight w:val="0"/>
          <w:marTop w:val="0"/>
          <w:marBottom w:val="0"/>
          <w:divBdr>
            <w:top w:val="none" w:sz="0" w:space="0" w:color="auto"/>
            <w:left w:val="none" w:sz="0" w:space="0" w:color="auto"/>
            <w:bottom w:val="none" w:sz="0" w:space="0" w:color="auto"/>
            <w:right w:val="none" w:sz="0" w:space="0" w:color="auto"/>
          </w:divBdr>
          <w:divsChild>
            <w:div w:id="5549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6874">
      <w:bodyDiv w:val="1"/>
      <w:marLeft w:val="0"/>
      <w:marRight w:val="0"/>
      <w:marTop w:val="0"/>
      <w:marBottom w:val="0"/>
      <w:divBdr>
        <w:top w:val="none" w:sz="0" w:space="0" w:color="auto"/>
        <w:left w:val="none" w:sz="0" w:space="0" w:color="auto"/>
        <w:bottom w:val="none" w:sz="0" w:space="0" w:color="auto"/>
        <w:right w:val="none" w:sz="0" w:space="0" w:color="auto"/>
      </w:divBdr>
    </w:div>
    <w:div w:id="173227199">
      <w:bodyDiv w:val="1"/>
      <w:marLeft w:val="0"/>
      <w:marRight w:val="0"/>
      <w:marTop w:val="0"/>
      <w:marBottom w:val="0"/>
      <w:divBdr>
        <w:top w:val="none" w:sz="0" w:space="0" w:color="auto"/>
        <w:left w:val="none" w:sz="0" w:space="0" w:color="auto"/>
        <w:bottom w:val="none" w:sz="0" w:space="0" w:color="auto"/>
        <w:right w:val="none" w:sz="0" w:space="0" w:color="auto"/>
      </w:divBdr>
    </w:div>
    <w:div w:id="191958274">
      <w:bodyDiv w:val="1"/>
      <w:marLeft w:val="0"/>
      <w:marRight w:val="0"/>
      <w:marTop w:val="0"/>
      <w:marBottom w:val="0"/>
      <w:divBdr>
        <w:top w:val="none" w:sz="0" w:space="0" w:color="auto"/>
        <w:left w:val="none" w:sz="0" w:space="0" w:color="auto"/>
        <w:bottom w:val="none" w:sz="0" w:space="0" w:color="auto"/>
        <w:right w:val="none" w:sz="0" w:space="0" w:color="auto"/>
      </w:divBdr>
    </w:div>
    <w:div w:id="213275104">
      <w:bodyDiv w:val="1"/>
      <w:marLeft w:val="0"/>
      <w:marRight w:val="0"/>
      <w:marTop w:val="0"/>
      <w:marBottom w:val="0"/>
      <w:divBdr>
        <w:top w:val="none" w:sz="0" w:space="0" w:color="auto"/>
        <w:left w:val="none" w:sz="0" w:space="0" w:color="auto"/>
        <w:bottom w:val="none" w:sz="0" w:space="0" w:color="auto"/>
        <w:right w:val="none" w:sz="0" w:space="0" w:color="auto"/>
      </w:divBdr>
    </w:div>
    <w:div w:id="222984984">
      <w:bodyDiv w:val="1"/>
      <w:marLeft w:val="0"/>
      <w:marRight w:val="0"/>
      <w:marTop w:val="0"/>
      <w:marBottom w:val="0"/>
      <w:divBdr>
        <w:top w:val="none" w:sz="0" w:space="0" w:color="auto"/>
        <w:left w:val="none" w:sz="0" w:space="0" w:color="auto"/>
        <w:bottom w:val="none" w:sz="0" w:space="0" w:color="auto"/>
        <w:right w:val="none" w:sz="0" w:space="0" w:color="auto"/>
      </w:divBdr>
    </w:div>
    <w:div w:id="278030441">
      <w:bodyDiv w:val="1"/>
      <w:marLeft w:val="0"/>
      <w:marRight w:val="0"/>
      <w:marTop w:val="0"/>
      <w:marBottom w:val="0"/>
      <w:divBdr>
        <w:top w:val="none" w:sz="0" w:space="0" w:color="auto"/>
        <w:left w:val="none" w:sz="0" w:space="0" w:color="auto"/>
        <w:bottom w:val="none" w:sz="0" w:space="0" w:color="auto"/>
        <w:right w:val="none" w:sz="0" w:space="0" w:color="auto"/>
      </w:divBdr>
      <w:divsChild>
        <w:div w:id="794641876">
          <w:marLeft w:val="0"/>
          <w:marRight w:val="0"/>
          <w:marTop w:val="0"/>
          <w:marBottom w:val="240"/>
          <w:divBdr>
            <w:top w:val="none" w:sz="0" w:space="0" w:color="auto"/>
            <w:left w:val="none" w:sz="0" w:space="0" w:color="auto"/>
            <w:bottom w:val="none" w:sz="0" w:space="0" w:color="auto"/>
            <w:right w:val="none" w:sz="0" w:space="0" w:color="auto"/>
          </w:divBdr>
        </w:div>
        <w:div w:id="1874657600">
          <w:marLeft w:val="0"/>
          <w:marRight w:val="0"/>
          <w:marTop w:val="180"/>
          <w:marBottom w:val="240"/>
          <w:divBdr>
            <w:top w:val="none" w:sz="0" w:space="0" w:color="auto"/>
            <w:left w:val="none" w:sz="0" w:space="0" w:color="auto"/>
            <w:bottom w:val="none" w:sz="0" w:space="0" w:color="auto"/>
            <w:right w:val="none" w:sz="0" w:space="0" w:color="auto"/>
          </w:divBdr>
        </w:div>
        <w:div w:id="1876698505">
          <w:marLeft w:val="0"/>
          <w:marRight w:val="0"/>
          <w:marTop w:val="0"/>
          <w:marBottom w:val="0"/>
          <w:divBdr>
            <w:top w:val="none" w:sz="0" w:space="0" w:color="auto"/>
            <w:left w:val="none" w:sz="0" w:space="0" w:color="auto"/>
            <w:bottom w:val="none" w:sz="0" w:space="0" w:color="auto"/>
            <w:right w:val="none" w:sz="0" w:space="0" w:color="auto"/>
          </w:divBdr>
        </w:div>
      </w:divsChild>
    </w:div>
    <w:div w:id="313804033">
      <w:bodyDiv w:val="1"/>
      <w:marLeft w:val="0"/>
      <w:marRight w:val="0"/>
      <w:marTop w:val="0"/>
      <w:marBottom w:val="0"/>
      <w:divBdr>
        <w:top w:val="none" w:sz="0" w:space="0" w:color="auto"/>
        <w:left w:val="none" w:sz="0" w:space="0" w:color="auto"/>
        <w:bottom w:val="none" w:sz="0" w:space="0" w:color="auto"/>
        <w:right w:val="none" w:sz="0" w:space="0" w:color="auto"/>
      </w:divBdr>
    </w:div>
    <w:div w:id="330454237">
      <w:bodyDiv w:val="1"/>
      <w:marLeft w:val="0"/>
      <w:marRight w:val="0"/>
      <w:marTop w:val="0"/>
      <w:marBottom w:val="0"/>
      <w:divBdr>
        <w:top w:val="none" w:sz="0" w:space="0" w:color="auto"/>
        <w:left w:val="none" w:sz="0" w:space="0" w:color="auto"/>
        <w:bottom w:val="none" w:sz="0" w:space="0" w:color="auto"/>
        <w:right w:val="none" w:sz="0" w:space="0" w:color="auto"/>
      </w:divBdr>
    </w:div>
    <w:div w:id="357508213">
      <w:bodyDiv w:val="1"/>
      <w:marLeft w:val="0"/>
      <w:marRight w:val="0"/>
      <w:marTop w:val="0"/>
      <w:marBottom w:val="0"/>
      <w:divBdr>
        <w:top w:val="none" w:sz="0" w:space="0" w:color="auto"/>
        <w:left w:val="none" w:sz="0" w:space="0" w:color="auto"/>
        <w:bottom w:val="none" w:sz="0" w:space="0" w:color="auto"/>
        <w:right w:val="none" w:sz="0" w:space="0" w:color="auto"/>
      </w:divBdr>
    </w:div>
    <w:div w:id="400062478">
      <w:bodyDiv w:val="1"/>
      <w:marLeft w:val="0"/>
      <w:marRight w:val="0"/>
      <w:marTop w:val="0"/>
      <w:marBottom w:val="0"/>
      <w:divBdr>
        <w:top w:val="none" w:sz="0" w:space="0" w:color="auto"/>
        <w:left w:val="none" w:sz="0" w:space="0" w:color="auto"/>
        <w:bottom w:val="none" w:sz="0" w:space="0" w:color="auto"/>
        <w:right w:val="none" w:sz="0" w:space="0" w:color="auto"/>
      </w:divBdr>
    </w:div>
    <w:div w:id="410548736">
      <w:bodyDiv w:val="1"/>
      <w:marLeft w:val="0"/>
      <w:marRight w:val="0"/>
      <w:marTop w:val="0"/>
      <w:marBottom w:val="0"/>
      <w:divBdr>
        <w:top w:val="none" w:sz="0" w:space="0" w:color="auto"/>
        <w:left w:val="none" w:sz="0" w:space="0" w:color="auto"/>
        <w:bottom w:val="none" w:sz="0" w:space="0" w:color="auto"/>
        <w:right w:val="none" w:sz="0" w:space="0" w:color="auto"/>
      </w:divBdr>
    </w:div>
    <w:div w:id="415057452">
      <w:bodyDiv w:val="1"/>
      <w:marLeft w:val="0"/>
      <w:marRight w:val="0"/>
      <w:marTop w:val="0"/>
      <w:marBottom w:val="0"/>
      <w:divBdr>
        <w:top w:val="none" w:sz="0" w:space="0" w:color="auto"/>
        <w:left w:val="none" w:sz="0" w:space="0" w:color="auto"/>
        <w:bottom w:val="none" w:sz="0" w:space="0" w:color="auto"/>
        <w:right w:val="none" w:sz="0" w:space="0" w:color="auto"/>
      </w:divBdr>
    </w:div>
    <w:div w:id="419254369">
      <w:bodyDiv w:val="1"/>
      <w:marLeft w:val="0"/>
      <w:marRight w:val="0"/>
      <w:marTop w:val="0"/>
      <w:marBottom w:val="0"/>
      <w:divBdr>
        <w:top w:val="none" w:sz="0" w:space="0" w:color="auto"/>
        <w:left w:val="none" w:sz="0" w:space="0" w:color="auto"/>
        <w:bottom w:val="none" w:sz="0" w:space="0" w:color="auto"/>
        <w:right w:val="none" w:sz="0" w:space="0" w:color="auto"/>
      </w:divBdr>
    </w:div>
    <w:div w:id="425614898">
      <w:bodyDiv w:val="1"/>
      <w:marLeft w:val="0"/>
      <w:marRight w:val="0"/>
      <w:marTop w:val="0"/>
      <w:marBottom w:val="0"/>
      <w:divBdr>
        <w:top w:val="none" w:sz="0" w:space="0" w:color="auto"/>
        <w:left w:val="none" w:sz="0" w:space="0" w:color="auto"/>
        <w:bottom w:val="none" w:sz="0" w:space="0" w:color="auto"/>
        <w:right w:val="none" w:sz="0" w:space="0" w:color="auto"/>
      </w:divBdr>
    </w:div>
    <w:div w:id="431822131">
      <w:bodyDiv w:val="1"/>
      <w:marLeft w:val="0"/>
      <w:marRight w:val="0"/>
      <w:marTop w:val="0"/>
      <w:marBottom w:val="0"/>
      <w:divBdr>
        <w:top w:val="none" w:sz="0" w:space="0" w:color="auto"/>
        <w:left w:val="none" w:sz="0" w:space="0" w:color="auto"/>
        <w:bottom w:val="none" w:sz="0" w:space="0" w:color="auto"/>
        <w:right w:val="none" w:sz="0" w:space="0" w:color="auto"/>
      </w:divBdr>
    </w:div>
    <w:div w:id="463159621">
      <w:bodyDiv w:val="1"/>
      <w:marLeft w:val="0"/>
      <w:marRight w:val="0"/>
      <w:marTop w:val="0"/>
      <w:marBottom w:val="0"/>
      <w:divBdr>
        <w:top w:val="none" w:sz="0" w:space="0" w:color="auto"/>
        <w:left w:val="none" w:sz="0" w:space="0" w:color="auto"/>
        <w:bottom w:val="none" w:sz="0" w:space="0" w:color="auto"/>
        <w:right w:val="none" w:sz="0" w:space="0" w:color="auto"/>
      </w:divBdr>
      <w:divsChild>
        <w:div w:id="693269145">
          <w:marLeft w:val="0"/>
          <w:marRight w:val="0"/>
          <w:marTop w:val="0"/>
          <w:marBottom w:val="0"/>
          <w:divBdr>
            <w:top w:val="none" w:sz="0" w:space="0" w:color="auto"/>
            <w:left w:val="none" w:sz="0" w:space="0" w:color="auto"/>
            <w:bottom w:val="none" w:sz="0" w:space="0" w:color="auto"/>
            <w:right w:val="none" w:sz="0" w:space="0" w:color="auto"/>
          </w:divBdr>
          <w:divsChild>
            <w:div w:id="1755473918">
              <w:marLeft w:val="0"/>
              <w:marRight w:val="0"/>
              <w:marTop w:val="0"/>
              <w:marBottom w:val="0"/>
              <w:divBdr>
                <w:top w:val="none" w:sz="0" w:space="0" w:color="auto"/>
                <w:left w:val="none" w:sz="0" w:space="0" w:color="auto"/>
                <w:bottom w:val="none" w:sz="0" w:space="0" w:color="auto"/>
                <w:right w:val="none" w:sz="0" w:space="0" w:color="auto"/>
              </w:divBdr>
            </w:div>
          </w:divsChild>
        </w:div>
        <w:div w:id="347757842">
          <w:marLeft w:val="0"/>
          <w:marRight w:val="0"/>
          <w:marTop w:val="0"/>
          <w:marBottom w:val="0"/>
          <w:divBdr>
            <w:top w:val="none" w:sz="0" w:space="0" w:color="auto"/>
            <w:left w:val="none" w:sz="0" w:space="0" w:color="auto"/>
            <w:bottom w:val="none" w:sz="0" w:space="0" w:color="auto"/>
            <w:right w:val="none" w:sz="0" w:space="0" w:color="auto"/>
          </w:divBdr>
        </w:div>
      </w:divsChild>
    </w:div>
    <w:div w:id="502278611">
      <w:bodyDiv w:val="1"/>
      <w:marLeft w:val="0"/>
      <w:marRight w:val="0"/>
      <w:marTop w:val="0"/>
      <w:marBottom w:val="0"/>
      <w:divBdr>
        <w:top w:val="none" w:sz="0" w:space="0" w:color="auto"/>
        <w:left w:val="none" w:sz="0" w:space="0" w:color="auto"/>
        <w:bottom w:val="none" w:sz="0" w:space="0" w:color="auto"/>
        <w:right w:val="none" w:sz="0" w:space="0" w:color="auto"/>
      </w:divBdr>
    </w:div>
    <w:div w:id="514079391">
      <w:bodyDiv w:val="1"/>
      <w:marLeft w:val="0"/>
      <w:marRight w:val="0"/>
      <w:marTop w:val="0"/>
      <w:marBottom w:val="0"/>
      <w:divBdr>
        <w:top w:val="none" w:sz="0" w:space="0" w:color="auto"/>
        <w:left w:val="none" w:sz="0" w:space="0" w:color="auto"/>
        <w:bottom w:val="none" w:sz="0" w:space="0" w:color="auto"/>
        <w:right w:val="none" w:sz="0" w:space="0" w:color="auto"/>
      </w:divBdr>
    </w:div>
    <w:div w:id="548961009">
      <w:bodyDiv w:val="1"/>
      <w:marLeft w:val="0"/>
      <w:marRight w:val="0"/>
      <w:marTop w:val="0"/>
      <w:marBottom w:val="0"/>
      <w:divBdr>
        <w:top w:val="none" w:sz="0" w:space="0" w:color="auto"/>
        <w:left w:val="none" w:sz="0" w:space="0" w:color="auto"/>
        <w:bottom w:val="none" w:sz="0" w:space="0" w:color="auto"/>
        <w:right w:val="none" w:sz="0" w:space="0" w:color="auto"/>
      </w:divBdr>
    </w:div>
    <w:div w:id="571934879">
      <w:bodyDiv w:val="1"/>
      <w:marLeft w:val="0"/>
      <w:marRight w:val="0"/>
      <w:marTop w:val="0"/>
      <w:marBottom w:val="0"/>
      <w:divBdr>
        <w:top w:val="none" w:sz="0" w:space="0" w:color="auto"/>
        <w:left w:val="none" w:sz="0" w:space="0" w:color="auto"/>
        <w:bottom w:val="none" w:sz="0" w:space="0" w:color="auto"/>
        <w:right w:val="none" w:sz="0" w:space="0" w:color="auto"/>
      </w:divBdr>
    </w:div>
    <w:div w:id="577596122">
      <w:bodyDiv w:val="1"/>
      <w:marLeft w:val="0"/>
      <w:marRight w:val="0"/>
      <w:marTop w:val="0"/>
      <w:marBottom w:val="0"/>
      <w:divBdr>
        <w:top w:val="none" w:sz="0" w:space="0" w:color="auto"/>
        <w:left w:val="none" w:sz="0" w:space="0" w:color="auto"/>
        <w:bottom w:val="none" w:sz="0" w:space="0" w:color="auto"/>
        <w:right w:val="none" w:sz="0" w:space="0" w:color="auto"/>
      </w:divBdr>
    </w:div>
    <w:div w:id="589655978">
      <w:bodyDiv w:val="1"/>
      <w:marLeft w:val="0"/>
      <w:marRight w:val="0"/>
      <w:marTop w:val="0"/>
      <w:marBottom w:val="0"/>
      <w:divBdr>
        <w:top w:val="none" w:sz="0" w:space="0" w:color="auto"/>
        <w:left w:val="none" w:sz="0" w:space="0" w:color="auto"/>
        <w:bottom w:val="none" w:sz="0" w:space="0" w:color="auto"/>
        <w:right w:val="none" w:sz="0" w:space="0" w:color="auto"/>
      </w:divBdr>
    </w:div>
    <w:div w:id="605188758">
      <w:bodyDiv w:val="1"/>
      <w:marLeft w:val="0"/>
      <w:marRight w:val="0"/>
      <w:marTop w:val="0"/>
      <w:marBottom w:val="0"/>
      <w:divBdr>
        <w:top w:val="none" w:sz="0" w:space="0" w:color="auto"/>
        <w:left w:val="none" w:sz="0" w:space="0" w:color="auto"/>
        <w:bottom w:val="none" w:sz="0" w:space="0" w:color="auto"/>
        <w:right w:val="none" w:sz="0" w:space="0" w:color="auto"/>
      </w:divBdr>
    </w:div>
    <w:div w:id="614486055">
      <w:bodyDiv w:val="1"/>
      <w:marLeft w:val="0"/>
      <w:marRight w:val="0"/>
      <w:marTop w:val="0"/>
      <w:marBottom w:val="0"/>
      <w:divBdr>
        <w:top w:val="none" w:sz="0" w:space="0" w:color="auto"/>
        <w:left w:val="none" w:sz="0" w:space="0" w:color="auto"/>
        <w:bottom w:val="none" w:sz="0" w:space="0" w:color="auto"/>
        <w:right w:val="none" w:sz="0" w:space="0" w:color="auto"/>
      </w:divBdr>
    </w:div>
    <w:div w:id="625889812">
      <w:bodyDiv w:val="1"/>
      <w:marLeft w:val="0"/>
      <w:marRight w:val="0"/>
      <w:marTop w:val="0"/>
      <w:marBottom w:val="0"/>
      <w:divBdr>
        <w:top w:val="none" w:sz="0" w:space="0" w:color="auto"/>
        <w:left w:val="none" w:sz="0" w:space="0" w:color="auto"/>
        <w:bottom w:val="none" w:sz="0" w:space="0" w:color="auto"/>
        <w:right w:val="none" w:sz="0" w:space="0" w:color="auto"/>
      </w:divBdr>
    </w:div>
    <w:div w:id="626011344">
      <w:bodyDiv w:val="1"/>
      <w:marLeft w:val="0"/>
      <w:marRight w:val="0"/>
      <w:marTop w:val="0"/>
      <w:marBottom w:val="0"/>
      <w:divBdr>
        <w:top w:val="none" w:sz="0" w:space="0" w:color="auto"/>
        <w:left w:val="none" w:sz="0" w:space="0" w:color="auto"/>
        <w:bottom w:val="none" w:sz="0" w:space="0" w:color="auto"/>
        <w:right w:val="none" w:sz="0" w:space="0" w:color="auto"/>
      </w:divBdr>
    </w:div>
    <w:div w:id="631791139">
      <w:bodyDiv w:val="1"/>
      <w:marLeft w:val="0"/>
      <w:marRight w:val="0"/>
      <w:marTop w:val="0"/>
      <w:marBottom w:val="0"/>
      <w:divBdr>
        <w:top w:val="none" w:sz="0" w:space="0" w:color="auto"/>
        <w:left w:val="none" w:sz="0" w:space="0" w:color="auto"/>
        <w:bottom w:val="none" w:sz="0" w:space="0" w:color="auto"/>
        <w:right w:val="none" w:sz="0" w:space="0" w:color="auto"/>
      </w:divBdr>
    </w:div>
    <w:div w:id="642349259">
      <w:bodyDiv w:val="1"/>
      <w:marLeft w:val="0"/>
      <w:marRight w:val="0"/>
      <w:marTop w:val="0"/>
      <w:marBottom w:val="0"/>
      <w:divBdr>
        <w:top w:val="none" w:sz="0" w:space="0" w:color="auto"/>
        <w:left w:val="none" w:sz="0" w:space="0" w:color="auto"/>
        <w:bottom w:val="none" w:sz="0" w:space="0" w:color="auto"/>
        <w:right w:val="none" w:sz="0" w:space="0" w:color="auto"/>
      </w:divBdr>
    </w:div>
    <w:div w:id="666175959">
      <w:bodyDiv w:val="1"/>
      <w:marLeft w:val="0"/>
      <w:marRight w:val="0"/>
      <w:marTop w:val="0"/>
      <w:marBottom w:val="0"/>
      <w:divBdr>
        <w:top w:val="none" w:sz="0" w:space="0" w:color="auto"/>
        <w:left w:val="none" w:sz="0" w:space="0" w:color="auto"/>
        <w:bottom w:val="none" w:sz="0" w:space="0" w:color="auto"/>
        <w:right w:val="none" w:sz="0" w:space="0" w:color="auto"/>
      </w:divBdr>
    </w:div>
    <w:div w:id="667296572">
      <w:bodyDiv w:val="1"/>
      <w:marLeft w:val="0"/>
      <w:marRight w:val="0"/>
      <w:marTop w:val="0"/>
      <w:marBottom w:val="0"/>
      <w:divBdr>
        <w:top w:val="none" w:sz="0" w:space="0" w:color="auto"/>
        <w:left w:val="none" w:sz="0" w:space="0" w:color="auto"/>
        <w:bottom w:val="none" w:sz="0" w:space="0" w:color="auto"/>
        <w:right w:val="none" w:sz="0" w:space="0" w:color="auto"/>
      </w:divBdr>
    </w:div>
    <w:div w:id="683745744">
      <w:bodyDiv w:val="1"/>
      <w:marLeft w:val="0"/>
      <w:marRight w:val="0"/>
      <w:marTop w:val="0"/>
      <w:marBottom w:val="0"/>
      <w:divBdr>
        <w:top w:val="none" w:sz="0" w:space="0" w:color="auto"/>
        <w:left w:val="none" w:sz="0" w:space="0" w:color="auto"/>
        <w:bottom w:val="none" w:sz="0" w:space="0" w:color="auto"/>
        <w:right w:val="none" w:sz="0" w:space="0" w:color="auto"/>
      </w:divBdr>
    </w:div>
    <w:div w:id="704913570">
      <w:bodyDiv w:val="1"/>
      <w:marLeft w:val="0"/>
      <w:marRight w:val="0"/>
      <w:marTop w:val="0"/>
      <w:marBottom w:val="0"/>
      <w:divBdr>
        <w:top w:val="none" w:sz="0" w:space="0" w:color="auto"/>
        <w:left w:val="none" w:sz="0" w:space="0" w:color="auto"/>
        <w:bottom w:val="none" w:sz="0" w:space="0" w:color="auto"/>
        <w:right w:val="none" w:sz="0" w:space="0" w:color="auto"/>
      </w:divBdr>
    </w:div>
    <w:div w:id="729117900">
      <w:bodyDiv w:val="1"/>
      <w:marLeft w:val="0"/>
      <w:marRight w:val="0"/>
      <w:marTop w:val="0"/>
      <w:marBottom w:val="0"/>
      <w:divBdr>
        <w:top w:val="none" w:sz="0" w:space="0" w:color="auto"/>
        <w:left w:val="none" w:sz="0" w:space="0" w:color="auto"/>
        <w:bottom w:val="none" w:sz="0" w:space="0" w:color="auto"/>
        <w:right w:val="none" w:sz="0" w:space="0" w:color="auto"/>
      </w:divBdr>
    </w:div>
    <w:div w:id="743794588">
      <w:bodyDiv w:val="1"/>
      <w:marLeft w:val="0"/>
      <w:marRight w:val="0"/>
      <w:marTop w:val="0"/>
      <w:marBottom w:val="0"/>
      <w:divBdr>
        <w:top w:val="none" w:sz="0" w:space="0" w:color="auto"/>
        <w:left w:val="none" w:sz="0" w:space="0" w:color="auto"/>
        <w:bottom w:val="none" w:sz="0" w:space="0" w:color="auto"/>
        <w:right w:val="none" w:sz="0" w:space="0" w:color="auto"/>
      </w:divBdr>
    </w:div>
    <w:div w:id="766854867">
      <w:bodyDiv w:val="1"/>
      <w:marLeft w:val="0"/>
      <w:marRight w:val="0"/>
      <w:marTop w:val="0"/>
      <w:marBottom w:val="0"/>
      <w:divBdr>
        <w:top w:val="none" w:sz="0" w:space="0" w:color="auto"/>
        <w:left w:val="none" w:sz="0" w:space="0" w:color="auto"/>
        <w:bottom w:val="none" w:sz="0" w:space="0" w:color="auto"/>
        <w:right w:val="none" w:sz="0" w:space="0" w:color="auto"/>
      </w:divBdr>
    </w:div>
    <w:div w:id="805468057">
      <w:bodyDiv w:val="1"/>
      <w:marLeft w:val="0"/>
      <w:marRight w:val="0"/>
      <w:marTop w:val="0"/>
      <w:marBottom w:val="0"/>
      <w:divBdr>
        <w:top w:val="none" w:sz="0" w:space="0" w:color="auto"/>
        <w:left w:val="none" w:sz="0" w:space="0" w:color="auto"/>
        <w:bottom w:val="none" w:sz="0" w:space="0" w:color="auto"/>
        <w:right w:val="none" w:sz="0" w:space="0" w:color="auto"/>
      </w:divBdr>
    </w:div>
    <w:div w:id="832528932">
      <w:bodyDiv w:val="1"/>
      <w:marLeft w:val="0"/>
      <w:marRight w:val="0"/>
      <w:marTop w:val="0"/>
      <w:marBottom w:val="0"/>
      <w:divBdr>
        <w:top w:val="none" w:sz="0" w:space="0" w:color="auto"/>
        <w:left w:val="none" w:sz="0" w:space="0" w:color="auto"/>
        <w:bottom w:val="none" w:sz="0" w:space="0" w:color="auto"/>
        <w:right w:val="none" w:sz="0" w:space="0" w:color="auto"/>
      </w:divBdr>
    </w:div>
    <w:div w:id="839739316">
      <w:bodyDiv w:val="1"/>
      <w:marLeft w:val="0"/>
      <w:marRight w:val="0"/>
      <w:marTop w:val="0"/>
      <w:marBottom w:val="0"/>
      <w:divBdr>
        <w:top w:val="none" w:sz="0" w:space="0" w:color="auto"/>
        <w:left w:val="none" w:sz="0" w:space="0" w:color="auto"/>
        <w:bottom w:val="none" w:sz="0" w:space="0" w:color="auto"/>
        <w:right w:val="none" w:sz="0" w:space="0" w:color="auto"/>
      </w:divBdr>
    </w:div>
    <w:div w:id="876743443">
      <w:bodyDiv w:val="1"/>
      <w:marLeft w:val="0"/>
      <w:marRight w:val="0"/>
      <w:marTop w:val="0"/>
      <w:marBottom w:val="0"/>
      <w:divBdr>
        <w:top w:val="none" w:sz="0" w:space="0" w:color="auto"/>
        <w:left w:val="none" w:sz="0" w:space="0" w:color="auto"/>
        <w:bottom w:val="none" w:sz="0" w:space="0" w:color="auto"/>
        <w:right w:val="none" w:sz="0" w:space="0" w:color="auto"/>
      </w:divBdr>
    </w:div>
    <w:div w:id="929462430">
      <w:bodyDiv w:val="1"/>
      <w:marLeft w:val="0"/>
      <w:marRight w:val="0"/>
      <w:marTop w:val="0"/>
      <w:marBottom w:val="0"/>
      <w:divBdr>
        <w:top w:val="none" w:sz="0" w:space="0" w:color="auto"/>
        <w:left w:val="none" w:sz="0" w:space="0" w:color="auto"/>
        <w:bottom w:val="none" w:sz="0" w:space="0" w:color="auto"/>
        <w:right w:val="none" w:sz="0" w:space="0" w:color="auto"/>
      </w:divBdr>
    </w:div>
    <w:div w:id="937523587">
      <w:bodyDiv w:val="1"/>
      <w:marLeft w:val="0"/>
      <w:marRight w:val="0"/>
      <w:marTop w:val="0"/>
      <w:marBottom w:val="0"/>
      <w:divBdr>
        <w:top w:val="none" w:sz="0" w:space="0" w:color="auto"/>
        <w:left w:val="none" w:sz="0" w:space="0" w:color="auto"/>
        <w:bottom w:val="none" w:sz="0" w:space="0" w:color="auto"/>
        <w:right w:val="none" w:sz="0" w:space="0" w:color="auto"/>
      </w:divBdr>
    </w:div>
    <w:div w:id="961576724">
      <w:bodyDiv w:val="1"/>
      <w:marLeft w:val="0"/>
      <w:marRight w:val="0"/>
      <w:marTop w:val="0"/>
      <w:marBottom w:val="0"/>
      <w:divBdr>
        <w:top w:val="none" w:sz="0" w:space="0" w:color="auto"/>
        <w:left w:val="none" w:sz="0" w:space="0" w:color="auto"/>
        <w:bottom w:val="none" w:sz="0" w:space="0" w:color="auto"/>
        <w:right w:val="none" w:sz="0" w:space="0" w:color="auto"/>
      </w:divBdr>
    </w:div>
    <w:div w:id="974527392">
      <w:bodyDiv w:val="1"/>
      <w:marLeft w:val="0"/>
      <w:marRight w:val="0"/>
      <w:marTop w:val="0"/>
      <w:marBottom w:val="0"/>
      <w:divBdr>
        <w:top w:val="none" w:sz="0" w:space="0" w:color="auto"/>
        <w:left w:val="none" w:sz="0" w:space="0" w:color="auto"/>
        <w:bottom w:val="none" w:sz="0" w:space="0" w:color="auto"/>
        <w:right w:val="none" w:sz="0" w:space="0" w:color="auto"/>
      </w:divBdr>
    </w:div>
    <w:div w:id="992414426">
      <w:bodyDiv w:val="1"/>
      <w:marLeft w:val="0"/>
      <w:marRight w:val="0"/>
      <w:marTop w:val="0"/>
      <w:marBottom w:val="0"/>
      <w:divBdr>
        <w:top w:val="none" w:sz="0" w:space="0" w:color="auto"/>
        <w:left w:val="none" w:sz="0" w:space="0" w:color="auto"/>
        <w:bottom w:val="none" w:sz="0" w:space="0" w:color="auto"/>
        <w:right w:val="none" w:sz="0" w:space="0" w:color="auto"/>
      </w:divBdr>
    </w:div>
    <w:div w:id="1056390522">
      <w:bodyDiv w:val="1"/>
      <w:marLeft w:val="0"/>
      <w:marRight w:val="0"/>
      <w:marTop w:val="0"/>
      <w:marBottom w:val="0"/>
      <w:divBdr>
        <w:top w:val="none" w:sz="0" w:space="0" w:color="auto"/>
        <w:left w:val="none" w:sz="0" w:space="0" w:color="auto"/>
        <w:bottom w:val="none" w:sz="0" w:space="0" w:color="auto"/>
        <w:right w:val="none" w:sz="0" w:space="0" w:color="auto"/>
      </w:divBdr>
    </w:div>
    <w:div w:id="1061489627">
      <w:bodyDiv w:val="1"/>
      <w:marLeft w:val="0"/>
      <w:marRight w:val="0"/>
      <w:marTop w:val="0"/>
      <w:marBottom w:val="0"/>
      <w:divBdr>
        <w:top w:val="none" w:sz="0" w:space="0" w:color="auto"/>
        <w:left w:val="none" w:sz="0" w:space="0" w:color="auto"/>
        <w:bottom w:val="none" w:sz="0" w:space="0" w:color="auto"/>
        <w:right w:val="none" w:sz="0" w:space="0" w:color="auto"/>
      </w:divBdr>
    </w:div>
    <w:div w:id="1099523151">
      <w:bodyDiv w:val="1"/>
      <w:marLeft w:val="0"/>
      <w:marRight w:val="0"/>
      <w:marTop w:val="0"/>
      <w:marBottom w:val="0"/>
      <w:divBdr>
        <w:top w:val="none" w:sz="0" w:space="0" w:color="auto"/>
        <w:left w:val="none" w:sz="0" w:space="0" w:color="auto"/>
        <w:bottom w:val="none" w:sz="0" w:space="0" w:color="auto"/>
        <w:right w:val="none" w:sz="0" w:space="0" w:color="auto"/>
      </w:divBdr>
    </w:div>
    <w:div w:id="1110901840">
      <w:bodyDiv w:val="1"/>
      <w:marLeft w:val="0"/>
      <w:marRight w:val="0"/>
      <w:marTop w:val="0"/>
      <w:marBottom w:val="0"/>
      <w:divBdr>
        <w:top w:val="none" w:sz="0" w:space="0" w:color="auto"/>
        <w:left w:val="none" w:sz="0" w:space="0" w:color="auto"/>
        <w:bottom w:val="none" w:sz="0" w:space="0" w:color="auto"/>
        <w:right w:val="none" w:sz="0" w:space="0" w:color="auto"/>
      </w:divBdr>
    </w:div>
    <w:div w:id="1111510062">
      <w:bodyDiv w:val="1"/>
      <w:marLeft w:val="0"/>
      <w:marRight w:val="0"/>
      <w:marTop w:val="0"/>
      <w:marBottom w:val="0"/>
      <w:divBdr>
        <w:top w:val="none" w:sz="0" w:space="0" w:color="auto"/>
        <w:left w:val="none" w:sz="0" w:space="0" w:color="auto"/>
        <w:bottom w:val="none" w:sz="0" w:space="0" w:color="auto"/>
        <w:right w:val="none" w:sz="0" w:space="0" w:color="auto"/>
      </w:divBdr>
    </w:div>
    <w:div w:id="1127436271">
      <w:bodyDiv w:val="1"/>
      <w:marLeft w:val="0"/>
      <w:marRight w:val="0"/>
      <w:marTop w:val="0"/>
      <w:marBottom w:val="0"/>
      <w:divBdr>
        <w:top w:val="none" w:sz="0" w:space="0" w:color="auto"/>
        <w:left w:val="none" w:sz="0" w:space="0" w:color="auto"/>
        <w:bottom w:val="none" w:sz="0" w:space="0" w:color="auto"/>
        <w:right w:val="none" w:sz="0" w:space="0" w:color="auto"/>
      </w:divBdr>
    </w:div>
    <w:div w:id="1143276735">
      <w:bodyDiv w:val="1"/>
      <w:marLeft w:val="0"/>
      <w:marRight w:val="0"/>
      <w:marTop w:val="0"/>
      <w:marBottom w:val="0"/>
      <w:divBdr>
        <w:top w:val="none" w:sz="0" w:space="0" w:color="auto"/>
        <w:left w:val="none" w:sz="0" w:space="0" w:color="auto"/>
        <w:bottom w:val="none" w:sz="0" w:space="0" w:color="auto"/>
        <w:right w:val="none" w:sz="0" w:space="0" w:color="auto"/>
      </w:divBdr>
    </w:div>
    <w:div w:id="1182741027">
      <w:bodyDiv w:val="1"/>
      <w:marLeft w:val="0"/>
      <w:marRight w:val="0"/>
      <w:marTop w:val="0"/>
      <w:marBottom w:val="0"/>
      <w:divBdr>
        <w:top w:val="none" w:sz="0" w:space="0" w:color="auto"/>
        <w:left w:val="none" w:sz="0" w:space="0" w:color="auto"/>
        <w:bottom w:val="none" w:sz="0" w:space="0" w:color="auto"/>
        <w:right w:val="none" w:sz="0" w:space="0" w:color="auto"/>
      </w:divBdr>
    </w:div>
    <w:div w:id="1267928514">
      <w:bodyDiv w:val="1"/>
      <w:marLeft w:val="0"/>
      <w:marRight w:val="0"/>
      <w:marTop w:val="0"/>
      <w:marBottom w:val="0"/>
      <w:divBdr>
        <w:top w:val="none" w:sz="0" w:space="0" w:color="auto"/>
        <w:left w:val="none" w:sz="0" w:space="0" w:color="auto"/>
        <w:bottom w:val="none" w:sz="0" w:space="0" w:color="auto"/>
        <w:right w:val="none" w:sz="0" w:space="0" w:color="auto"/>
      </w:divBdr>
    </w:div>
    <w:div w:id="1326666385">
      <w:bodyDiv w:val="1"/>
      <w:marLeft w:val="0"/>
      <w:marRight w:val="0"/>
      <w:marTop w:val="0"/>
      <w:marBottom w:val="0"/>
      <w:divBdr>
        <w:top w:val="none" w:sz="0" w:space="0" w:color="auto"/>
        <w:left w:val="none" w:sz="0" w:space="0" w:color="auto"/>
        <w:bottom w:val="none" w:sz="0" w:space="0" w:color="auto"/>
        <w:right w:val="none" w:sz="0" w:space="0" w:color="auto"/>
      </w:divBdr>
    </w:div>
    <w:div w:id="1357652307">
      <w:bodyDiv w:val="1"/>
      <w:marLeft w:val="0"/>
      <w:marRight w:val="0"/>
      <w:marTop w:val="0"/>
      <w:marBottom w:val="0"/>
      <w:divBdr>
        <w:top w:val="none" w:sz="0" w:space="0" w:color="auto"/>
        <w:left w:val="none" w:sz="0" w:space="0" w:color="auto"/>
        <w:bottom w:val="none" w:sz="0" w:space="0" w:color="auto"/>
        <w:right w:val="none" w:sz="0" w:space="0" w:color="auto"/>
      </w:divBdr>
    </w:div>
    <w:div w:id="1372801551">
      <w:bodyDiv w:val="1"/>
      <w:marLeft w:val="0"/>
      <w:marRight w:val="0"/>
      <w:marTop w:val="0"/>
      <w:marBottom w:val="0"/>
      <w:divBdr>
        <w:top w:val="none" w:sz="0" w:space="0" w:color="auto"/>
        <w:left w:val="none" w:sz="0" w:space="0" w:color="auto"/>
        <w:bottom w:val="none" w:sz="0" w:space="0" w:color="auto"/>
        <w:right w:val="none" w:sz="0" w:space="0" w:color="auto"/>
      </w:divBdr>
    </w:div>
    <w:div w:id="1403716010">
      <w:bodyDiv w:val="1"/>
      <w:marLeft w:val="0"/>
      <w:marRight w:val="0"/>
      <w:marTop w:val="0"/>
      <w:marBottom w:val="0"/>
      <w:divBdr>
        <w:top w:val="none" w:sz="0" w:space="0" w:color="auto"/>
        <w:left w:val="none" w:sz="0" w:space="0" w:color="auto"/>
        <w:bottom w:val="none" w:sz="0" w:space="0" w:color="auto"/>
        <w:right w:val="none" w:sz="0" w:space="0" w:color="auto"/>
      </w:divBdr>
    </w:div>
    <w:div w:id="1421171384">
      <w:bodyDiv w:val="1"/>
      <w:marLeft w:val="0"/>
      <w:marRight w:val="0"/>
      <w:marTop w:val="0"/>
      <w:marBottom w:val="0"/>
      <w:divBdr>
        <w:top w:val="none" w:sz="0" w:space="0" w:color="auto"/>
        <w:left w:val="none" w:sz="0" w:space="0" w:color="auto"/>
        <w:bottom w:val="none" w:sz="0" w:space="0" w:color="auto"/>
        <w:right w:val="none" w:sz="0" w:space="0" w:color="auto"/>
      </w:divBdr>
    </w:div>
    <w:div w:id="1450509269">
      <w:bodyDiv w:val="1"/>
      <w:marLeft w:val="0"/>
      <w:marRight w:val="0"/>
      <w:marTop w:val="0"/>
      <w:marBottom w:val="0"/>
      <w:divBdr>
        <w:top w:val="none" w:sz="0" w:space="0" w:color="auto"/>
        <w:left w:val="none" w:sz="0" w:space="0" w:color="auto"/>
        <w:bottom w:val="none" w:sz="0" w:space="0" w:color="auto"/>
        <w:right w:val="none" w:sz="0" w:space="0" w:color="auto"/>
      </w:divBdr>
    </w:div>
    <w:div w:id="1462461799">
      <w:bodyDiv w:val="1"/>
      <w:marLeft w:val="0"/>
      <w:marRight w:val="0"/>
      <w:marTop w:val="0"/>
      <w:marBottom w:val="0"/>
      <w:divBdr>
        <w:top w:val="none" w:sz="0" w:space="0" w:color="auto"/>
        <w:left w:val="none" w:sz="0" w:space="0" w:color="auto"/>
        <w:bottom w:val="none" w:sz="0" w:space="0" w:color="auto"/>
        <w:right w:val="none" w:sz="0" w:space="0" w:color="auto"/>
      </w:divBdr>
    </w:div>
    <w:div w:id="1477990546">
      <w:bodyDiv w:val="1"/>
      <w:marLeft w:val="0"/>
      <w:marRight w:val="0"/>
      <w:marTop w:val="0"/>
      <w:marBottom w:val="0"/>
      <w:divBdr>
        <w:top w:val="none" w:sz="0" w:space="0" w:color="auto"/>
        <w:left w:val="none" w:sz="0" w:space="0" w:color="auto"/>
        <w:bottom w:val="none" w:sz="0" w:space="0" w:color="auto"/>
        <w:right w:val="none" w:sz="0" w:space="0" w:color="auto"/>
      </w:divBdr>
    </w:div>
    <w:div w:id="1480145815">
      <w:bodyDiv w:val="1"/>
      <w:marLeft w:val="0"/>
      <w:marRight w:val="0"/>
      <w:marTop w:val="0"/>
      <w:marBottom w:val="0"/>
      <w:divBdr>
        <w:top w:val="none" w:sz="0" w:space="0" w:color="auto"/>
        <w:left w:val="none" w:sz="0" w:space="0" w:color="auto"/>
        <w:bottom w:val="none" w:sz="0" w:space="0" w:color="auto"/>
        <w:right w:val="none" w:sz="0" w:space="0" w:color="auto"/>
      </w:divBdr>
    </w:div>
    <w:div w:id="1499882129">
      <w:bodyDiv w:val="1"/>
      <w:marLeft w:val="0"/>
      <w:marRight w:val="0"/>
      <w:marTop w:val="0"/>
      <w:marBottom w:val="0"/>
      <w:divBdr>
        <w:top w:val="none" w:sz="0" w:space="0" w:color="auto"/>
        <w:left w:val="none" w:sz="0" w:space="0" w:color="auto"/>
        <w:bottom w:val="none" w:sz="0" w:space="0" w:color="auto"/>
        <w:right w:val="none" w:sz="0" w:space="0" w:color="auto"/>
      </w:divBdr>
    </w:div>
    <w:div w:id="1530601084">
      <w:bodyDiv w:val="1"/>
      <w:marLeft w:val="0"/>
      <w:marRight w:val="0"/>
      <w:marTop w:val="0"/>
      <w:marBottom w:val="0"/>
      <w:divBdr>
        <w:top w:val="none" w:sz="0" w:space="0" w:color="auto"/>
        <w:left w:val="none" w:sz="0" w:space="0" w:color="auto"/>
        <w:bottom w:val="none" w:sz="0" w:space="0" w:color="auto"/>
        <w:right w:val="none" w:sz="0" w:space="0" w:color="auto"/>
      </w:divBdr>
    </w:div>
    <w:div w:id="1534074186">
      <w:bodyDiv w:val="1"/>
      <w:marLeft w:val="0"/>
      <w:marRight w:val="0"/>
      <w:marTop w:val="0"/>
      <w:marBottom w:val="0"/>
      <w:divBdr>
        <w:top w:val="none" w:sz="0" w:space="0" w:color="auto"/>
        <w:left w:val="none" w:sz="0" w:space="0" w:color="auto"/>
        <w:bottom w:val="none" w:sz="0" w:space="0" w:color="auto"/>
        <w:right w:val="none" w:sz="0" w:space="0" w:color="auto"/>
      </w:divBdr>
    </w:div>
    <w:div w:id="1561750729">
      <w:bodyDiv w:val="1"/>
      <w:marLeft w:val="0"/>
      <w:marRight w:val="0"/>
      <w:marTop w:val="0"/>
      <w:marBottom w:val="0"/>
      <w:divBdr>
        <w:top w:val="none" w:sz="0" w:space="0" w:color="auto"/>
        <w:left w:val="none" w:sz="0" w:space="0" w:color="auto"/>
        <w:bottom w:val="none" w:sz="0" w:space="0" w:color="auto"/>
        <w:right w:val="none" w:sz="0" w:space="0" w:color="auto"/>
      </w:divBdr>
    </w:div>
    <w:div w:id="1567838200">
      <w:bodyDiv w:val="1"/>
      <w:marLeft w:val="0"/>
      <w:marRight w:val="0"/>
      <w:marTop w:val="0"/>
      <w:marBottom w:val="0"/>
      <w:divBdr>
        <w:top w:val="none" w:sz="0" w:space="0" w:color="auto"/>
        <w:left w:val="none" w:sz="0" w:space="0" w:color="auto"/>
        <w:bottom w:val="none" w:sz="0" w:space="0" w:color="auto"/>
        <w:right w:val="none" w:sz="0" w:space="0" w:color="auto"/>
      </w:divBdr>
    </w:div>
    <w:div w:id="1614941031">
      <w:bodyDiv w:val="1"/>
      <w:marLeft w:val="0"/>
      <w:marRight w:val="0"/>
      <w:marTop w:val="0"/>
      <w:marBottom w:val="0"/>
      <w:divBdr>
        <w:top w:val="none" w:sz="0" w:space="0" w:color="auto"/>
        <w:left w:val="none" w:sz="0" w:space="0" w:color="auto"/>
        <w:bottom w:val="none" w:sz="0" w:space="0" w:color="auto"/>
        <w:right w:val="none" w:sz="0" w:space="0" w:color="auto"/>
      </w:divBdr>
    </w:div>
    <w:div w:id="1664167123">
      <w:bodyDiv w:val="1"/>
      <w:marLeft w:val="0"/>
      <w:marRight w:val="0"/>
      <w:marTop w:val="0"/>
      <w:marBottom w:val="0"/>
      <w:divBdr>
        <w:top w:val="none" w:sz="0" w:space="0" w:color="auto"/>
        <w:left w:val="none" w:sz="0" w:space="0" w:color="auto"/>
        <w:bottom w:val="none" w:sz="0" w:space="0" w:color="auto"/>
        <w:right w:val="none" w:sz="0" w:space="0" w:color="auto"/>
      </w:divBdr>
    </w:div>
    <w:div w:id="1680767890">
      <w:bodyDiv w:val="1"/>
      <w:marLeft w:val="0"/>
      <w:marRight w:val="0"/>
      <w:marTop w:val="0"/>
      <w:marBottom w:val="0"/>
      <w:divBdr>
        <w:top w:val="none" w:sz="0" w:space="0" w:color="auto"/>
        <w:left w:val="none" w:sz="0" w:space="0" w:color="auto"/>
        <w:bottom w:val="none" w:sz="0" w:space="0" w:color="auto"/>
        <w:right w:val="none" w:sz="0" w:space="0" w:color="auto"/>
      </w:divBdr>
      <w:divsChild>
        <w:div w:id="1072510725">
          <w:marLeft w:val="0"/>
          <w:marRight w:val="0"/>
          <w:marTop w:val="0"/>
          <w:marBottom w:val="240"/>
          <w:divBdr>
            <w:top w:val="none" w:sz="0" w:space="0" w:color="auto"/>
            <w:left w:val="none" w:sz="0" w:space="0" w:color="auto"/>
            <w:bottom w:val="none" w:sz="0" w:space="0" w:color="auto"/>
            <w:right w:val="none" w:sz="0" w:space="0" w:color="auto"/>
          </w:divBdr>
        </w:div>
        <w:div w:id="1466510973">
          <w:marLeft w:val="0"/>
          <w:marRight w:val="0"/>
          <w:marTop w:val="180"/>
          <w:marBottom w:val="240"/>
          <w:divBdr>
            <w:top w:val="none" w:sz="0" w:space="0" w:color="auto"/>
            <w:left w:val="none" w:sz="0" w:space="0" w:color="auto"/>
            <w:bottom w:val="none" w:sz="0" w:space="0" w:color="auto"/>
            <w:right w:val="none" w:sz="0" w:space="0" w:color="auto"/>
          </w:divBdr>
        </w:div>
        <w:div w:id="1504470896">
          <w:marLeft w:val="0"/>
          <w:marRight w:val="0"/>
          <w:marTop w:val="0"/>
          <w:marBottom w:val="0"/>
          <w:divBdr>
            <w:top w:val="none" w:sz="0" w:space="0" w:color="auto"/>
            <w:left w:val="none" w:sz="0" w:space="0" w:color="auto"/>
            <w:bottom w:val="none" w:sz="0" w:space="0" w:color="auto"/>
            <w:right w:val="none" w:sz="0" w:space="0" w:color="auto"/>
          </w:divBdr>
        </w:div>
      </w:divsChild>
    </w:div>
    <w:div w:id="1702517019">
      <w:bodyDiv w:val="1"/>
      <w:marLeft w:val="0"/>
      <w:marRight w:val="0"/>
      <w:marTop w:val="0"/>
      <w:marBottom w:val="0"/>
      <w:divBdr>
        <w:top w:val="none" w:sz="0" w:space="0" w:color="auto"/>
        <w:left w:val="none" w:sz="0" w:space="0" w:color="auto"/>
        <w:bottom w:val="none" w:sz="0" w:space="0" w:color="auto"/>
        <w:right w:val="none" w:sz="0" w:space="0" w:color="auto"/>
      </w:divBdr>
    </w:div>
    <w:div w:id="1736471609">
      <w:bodyDiv w:val="1"/>
      <w:marLeft w:val="0"/>
      <w:marRight w:val="0"/>
      <w:marTop w:val="0"/>
      <w:marBottom w:val="0"/>
      <w:divBdr>
        <w:top w:val="none" w:sz="0" w:space="0" w:color="auto"/>
        <w:left w:val="none" w:sz="0" w:space="0" w:color="auto"/>
        <w:bottom w:val="none" w:sz="0" w:space="0" w:color="auto"/>
        <w:right w:val="none" w:sz="0" w:space="0" w:color="auto"/>
      </w:divBdr>
    </w:div>
    <w:div w:id="1746762214">
      <w:bodyDiv w:val="1"/>
      <w:marLeft w:val="0"/>
      <w:marRight w:val="0"/>
      <w:marTop w:val="0"/>
      <w:marBottom w:val="0"/>
      <w:divBdr>
        <w:top w:val="none" w:sz="0" w:space="0" w:color="auto"/>
        <w:left w:val="none" w:sz="0" w:space="0" w:color="auto"/>
        <w:bottom w:val="none" w:sz="0" w:space="0" w:color="auto"/>
        <w:right w:val="none" w:sz="0" w:space="0" w:color="auto"/>
      </w:divBdr>
    </w:div>
    <w:div w:id="1763795935">
      <w:bodyDiv w:val="1"/>
      <w:marLeft w:val="0"/>
      <w:marRight w:val="0"/>
      <w:marTop w:val="0"/>
      <w:marBottom w:val="0"/>
      <w:divBdr>
        <w:top w:val="none" w:sz="0" w:space="0" w:color="auto"/>
        <w:left w:val="none" w:sz="0" w:space="0" w:color="auto"/>
        <w:bottom w:val="none" w:sz="0" w:space="0" w:color="auto"/>
        <w:right w:val="none" w:sz="0" w:space="0" w:color="auto"/>
      </w:divBdr>
    </w:div>
    <w:div w:id="1782258564">
      <w:bodyDiv w:val="1"/>
      <w:marLeft w:val="0"/>
      <w:marRight w:val="0"/>
      <w:marTop w:val="0"/>
      <w:marBottom w:val="0"/>
      <w:divBdr>
        <w:top w:val="none" w:sz="0" w:space="0" w:color="auto"/>
        <w:left w:val="none" w:sz="0" w:space="0" w:color="auto"/>
        <w:bottom w:val="none" w:sz="0" w:space="0" w:color="auto"/>
        <w:right w:val="none" w:sz="0" w:space="0" w:color="auto"/>
      </w:divBdr>
    </w:div>
    <w:div w:id="1794589671">
      <w:bodyDiv w:val="1"/>
      <w:marLeft w:val="0"/>
      <w:marRight w:val="0"/>
      <w:marTop w:val="0"/>
      <w:marBottom w:val="0"/>
      <w:divBdr>
        <w:top w:val="none" w:sz="0" w:space="0" w:color="auto"/>
        <w:left w:val="none" w:sz="0" w:space="0" w:color="auto"/>
        <w:bottom w:val="none" w:sz="0" w:space="0" w:color="auto"/>
        <w:right w:val="none" w:sz="0" w:space="0" w:color="auto"/>
      </w:divBdr>
    </w:div>
    <w:div w:id="1864512378">
      <w:bodyDiv w:val="1"/>
      <w:marLeft w:val="0"/>
      <w:marRight w:val="0"/>
      <w:marTop w:val="0"/>
      <w:marBottom w:val="0"/>
      <w:divBdr>
        <w:top w:val="none" w:sz="0" w:space="0" w:color="auto"/>
        <w:left w:val="none" w:sz="0" w:space="0" w:color="auto"/>
        <w:bottom w:val="none" w:sz="0" w:space="0" w:color="auto"/>
        <w:right w:val="none" w:sz="0" w:space="0" w:color="auto"/>
      </w:divBdr>
    </w:div>
    <w:div w:id="1920477181">
      <w:bodyDiv w:val="1"/>
      <w:marLeft w:val="0"/>
      <w:marRight w:val="0"/>
      <w:marTop w:val="0"/>
      <w:marBottom w:val="0"/>
      <w:divBdr>
        <w:top w:val="none" w:sz="0" w:space="0" w:color="auto"/>
        <w:left w:val="none" w:sz="0" w:space="0" w:color="auto"/>
        <w:bottom w:val="none" w:sz="0" w:space="0" w:color="auto"/>
        <w:right w:val="none" w:sz="0" w:space="0" w:color="auto"/>
      </w:divBdr>
    </w:div>
    <w:div w:id="1933509163">
      <w:bodyDiv w:val="1"/>
      <w:marLeft w:val="0"/>
      <w:marRight w:val="0"/>
      <w:marTop w:val="0"/>
      <w:marBottom w:val="0"/>
      <w:divBdr>
        <w:top w:val="none" w:sz="0" w:space="0" w:color="auto"/>
        <w:left w:val="none" w:sz="0" w:space="0" w:color="auto"/>
        <w:bottom w:val="none" w:sz="0" w:space="0" w:color="auto"/>
        <w:right w:val="none" w:sz="0" w:space="0" w:color="auto"/>
      </w:divBdr>
    </w:div>
    <w:div w:id="1977638264">
      <w:bodyDiv w:val="1"/>
      <w:marLeft w:val="0"/>
      <w:marRight w:val="0"/>
      <w:marTop w:val="0"/>
      <w:marBottom w:val="0"/>
      <w:divBdr>
        <w:top w:val="none" w:sz="0" w:space="0" w:color="auto"/>
        <w:left w:val="none" w:sz="0" w:space="0" w:color="auto"/>
        <w:bottom w:val="none" w:sz="0" w:space="0" w:color="auto"/>
        <w:right w:val="none" w:sz="0" w:space="0" w:color="auto"/>
      </w:divBdr>
    </w:div>
    <w:div w:id="2015494524">
      <w:bodyDiv w:val="1"/>
      <w:marLeft w:val="0"/>
      <w:marRight w:val="0"/>
      <w:marTop w:val="0"/>
      <w:marBottom w:val="0"/>
      <w:divBdr>
        <w:top w:val="none" w:sz="0" w:space="0" w:color="auto"/>
        <w:left w:val="none" w:sz="0" w:space="0" w:color="auto"/>
        <w:bottom w:val="none" w:sz="0" w:space="0" w:color="auto"/>
        <w:right w:val="none" w:sz="0" w:space="0" w:color="auto"/>
      </w:divBdr>
      <w:divsChild>
        <w:div w:id="878585894">
          <w:marLeft w:val="0"/>
          <w:marRight w:val="0"/>
          <w:marTop w:val="0"/>
          <w:marBottom w:val="0"/>
          <w:divBdr>
            <w:top w:val="none" w:sz="0" w:space="0" w:color="auto"/>
            <w:left w:val="none" w:sz="0" w:space="0" w:color="auto"/>
            <w:bottom w:val="none" w:sz="0" w:space="0" w:color="auto"/>
            <w:right w:val="none" w:sz="0" w:space="0" w:color="auto"/>
          </w:divBdr>
          <w:divsChild>
            <w:div w:id="376318246">
              <w:marLeft w:val="0"/>
              <w:marRight w:val="0"/>
              <w:marTop w:val="0"/>
              <w:marBottom w:val="0"/>
              <w:divBdr>
                <w:top w:val="none" w:sz="0" w:space="0" w:color="auto"/>
                <w:left w:val="none" w:sz="0" w:space="0" w:color="auto"/>
                <w:bottom w:val="none" w:sz="0" w:space="0" w:color="auto"/>
                <w:right w:val="none" w:sz="0" w:space="0" w:color="auto"/>
              </w:divBdr>
            </w:div>
          </w:divsChild>
        </w:div>
        <w:div w:id="1468889923">
          <w:marLeft w:val="0"/>
          <w:marRight w:val="0"/>
          <w:marTop w:val="0"/>
          <w:marBottom w:val="0"/>
          <w:divBdr>
            <w:top w:val="none" w:sz="0" w:space="0" w:color="auto"/>
            <w:left w:val="none" w:sz="0" w:space="0" w:color="auto"/>
            <w:bottom w:val="none" w:sz="0" w:space="0" w:color="auto"/>
            <w:right w:val="none" w:sz="0" w:space="0" w:color="auto"/>
          </w:divBdr>
        </w:div>
      </w:divsChild>
    </w:div>
    <w:div w:id="2033417886">
      <w:bodyDiv w:val="1"/>
      <w:marLeft w:val="0"/>
      <w:marRight w:val="0"/>
      <w:marTop w:val="0"/>
      <w:marBottom w:val="0"/>
      <w:divBdr>
        <w:top w:val="none" w:sz="0" w:space="0" w:color="auto"/>
        <w:left w:val="none" w:sz="0" w:space="0" w:color="auto"/>
        <w:bottom w:val="none" w:sz="0" w:space="0" w:color="auto"/>
        <w:right w:val="none" w:sz="0" w:space="0" w:color="auto"/>
      </w:divBdr>
      <w:divsChild>
        <w:div w:id="1089349254">
          <w:marLeft w:val="0"/>
          <w:marRight w:val="0"/>
          <w:marTop w:val="0"/>
          <w:marBottom w:val="0"/>
          <w:divBdr>
            <w:top w:val="none" w:sz="0" w:space="0" w:color="auto"/>
            <w:left w:val="none" w:sz="0" w:space="0" w:color="auto"/>
            <w:bottom w:val="none" w:sz="0" w:space="0" w:color="auto"/>
            <w:right w:val="none" w:sz="0" w:space="0" w:color="auto"/>
          </w:divBdr>
          <w:divsChild>
            <w:div w:id="3712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0785">
      <w:bodyDiv w:val="1"/>
      <w:marLeft w:val="0"/>
      <w:marRight w:val="0"/>
      <w:marTop w:val="0"/>
      <w:marBottom w:val="0"/>
      <w:divBdr>
        <w:top w:val="none" w:sz="0" w:space="0" w:color="auto"/>
        <w:left w:val="none" w:sz="0" w:space="0" w:color="auto"/>
        <w:bottom w:val="none" w:sz="0" w:space="0" w:color="auto"/>
        <w:right w:val="none" w:sz="0" w:space="0" w:color="auto"/>
      </w:divBdr>
    </w:div>
    <w:div w:id="2081445733">
      <w:bodyDiv w:val="1"/>
      <w:marLeft w:val="0"/>
      <w:marRight w:val="0"/>
      <w:marTop w:val="0"/>
      <w:marBottom w:val="0"/>
      <w:divBdr>
        <w:top w:val="none" w:sz="0" w:space="0" w:color="auto"/>
        <w:left w:val="none" w:sz="0" w:space="0" w:color="auto"/>
        <w:bottom w:val="none" w:sz="0" w:space="0" w:color="auto"/>
        <w:right w:val="none" w:sz="0" w:space="0" w:color="auto"/>
      </w:divBdr>
    </w:div>
    <w:div w:id="2109302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hart" Target="charts/chart1.xm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hyperlink" Target="http://www.pensioenduidelijkheid.nl" TargetMode="External"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hart" Target="charts/chart3.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webSetting" Target="webSettings0.xml" Id="rId31" /><Relationship Type="http://schemas.openxmlformats.org/officeDocument/2006/relationships/webSettings" Target="webSettings.xml" Id="rId9" /><Relationship Type="http://schemas.openxmlformats.org/officeDocument/2006/relationships/chart" Target="charts/chart2.xm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pensioenfonds-snsreaal.nl/sites/pensioenfonds-snsreaal.nl/files/2025-05/Transitieplan%20de%20Volksbank.pdf" TargetMode="External"/><Relationship Id="rId13" Type="http://schemas.openxmlformats.org/officeDocument/2006/relationships/hyperlink" Target="https://www.pfzw.nl/over-pfzw/nieuws/hoger-pensioeninkomen-vanaf-maart-2026.html" TargetMode="External"/><Relationship Id="rId3" Type="http://schemas.openxmlformats.org/officeDocument/2006/relationships/hyperlink" Target="https://news.pressmailings.com/hvdm/persbericht-start-voor-1-juli-met-omzetting-van-de-pensioenregeling-voor-uw-bedrijf" TargetMode="External"/><Relationship Id="rId7" Type="http://schemas.openxmlformats.org/officeDocument/2006/relationships/hyperlink" Target="https://www.afm.nl/nl-nl/sector/pensioenuitvoerders/aanpak-transitie/transitieoverzichten" TargetMode="External"/><Relationship Id="rId12" Type="http://schemas.openxmlformats.org/officeDocument/2006/relationships/hyperlink" Target="https://pensioenpro.nl/bekijk-hier-het-overzicht-van-de-pensioentransitie/?utm_medium=email&amp;utm_source=nieuwsbrief&amp;utm_campaign=pensioenpro-dagelijks&amp;utm_content=1355163_51672_20260617" TargetMode="External"/><Relationship Id="rId2" Type="http://schemas.openxmlformats.org/officeDocument/2006/relationships/hyperlink" Target="https://pensioenfederatie.nl/wp-content/uploads/2026/02/Persbericht-Pensioenfederatie-26-februari-2026.pdf" TargetMode="External"/><Relationship Id="rId1" Type="http://schemas.openxmlformats.org/officeDocument/2006/relationships/hyperlink" Target="https://pensioenpro.nl/bekijk-hier-het-overzicht-van-de-pensioentransitie/?utm_medium=email&amp;utm_source=nieuwsbrief&amp;utm_campaign=pensioenpro-dagelijks&amp;utm_content=1355163_51672_20260617" TargetMode="External"/><Relationship Id="rId6" Type="http://schemas.openxmlformats.org/officeDocument/2006/relationships/hyperlink" Target="https://www.ondernemen.nl/hetnieuwepensioen/tegemoetkoming-verzekerde-regelingen" TargetMode="External"/><Relationship Id="rId11" Type="http://schemas.openxmlformats.org/officeDocument/2006/relationships/hyperlink" Target="https://internetconsultatie.nl/besluittoezeggingenwtp/b1" TargetMode="External"/><Relationship Id="rId5" Type="http://schemas.openxmlformats.org/officeDocument/2006/relationships/hyperlink" Target="https://www.telegraaf.nl/opinie/regeringscommissaris-en-mkb-voorman-slaan-alarm-oude-dag-kan-rampzalig-uitpakken-als-de-baas-pensioendeadline-mist/125032324.html" TargetMode="External"/><Relationship Id="rId10" Type="http://schemas.openxmlformats.org/officeDocument/2006/relationships/hyperlink" Target="https://zoek.officielebekendmakingen.nl/stcrt-2026-13480.html" TargetMode="External"/><Relationship Id="rId4" Type="http://schemas.openxmlformats.org/officeDocument/2006/relationships/hyperlink" Target="https://www.nba.nl/tools-en-ondersteuning/publicaties/2026/pensioentransitie-mkb-accountant/" TargetMode="External"/><Relationship Id="rId9" Type="http://schemas.openxmlformats.org/officeDocument/2006/relationships/hyperlink" Target="https://monitorarbeid.tno.nl/wp-content/uploads/sites/16/2026/04/NEA2025-Vogelvlucht.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www.samenwerkruimten.nl/teamsites/monitoringwtp/Gedeelde%20%20documenten/Voortgangsrapportage%20Monitoring%20Wtp%20zomer%20'26/Grafieken%20voortgangsrapportage%20monitoring%20wtp%20zomer%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www.samenwerkruimten.nl/teamsites/monitoringwtp/Gedeelde%20%20documenten/Voortgangsrapportage%20Monitoring%20Wtp%20zomer%20'26/Grafieken%20voortgangsrapportage%20monitoring%20wtp%20zomer%20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www.samenwerkruimten.nl/teamsites/monitoringwtp/Gedeelde%20%20documenten/Voortgangsrapportage%20Monitoring%20Wtp%20zomer%20'26/Grafieken%20voortgangsrapportage%20monitoring%20wtp%20zomer%20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59427048147293E-2"/>
          <c:y val="6.6045269742043916E-2"/>
          <c:w val="0.94388179265683558"/>
          <c:h val="0.70548767875118934"/>
        </c:manualLayout>
      </c:layout>
      <c:barChart>
        <c:barDir val="col"/>
        <c:grouping val="clustered"/>
        <c:varyColors val="0"/>
        <c:ser>
          <c:idx val="0"/>
          <c:order val="0"/>
          <c:tx>
            <c:strRef>
              <c:f>Invaardata!$B$1</c:f>
              <c:strCache>
                <c:ptCount val="1"/>
                <c:pt idx="0">
                  <c:v>1ste Voortgangsrapportage </c:v>
                </c:pt>
              </c:strCache>
            </c:strRef>
          </c:tx>
          <c:spPr>
            <a:solidFill>
              <a:schemeClr val="bg1">
                <a:lumMod val="85000"/>
              </a:schemeClr>
            </a:solidFill>
            <a:ln>
              <a:noFill/>
            </a:ln>
            <a:effectLst/>
          </c:spPr>
          <c:invertIfNegative val="0"/>
          <c:cat>
            <c:strRef>
              <c:f>Invaardata!$A$2:$A$8</c:f>
              <c:strCache>
                <c:ptCount val="7"/>
                <c:pt idx="0">
                  <c:v>H1 2025</c:v>
                </c:pt>
                <c:pt idx="1">
                  <c:v>H2 2025</c:v>
                </c:pt>
                <c:pt idx="2">
                  <c:v>H1 2026</c:v>
                </c:pt>
                <c:pt idx="3">
                  <c:v>H2 2026</c:v>
                </c:pt>
                <c:pt idx="4">
                  <c:v>H1 2027</c:v>
                </c:pt>
                <c:pt idx="5">
                  <c:v>H2 2027</c:v>
                </c:pt>
                <c:pt idx="6">
                  <c:v>1-1-2028</c:v>
                </c:pt>
              </c:strCache>
            </c:strRef>
          </c:cat>
          <c:val>
            <c:numRef>
              <c:f>Invaardata!$B$2:$B$8</c:f>
              <c:numCache>
                <c:formatCode>General</c:formatCode>
                <c:ptCount val="7"/>
                <c:pt idx="0">
                  <c:v>10</c:v>
                </c:pt>
                <c:pt idx="1">
                  <c:v>4</c:v>
                </c:pt>
                <c:pt idx="2">
                  <c:v>61</c:v>
                </c:pt>
                <c:pt idx="3">
                  <c:v>13</c:v>
                </c:pt>
                <c:pt idx="4">
                  <c:v>35</c:v>
                </c:pt>
                <c:pt idx="5">
                  <c:v>9</c:v>
                </c:pt>
                <c:pt idx="6">
                  <c:v>5</c:v>
                </c:pt>
              </c:numCache>
            </c:numRef>
          </c:val>
          <c:extLst>
            <c:ext xmlns:c16="http://schemas.microsoft.com/office/drawing/2014/chart" uri="{C3380CC4-5D6E-409C-BE32-E72D297353CC}">
              <c16:uniqueId val="{00000000-D82D-4EA3-98EA-BB8A34730B33}"/>
            </c:ext>
          </c:extLst>
        </c:ser>
        <c:ser>
          <c:idx val="1"/>
          <c:order val="1"/>
          <c:tx>
            <c:strRef>
              <c:f>Invaardata!$C$1</c:f>
              <c:strCache>
                <c:ptCount val="1"/>
                <c:pt idx="0">
                  <c:v>3de Voortgangsrapportage</c:v>
                </c:pt>
              </c:strCache>
            </c:strRef>
          </c:tx>
          <c:spPr>
            <a:solidFill>
              <a:schemeClr val="bg1">
                <a:lumMod val="65000"/>
              </a:schemeClr>
            </a:solidFill>
            <a:ln>
              <a:noFill/>
            </a:ln>
            <a:effectLst/>
          </c:spPr>
          <c:invertIfNegative val="0"/>
          <c:dPt>
            <c:idx val="1"/>
            <c:invertIfNegative val="0"/>
            <c:bubble3D val="0"/>
            <c:spPr>
              <a:solidFill>
                <a:schemeClr val="bg1">
                  <a:lumMod val="65000"/>
                </a:schemeClr>
              </a:solidFill>
              <a:ln>
                <a:noFill/>
              </a:ln>
              <a:effectLst/>
            </c:spPr>
            <c:extLst>
              <c:ext xmlns:c16="http://schemas.microsoft.com/office/drawing/2014/chart" uri="{C3380CC4-5D6E-409C-BE32-E72D297353CC}">
                <c16:uniqueId val="{00000002-D82D-4EA3-98EA-BB8A34730B33}"/>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4-D82D-4EA3-98EA-BB8A34730B33}"/>
              </c:ext>
            </c:extLst>
          </c:dPt>
          <c:dPt>
            <c:idx val="3"/>
            <c:invertIfNegative val="0"/>
            <c:bubble3D val="0"/>
            <c:spPr>
              <a:solidFill>
                <a:schemeClr val="bg1">
                  <a:lumMod val="65000"/>
                </a:schemeClr>
              </a:solidFill>
              <a:ln>
                <a:noFill/>
              </a:ln>
              <a:effectLst/>
            </c:spPr>
            <c:extLst>
              <c:ext xmlns:c16="http://schemas.microsoft.com/office/drawing/2014/chart" uri="{C3380CC4-5D6E-409C-BE32-E72D297353CC}">
                <c16:uniqueId val="{00000006-D82D-4EA3-98EA-BB8A34730B33}"/>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8-D82D-4EA3-98EA-BB8A34730B33}"/>
              </c:ext>
            </c:extLst>
          </c:dPt>
          <c:dPt>
            <c:idx val="5"/>
            <c:invertIfNegative val="0"/>
            <c:bubble3D val="0"/>
            <c:spPr>
              <a:solidFill>
                <a:schemeClr val="bg1">
                  <a:lumMod val="65000"/>
                </a:schemeClr>
              </a:solidFill>
              <a:ln>
                <a:noFill/>
              </a:ln>
              <a:effectLst/>
            </c:spPr>
            <c:extLst>
              <c:ext xmlns:c16="http://schemas.microsoft.com/office/drawing/2014/chart" uri="{C3380CC4-5D6E-409C-BE32-E72D297353CC}">
                <c16:uniqueId val="{0000000A-D82D-4EA3-98EA-BB8A34730B33}"/>
              </c:ext>
            </c:extLst>
          </c:dPt>
          <c:dPt>
            <c:idx val="6"/>
            <c:invertIfNegative val="0"/>
            <c:bubble3D val="0"/>
            <c:spPr>
              <a:solidFill>
                <a:schemeClr val="bg1">
                  <a:lumMod val="65000"/>
                </a:schemeClr>
              </a:solidFill>
              <a:ln>
                <a:noFill/>
              </a:ln>
              <a:effectLst/>
            </c:spPr>
            <c:extLst>
              <c:ext xmlns:c16="http://schemas.microsoft.com/office/drawing/2014/chart" uri="{C3380CC4-5D6E-409C-BE32-E72D297353CC}">
                <c16:uniqueId val="{0000000C-D82D-4EA3-98EA-BB8A34730B33}"/>
              </c:ext>
            </c:extLst>
          </c:dPt>
          <c:cat>
            <c:strRef>
              <c:f>Invaardata!$A$2:$A$8</c:f>
              <c:strCache>
                <c:ptCount val="7"/>
                <c:pt idx="0">
                  <c:v>H1 2025</c:v>
                </c:pt>
                <c:pt idx="1">
                  <c:v>H2 2025</c:v>
                </c:pt>
                <c:pt idx="2">
                  <c:v>H1 2026</c:v>
                </c:pt>
                <c:pt idx="3">
                  <c:v>H2 2026</c:v>
                </c:pt>
                <c:pt idx="4">
                  <c:v>H1 2027</c:v>
                </c:pt>
                <c:pt idx="5">
                  <c:v>H2 2027</c:v>
                </c:pt>
                <c:pt idx="6">
                  <c:v>1-1-2028</c:v>
                </c:pt>
              </c:strCache>
            </c:strRef>
          </c:cat>
          <c:val>
            <c:numRef>
              <c:f>Invaardata!$C$2:$C$8</c:f>
              <c:numCache>
                <c:formatCode>General</c:formatCode>
                <c:ptCount val="7"/>
                <c:pt idx="0">
                  <c:v>4</c:v>
                </c:pt>
                <c:pt idx="1">
                  <c:v>1</c:v>
                </c:pt>
                <c:pt idx="2">
                  <c:v>36</c:v>
                </c:pt>
                <c:pt idx="3">
                  <c:v>15</c:v>
                </c:pt>
                <c:pt idx="4">
                  <c:v>51</c:v>
                </c:pt>
                <c:pt idx="5">
                  <c:v>12</c:v>
                </c:pt>
                <c:pt idx="6">
                  <c:v>17</c:v>
                </c:pt>
              </c:numCache>
            </c:numRef>
          </c:val>
          <c:extLst>
            <c:ext xmlns:c16="http://schemas.microsoft.com/office/drawing/2014/chart" uri="{C3380CC4-5D6E-409C-BE32-E72D297353CC}">
              <c16:uniqueId val="{0000000D-D82D-4EA3-98EA-BB8A34730B33}"/>
            </c:ext>
          </c:extLst>
        </c:ser>
        <c:ser>
          <c:idx val="2"/>
          <c:order val="2"/>
          <c:tx>
            <c:strRef>
              <c:f>Invaardata!$D$1</c:f>
              <c:strCache>
                <c:ptCount val="1"/>
                <c:pt idx="0">
                  <c:v>4de voortgangsrapportage </c:v>
                </c:pt>
              </c:strCache>
            </c:strRef>
          </c:tx>
          <c:spPr>
            <a:solidFill>
              <a:schemeClr val="bg1">
                <a:lumMod val="85000"/>
              </a:schemeClr>
            </a:solidFill>
            <a:ln>
              <a:noFill/>
            </a:ln>
            <a:effectLst/>
          </c:spPr>
          <c:invertIfNegative val="0"/>
          <c:dPt>
            <c:idx val="1"/>
            <c:invertIfNegative val="0"/>
            <c:bubble3D val="0"/>
            <c:spPr>
              <a:solidFill>
                <a:schemeClr val="bg1">
                  <a:lumMod val="85000"/>
                </a:schemeClr>
              </a:solidFill>
              <a:ln>
                <a:noFill/>
              </a:ln>
              <a:effectLst/>
            </c:spPr>
            <c:extLst>
              <c:ext xmlns:c16="http://schemas.microsoft.com/office/drawing/2014/chart" uri="{C3380CC4-5D6E-409C-BE32-E72D297353CC}">
                <c16:uniqueId val="{0000000F-D82D-4EA3-98EA-BB8A34730B33}"/>
              </c:ext>
            </c:extLst>
          </c:dPt>
          <c:dPt>
            <c:idx val="2"/>
            <c:invertIfNegative val="0"/>
            <c:bubble3D val="0"/>
            <c:spPr>
              <a:solidFill>
                <a:schemeClr val="bg1">
                  <a:lumMod val="85000"/>
                </a:schemeClr>
              </a:solidFill>
              <a:ln>
                <a:noFill/>
              </a:ln>
              <a:effectLst/>
            </c:spPr>
            <c:extLst>
              <c:ext xmlns:c16="http://schemas.microsoft.com/office/drawing/2014/chart" uri="{C3380CC4-5D6E-409C-BE32-E72D297353CC}">
                <c16:uniqueId val="{00000011-D82D-4EA3-98EA-BB8A34730B33}"/>
              </c:ext>
            </c:extLst>
          </c:dPt>
          <c:dPt>
            <c:idx val="3"/>
            <c:invertIfNegative val="0"/>
            <c:bubble3D val="0"/>
            <c:spPr>
              <a:solidFill>
                <a:schemeClr val="bg1">
                  <a:lumMod val="85000"/>
                </a:schemeClr>
              </a:solidFill>
              <a:ln>
                <a:noFill/>
              </a:ln>
              <a:effectLst/>
            </c:spPr>
            <c:extLst>
              <c:ext xmlns:c16="http://schemas.microsoft.com/office/drawing/2014/chart" uri="{C3380CC4-5D6E-409C-BE32-E72D297353CC}">
                <c16:uniqueId val="{00000013-D82D-4EA3-98EA-BB8A34730B33}"/>
              </c:ext>
            </c:extLst>
          </c:dPt>
          <c:dPt>
            <c:idx val="4"/>
            <c:invertIfNegative val="0"/>
            <c:bubble3D val="0"/>
            <c:spPr>
              <a:solidFill>
                <a:schemeClr val="bg1">
                  <a:lumMod val="85000"/>
                </a:schemeClr>
              </a:solidFill>
              <a:ln>
                <a:noFill/>
              </a:ln>
              <a:effectLst/>
            </c:spPr>
            <c:extLst>
              <c:ext xmlns:c16="http://schemas.microsoft.com/office/drawing/2014/chart" uri="{C3380CC4-5D6E-409C-BE32-E72D297353CC}">
                <c16:uniqueId val="{00000015-D82D-4EA3-98EA-BB8A34730B33}"/>
              </c:ext>
            </c:extLst>
          </c:dPt>
          <c:dPt>
            <c:idx val="5"/>
            <c:invertIfNegative val="0"/>
            <c:bubble3D val="0"/>
            <c:spPr>
              <a:solidFill>
                <a:schemeClr val="bg1">
                  <a:lumMod val="85000"/>
                </a:schemeClr>
              </a:solidFill>
              <a:ln>
                <a:noFill/>
              </a:ln>
              <a:effectLst/>
            </c:spPr>
            <c:extLst>
              <c:ext xmlns:c16="http://schemas.microsoft.com/office/drawing/2014/chart" uri="{C3380CC4-5D6E-409C-BE32-E72D297353CC}">
                <c16:uniqueId val="{00000017-D82D-4EA3-98EA-BB8A34730B33}"/>
              </c:ext>
            </c:extLst>
          </c:dPt>
          <c:dPt>
            <c:idx val="6"/>
            <c:invertIfNegative val="0"/>
            <c:bubble3D val="0"/>
            <c:spPr>
              <a:solidFill>
                <a:schemeClr val="bg1">
                  <a:lumMod val="85000"/>
                </a:schemeClr>
              </a:solidFill>
              <a:ln>
                <a:noFill/>
              </a:ln>
              <a:effectLst/>
            </c:spPr>
            <c:extLst>
              <c:ext xmlns:c16="http://schemas.microsoft.com/office/drawing/2014/chart" uri="{C3380CC4-5D6E-409C-BE32-E72D297353CC}">
                <c16:uniqueId val="{00000019-D82D-4EA3-98EA-BB8A34730B33}"/>
              </c:ext>
            </c:extLst>
          </c:dPt>
          <c:cat>
            <c:strRef>
              <c:f>Invaardata!$A$2:$A$8</c:f>
              <c:strCache>
                <c:ptCount val="7"/>
                <c:pt idx="0">
                  <c:v>H1 2025</c:v>
                </c:pt>
                <c:pt idx="1">
                  <c:v>H2 2025</c:v>
                </c:pt>
                <c:pt idx="2">
                  <c:v>H1 2026</c:v>
                </c:pt>
                <c:pt idx="3">
                  <c:v>H2 2026</c:v>
                </c:pt>
                <c:pt idx="4">
                  <c:v>H1 2027</c:v>
                </c:pt>
                <c:pt idx="5">
                  <c:v>H2 2027</c:v>
                </c:pt>
                <c:pt idx="6">
                  <c:v>1-1-2028</c:v>
                </c:pt>
              </c:strCache>
            </c:strRef>
          </c:cat>
          <c:val>
            <c:numRef>
              <c:f>Invaardata!$D$2:$D$8</c:f>
              <c:numCache>
                <c:formatCode>General</c:formatCode>
                <c:ptCount val="7"/>
                <c:pt idx="0">
                  <c:v>4</c:v>
                </c:pt>
                <c:pt idx="1">
                  <c:v>2</c:v>
                </c:pt>
                <c:pt idx="2">
                  <c:v>30</c:v>
                </c:pt>
                <c:pt idx="3">
                  <c:v>15</c:v>
                </c:pt>
                <c:pt idx="4">
                  <c:v>41</c:v>
                </c:pt>
                <c:pt idx="5">
                  <c:v>20</c:v>
                </c:pt>
                <c:pt idx="6">
                  <c:v>25</c:v>
                </c:pt>
              </c:numCache>
            </c:numRef>
          </c:val>
          <c:extLst>
            <c:ext xmlns:c16="http://schemas.microsoft.com/office/drawing/2014/chart" uri="{C3380CC4-5D6E-409C-BE32-E72D297353CC}">
              <c16:uniqueId val="{0000001A-D82D-4EA3-98EA-BB8A34730B33}"/>
            </c:ext>
          </c:extLst>
        </c:ser>
        <c:ser>
          <c:idx val="3"/>
          <c:order val="3"/>
          <c:tx>
            <c:strRef>
              <c:f>Invaardata!$E$1</c:f>
              <c:strCache>
                <c:ptCount val="1"/>
                <c:pt idx="0">
                  <c:v>5de voortgangsrapportage</c:v>
                </c:pt>
              </c:strCache>
            </c:strRef>
          </c:tx>
          <c:spPr>
            <a:solidFill>
              <a:srgbClr val="FFABD1"/>
            </a:solidFill>
            <a:ln>
              <a:noFill/>
            </a:ln>
            <a:effectLst/>
          </c:spPr>
          <c:invertIfNegative val="0"/>
          <c:dPt>
            <c:idx val="0"/>
            <c:invertIfNegative val="0"/>
            <c:bubble3D val="0"/>
            <c:spPr>
              <a:solidFill>
                <a:srgbClr val="FFC9E1"/>
              </a:solidFill>
              <a:ln>
                <a:noFill/>
              </a:ln>
              <a:effectLst/>
            </c:spPr>
            <c:extLst>
              <c:ext xmlns:c16="http://schemas.microsoft.com/office/drawing/2014/chart" uri="{C3380CC4-5D6E-409C-BE32-E72D297353CC}">
                <c16:uniqueId val="{0000001C-D82D-4EA3-98EA-BB8A34730B33}"/>
              </c:ext>
            </c:extLst>
          </c:dPt>
          <c:dPt>
            <c:idx val="2"/>
            <c:invertIfNegative val="0"/>
            <c:bubble3D val="0"/>
            <c:spPr>
              <a:solidFill>
                <a:srgbClr val="FF75B3"/>
              </a:solidFill>
              <a:ln>
                <a:noFill/>
              </a:ln>
              <a:effectLst/>
            </c:spPr>
            <c:extLst>
              <c:ext xmlns:c16="http://schemas.microsoft.com/office/drawing/2014/chart" uri="{C3380CC4-5D6E-409C-BE32-E72D297353CC}">
                <c16:uniqueId val="{0000001E-D82D-4EA3-98EA-BB8A34730B33}"/>
              </c:ext>
            </c:extLst>
          </c:dPt>
          <c:dPt>
            <c:idx val="3"/>
            <c:invertIfNegative val="0"/>
            <c:bubble3D val="0"/>
            <c:spPr>
              <a:solidFill>
                <a:srgbClr val="FF53A1"/>
              </a:solidFill>
              <a:ln>
                <a:noFill/>
              </a:ln>
              <a:effectLst/>
            </c:spPr>
            <c:extLst>
              <c:ext xmlns:c16="http://schemas.microsoft.com/office/drawing/2014/chart" uri="{C3380CC4-5D6E-409C-BE32-E72D297353CC}">
                <c16:uniqueId val="{00000020-D82D-4EA3-98EA-BB8A34730B33}"/>
              </c:ext>
            </c:extLst>
          </c:dPt>
          <c:dPt>
            <c:idx val="4"/>
            <c:invertIfNegative val="0"/>
            <c:bubble3D val="0"/>
            <c:spPr>
              <a:solidFill>
                <a:srgbClr val="CA005D"/>
              </a:solidFill>
              <a:ln>
                <a:noFill/>
              </a:ln>
              <a:effectLst/>
            </c:spPr>
            <c:extLst>
              <c:ext xmlns:c16="http://schemas.microsoft.com/office/drawing/2014/chart" uri="{C3380CC4-5D6E-409C-BE32-E72D297353CC}">
                <c16:uniqueId val="{00000022-D82D-4EA3-98EA-BB8A34730B33}"/>
              </c:ext>
            </c:extLst>
          </c:dPt>
          <c:dPt>
            <c:idx val="5"/>
            <c:invertIfNegative val="0"/>
            <c:bubble3D val="0"/>
            <c:spPr>
              <a:solidFill>
                <a:srgbClr val="A4004A"/>
              </a:solidFill>
              <a:ln>
                <a:noFill/>
              </a:ln>
              <a:effectLst/>
            </c:spPr>
            <c:extLst>
              <c:ext xmlns:c16="http://schemas.microsoft.com/office/drawing/2014/chart" uri="{C3380CC4-5D6E-409C-BE32-E72D297353CC}">
                <c16:uniqueId val="{00000024-D82D-4EA3-98EA-BB8A34730B33}"/>
              </c:ext>
            </c:extLst>
          </c:dPt>
          <c:dPt>
            <c:idx val="6"/>
            <c:invertIfNegative val="0"/>
            <c:bubble3D val="0"/>
            <c:spPr>
              <a:solidFill>
                <a:srgbClr val="68002F"/>
              </a:solidFill>
              <a:ln>
                <a:noFill/>
              </a:ln>
              <a:effectLst/>
            </c:spPr>
            <c:extLst>
              <c:ext xmlns:c16="http://schemas.microsoft.com/office/drawing/2014/chart" uri="{C3380CC4-5D6E-409C-BE32-E72D297353CC}">
                <c16:uniqueId val="{00000026-D82D-4EA3-98EA-BB8A34730B3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Invaardata!$A$2:$A$8</c:f>
              <c:strCache>
                <c:ptCount val="7"/>
                <c:pt idx="0">
                  <c:v>H1 2025</c:v>
                </c:pt>
                <c:pt idx="1">
                  <c:v>H2 2025</c:v>
                </c:pt>
                <c:pt idx="2">
                  <c:v>H1 2026</c:v>
                </c:pt>
                <c:pt idx="3">
                  <c:v>H2 2026</c:v>
                </c:pt>
                <c:pt idx="4">
                  <c:v>H1 2027</c:v>
                </c:pt>
                <c:pt idx="5">
                  <c:v>H2 2027</c:v>
                </c:pt>
                <c:pt idx="6">
                  <c:v>1-1-2028</c:v>
                </c:pt>
              </c:strCache>
            </c:strRef>
          </c:cat>
          <c:val>
            <c:numRef>
              <c:f>Invaardata!$E$2:$E$8</c:f>
              <c:numCache>
                <c:formatCode>General</c:formatCode>
                <c:ptCount val="7"/>
                <c:pt idx="0">
                  <c:v>4</c:v>
                </c:pt>
                <c:pt idx="1">
                  <c:v>2</c:v>
                </c:pt>
                <c:pt idx="2">
                  <c:v>28</c:v>
                </c:pt>
                <c:pt idx="3">
                  <c:v>13</c:v>
                </c:pt>
                <c:pt idx="4">
                  <c:v>39</c:v>
                </c:pt>
                <c:pt idx="5">
                  <c:v>20</c:v>
                </c:pt>
                <c:pt idx="6">
                  <c:v>33</c:v>
                </c:pt>
              </c:numCache>
            </c:numRef>
          </c:val>
          <c:extLst>
            <c:ext xmlns:c16="http://schemas.microsoft.com/office/drawing/2014/chart" uri="{C3380CC4-5D6E-409C-BE32-E72D297353CC}">
              <c16:uniqueId val="{00000027-D82D-4EA3-98EA-BB8A34730B33}"/>
            </c:ext>
          </c:extLst>
        </c:ser>
        <c:dLbls>
          <c:showLegendKey val="0"/>
          <c:showVal val="0"/>
          <c:showCatName val="0"/>
          <c:showSerName val="0"/>
          <c:showPercent val="0"/>
          <c:showBubbleSize val="0"/>
        </c:dLbls>
        <c:gapWidth val="115"/>
        <c:overlap val="50"/>
        <c:axId val="683722016"/>
        <c:axId val="683722496"/>
      </c:barChart>
      <c:catAx>
        <c:axId val="6837220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683722496"/>
        <c:crosses val="autoZero"/>
        <c:auto val="0"/>
        <c:lblAlgn val="ctr"/>
        <c:lblOffset val="100"/>
        <c:tickMarkSkip val="6"/>
        <c:noMultiLvlLbl val="0"/>
      </c:catAx>
      <c:valAx>
        <c:axId val="68372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683722016"/>
        <c:crosses val="autoZero"/>
        <c:crossBetween val="between"/>
      </c:valAx>
      <c:spPr>
        <a:noFill/>
        <a:ln>
          <a:noFill/>
        </a:ln>
        <a:effectLst/>
      </c:spPr>
    </c:plotArea>
    <c:legend>
      <c:legendPos val="b"/>
      <c:layout>
        <c:manualLayout>
          <c:xMode val="edge"/>
          <c:yMode val="edge"/>
          <c:x val="3.2949325837651817E-2"/>
          <c:y val="0.86456210267937172"/>
          <c:w val="0.94205764393494029"/>
          <c:h val="0.10916819504392074"/>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Blad1!$B$2</c:f>
              <c:strCache>
                <c:ptCount val="1"/>
                <c:pt idx="0">
                  <c:v>Verzekeraars</c:v>
                </c:pt>
              </c:strCache>
            </c:strRef>
          </c:tx>
          <c:spPr>
            <a:solidFill>
              <a:srgbClr val="A4004A"/>
            </a:solidFill>
            <a:ln>
              <a:noFill/>
            </a:ln>
            <a:effectLst/>
          </c:spPr>
          <c:invertIfNegative val="0"/>
          <c:cat>
            <c:strRef>
              <c:f>Blad1!$A$3:$A$5</c:f>
              <c:strCache>
                <c:ptCount val="3"/>
                <c:pt idx="0">
                  <c:v>Aantal nieuwe contracten</c:v>
                </c:pt>
                <c:pt idx="1">
                  <c:v>Aantal reeds omgezette contracten</c:v>
                </c:pt>
                <c:pt idx="2">
                  <c:v>Naar verwachting nog om te zetten contracten</c:v>
                </c:pt>
              </c:strCache>
            </c:strRef>
          </c:cat>
          <c:val>
            <c:numRef>
              <c:f>Blad1!$B$3:$B$5</c:f>
              <c:numCache>
                <c:formatCode>#,##0</c:formatCode>
                <c:ptCount val="3"/>
                <c:pt idx="0">
                  <c:v>5442</c:v>
                </c:pt>
                <c:pt idx="1">
                  <c:v>6321</c:v>
                </c:pt>
                <c:pt idx="2">
                  <c:v>32806</c:v>
                </c:pt>
              </c:numCache>
            </c:numRef>
          </c:val>
          <c:extLst>
            <c:ext xmlns:c16="http://schemas.microsoft.com/office/drawing/2014/chart" uri="{C3380CC4-5D6E-409C-BE32-E72D297353CC}">
              <c16:uniqueId val="{00000000-7783-47CB-89A1-7905B6C31F0C}"/>
            </c:ext>
          </c:extLst>
        </c:ser>
        <c:ser>
          <c:idx val="1"/>
          <c:order val="1"/>
          <c:tx>
            <c:strRef>
              <c:f>Blad1!$C$2</c:f>
              <c:strCache>
                <c:ptCount val="1"/>
                <c:pt idx="0">
                  <c:v>PPI's</c:v>
                </c:pt>
              </c:strCache>
            </c:strRef>
          </c:tx>
          <c:spPr>
            <a:solidFill>
              <a:srgbClr val="FFABD1"/>
            </a:solidFill>
            <a:ln>
              <a:noFill/>
            </a:ln>
            <a:effectLst/>
          </c:spPr>
          <c:invertIfNegative val="0"/>
          <c:cat>
            <c:strRef>
              <c:f>Blad1!$A$3:$A$5</c:f>
              <c:strCache>
                <c:ptCount val="3"/>
                <c:pt idx="0">
                  <c:v>Aantal nieuwe contracten</c:v>
                </c:pt>
                <c:pt idx="1">
                  <c:v>Aantal reeds omgezette contracten</c:v>
                </c:pt>
                <c:pt idx="2">
                  <c:v>Naar verwachting nog om te zetten contracten</c:v>
                </c:pt>
              </c:strCache>
            </c:strRef>
          </c:cat>
          <c:val>
            <c:numRef>
              <c:f>Blad1!$C$3:$C$5</c:f>
              <c:numCache>
                <c:formatCode>#,##0</c:formatCode>
                <c:ptCount val="3"/>
                <c:pt idx="0">
                  <c:v>5136</c:v>
                </c:pt>
                <c:pt idx="1">
                  <c:v>4177</c:v>
                </c:pt>
                <c:pt idx="2">
                  <c:v>11393</c:v>
                </c:pt>
              </c:numCache>
            </c:numRef>
          </c:val>
          <c:extLst>
            <c:ext xmlns:c16="http://schemas.microsoft.com/office/drawing/2014/chart" uri="{C3380CC4-5D6E-409C-BE32-E72D297353CC}">
              <c16:uniqueId val="{00000001-7783-47CB-89A1-7905B6C31F0C}"/>
            </c:ext>
          </c:extLst>
        </c:ser>
        <c:dLbls>
          <c:showLegendKey val="0"/>
          <c:showVal val="0"/>
          <c:showCatName val="0"/>
          <c:showSerName val="0"/>
          <c:showPercent val="0"/>
          <c:showBubbleSize val="0"/>
        </c:dLbls>
        <c:gapWidth val="219"/>
        <c:overlap val="-27"/>
        <c:axId val="2105736879"/>
        <c:axId val="2105743119"/>
      </c:barChart>
      <c:catAx>
        <c:axId val="2105736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2105743119"/>
        <c:crosses val="autoZero"/>
        <c:auto val="1"/>
        <c:lblAlgn val="ctr"/>
        <c:lblOffset val="100"/>
        <c:noMultiLvlLbl val="0"/>
      </c:catAx>
      <c:valAx>
        <c:axId val="21057431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crossAx val="2105736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30949256342957"/>
          <c:y val="4.6296296296296294E-2"/>
          <c:w val="0.88498840769903764"/>
          <c:h val="0.73577136191309422"/>
        </c:manualLayout>
      </c:layout>
      <c:barChart>
        <c:barDir val="col"/>
        <c:grouping val="clustered"/>
        <c:varyColors val="0"/>
        <c:ser>
          <c:idx val="0"/>
          <c:order val="0"/>
          <c:tx>
            <c:strRef>
              <c:f>Blad1!$B$21</c:f>
              <c:strCache>
                <c:ptCount val="1"/>
                <c:pt idx="0">
                  <c:v>Verzekeraars</c:v>
                </c:pt>
              </c:strCache>
            </c:strRef>
          </c:tx>
          <c:spPr>
            <a:solidFill>
              <a:srgbClr val="A4004A"/>
            </a:solidFill>
            <a:ln>
              <a:noFill/>
            </a:ln>
            <a:effectLst/>
          </c:spPr>
          <c:invertIfNegative val="0"/>
          <c:cat>
            <c:strRef>
              <c:f>Blad1!$A$22:$A$30</c:f>
              <c:strCache>
                <c:ptCount val="9"/>
                <c:pt idx="0">
                  <c:v>Q1 2026</c:v>
                </c:pt>
                <c:pt idx="1">
                  <c:v>Q2 2026</c:v>
                </c:pt>
                <c:pt idx="2">
                  <c:v>Q3 2026 </c:v>
                </c:pt>
                <c:pt idx="3">
                  <c:v>Q4 2026</c:v>
                </c:pt>
                <c:pt idx="4">
                  <c:v>Q1 2027</c:v>
                </c:pt>
                <c:pt idx="5">
                  <c:v>Q2 2027</c:v>
                </c:pt>
                <c:pt idx="6">
                  <c:v>Q3 2027</c:v>
                </c:pt>
                <c:pt idx="7">
                  <c:v>Q4 2027</c:v>
                </c:pt>
                <c:pt idx="8">
                  <c:v>1-jan-28</c:v>
                </c:pt>
              </c:strCache>
            </c:strRef>
          </c:cat>
          <c:val>
            <c:numRef>
              <c:f>Blad1!$B$22:$B$30</c:f>
              <c:numCache>
                <c:formatCode>0%</c:formatCode>
                <c:ptCount val="9"/>
                <c:pt idx="0">
                  <c:v>4.8181998807868068E-2</c:v>
                </c:pt>
                <c:pt idx="1">
                  <c:v>4.4108881382873041E-2</c:v>
                </c:pt>
                <c:pt idx="2">
                  <c:v>7.4740049009868206E-2</c:v>
                </c:pt>
                <c:pt idx="3">
                  <c:v>0.11381548446917014</c:v>
                </c:pt>
                <c:pt idx="4">
                  <c:v>0.2015365255977217</c:v>
                </c:pt>
                <c:pt idx="5">
                  <c:v>6.0831843168421752E-2</c:v>
                </c:pt>
                <c:pt idx="6">
                  <c:v>8.7721041128551558E-2</c:v>
                </c:pt>
                <c:pt idx="7">
                  <c:v>0.15683157825021524</c:v>
                </c:pt>
                <c:pt idx="8">
                  <c:v>0.21223259818531029</c:v>
                </c:pt>
              </c:numCache>
            </c:numRef>
          </c:val>
          <c:extLst>
            <c:ext xmlns:c16="http://schemas.microsoft.com/office/drawing/2014/chart" uri="{C3380CC4-5D6E-409C-BE32-E72D297353CC}">
              <c16:uniqueId val="{00000000-D367-4BEB-BDF3-4DF663A6FC26}"/>
            </c:ext>
          </c:extLst>
        </c:ser>
        <c:ser>
          <c:idx val="1"/>
          <c:order val="1"/>
          <c:tx>
            <c:strRef>
              <c:f>Blad1!$C$21</c:f>
              <c:strCache>
                <c:ptCount val="1"/>
                <c:pt idx="0">
                  <c:v>PPI's</c:v>
                </c:pt>
              </c:strCache>
            </c:strRef>
          </c:tx>
          <c:spPr>
            <a:solidFill>
              <a:srgbClr val="FFC9E1"/>
            </a:solidFill>
            <a:ln>
              <a:noFill/>
            </a:ln>
            <a:effectLst/>
          </c:spPr>
          <c:invertIfNegative val="0"/>
          <c:cat>
            <c:strRef>
              <c:f>Blad1!$A$22:$A$30</c:f>
              <c:strCache>
                <c:ptCount val="9"/>
                <c:pt idx="0">
                  <c:v>Q1 2026</c:v>
                </c:pt>
                <c:pt idx="1">
                  <c:v>Q2 2026</c:v>
                </c:pt>
                <c:pt idx="2">
                  <c:v>Q3 2026 </c:v>
                </c:pt>
                <c:pt idx="3">
                  <c:v>Q4 2026</c:v>
                </c:pt>
                <c:pt idx="4">
                  <c:v>Q1 2027</c:v>
                </c:pt>
                <c:pt idx="5">
                  <c:v>Q2 2027</c:v>
                </c:pt>
                <c:pt idx="6">
                  <c:v>Q3 2027</c:v>
                </c:pt>
                <c:pt idx="7">
                  <c:v>Q4 2027</c:v>
                </c:pt>
                <c:pt idx="8">
                  <c:v>1-jan-28</c:v>
                </c:pt>
              </c:strCache>
            </c:strRef>
          </c:cat>
          <c:val>
            <c:numRef>
              <c:f>Blad1!$C$22:$C$30</c:f>
              <c:numCache>
                <c:formatCode>0%</c:formatCode>
                <c:ptCount val="9"/>
                <c:pt idx="0">
                  <c:v>6.3499710926960884E-2</c:v>
                </c:pt>
                <c:pt idx="1">
                  <c:v>5.2804008479475813E-2</c:v>
                </c:pt>
                <c:pt idx="2">
                  <c:v>9.5586818269416077E-2</c:v>
                </c:pt>
                <c:pt idx="3">
                  <c:v>9.9633840817113128E-2</c:v>
                </c:pt>
                <c:pt idx="4">
                  <c:v>0.16313355174407401</c:v>
                </c:pt>
                <c:pt idx="5">
                  <c:v>8.7492773174021973E-2</c:v>
                </c:pt>
                <c:pt idx="6">
                  <c:v>0.1303719406436693</c:v>
                </c:pt>
                <c:pt idx="7">
                  <c:v>9.9537483137406055E-2</c:v>
                </c:pt>
                <c:pt idx="8">
                  <c:v>0.20793987280786277</c:v>
                </c:pt>
              </c:numCache>
            </c:numRef>
          </c:val>
          <c:extLst>
            <c:ext xmlns:c16="http://schemas.microsoft.com/office/drawing/2014/chart" uri="{C3380CC4-5D6E-409C-BE32-E72D297353CC}">
              <c16:uniqueId val="{00000001-D367-4BEB-BDF3-4DF663A6FC26}"/>
            </c:ext>
          </c:extLst>
        </c:ser>
        <c:dLbls>
          <c:showLegendKey val="0"/>
          <c:showVal val="0"/>
          <c:showCatName val="0"/>
          <c:showSerName val="0"/>
          <c:showPercent val="0"/>
          <c:showBubbleSize val="0"/>
        </c:dLbls>
        <c:gapWidth val="219"/>
        <c:overlap val="-27"/>
        <c:axId val="451779199"/>
        <c:axId val="451787839"/>
      </c:barChart>
      <c:catAx>
        <c:axId val="451779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451787839"/>
        <c:crosses val="autoZero"/>
        <c:auto val="1"/>
        <c:lblAlgn val="ctr"/>
        <c:lblOffset val="100"/>
        <c:noMultiLvlLbl val="0"/>
      </c:catAx>
      <c:valAx>
        <c:axId val="4517878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451779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12587</ap:Words>
  <ap:Characters>69234</ap:Characters>
  <ap:DocSecurity>0</ap:DocSecurity>
  <ap:Lines>576</ap:Lines>
  <ap:Paragraphs>163</ap:Paragraphs>
  <ap:ScaleCrop>false</ap:ScaleCrop>
  <ap:HeadingPairs>
    <vt:vector baseType="variant" size="2">
      <vt:variant>
        <vt:lpstr>Titel</vt:lpstr>
      </vt:variant>
      <vt:variant>
        <vt:i4>1</vt:i4>
      </vt:variant>
    </vt:vector>
  </ap:HeadingPairs>
  <ap:TitlesOfParts>
    <vt:vector baseType="lpstr" size="1">
      <vt:lpstr>Brief Kamer - Voortgangsrapportage monitoring Wet toekomst pensioenen - zomer 2026</vt:lpstr>
    </vt:vector>
  </ap:TitlesOfParts>
  <ap:LinksUpToDate>false</ap:LinksUpToDate>
  <ap:CharactersWithSpaces>81658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2026-07-02T12:35:00.0000000Z</dcterms:created>
  <dcterms:modified xsi:type="dcterms:W3CDTF">2026-07-02T12:35:00.0000000Z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Voortgangsrapportage monitoring Wet toekomst pensioenen - zomer 2026</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M.M.A. van der Ligt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PM</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Voortgangsrapportage monitoring Wet toekomst pensioenen - zomer 2026</vt:lpwstr>
  </property>
  <property fmtid="{D5CDD505-2E9C-101B-9397-08002B2CF9AE}" pid="36" name="iOnsKenmerk">
    <vt:lpwstr>2026-0000212491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0x010100AD3985EE2B26224490E8FEF80BF442AC</vt:lpwstr>
  </property>
</Properties>
</file>