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4A9" w:rsidR="00D40D99" w:rsidP="00AA34A9" w:rsidRDefault="00D40D99" w14:paraId="0CFDEBE7" w14:textId="303E7B88">
      <w:pPr>
        <w:pStyle w:val="Geenafstand"/>
        <w:rPr>
          <w:b/>
          <w:bCs/>
          <w:lang w:val="nl-NL"/>
        </w:rPr>
      </w:pPr>
      <w:r w:rsidRPr="00AA34A9">
        <w:rPr>
          <w:b/>
          <w:bCs/>
          <w:lang w:val="nl-NL"/>
        </w:rPr>
        <w:t>Toelichting bij Beleidsregel</w:t>
      </w:r>
      <w:r w:rsidRPr="00AA34A9" w:rsidR="003113DA">
        <w:rPr>
          <w:b/>
          <w:bCs/>
          <w:lang w:val="nl-NL"/>
        </w:rPr>
        <w:t xml:space="preserve"> </w:t>
      </w:r>
      <w:proofErr w:type="spellStart"/>
      <w:r w:rsidRPr="00AA34A9" w:rsidR="003113DA">
        <w:rPr>
          <w:b/>
          <w:bCs/>
          <w:lang w:val="nl-NL"/>
        </w:rPr>
        <w:t>b</w:t>
      </w:r>
      <w:r w:rsidRPr="00AA34A9">
        <w:rPr>
          <w:b/>
          <w:bCs/>
          <w:lang w:val="nl-NL"/>
        </w:rPr>
        <w:t>ackpay</w:t>
      </w:r>
      <w:proofErr w:type="spellEnd"/>
      <w:r w:rsidRPr="00AA34A9" w:rsidR="003113DA">
        <w:rPr>
          <w:b/>
          <w:bCs/>
          <w:lang w:val="nl-NL"/>
        </w:rPr>
        <w:t>-uitkering</w:t>
      </w:r>
      <w:r w:rsidRPr="00AA34A9">
        <w:rPr>
          <w:b/>
          <w:bCs/>
          <w:lang w:val="nl-NL"/>
        </w:rPr>
        <w:t xml:space="preserve"> voor weduwen en weduwnaars</w:t>
      </w:r>
    </w:p>
    <w:p w:rsidR="00D40D99" w:rsidP="00AA34A9" w:rsidRDefault="00D40D99" w14:paraId="044FBE8F" w14:textId="77777777">
      <w:pPr>
        <w:pStyle w:val="Geenafstand"/>
        <w:rPr>
          <w:szCs w:val="18"/>
          <w:lang w:val="nl-NL"/>
        </w:rPr>
      </w:pPr>
    </w:p>
    <w:p w:rsidRPr="00D30CCB" w:rsidR="00101381" w:rsidP="00AA34A9" w:rsidRDefault="00D30CCB" w14:paraId="7A728631" w14:textId="46CFC6A3">
      <w:pPr>
        <w:pStyle w:val="Geenafstand"/>
        <w:rPr>
          <w:szCs w:val="18"/>
          <w:lang w:val="nl-NL"/>
        </w:rPr>
      </w:pPr>
      <w:r w:rsidRPr="00D30CCB">
        <w:rPr>
          <w:i/>
          <w:iCs/>
          <w:szCs w:val="18"/>
          <w:lang w:val="nl-NL"/>
        </w:rPr>
        <w:t>1. Inleiding</w:t>
      </w:r>
    </w:p>
    <w:p w:rsidRPr="00D30CCB" w:rsidR="00101381" w:rsidP="00AA34A9" w:rsidRDefault="00101381" w14:paraId="5CFB3834" w14:textId="77777777">
      <w:pPr>
        <w:pStyle w:val="Geenafstand"/>
        <w:rPr>
          <w:szCs w:val="18"/>
          <w:lang w:val="nl-NL"/>
        </w:rPr>
      </w:pPr>
    </w:p>
    <w:p w:rsidR="00E7686D" w:rsidP="00AA34A9" w:rsidRDefault="00E7686D" w14:paraId="675257C9" w14:textId="44500720">
      <w:pPr>
        <w:pStyle w:val="Geenafstand"/>
        <w:rPr>
          <w:szCs w:val="18"/>
          <w:lang w:val="nl-NL"/>
        </w:rPr>
      </w:pPr>
      <w:r w:rsidRPr="00D30CCB">
        <w:rPr>
          <w:szCs w:val="18"/>
          <w:lang w:val="nl-NL"/>
        </w:rPr>
        <w:t xml:space="preserve">Deze beleidsregel voorziet in een </w:t>
      </w:r>
      <w:proofErr w:type="spellStart"/>
      <w:r w:rsidRPr="00D30CCB">
        <w:rPr>
          <w:szCs w:val="18"/>
          <w:lang w:val="nl-NL"/>
        </w:rPr>
        <w:t>backpay</w:t>
      </w:r>
      <w:proofErr w:type="spellEnd"/>
      <w:r w:rsidRPr="00D30CCB">
        <w:rPr>
          <w:szCs w:val="18"/>
          <w:lang w:val="nl-NL"/>
        </w:rPr>
        <w:t>-uitkering voor nog in leven zijnde weduwen en weduwnaars van ambtenaren en militairen die ten tijde van de Japanse bezetting van Nederlands-Indië/Indonesië in dienst waren van het Nederlands-Indisch Gouvernement en aan wie gedurende</w:t>
      </w:r>
      <w:r w:rsidRPr="00E7686D">
        <w:rPr>
          <w:szCs w:val="18"/>
          <w:lang w:val="nl-NL"/>
        </w:rPr>
        <w:t xml:space="preserve"> de Japanse bezetting van Nederlands-Indië/Indonesië geen (volledig) salaris is uitbetaald. Hiermee wordt gehoor gegeven aan een </w:t>
      </w:r>
      <w:r w:rsidR="0056069F">
        <w:rPr>
          <w:szCs w:val="18"/>
          <w:lang w:val="nl-NL"/>
        </w:rPr>
        <w:t xml:space="preserve">blijvende </w:t>
      </w:r>
      <w:r w:rsidRPr="00E7686D">
        <w:rPr>
          <w:szCs w:val="18"/>
          <w:lang w:val="nl-NL"/>
        </w:rPr>
        <w:t xml:space="preserve">oproep vanuit de Tweede Kamer om specifiek voor deze weduwen en weduwnaars bij leven nog een individuele vorm van rechtsherstel te bieden. Dit wordt gedaan in het volle besef dat volledig rechtsherstel </w:t>
      </w:r>
      <w:r w:rsidR="005412E5">
        <w:rPr>
          <w:szCs w:val="18"/>
          <w:lang w:val="nl-NL"/>
        </w:rPr>
        <w:t xml:space="preserve">nimmer </w:t>
      </w:r>
      <w:r w:rsidRPr="00E7686D">
        <w:rPr>
          <w:szCs w:val="18"/>
          <w:lang w:val="nl-NL"/>
        </w:rPr>
        <w:t>aan de</w:t>
      </w:r>
      <w:r w:rsidR="005412E5">
        <w:rPr>
          <w:szCs w:val="18"/>
          <w:lang w:val="nl-NL"/>
        </w:rPr>
        <w:t>ze</w:t>
      </w:r>
      <w:r w:rsidRPr="00E7686D">
        <w:rPr>
          <w:szCs w:val="18"/>
          <w:lang w:val="nl-NL"/>
        </w:rPr>
        <w:t xml:space="preserve"> weduwen en weduwnaars kan worden geboden en eveneens dat met deze beleidsregel geen vorm van rechtsherstel wordt geboden aan andere (voormalige) familieleden van de betreffende ambtenaren en militairen. De redenen </w:t>
      </w:r>
      <w:r w:rsidR="004067BB">
        <w:rPr>
          <w:szCs w:val="18"/>
          <w:lang w:val="nl-NL"/>
        </w:rPr>
        <w:t xml:space="preserve">voor deze </w:t>
      </w:r>
      <w:r w:rsidR="00142671">
        <w:rPr>
          <w:szCs w:val="18"/>
          <w:lang w:val="nl-NL"/>
        </w:rPr>
        <w:t xml:space="preserve">keuze </w:t>
      </w:r>
      <w:r w:rsidRPr="00E7686D">
        <w:rPr>
          <w:szCs w:val="18"/>
          <w:lang w:val="nl-NL"/>
        </w:rPr>
        <w:t>zullen hieronder nader worden toegelicht.</w:t>
      </w:r>
      <w:r>
        <w:rPr>
          <w:szCs w:val="18"/>
          <w:lang w:val="nl-NL"/>
        </w:rPr>
        <w:t xml:space="preserve"> </w:t>
      </w:r>
    </w:p>
    <w:p w:rsidR="00101381" w:rsidP="00D40D99" w:rsidRDefault="00101381" w14:paraId="434E6F80" w14:textId="77777777">
      <w:pPr>
        <w:spacing w:after="0"/>
        <w:rPr>
          <w:szCs w:val="18"/>
          <w:lang w:val="nl-NL"/>
        </w:rPr>
      </w:pPr>
    </w:p>
    <w:p w:rsidR="00772952" w:rsidP="00AA34A9" w:rsidRDefault="00D30CCB" w14:paraId="441186BA" w14:textId="3A2683D5">
      <w:pPr>
        <w:pStyle w:val="Geenafstand"/>
        <w:rPr>
          <w:lang w:val="nl-NL"/>
        </w:rPr>
      </w:pPr>
      <w:r>
        <w:rPr>
          <w:i/>
          <w:iCs/>
          <w:lang w:val="nl-NL"/>
        </w:rPr>
        <w:t xml:space="preserve">2. </w:t>
      </w:r>
      <w:r w:rsidRPr="00772952" w:rsidR="00772952">
        <w:rPr>
          <w:i/>
          <w:iCs/>
          <w:lang w:val="nl-NL"/>
        </w:rPr>
        <w:t xml:space="preserve">Overzicht Indisch rechtsherstel </w:t>
      </w:r>
      <w:r w:rsidRPr="00772952" w:rsidR="006F464E">
        <w:rPr>
          <w:lang w:val="nl-NL"/>
        </w:rPr>
        <w:br/>
      </w:r>
      <w:r w:rsidRPr="00772952" w:rsidR="006F464E">
        <w:rPr>
          <w:lang w:val="nl-NL"/>
        </w:rPr>
        <w:br/>
      </w:r>
      <w:r w:rsidRPr="00772952" w:rsidR="00772952">
        <w:rPr>
          <w:lang w:val="nl-NL"/>
        </w:rPr>
        <w:t>In de decennia</w:t>
      </w:r>
      <w:r w:rsidR="00772952">
        <w:rPr>
          <w:lang w:val="nl-NL"/>
        </w:rPr>
        <w:t xml:space="preserve"> na afloop van de Tweede Wereldoorlog is op verschillende manieren getracht een vorm van rechtsherstel te bieden </w:t>
      </w:r>
      <w:r w:rsidR="00E7686D">
        <w:rPr>
          <w:lang w:val="nl-NL"/>
        </w:rPr>
        <w:t xml:space="preserve">voor datgene dat oorlogsgetroffenen hebben meegemaakt tijdens en na afloop van de Tweede Wereldoorlog en de onafhankelijkheidsoorlog in Indonesië. </w:t>
      </w:r>
      <w:r w:rsidR="002A2CAA">
        <w:rPr>
          <w:lang w:val="nl-NL"/>
        </w:rPr>
        <w:t xml:space="preserve">Daartoe zijn </w:t>
      </w:r>
      <w:r w:rsidR="009F10EF">
        <w:rPr>
          <w:lang w:val="nl-NL"/>
        </w:rPr>
        <w:t xml:space="preserve">tot op heden de volgende </w:t>
      </w:r>
      <w:r w:rsidR="002A2CAA">
        <w:rPr>
          <w:lang w:val="nl-NL"/>
        </w:rPr>
        <w:t xml:space="preserve">eenmalige </w:t>
      </w:r>
      <w:r w:rsidR="009F10EF">
        <w:rPr>
          <w:lang w:val="nl-NL"/>
        </w:rPr>
        <w:t xml:space="preserve">en </w:t>
      </w:r>
      <w:r w:rsidR="002A2CAA">
        <w:rPr>
          <w:lang w:val="nl-NL"/>
        </w:rPr>
        <w:t>permanente wetten en regelingen getroffe</w:t>
      </w:r>
      <w:r w:rsidR="00B71C47">
        <w:rPr>
          <w:lang w:val="nl-NL"/>
        </w:rPr>
        <w:t>n</w:t>
      </w:r>
      <w:r w:rsidR="00DA0982">
        <w:rPr>
          <w:lang w:val="nl-NL"/>
        </w:rPr>
        <w:t xml:space="preserve">. </w:t>
      </w:r>
    </w:p>
    <w:p w:rsidR="00772952" w:rsidP="00D40D99" w:rsidRDefault="00772952" w14:paraId="374571D7" w14:textId="77777777">
      <w:pPr>
        <w:spacing w:after="0"/>
        <w:rPr>
          <w:szCs w:val="18"/>
          <w:lang w:val="nl-NL"/>
        </w:rPr>
      </w:pPr>
    </w:p>
    <w:p w:rsidR="00D40D99" w:rsidP="00AA34A9" w:rsidRDefault="00D40D99" w14:paraId="0FEF5B80" w14:textId="77777777">
      <w:pPr>
        <w:pStyle w:val="Geenafstand"/>
        <w:rPr>
          <w:lang w:val="nl-NL"/>
        </w:rPr>
      </w:pPr>
      <w:r>
        <w:rPr>
          <w:lang w:val="nl-NL"/>
        </w:rPr>
        <w:t>Eenmalige wetten en regelingen:</w:t>
      </w:r>
    </w:p>
    <w:p w:rsidR="00D40D99" w:rsidP="00395A4E" w:rsidRDefault="00D40D99" w14:paraId="6C95E92F" w14:textId="77777777">
      <w:pPr>
        <w:pStyle w:val="Geenafstand"/>
        <w:numPr>
          <w:ilvl w:val="0"/>
          <w:numId w:val="20"/>
        </w:numPr>
        <w:rPr>
          <w:lang w:val="nl-NL"/>
        </w:rPr>
      </w:pPr>
      <w:r w:rsidRPr="003621CE">
        <w:rPr>
          <w:lang w:val="nl-NL"/>
        </w:rPr>
        <w:t>Rehabilitatieregeling 1947-1949</w:t>
      </w:r>
      <w:r>
        <w:rPr>
          <w:lang w:val="nl-NL"/>
        </w:rPr>
        <w:t>;</w:t>
      </w:r>
    </w:p>
    <w:p w:rsidR="00D40D99" w:rsidP="00395A4E" w:rsidRDefault="00D40D99" w14:paraId="4E1F9CF2" w14:textId="77777777">
      <w:pPr>
        <w:pStyle w:val="Geenafstand"/>
        <w:numPr>
          <w:ilvl w:val="0"/>
          <w:numId w:val="20"/>
        </w:numPr>
        <w:rPr>
          <w:lang w:val="nl-NL"/>
        </w:rPr>
      </w:pPr>
      <w:r>
        <w:rPr>
          <w:lang w:val="nl-NL"/>
        </w:rPr>
        <w:t>Wet Indische geïnterneerden uit 1981;</w:t>
      </w:r>
    </w:p>
    <w:p w:rsidR="00D40D99" w:rsidP="00395A4E" w:rsidRDefault="00D40D99" w14:paraId="2DD4C6E8" w14:textId="77777777">
      <w:pPr>
        <w:pStyle w:val="Geenafstand"/>
        <w:numPr>
          <w:ilvl w:val="0"/>
          <w:numId w:val="20"/>
        </w:numPr>
        <w:rPr>
          <w:lang w:val="nl-NL"/>
        </w:rPr>
      </w:pPr>
      <w:r>
        <w:rPr>
          <w:lang w:val="nl-NL"/>
        </w:rPr>
        <w:t>Het Gebaar uit 2000;</w:t>
      </w:r>
    </w:p>
    <w:p w:rsidR="00D40D99" w:rsidP="00395A4E" w:rsidRDefault="00D40D99" w14:paraId="56DF87B3" w14:textId="77777777">
      <w:pPr>
        <w:pStyle w:val="Geenafstand"/>
        <w:numPr>
          <w:ilvl w:val="0"/>
          <w:numId w:val="20"/>
        </w:numPr>
        <w:rPr>
          <w:lang w:val="nl-NL"/>
        </w:rPr>
      </w:pPr>
      <w:r>
        <w:rPr>
          <w:lang w:val="nl-NL"/>
        </w:rPr>
        <w:t xml:space="preserve">Uitkeringsregeling </w:t>
      </w:r>
      <w:proofErr w:type="spellStart"/>
      <w:r>
        <w:rPr>
          <w:lang w:val="nl-NL"/>
        </w:rPr>
        <w:t>Backpay</w:t>
      </w:r>
      <w:proofErr w:type="spellEnd"/>
      <w:r>
        <w:rPr>
          <w:lang w:val="nl-NL"/>
        </w:rPr>
        <w:t xml:space="preserve"> uit 2015;</w:t>
      </w:r>
    </w:p>
    <w:p w:rsidR="00D40D99" w:rsidP="00D40D99" w:rsidRDefault="00D40D99" w14:paraId="51B30CAA" w14:textId="77777777">
      <w:pPr>
        <w:spacing w:after="0"/>
        <w:rPr>
          <w:szCs w:val="18"/>
          <w:lang w:val="nl-NL"/>
        </w:rPr>
      </w:pPr>
    </w:p>
    <w:p w:rsidR="00D40D99" w:rsidP="00395A4E" w:rsidRDefault="00D40D99" w14:paraId="5CF9B43E" w14:textId="71287573">
      <w:pPr>
        <w:pStyle w:val="Geenafstand"/>
        <w:rPr>
          <w:lang w:val="nl-NL"/>
        </w:rPr>
      </w:pPr>
      <w:r>
        <w:rPr>
          <w:lang w:val="nl-NL"/>
        </w:rPr>
        <w:t xml:space="preserve">Permanente wetten en regelingen die nog steeds </w:t>
      </w:r>
      <w:r w:rsidR="006733F9">
        <w:rPr>
          <w:lang w:val="nl-NL"/>
        </w:rPr>
        <w:t>van kracht</w:t>
      </w:r>
      <w:r>
        <w:rPr>
          <w:lang w:val="nl-NL"/>
        </w:rPr>
        <w:t xml:space="preserve"> zijn:</w:t>
      </w:r>
    </w:p>
    <w:p w:rsidRPr="003C761F" w:rsidR="00D40D99" w:rsidP="00395A4E" w:rsidRDefault="00D40D99" w14:paraId="72848A3C" w14:textId="11B500D4">
      <w:pPr>
        <w:pStyle w:val="Geenafstand"/>
        <w:numPr>
          <w:ilvl w:val="0"/>
          <w:numId w:val="21"/>
        </w:numPr>
        <w:rPr>
          <w:rFonts w:eastAsia="DejaVu Sans" w:cs="Lohit Hindi"/>
          <w:color w:val="000000"/>
          <w:kern w:val="0"/>
          <w:lang w:val="nl-NL" w:eastAsia="nl-NL"/>
          <w14:ligatures w14:val="none"/>
        </w:rPr>
      </w:pPr>
      <w:r w:rsidRPr="003C761F">
        <w:rPr>
          <w:rFonts w:eastAsia="DejaVu Sans" w:cs="Lohit Hindi"/>
          <w:color w:val="000000"/>
          <w:kern w:val="0"/>
          <w:lang w:val="nl-NL" w:eastAsia="nl-NL"/>
          <w14:ligatures w14:val="none"/>
        </w:rPr>
        <w:t>Wet uitkeringen vervolgingsslachtoffers 1940-1945 (</w:t>
      </w:r>
      <w:proofErr w:type="spellStart"/>
      <w:r w:rsidRPr="003C761F">
        <w:rPr>
          <w:rFonts w:eastAsia="DejaVu Sans" w:cs="Lohit Hindi"/>
          <w:color w:val="000000"/>
          <w:kern w:val="0"/>
          <w:lang w:val="nl-NL" w:eastAsia="nl-NL"/>
          <w14:ligatures w14:val="none"/>
        </w:rPr>
        <w:t>Wuv</w:t>
      </w:r>
      <w:proofErr w:type="spellEnd"/>
      <w:r w:rsidRPr="003C761F">
        <w:rPr>
          <w:rFonts w:eastAsia="DejaVu Sans" w:cs="Lohit Hindi"/>
          <w:color w:val="000000"/>
          <w:kern w:val="0"/>
          <w:lang w:val="nl-NL" w:eastAsia="nl-NL"/>
          <w14:ligatures w14:val="none"/>
        </w:rPr>
        <w:t xml:space="preserve"> – wet uit 1973)</w:t>
      </w:r>
    </w:p>
    <w:p w:rsidRPr="003C761F" w:rsidR="00D40D99" w:rsidP="00395A4E" w:rsidRDefault="00D40D99" w14:paraId="61B80639" w14:textId="77777777">
      <w:pPr>
        <w:pStyle w:val="Geenafstand"/>
        <w:numPr>
          <w:ilvl w:val="0"/>
          <w:numId w:val="21"/>
        </w:numPr>
        <w:rPr>
          <w:rFonts w:eastAsia="DejaVu Sans" w:cs="Lohit Hindi"/>
          <w:color w:val="000000"/>
          <w:kern w:val="0"/>
          <w:lang w:val="nl-NL" w:eastAsia="nl-NL"/>
          <w14:ligatures w14:val="none"/>
        </w:rPr>
      </w:pPr>
      <w:r w:rsidRPr="003C761F">
        <w:rPr>
          <w:rFonts w:eastAsia="DejaVu Sans" w:cs="Lohit Hindi"/>
          <w:color w:val="000000"/>
          <w:kern w:val="0"/>
          <w:lang w:val="nl-NL" w:eastAsia="nl-NL"/>
          <w14:ligatures w14:val="none"/>
        </w:rPr>
        <w:t>Wet uitkeringen burger-oorlogsslachtoffers 1940-1945 (</w:t>
      </w:r>
      <w:proofErr w:type="spellStart"/>
      <w:r w:rsidRPr="003C761F">
        <w:rPr>
          <w:rFonts w:eastAsia="DejaVu Sans" w:cs="Lohit Hindi"/>
          <w:color w:val="000000"/>
          <w:kern w:val="0"/>
          <w:lang w:val="nl-NL" w:eastAsia="nl-NL"/>
          <w14:ligatures w14:val="none"/>
        </w:rPr>
        <w:t>Wubo</w:t>
      </w:r>
      <w:proofErr w:type="spellEnd"/>
      <w:r w:rsidRPr="003C761F">
        <w:rPr>
          <w:rFonts w:eastAsia="DejaVu Sans" w:cs="Lohit Hindi"/>
          <w:color w:val="000000"/>
          <w:kern w:val="0"/>
          <w:lang w:val="nl-NL" w:eastAsia="nl-NL"/>
          <w14:ligatures w14:val="none"/>
        </w:rPr>
        <w:t xml:space="preserve"> - wet uit 1981)</w:t>
      </w:r>
    </w:p>
    <w:p w:rsidRPr="003C761F" w:rsidR="00D40D99" w:rsidP="00395A4E" w:rsidRDefault="00D40D99" w14:paraId="6BD39E3C" w14:textId="2BC8808E">
      <w:pPr>
        <w:pStyle w:val="Geenafstand"/>
        <w:numPr>
          <w:ilvl w:val="0"/>
          <w:numId w:val="21"/>
        </w:numPr>
        <w:rPr>
          <w:rFonts w:eastAsia="DejaVu Sans" w:cs="Lohit Hindi"/>
          <w:color w:val="000000"/>
          <w:kern w:val="0"/>
          <w:lang w:val="nl-NL" w:eastAsia="nl-NL"/>
          <w14:ligatures w14:val="none"/>
        </w:rPr>
      </w:pPr>
      <w:r w:rsidRPr="003C761F">
        <w:rPr>
          <w:rFonts w:eastAsia="DejaVu Sans" w:cs="Lohit Hindi"/>
          <w:color w:val="000000"/>
          <w:kern w:val="0"/>
          <w:lang w:val="nl-NL" w:eastAsia="nl-NL"/>
          <w14:ligatures w14:val="none"/>
        </w:rPr>
        <w:t xml:space="preserve">Algemene </w:t>
      </w:r>
      <w:proofErr w:type="spellStart"/>
      <w:r w:rsidRPr="003C761F">
        <w:rPr>
          <w:rFonts w:eastAsia="DejaVu Sans" w:cs="Lohit Hindi"/>
          <w:color w:val="000000"/>
          <w:kern w:val="0"/>
          <w:lang w:val="nl-NL" w:eastAsia="nl-NL"/>
          <w14:ligatures w14:val="none"/>
        </w:rPr>
        <w:t>Oorlogsongevallenregeling</w:t>
      </w:r>
      <w:proofErr w:type="spellEnd"/>
      <w:r w:rsidRPr="003C761F">
        <w:rPr>
          <w:rFonts w:eastAsia="DejaVu Sans" w:cs="Lohit Hindi"/>
          <w:color w:val="000000"/>
          <w:kern w:val="0"/>
          <w:lang w:val="nl-NL" w:eastAsia="nl-NL"/>
          <w14:ligatures w14:val="none"/>
        </w:rPr>
        <w:t xml:space="preserve"> (AOR – </w:t>
      </w:r>
      <w:r w:rsidR="002550BB">
        <w:rPr>
          <w:rFonts w:eastAsia="DejaVu Sans" w:cs="Lohit Hindi"/>
          <w:color w:val="000000"/>
          <w:kern w:val="0"/>
          <w:lang w:val="nl-NL" w:eastAsia="nl-NL"/>
          <w14:ligatures w14:val="none"/>
        </w:rPr>
        <w:t>regeling</w:t>
      </w:r>
      <w:r w:rsidRPr="003C761F">
        <w:rPr>
          <w:rFonts w:eastAsia="DejaVu Sans" w:cs="Lohit Hindi"/>
          <w:color w:val="000000"/>
          <w:kern w:val="0"/>
          <w:lang w:val="nl-NL" w:eastAsia="nl-NL"/>
          <w14:ligatures w14:val="none"/>
        </w:rPr>
        <w:t xml:space="preserve"> uit 1946-1947)</w:t>
      </w:r>
    </w:p>
    <w:p w:rsidRPr="003C761F" w:rsidR="00D40D99" w:rsidP="00395A4E" w:rsidRDefault="00D40D99" w14:paraId="306A425C" w14:textId="77777777">
      <w:pPr>
        <w:pStyle w:val="Geenafstand"/>
        <w:numPr>
          <w:ilvl w:val="0"/>
          <w:numId w:val="21"/>
        </w:numPr>
        <w:rPr>
          <w:rFonts w:eastAsia="DejaVu Sans" w:cs="Lohit Hindi"/>
          <w:color w:val="000000"/>
          <w:kern w:val="0"/>
          <w:lang w:val="nl-NL" w:eastAsia="nl-NL"/>
          <w14:ligatures w14:val="none"/>
        </w:rPr>
      </w:pPr>
      <w:r w:rsidRPr="003C761F">
        <w:rPr>
          <w:rFonts w:eastAsia="DejaVu Sans" w:cs="Lohit Hindi"/>
          <w:color w:val="000000"/>
          <w:kern w:val="0"/>
          <w:lang w:val="nl-NL" w:eastAsia="nl-NL"/>
          <w14:ligatures w14:val="none"/>
        </w:rPr>
        <w:t>Wetten buitengewoon pensioen</w:t>
      </w:r>
    </w:p>
    <w:p w:rsidRPr="003C761F" w:rsidR="00D40D99" w:rsidP="00395A4E" w:rsidRDefault="00D40D99" w14:paraId="77807FE3" w14:textId="77777777">
      <w:pPr>
        <w:pStyle w:val="Geenafstand"/>
        <w:numPr>
          <w:ilvl w:val="1"/>
          <w:numId w:val="21"/>
        </w:numPr>
        <w:rPr>
          <w:rFonts w:eastAsia="DejaVu Sans" w:cs="Lohit Hindi"/>
          <w:color w:val="000000"/>
          <w:kern w:val="0"/>
          <w:lang w:val="nl-NL" w:eastAsia="nl-NL"/>
          <w14:ligatures w14:val="none"/>
        </w:rPr>
      </w:pPr>
      <w:r w:rsidRPr="003C761F">
        <w:rPr>
          <w:rFonts w:eastAsia="DejaVu Sans" w:cs="Lohit Hindi"/>
          <w:color w:val="000000"/>
          <w:kern w:val="0"/>
          <w:lang w:val="nl-NL" w:eastAsia="nl-NL"/>
          <w14:ligatures w14:val="none"/>
        </w:rPr>
        <w:t>Wet buitengewoon pensioen 1940-1945 (</w:t>
      </w:r>
      <w:proofErr w:type="spellStart"/>
      <w:r w:rsidRPr="003C761F">
        <w:rPr>
          <w:rFonts w:eastAsia="DejaVu Sans" w:cs="Lohit Hindi"/>
          <w:color w:val="000000"/>
          <w:kern w:val="0"/>
          <w:lang w:val="nl-NL" w:eastAsia="nl-NL"/>
          <w14:ligatures w14:val="none"/>
        </w:rPr>
        <w:t>Wbp</w:t>
      </w:r>
      <w:proofErr w:type="spellEnd"/>
      <w:r w:rsidRPr="003C761F">
        <w:rPr>
          <w:rFonts w:eastAsia="DejaVu Sans" w:cs="Lohit Hindi"/>
          <w:color w:val="000000"/>
          <w:kern w:val="0"/>
          <w:lang w:val="nl-NL" w:eastAsia="nl-NL"/>
          <w14:ligatures w14:val="none"/>
        </w:rPr>
        <w:t xml:space="preserve"> – wet uit 1947)</w:t>
      </w:r>
    </w:p>
    <w:p w:rsidRPr="003C761F" w:rsidR="00D40D99" w:rsidP="00395A4E" w:rsidRDefault="00D40D99" w14:paraId="17B717B6" w14:textId="4FA1CBBE">
      <w:pPr>
        <w:pStyle w:val="Geenafstand"/>
        <w:numPr>
          <w:ilvl w:val="1"/>
          <w:numId w:val="21"/>
        </w:numPr>
        <w:rPr>
          <w:rFonts w:eastAsia="DejaVu Sans" w:cs="Lohit Hindi"/>
          <w:color w:val="000000"/>
          <w:kern w:val="0"/>
          <w:lang w:val="nl-NL" w:eastAsia="nl-NL"/>
          <w14:ligatures w14:val="none"/>
        </w:rPr>
      </w:pPr>
      <w:r w:rsidRPr="003C761F">
        <w:rPr>
          <w:rFonts w:eastAsia="DejaVu Sans" w:cs="Lohit Hindi"/>
          <w:color w:val="000000"/>
          <w:kern w:val="0"/>
          <w:lang w:val="nl-NL" w:eastAsia="nl-NL"/>
          <w14:ligatures w14:val="none"/>
        </w:rPr>
        <w:t>Wet buitengewoon pensioen zeelieden-oorlogsslachtoffers (</w:t>
      </w:r>
      <w:proofErr w:type="spellStart"/>
      <w:r w:rsidRPr="003C761F">
        <w:rPr>
          <w:rFonts w:eastAsia="DejaVu Sans" w:cs="Lohit Hindi"/>
          <w:color w:val="000000"/>
          <w:kern w:val="0"/>
          <w:lang w:val="nl-NL" w:eastAsia="nl-NL"/>
          <w14:ligatures w14:val="none"/>
        </w:rPr>
        <w:t>Wbpzo</w:t>
      </w:r>
      <w:proofErr w:type="spellEnd"/>
      <w:r w:rsidRPr="003C761F">
        <w:rPr>
          <w:rFonts w:eastAsia="DejaVu Sans" w:cs="Lohit Hindi"/>
          <w:color w:val="000000"/>
          <w:kern w:val="0"/>
          <w:lang w:val="nl-NL" w:eastAsia="nl-NL"/>
          <w14:ligatures w14:val="none"/>
        </w:rPr>
        <w:t xml:space="preserve"> </w:t>
      </w:r>
      <w:r w:rsidR="003E36E5">
        <w:rPr>
          <w:rFonts w:eastAsia="DejaVu Sans" w:cs="Lohit Hindi"/>
          <w:color w:val="000000"/>
          <w:kern w:val="0"/>
          <w:lang w:val="nl-NL" w:eastAsia="nl-NL"/>
          <w14:ligatures w14:val="none"/>
        </w:rPr>
        <w:t xml:space="preserve">– </w:t>
      </w:r>
      <w:r w:rsidRPr="003C761F">
        <w:rPr>
          <w:rFonts w:eastAsia="DejaVu Sans" w:cs="Lohit Hindi"/>
          <w:color w:val="000000"/>
          <w:kern w:val="0"/>
          <w:lang w:val="nl-NL" w:eastAsia="nl-NL"/>
          <w14:ligatures w14:val="none"/>
        </w:rPr>
        <w:t>wet uit 1946)</w:t>
      </w:r>
    </w:p>
    <w:p w:rsidRPr="003C761F" w:rsidR="00D40D99" w:rsidP="00395A4E" w:rsidRDefault="00D40D99" w14:paraId="6615587D" w14:textId="77777777">
      <w:pPr>
        <w:pStyle w:val="Geenafstand"/>
        <w:numPr>
          <w:ilvl w:val="1"/>
          <w:numId w:val="21"/>
        </w:numPr>
        <w:rPr>
          <w:rFonts w:eastAsia="DejaVu Sans" w:cs="Lohit Hindi"/>
          <w:color w:val="000000"/>
          <w:kern w:val="0"/>
          <w:lang w:val="nl-NL" w:eastAsia="nl-NL"/>
          <w14:ligatures w14:val="none"/>
        </w:rPr>
      </w:pPr>
      <w:r w:rsidRPr="003C761F">
        <w:rPr>
          <w:rFonts w:eastAsia="DejaVu Sans" w:cs="Lohit Hindi"/>
          <w:color w:val="000000"/>
          <w:kern w:val="0"/>
          <w:lang w:val="nl-NL" w:eastAsia="nl-NL"/>
          <w14:ligatures w14:val="none"/>
        </w:rPr>
        <w:t>Wet buitengewoon pensioen Indisch verzet (</w:t>
      </w:r>
      <w:proofErr w:type="spellStart"/>
      <w:r w:rsidRPr="003C761F">
        <w:rPr>
          <w:rFonts w:eastAsia="DejaVu Sans" w:cs="Lohit Hindi"/>
          <w:color w:val="000000"/>
          <w:kern w:val="0"/>
          <w:lang w:val="nl-NL" w:eastAsia="nl-NL"/>
          <w14:ligatures w14:val="none"/>
        </w:rPr>
        <w:t>Wiv</w:t>
      </w:r>
      <w:proofErr w:type="spellEnd"/>
      <w:r w:rsidRPr="003C761F">
        <w:rPr>
          <w:rFonts w:eastAsia="DejaVu Sans" w:cs="Lohit Hindi"/>
          <w:color w:val="000000"/>
          <w:kern w:val="0"/>
          <w:lang w:val="nl-NL" w:eastAsia="nl-NL"/>
          <w14:ligatures w14:val="none"/>
        </w:rPr>
        <w:t xml:space="preserve"> – wet uit 1981)</w:t>
      </w:r>
    </w:p>
    <w:p w:rsidR="00AF0C23" w:rsidP="004349DE" w:rsidRDefault="00AF0C23" w14:paraId="091A9A40" w14:textId="77777777">
      <w:pPr>
        <w:spacing w:after="0"/>
        <w:rPr>
          <w:szCs w:val="18"/>
          <w:lang w:val="nl-NL"/>
        </w:rPr>
      </w:pPr>
    </w:p>
    <w:p w:rsidR="006C150F" w:rsidP="00395A4E" w:rsidRDefault="006C150F" w14:paraId="425DB06F" w14:textId="77777777">
      <w:pPr>
        <w:pStyle w:val="Geenafstand"/>
        <w:rPr>
          <w:lang w:val="nl-NL"/>
        </w:rPr>
      </w:pPr>
      <w:r>
        <w:rPr>
          <w:lang w:val="nl-NL"/>
        </w:rPr>
        <w:t xml:space="preserve">Bij elke vorm van rechtsherstel geldt dat volledig rechtsherstel nooit mogelijk zal zijn. </w:t>
      </w:r>
      <w:r w:rsidRPr="0040729F" w:rsidR="004349DE">
        <w:rPr>
          <w:lang w:val="nl-NL"/>
        </w:rPr>
        <w:t xml:space="preserve">De gebeurtenissen van de Tweede Wereldoorlog </w:t>
      </w:r>
      <w:r w:rsidRPr="0040729F" w:rsidR="008B6E36">
        <w:rPr>
          <w:lang w:val="nl-NL"/>
        </w:rPr>
        <w:t xml:space="preserve">en </w:t>
      </w:r>
      <w:r w:rsidR="00367B91">
        <w:rPr>
          <w:lang w:val="nl-NL"/>
        </w:rPr>
        <w:t xml:space="preserve">de </w:t>
      </w:r>
      <w:r w:rsidRPr="0040729F" w:rsidR="008B6E36">
        <w:rPr>
          <w:lang w:val="nl-NL"/>
        </w:rPr>
        <w:t xml:space="preserve">onafhankelijkheidsoorlog in Indonesië </w:t>
      </w:r>
      <w:r w:rsidRPr="0040729F" w:rsidR="004349DE">
        <w:rPr>
          <w:lang w:val="nl-NL"/>
        </w:rPr>
        <w:t xml:space="preserve">kunnen niet worden teruggedraaid en het leed en trauma’s die het gevolg zijn van </w:t>
      </w:r>
      <w:r w:rsidRPr="0040729F" w:rsidR="008B6E36">
        <w:rPr>
          <w:lang w:val="nl-NL"/>
        </w:rPr>
        <w:t xml:space="preserve">deze </w:t>
      </w:r>
      <w:r w:rsidRPr="0040729F" w:rsidR="004349DE">
        <w:rPr>
          <w:lang w:val="nl-NL"/>
        </w:rPr>
        <w:t>oorlog</w:t>
      </w:r>
      <w:r w:rsidRPr="0040729F" w:rsidR="008B6E36">
        <w:rPr>
          <w:lang w:val="nl-NL"/>
        </w:rPr>
        <w:t>en</w:t>
      </w:r>
      <w:r w:rsidRPr="0040729F" w:rsidR="004349DE">
        <w:rPr>
          <w:lang w:val="nl-NL"/>
        </w:rPr>
        <w:t>, kunnen nooit volledig worden weggenomen.</w:t>
      </w:r>
      <w:r w:rsidRPr="0040729F" w:rsidR="008B6E36">
        <w:rPr>
          <w:lang w:val="nl-NL"/>
        </w:rPr>
        <w:t xml:space="preserve"> </w:t>
      </w:r>
      <w:r w:rsidRPr="0040729F" w:rsidR="0040729F">
        <w:rPr>
          <w:lang w:val="nl-NL"/>
        </w:rPr>
        <w:t xml:space="preserve">Ook </w:t>
      </w:r>
      <w:r>
        <w:rPr>
          <w:lang w:val="nl-NL"/>
        </w:rPr>
        <w:t>ervaren</w:t>
      </w:r>
      <w:r w:rsidRPr="0040729F" w:rsidR="0040729F">
        <w:rPr>
          <w:lang w:val="nl-NL"/>
        </w:rPr>
        <w:t xml:space="preserve"> onvrede over </w:t>
      </w:r>
      <w:r>
        <w:rPr>
          <w:lang w:val="nl-NL"/>
        </w:rPr>
        <w:t>onvolledig</w:t>
      </w:r>
      <w:r w:rsidRPr="0040729F" w:rsidR="0040729F">
        <w:rPr>
          <w:lang w:val="nl-NL"/>
        </w:rPr>
        <w:t xml:space="preserve"> rechtsherstel dat leeft binnen een deel van de Indische en Molukse gemeenschappen, </w:t>
      </w:r>
      <w:r>
        <w:rPr>
          <w:lang w:val="nl-NL"/>
        </w:rPr>
        <w:t xml:space="preserve">zal nimmer kunnen worden </w:t>
      </w:r>
      <w:r w:rsidRPr="0040729F" w:rsidR="0040729F">
        <w:rPr>
          <w:lang w:val="nl-NL"/>
        </w:rPr>
        <w:t xml:space="preserve">weggenomen door de invoering van </w:t>
      </w:r>
      <w:r w:rsidR="00AF0C23">
        <w:rPr>
          <w:lang w:val="nl-NL"/>
        </w:rPr>
        <w:t>wetten en</w:t>
      </w:r>
      <w:r w:rsidR="0040729F">
        <w:rPr>
          <w:lang w:val="nl-NL"/>
        </w:rPr>
        <w:t xml:space="preserve"> </w:t>
      </w:r>
      <w:r w:rsidRPr="0040729F" w:rsidR="0040729F">
        <w:rPr>
          <w:lang w:val="nl-NL"/>
        </w:rPr>
        <w:t xml:space="preserve">regelingen die gericht zijn op rechtsherstel. </w:t>
      </w:r>
    </w:p>
    <w:p w:rsidR="006C150F" w:rsidP="004349DE" w:rsidRDefault="006C150F" w14:paraId="346D07AE" w14:textId="77777777">
      <w:pPr>
        <w:spacing w:after="0"/>
        <w:rPr>
          <w:lang w:val="nl-NL"/>
        </w:rPr>
      </w:pPr>
    </w:p>
    <w:p w:rsidR="006C150F" w:rsidP="00DB47AC" w:rsidRDefault="00D30CCB" w14:paraId="4F0A0D80" w14:textId="52A45677">
      <w:pPr>
        <w:pStyle w:val="Geenafstand"/>
        <w:rPr>
          <w:lang w:val="nl-NL"/>
        </w:rPr>
      </w:pPr>
      <w:r>
        <w:rPr>
          <w:lang w:val="nl-NL"/>
        </w:rPr>
        <w:t xml:space="preserve">3. </w:t>
      </w:r>
      <w:r w:rsidR="006C150F">
        <w:rPr>
          <w:lang w:val="nl-NL"/>
        </w:rPr>
        <w:t xml:space="preserve">Aanleiding voor de onderhavige </w:t>
      </w:r>
      <w:proofErr w:type="spellStart"/>
      <w:r w:rsidR="006C150F">
        <w:rPr>
          <w:lang w:val="nl-NL"/>
        </w:rPr>
        <w:t>backpay</w:t>
      </w:r>
      <w:proofErr w:type="spellEnd"/>
      <w:r w:rsidR="006C150F">
        <w:rPr>
          <w:lang w:val="nl-NL"/>
        </w:rPr>
        <w:t>-regeling</w:t>
      </w:r>
    </w:p>
    <w:p w:rsidR="006C150F" w:rsidP="00DB47AC" w:rsidRDefault="006C150F" w14:paraId="4B10ED42" w14:textId="77777777">
      <w:pPr>
        <w:pStyle w:val="Geenafstand"/>
        <w:rPr>
          <w:lang w:val="nl-NL"/>
        </w:rPr>
      </w:pPr>
    </w:p>
    <w:p w:rsidR="006A4C1E" w:rsidP="00DB47AC" w:rsidRDefault="006C150F" w14:paraId="3874B7F2" w14:textId="52C10220">
      <w:pPr>
        <w:pStyle w:val="Geenafstand"/>
        <w:rPr>
          <w:szCs w:val="18"/>
          <w:lang w:val="nl-NL"/>
        </w:rPr>
      </w:pPr>
      <w:r>
        <w:rPr>
          <w:szCs w:val="18"/>
          <w:lang w:val="nl-NL"/>
        </w:rPr>
        <w:t xml:space="preserve">De onderhavige Beleidsregel </w:t>
      </w:r>
      <w:proofErr w:type="spellStart"/>
      <w:r>
        <w:rPr>
          <w:szCs w:val="18"/>
          <w:lang w:val="nl-NL"/>
        </w:rPr>
        <w:t>backpay</w:t>
      </w:r>
      <w:proofErr w:type="spellEnd"/>
      <w:r>
        <w:rPr>
          <w:szCs w:val="18"/>
          <w:lang w:val="nl-NL"/>
        </w:rPr>
        <w:t xml:space="preserve">-regeling voor weduwen en weduwnaars houdt verband met de </w:t>
      </w:r>
      <w:r w:rsidRPr="006C150F">
        <w:rPr>
          <w:szCs w:val="18"/>
          <w:lang w:val="nl-NL"/>
        </w:rPr>
        <w:t xml:space="preserve">Uitkeringsregeling </w:t>
      </w:r>
      <w:proofErr w:type="spellStart"/>
      <w:r w:rsidRPr="006C150F">
        <w:rPr>
          <w:szCs w:val="18"/>
          <w:lang w:val="nl-NL"/>
        </w:rPr>
        <w:t>Backpay</w:t>
      </w:r>
      <w:proofErr w:type="spellEnd"/>
      <w:r w:rsidRPr="006C150F">
        <w:rPr>
          <w:szCs w:val="18"/>
          <w:lang w:val="nl-NL"/>
        </w:rPr>
        <w:t xml:space="preserve"> uit 2015.</w:t>
      </w:r>
      <w:r w:rsidRPr="00786C93" w:rsidR="00786C93">
        <w:rPr>
          <w:rStyle w:val="Voetnootmarkering"/>
          <w:szCs w:val="18"/>
          <w:lang w:val="nl-NL"/>
        </w:rPr>
        <w:footnoteReference w:id="1"/>
      </w:r>
      <w:r w:rsidR="00AA4104">
        <w:rPr>
          <w:szCs w:val="18"/>
          <w:lang w:val="nl-NL"/>
        </w:rPr>
        <w:t xml:space="preserve"> </w:t>
      </w:r>
      <w:r w:rsidRPr="006C150F" w:rsidR="00FD481E">
        <w:rPr>
          <w:szCs w:val="18"/>
          <w:lang w:val="nl-NL"/>
        </w:rPr>
        <w:t xml:space="preserve">Achtergrond van de </w:t>
      </w:r>
      <w:proofErr w:type="spellStart"/>
      <w:r w:rsidRPr="006C150F" w:rsidR="00FD481E">
        <w:rPr>
          <w:szCs w:val="18"/>
          <w:lang w:val="nl-NL"/>
        </w:rPr>
        <w:t>backpay</w:t>
      </w:r>
      <w:proofErr w:type="spellEnd"/>
      <w:r w:rsidRPr="006C150F" w:rsidR="00FD481E">
        <w:rPr>
          <w:szCs w:val="18"/>
          <w:lang w:val="nl-NL"/>
        </w:rPr>
        <w:t xml:space="preserve">-kwestie is dat aan ambtenaren en militairen die in de Tweede Wereldoorlog ten tijde van de Japanse bezetting van Nederlands-Indië/Indonesië, in dienst waren van het Nederlands-Indisch gouvernement, geen (volledig) salaris is uitbetaald. </w:t>
      </w:r>
      <w:r w:rsidRPr="006C150F">
        <w:rPr>
          <w:szCs w:val="18"/>
          <w:lang w:val="nl-NL"/>
        </w:rPr>
        <w:t xml:space="preserve">Op basis van </w:t>
      </w:r>
      <w:r w:rsidR="00FD481E">
        <w:rPr>
          <w:szCs w:val="18"/>
          <w:lang w:val="nl-NL"/>
        </w:rPr>
        <w:t xml:space="preserve">de Uitkeringsregeling </w:t>
      </w:r>
      <w:proofErr w:type="spellStart"/>
      <w:r w:rsidR="00FD481E">
        <w:rPr>
          <w:szCs w:val="18"/>
          <w:lang w:val="nl-NL"/>
        </w:rPr>
        <w:t>Backpay</w:t>
      </w:r>
      <w:proofErr w:type="spellEnd"/>
      <w:r w:rsidR="00FD481E">
        <w:rPr>
          <w:szCs w:val="18"/>
          <w:lang w:val="nl-NL"/>
        </w:rPr>
        <w:t xml:space="preserve"> </w:t>
      </w:r>
      <w:r w:rsidRPr="006C150F">
        <w:rPr>
          <w:szCs w:val="18"/>
          <w:lang w:val="nl-NL"/>
        </w:rPr>
        <w:t xml:space="preserve">kwamen de </w:t>
      </w:r>
      <w:r>
        <w:rPr>
          <w:szCs w:val="18"/>
          <w:lang w:val="nl-NL"/>
        </w:rPr>
        <w:t xml:space="preserve">– veelal mannelijke – ambtenaren </w:t>
      </w:r>
      <w:r w:rsidRPr="006C150F">
        <w:rPr>
          <w:szCs w:val="18"/>
          <w:lang w:val="nl-NL"/>
        </w:rPr>
        <w:t xml:space="preserve">en militairen die op 15 augustus 2015 nog in leven waren, op morele gronden, in aanmerking voor een eenmalige netto-uitkering van €25.000 als finale financiële tegemoetkoming voor niet </w:t>
      </w:r>
      <w:r>
        <w:rPr>
          <w:szCs w:val="18"/>
          <w:lang w:val="nl-NL"/>
        </w:rPr>
        <w:t xml:space="preserve">(volledig) </w:t>
      </w:r>
      <w:r w:rsidRPr="006C150F">
        <w:rPr>
          <w:szCs w:val="18"/>
          <w:lang w:val="nl-NL"/>
        </w:rPr>
        <w:t xml:space="preserve">uitbetaalde salarissen. </w:t>
      </w:r>
    </w:p>
    <w:p w:rsidR="006A4C1E" w:rsidP="00DB47AC" w:rsidRDefault="006A4C1E" w14:paraId="79166D68" w14:textId="77777777">
      <w:pPr>
        <w:pStyle w:val="Geenafstand"/>
        <w:rPr>
          <w:szCs w:val="18"/>
          <w:lang w:val="nl-NL"/>
        </w:rPr>
      </w:pPr>
    </w:p>
    <w:p w:rsidR="006A4C1E" w:rsidP="00DB47AC" w:rsidRDefault="006C150F" w14:paraId="3A8BC8B6" w14:textId="24CA94D2">
      <w:pPr>
        <w:pStyle w:val="Geenafstand"/>
        <w:rPr>
          <w:lang w:val="nl-NL"/>
        </w:rPr>
      </w:pPr>
      <w:r w:rsidRPr="006C150F">
        <w:rPr>
          <w:lang w:val="nl-NL"/>
        </w:rPr>
        <w:t xml:space="preserve">Over de afbakening van de doelgroep en met name de uitsluiting van de nog levende </w:t>
      </w:r>
      <w:r w:rsidR="00791127">
        <w:rPr>
          <w:lang w:val="nl-NL"/>
        </w:rPr>
        <w:t xml:space="preserve">– meestal </w:t>
      </w:r>
      <w:r w:rsidRPr="006C150F">
        <w:rPr>
          <w:lang w:val="nl-NL"/>
        </w:rPr>
        <w:t>vrouwelijke</w:t>
      </w:r>
      <w:r w:rsidR="00791127">
        <w:rPr>
          <w:lang w:val="nl-NL"/>
        </w:rPr>
        <w:t xml:space="preserve"> –</w:t>
      </w:r>
      <w:r w:rsidR="0063541A">
        <w:rPr>
          <w:lang w:val="nl-NL"/>
        </w:rPr>
        <w:t xml:space="preserve"> </w:t>
      </w:r>
      <w:r w:rsidR="00791127">
        <w:rPr>
          <w:lang w:val="nl-NL"/>
        </w:rPr>
        <w:t>p</w:t>
      </w:r>
      <w:r w:rsidRPr="006C150F">
        <w:rPr>
          <w:lang w:val="nl-NL"/>
        </w:rPr>
        <w:t xml:space="preserve">artners van de ambtenaren en militairen die in 2015 niet meer in leven waren, </w:t>
      </w:r>
      <w:r w:rsidR="00791127">
        <w:rPr>
          <w:lang w:val="nl-NL"/>
        </w:rPr>
        <w:t xml:space="preserve">is blijvende </w:t>
      </w:r>
      <w:r w:rsidRPr="006C150F">
        <w:rPr>
          <w:lang w:val="nl-NL"/>
        </w:rPr>
        <w:t xml:space="preserve">onvrede </w:t>
      </w:r>
      <w:r w:rsidR="00791127">
        <w:rPr>
          <w:lang w:val="nl-NL"/>
        </w:rPr>
        <w:t xml:space="preserve">ontstaan </w:t>
      </w:r>
      <w:r w:rsidRPr="006C150F">
        <w:rPr>
          <w:lang w:val="nl-NL"/>
        </w:rPr>
        <w:t xml:space="preserve">binnen een deel van de Indische en Molukse gemeenschappen. Dit heeft zich vertaald in </w:t>
      </w:r>
      <w:r w:rsidR="009F58A4">
        <w:rPr>
          <w:lang w:val="nl-NL"/>
        </w:rPr>
        <w:t>meerdere</w:t>
      </w:r>
      <w:r w:rsidR="00AC1B13">
        <w:rPr>
          <w:lang w:val="nl-NL"/>
        </w:rPr>
        <w:t xml:space="preserve"> – zij </w:t>
      </w:r>
      <w:r w:rsidR="009F58A4">
        <w:rPr>
          <w:lang w:val="nl-NL"/>
        </w:rPr>
        <w:t>het niet aangenomen</w:t>
      </w:r>
      <w:r w:rsidR="00AC1B13">
        <w:rPr>
          <w:lang w:val="nl-NL"/>
        </w:rPr>
        <w:t xml:space="preserve"> – moties </w:t>
      </w:r>
      <w:r w:rsidR="009F58A4">
        <w:rPr>
          <w:lang w:val="nl-NL"/>
        </w:rPr>
        <w:t xml:space="preserve">vanuit de Tweede Kamer. De </w:t>
      </w:r>
      <w:r w:rsidR="00BB0B18">
        <w:rPr>
          <w:lang w:val="nl-NL"/>
        </w:rPr>
        <w:t xml:space="preserve">enige </w:t>
      </w:r>
      <w:r w:rsidR="0000294A">
        <w:rPr>
          <w:lang w:val="nl-NL"/>
        </w:rPr>
        <w:t xml:space="preserve">door de Tweede Kamer </w:t>
      </w:r>
      <w:r w:rsidR="005F3A0D">
        <w:rPr>
          <w:lang w:val="nl-NL"/>
        </w:rPr>
        <w:t xml:space="preserve">aangenomen </w:t>
      </w:r>
      <w:r w:rsidR="006A4C1E">
        <w:rPr>
          <w:lang w:val="nl-NL"/>
        </w:rPr>
        <w:t>motie</w:t>
      </w:r>
      <w:r w:rsidR="009F58A4">
        <w:rPr>
          <w:lang w:val="nl-NL"/>
        </w:rPr>
        <w:t xml:space="preserve"> betreft die </w:t>
      </w:r>
      <w:r w:rsidR="006A4C1E">
        <w:rPr>
          <w:lang w:val="nl-NL"/>
        </w:rPr>
        <w:t xml:space="preserve">van het Lid Van Gerven c.s. waarin het kabinet wordt opgeroepen te onderzoeken of een financiële regeling voor de weduwen haalbaar en </w:t>
      </w:r>
      <w:r w:rsidR="006A4C1E">
        <w:rPr>
          <w:lang w:val="nl-NL"/>
        </w:rPr>
        <w:lastRenderedPageBreak/>
        <w:t>uitvoerbaar is en, zo ja, op welke wijze dit kan worden vormgegeven.</w:t>
      </w:r>
      <w:r w:rsidR="006A4C1E">
        <w:rPr>
          <w:rStyle w:val="Voetnootmarkering"/>
          <w:szCs w:val="18"/>
          <w:lang w:val="nl-NL"/>
        </w:rPr>
        <w:footnoteReference w:id="2"/>
      </w:r>
      <w:r w:rsidR="006A4C1E">
        <w:rPr>
          <w:lang w:val="nl-NL"/>
        </w:rPr>
        <w:t xml:space="preserve"> </w:t>
      </w:r>
      <w:r w:rsidR="009F58A4">
        <w:rPr>
          <w:lang w:val="nl-NL"/>
        </w:rPr>
        <w:t xml:space="preserve">Deze motie heeft tot nader onderzoek geleid waarop hieronder nader wordt ingegaan. </w:t>
      </w:r>
      <w:r w:rsidR="005F3A0D">
        <w:rPr>
          <w:lang w:val="nl-NL"/>
        </w:rPr>
        <w:t xml:space="preserve">De blijvende </w:t>
      </w:r>
      <w:r w:rsidRPr="006C150F">
        <w:rPr>
          <w:lang w:val="nl-NL"/>
        </w:rPr>
        <w:t xml:space="preserve">roep uit de Tweede Kamer </w:t>
      </w:r>
      <w:r w:rsidR="009F58A4">
        <w:rPr>
          <w:lang w:val="nl-NL"/>
        </w:rPr>
        <w:t xml:space="preserve">om rechtsherstel </w:t>
      </w:r>
      <w:r w:rsidRPr="006C150F">
        <w:rPr>
          <w:lang w:val="nl-NL"/>
        </w:rPr>
        <w:t xml:space="preserve">heeft uiteindelijk geleid tot </w:t>
      </w:r>
      <w:r w:rsidR="00FD481E">
        <w:rPr>
          <w:lang w:val="nl-NL"/>
        </w:rPr>
        <w:t>e</w:t>
      </w:r>
      <w:r w:rsidRPr="006C150F">
        <w:rPr>
          <w:lang w:val="nl-NL"/>
        </w:rPr>
        <w:t xml:space="preserve">en eenmalige reservering </w:t>
      </w:r>
      <w:r w:rsidR="00FD481E">
        <w:rPr>
          <w:lang w:val="nl-NL"/>
        </w:rPr>
        <w:t xml:space="preserve">via </w:t>
      </w:r>
      <w:r w:rsidRPr="006C150F">
        <w:rPr>
          <w:lang w:val="nl-NL"/>
        </w:rPr>
        <w:t xml:space="preserve">de </w:t>
      </w:r>
      <w:r w:rsidR="00FD481E">
        <w:rPr>
          <w:lang w:val="nl-NL"/>
        </w:rPr>
        <w:t xml:space="preserve">Voorjaarsnota 2025 in de </w:t>
      </w:r>
      <w:r w:rsidRPr="006C150F">
        <w:rPr>
          <w:lang w:val="nl-NL"/>
        </w:rPr>
        <w:t xml:space="preserve">begroting van het Ministerie van Volksgezondheid, Welzijn en Sport ten behoeve van </w:t>
      </w:r>
      <w:r w:rsidR="00E13721">
        <w:rPr>
          <w:lang w:val="nl-NL"/>
        </w:rPr>
        <w:t>een “</w:t>
      </w:r>
      <w:proofErr w:type="spellStart"/>
      <w:r w:rsidR="00E13721">
        <w:rPr>
          <w:lang w:val="nl-NL"/>
        </w:rPr>
        <w:t>backpay</w:t>
      </w:r>
      <w:proofErr w:type="spellEnd"/>
      <w:r w:rsidR="00E13721">
        <w:rPr>
          <w:lang w:val="nl-NL"/>
        </w:rPr>
        <w:t xml:space="preserve"> voor weduwen van voormalig KNIL-militairen en ambtenaren in Nederlands-Indië”.</w:t>
      </w:r>
      <w:r w:rsidRPr="006C150F">
        <w:rPr>
          <w:rStyle w:val="Voetnootmarkering"/>
          <w:szCs w:val="18"/>
          <w:lang w:val="nl-NL"/>
        </w:rPr>
        <w:footnoteReference w:id="3"/>
      </w:r>
      <w:r w:rsidRPr="006C150F">
        <w:rPr>
          <w:lang w:val="nl-NL"/>
        </w:rPr>
        <w:t xml:space="preserve"> </w:t>
      </w:r>
      <w:r w:rsidR="00660AA2">
        <w:rPr>
          <w:lang w:val="nl-NL"/>
        </w:rPr>
        <w:t xml:space="preserve">Daarmee is het standpunt van eerdere kabinetten om geen </w:t>
      </w:r>
      <w:proofErr w:type="spellStart"/>
      <w:r w:rsidR="00660AA2">
        <w:rPr>
          <w:lang w:val="nl-NL"/>
        </w:rPr>
        <w:t>backpay</w:t>
      </w:r>
      <w:proofErr w:type="spellEnd"/>
      <w:r w:rsidR="00660AA2">
        <w:rPr>
          <w:lang w:val="nl-NL"/>
        </w:rPr>
        <w:t>-regeling voor weduwen in te stellen herzien.</w:t>
      </w:r>
      <w:r w:rsidR="00660AA2">
        <w:rPr>
          <w:rStyle w:val="Voetnootmarkering"/>
          <w:lang w:val="nl-NL"/>
        </w:rPr>
        <w:footnoteReference w:id="4"/>
      </w:r>
    </w:p>
    <w:p w:rsidR="00904393" w:rsidP="00DB47AC" w:rsidRDefault="00904393" w14:paraId="081AE0EA" w14:textId="77777777">
      <w:pPr>
        <w:pStyle w:val="Geenafstand"/>
        <w:rPr>
          <w:lang w:val="nl-NL"/>
        </w:rPr>
      </w:pPr>
    </w:p>
    <w:p w:rsidR="00904393" w:rsidP="00DB47AC" w:rsidRDefault="00904393" w14:paraId="6E66191F" w14:textId="4CE680A9">
      <w:pPr>
        <w:pStyle w:val="Geenafstand"/>
        <w:rPr>
          <w:lang w:val="nl-NL"/>
        </w:rPr>
      </w:pPr>
      <w:r>
        <w:rPr>
          <w:lang w:val="nl-NL"/>
        </w:rPr>
        <w:t xml:space="preserve">De reservering in de begroting ziet dus op weduwen. Deze beleidsregel strekt zich </w:t>
      </w:r>
      <w:r w:rsidR="00F34314">
        <w:rPr>
          <w:lang w:val="nl-NL"/>
        </w:rPr>
        <w:t xml:space="preserve">evenwel </w:t>
      </w:r>
      <w:r>
        <w:rPr>
          <w:lang w:val="nl-NL"/>
        </w:rPr>
        <w:t xml:space="preserve">ook uit tot weduwnaars. In deze toelichting zal niettemin soms alleen over ‘weduwen’ worden gesproken ten behoeve van de leesbaarheid. </w:t>
      </w:r>
    </w:p>
    <w:p w:rsidR="00E13721" w:rsidP="006C150F" w:rsidRDefault="00E13721" w14:paraId="32293406" w14:textId="77777777">
      <w:pPr>
        <w:spacing w:after="0"/>
        <w:rPr>
          <w:szCs w:val="18"/>
          <w:lang w:val="nl-NL"/>
        </w:rPr>
      </w:pPr>
    </w:p>
    <w:p w:rsidRPr="00E13721" w:rsidR="00E13721" w:rsidP="005725CB" w:rsidRDefault="00D30CCB" w14:paraId="392ED105" w14:textId="6972E488">
      <w:pPr>
        <w:pStyle w:val="Geenafstand"/>
        <w:rPr>
          <w:lang w:val="nl-NL"/>
        </w:rPr>
      </w:pPr>
      <w:r>
        <w:rPr>
          <w:lang w:val="nl-NL"/>
        </w:rPr>
        <w:t xml:space="preserve">4. </w:t>
      </w:r>
      <w:r w:rsidR="00E13721">
        <w:rPr>
          <w:lang w:val="nl-NL"/>
        </w:rPr>
        <w:t>Afwegingen bij de totstandkoming van de onderhavige beleidsregel</w:t>
      </w:r>
    </w:p>
    <w:p w:rsidR="00E13721" w:rsidP="005725CB" w:rsidRDefault="00E13721" w14:paraId="63513CD0" w14:textId="77777777">
      <w:pPr>
        <w:pStyle w:val="Geenafstand"/>
        <w:rPr>
          <w:lang w:val="nl-NL"/>
        </w:rPr>
      </w:pPr>
    </w:p>
    <w:p w:rsidR="00362F76" w:rsidP="005725CB" w:rsidRDefault="006A4C1E" w14:paraId="16A0B1E0" w14:textId="73128BDA">
      <w:pPr>
        <w:pStyle w:val="Geenafstand"/>
        <w:rPr>
          <w:lang w:val="nl-NL"/>
        </w:rPr>
      </w:pPr>
      <w:r>
        <w:rPr>
          <w:lang w:val="nl-NL"/>
        </w:rPr>
        <w:t xml:space="preserve">Ter uitvoering van voormelde </w:t>
      </w:r>
      <w:r w:rsidR="000B52B0">
        <w:rPr>
          <w:lang w:val="nl-NL"/>
        </w:rPr>
        <w:t xml:space="preserve">aangenomen </w:t>
      </w:r>
      <w:r>
        <w:rPr>
          <w:lang w:val="nl-NL"/>
        </w:rPr>
        <w:t xml:space="preserve">motie </w:t>
      </w:r>
      <w:r w:rsidR="00F913E8">
        <w:rPr>
          <w:lang w:val="nl-NL"/>
        </w:rPr>
        <w:t xml:space="preserve">is door </w:t>
      </w:r>
      <w:proofErr w:type="spellStart"/>
      <w:r w:rsidR="006E3318">
        <w:rPr>
          <w:lang w:val="nl-NL"/>
        </w:rPr>
        <w:t>Andersson</w:t>
      </w:r>
      <w:proofErr w:type="spellEnd"/>
      <w:r w:rsidR="006E3318">
        <w:rPr>
          <w:lang w:val="nl-NL"/>
        </w:rPr>
        <w:t xml:space="preserve"> </w:t>
      </w:r>
      <w:proofErr w:type="spellStart"/>
      <w:r w:rsidR="006E3318">
        <w:rPr>
          <w:lang w:val="nl-NL"/>
        </w:rPr>
        <w:t>Elffers</w:t>
      </w:r>
      <w:proofErr w:type="spellEnd"/>
      <w:r w:rsidR="006E3318">
        <w:rPr>
          <w:lang w:val="nl-NL"/>
        </w:rPr>
        <w:t xml:space="preserve"> Felix (AEF) onderzoek uitgevoerd naar de haalbaarheid en uitvoerbaarheid van </w:t>
      </w:r>
      <w:r w:rsidR="000B52B0">
        <w:rPr>
          <w:lang w:val="nl-NL"/>
        </w:rPr>
        <w:t xml:space="preserve">een </w:t>
      </w:r>
      <w:proofErr w:type="spellStart"/>
      <w:r w:rsidR="000B52B0">
        <w:rPr>
          <w:lang w:val="nl-NL"/>
        </w:rPr>
        <w:t>backpay</w:t>
      </w:r>
      <w:proofErr w:type="spellEnd"/>
      <w:r w:rsidR="000B52B0">
        <w:rPr>
          <w:lang w:val="nl-NL"/>
        </w:rPr>
        <w:t xml:space="preserve">-regeling voor weduwen en zijn </w:t>
      </w:r>
      <w:r w:rsidR="006E3318">
        <w:rPr>
          <w:lang w:val="nl-NL"/>
        </w:rPr>
        <w:t>verschillende scenario’s</w:t>
      </w:r>
      <w:r w:rsidR="000B52B0">
        <w:rPr>
          <w:lang w:val="nl-NL"/>
        </w:rPr>
        <w:t xml:space="preserve"> opgesteld</w:t>
      </w:r>
      <w:r w:rsidR="006E3318">
        <w:rPr>
          <w:lang w:val="nl-NL"/>
        </w:rPr>
        <w:t>.</w:t>
      </w:r>
      <w:r w:rsidR="00B15195">
        <w:rPr>
          <w:rStyle w:val="Voetnootmarkering"/>
          <w:szCs w:val="18"/>
          <w:lang w:val="nl-NL"/>
        </w:rPr>
        <w:footnoteReference w:id="5"/>
      </w:r>
      <w:r w:rsidR="00913007">
        <w:rPr>
          <w:lang w:val="nl-NL"/>
        </w:rPr>
        <w:t xml:space="preserve"> </w:t>
      </w:r>
      <w:r w:rsidR="000B52B0">
        <w:rPr>
          <w:lang w:val="nl-NL"/>
        </w:rPr>
        <w:t xml:space="preserve">Uit het onderzoek van AEF volgt dat </w:t>
      </w:r>
      <w:r w:rsidR="00276293">
        <w:rPr>
          <w:lang w:val="nl-NL"/>
        </w:rPr>
        <w:t>bepaalde</w:t>
      </w:r>
      <w:r w:rsidR="000B52B0">
        <w:rPr>
          <w:lang w:val="nl-NL"/>
        </w:rPr>
        <w:t xml:space="preserve"> scenario’s </w:t>
      </w:r>
      <w:r w:rsidR="00276293">
        <w:rPr>
          <w:lang w:val="nl-NL"/>
        </w:rPr>
        <w:t xml:space="preserve">en de uitvoerbaarheid van een regeling </w:t>
      </w:r>
      <w:r w:rsidR="000B52B0">
        <w:rPr>
          <w:lang w:val="nl-NL"/>
        </w:rPr>
        <w:t xml:space="preserve">op een aantal punten afhankelijk zijn van bepaalde ‘ontwerpkeuzes’, zoals: </w:t>
      </w:r>
    </w:p>
    <w:p w:rsidR="00362F76" w:rsidP="005725CB" w:rsidRDefault="00362F76" w14:paraId="2DD4AA5B" w14:textId="77777777">
      <w:pPr>
        <w:pStyle w:val="Geenafstand"/>
        <w:numPr>
          <w:ilvl w:val="0"/>
          <w:numId w:val="24"/>
        </w:numPr>
        <w:rPr>
          <w:lang w:val="nl-NL"/>
        </w:rPr>
      </w:pPr>
      <w:r>
        <w:rPr>
          <w:lang w:val="nl-NL"/>
        </w:rPr>
        <w:t>Peildatum waarop de weduwe getrouwd moest zijn met de ambtenaar of militair Nederlands Indisch Gouvernement;</w:t>
      </w:r>
    </w:p>
    <w:p w:rsidR="00362F76" w:rsidP="005725CB" w:rsidRDefault="00362F76" w14:paraId="52981F94" w14:textId="77777777">
      <w:pPr>
        <w:pStyle w:val="Geenafstand"/>
        <w:numPr>
          <w:ilvl w:val="0"/>
          <w:numId w:val="24"/>
        </w:numPr>
        <w:rPr>
          <w:lang w:val="nl-NL"/>
        </w:rPr>
      </w:pPr>
      <w:r>
        <w:rPr>
          <w:lang w:val="nl-NL"/>
        </w:rPr>
        <w:t>Peildatum waarop de weduwe in leven moet zijn (geweest);</w:t>
      </w:r>
    </w:p>
    <w:p w:rsidR="00DD5C18" w:rsidP="005725CB" w:rsidRDefault="00DD5C18" w14:paraId="6436379B" w14:textId="756DD939">
      <w:pPr>
        <w:pStyle w:val="Geenafstand"/>
        <w:numPr>
          <w:ilvl w:val="0"/>
          <w:numId w:val="24"/>
        </w:numPr>
        <w:rPr>
          <w:lang w:val="nl-NL"/>
        </w:rPr>
      </w:pPr>
      <w:r>
        <w:rPr>
          <w:lang w:val="nl-NL"/>
        </w:rPr>
        <w:t xml:space="preserve">Van welk land de weduwe ingezetene is; </w:t>
      </w:r>
    </w:p>
    <w:p w:rsidR="00DD5C18" w:rsidP="005725CB" w:rsidRDefault="00DD5C18" w14:paraId="658DFCDC" w14:textId="39D7C0D4">
      <w:pPr>
        <w:pStyle w:val="Geenafstand"/>
        <w:numPr>
          <w:ilvl w:val="0"/>
          <w:numId w:val="25"/>
        </w:numPr>
        <w:rPr>
          <w:lang w:val="nl-NL"/>
        </w:rPr>
      </w:pPr>
      <w:r>
        <w:rPr>
          <w:lang w:val="nl-NL"/>
        </w:rPr>
        <w:t xml:space="preserve">Wijze van toekenning uitkering (ambtshalve of op aanvraag). </w:t>
      </w:r>
    </w:p>
    <w:p w:rsidR="0063541A" w:rsidP="0063541A" w:rsidRDefault="0063541A" w14:paraId="7941F952" w14:textId="77777777">
      <w:pPr>
        <w:spacing w:after="0"/>
        <w:rPr>
          <w:szCs w:val="18"/>
          <w:lang w:val="nl-NL"/>
        </w:rPr>
      </w:pPr>
    </w:p>
    <w:p w:rsidR="0063541A" w:rsidP="005725CB" w:rsidRDefault="0063541A" w14:paraId="764FF116" w14:textId="22DD774A">
      <w:pPr>
        <w:pStyle w:val="Geenafstand"/>
        <w:rPr>
          <w:lang w:val="nl-NL"/>
        </w:rPr>
      </w:pPr>
      <w:r>
        <w:rPr>
          <w:lang w:val="nl-NL"/>
        </w:rPr>
        <w:t xml:space="preserve">Volgens AEF is een </w:t>
      </w:r>
      <w:proofErr w:type="spellStart"/>
      <w:r>
        <w:rPr>
          <w:lang w:val="nl-NL"/>
        </w:rPr>
        <w:t>backpay</w:t>
      </w:r>
      <w:proofErr w:type="spellEnd"/>
      <w:r>
        <w:rPr>
          <w:lang w:val="nl-NL"/>
        </w:rPr>
        <w:t xml:space="preserve">-regeling voor weduwen niet onmogelijk, maar wel </w:t>
      </w:r>
      <w:r w:rsidR="008F66A1">
        <w:rPr>
          <w:lang w:val="nl-NL"/>
        </w:rPr>
        <w:t>zeer</w:t>
      </w:r>
      <w:r>
        <w:rPr>
          <w:lang w:val="nl-NL"/>
        </w:rPr>
        <w:t xml:space="preserve"> complex </w:t>
      </w:r>
      <w:r w:rsidR="005B613B">
        <w:rPr>
          <w:lang w:val="nl-NL"/>
        </w:rPr>
        <w:t>en ook complexer dan de regeling uit 2015. Daarnaast</w:t>
      </w:r>
      <w:r>
        <w:rPr>
          <w:lang w:val="nl-NL"/>
        </w:rPr>
        <w:t xml:space="preserve"> zal </w:t>
      </w:r>
      <w:r w:rsidR="005B613B">
        <w:rPr>
          <w:lang w:val="nl-NL"/>
        </w:rPr>
        <w:t>een regeling</w:t>
      </w:r>
      <w:r>
        <w:rPr>
          <w:lang w:val="nl-NL"/>
        </w:rPr>
        <w:t xml:space="preserve"> altijd delen van de </w:t>
      </w:r>
      <w:r w:rsidR="008F66A1">
        <w:rPr>
          <w:lang w:val="nl-NL"/>
        </w:rPr>
        <w:t>Indische en Molukse gemeenschap</w:t>
      </w:r>
      <w:r>
        <w:rPr>
          <w:lang w:val="nl-NL"/>
        </w:rPr>
        <w:t xml:space="preserve"> teleurstellen. De regeling is onder meer om de volgende redenen zeer complex: </w:t>
      </w:r>
    </w:p>
    <w:p w:rsidRPr="0063541A" w:rsidR="0063541A" w:rsidP="005725CB" w:rsidRDefault="0063541A" w14:paraId="17A0BF8E" w14:textId="7ACA30C1">
      <w:pPr>
        <w:pStyle w:val="Geenafstand"/>
        <w:numPr>
          <w:ilvl w:val="0"/>
          <w:numId w:val="25"/>
        </w:numPr>
        <w:rPr>
          <w:lang w:val="nl-NL"/>
        </w:rPr>
      </w:pPr>
      <w:r w:rsidRPr="0063541A">
        <w:rPr>
          <w:lang w:val="nl-NL"/>
        </w:rPr>
        <w:t>De regeling zal meer werk per casus met zich mee brengen dan de regeling uit 2015, omdat er een extra stap in het proces is, namelijk de vaststelling of sprake is van een weduwe</w:t>
      </w:r>
      <w:r>
        <w:rPr>
          <w:lang w:val="nl-NL"/>
        </w:rPr>
        <w:t xml:space="preserve"> of weduwnaar</w:t>
      </w:r>
      <w:r w:rsidRPr="0063541A">
        <w:rPr>
          <w:lang w:val="nl-NL"/>
        </w:rPr>
        <w:t xml:space="preserve">. Er is geen archief of bestand beschikbaar op basis waarvan kan worden vastgesteld of iemand weduwe of weduwnaar is van een ambtenaar of militair </w:t>
      </w:r>
      <w:r w:rsidR="00E82457">
        <w:rPr>
          <w:lang w:val="nl-NL"/>
        </w:rPr>
        <w:t xml:space="preserve">in dienst </w:t>
      </w:r>
      <w:r w:rsidR="00AA34A9">
        <w:rPr>
          <w:lang w:val="nl-NL"/>
        </w:rPr>
        <w:t xml:space="preserve">was </w:t>
      </w:r>
      <w:r w:rsidR="00E82457">
        <w:rPr>
          <w:lang w:val="nl-NL"/>
        </w:rPr>
        <w:t xml:space="preserve">van het </w:t>
      </w:r>
      <w:r w:rsidRPr="0063541A">
        <w:rPr>
          <w:lang w:val="nl-NL"/>
        </w:rPr>
        <w:t>Nederlands-Indisch Gouvernement</w:t>
      </w:r>
      <w:r w:rsidR="00AA34A9">
        <w:rPr>
          <w:lang w:val="nl-NL"/>
        </w:rPr>
        <w:t xml:space="preserve"> ten tijde van de Japanse bezetting</w:t>
      </w:r>
      <w:r w:rsidRPr="00D60F88" w:rsidR="00AA34A9">
        <w:rPr>
          <w:lang w:val="nl-NL"/>
        </w:rPr>
        <w:t xml:space="preserve"> van Nederlands-Indië/Indonesië</w:t>
      </w:r>
      <w:r w:rsidRPr="0063541A">
        <w:rPr>
          <w:lang w:val="nl-NL"/>
        </w:rPr>
        <w:t xml:space="preserve">. Daardoor is het niet mogelijk om uitkeringen ambtshalve te verstrekken. De weduwen en weduwnaars dienen zelf een aanvraag in te dienen en informatie aan te leveren op basis waarvan kan worden geverifieerd of zij in aanmerking komen voor een </w:t>
      </w:r>
      <w:proofErr w:type="spellStart"/>
      <w:r w:rsidRPr="0063541A">
        <w:rPr>
          <w:lang w:val="nl-NL"/>
        </w:rPr>
        <w:t>backpay</w:t>
      </w:r>
      <w:proofErr w:type="spellEnd"/>
      <w:r w:rsidRPr="0063541A">
        <w:rPr>
          <w:lang w:val="nl-NL"/>
        </w:rPr>
        <w:t>-uitkering.</w:t>
      </w:r>
    </w:p>
    <w:p w:rsidR="0063541A" w:rsidP="005725CB" w:rsidRDefault="0063541A" w14:paraId="0CE17478" w14:textId="3059AB0A">
      <w:pPr>
        <w:pStyle w:val="Geenafstand"/>
        <w:numPr>
          <w:ilvl w:val="0"/>
          <w:numId w:val="25"/>
        </w:numPr>
        <w:rPr>
          <w:lang w:val="nl-NL"/>
        </w:rPr>
      </w:pPr>
      <w:r w:rsidRPr="00D60F88">
        <w:rPr>
          <w:lang w:val="nl-NL"/>
        </w:rPr>
        <w:t>Ruim 80 jaar na het einde van de Tweede Wereldoorlog</w:t>
      </w:r>
      <w:r>
        <w:rPr>
          <w:lang w:val="nl-NL"/>
        </w:rPr>
        <w:t xml:space="preserve"> is het</w:t>
      </w:r>
      <w:r w:rsidRPr="00D60F88">
        <w:rPr>
          <w:lang w:val="nl-NL"/>
        </w:rPr>
        <w:t xml:space="preserve"> zeer lastig om vast te stellen of de partner van een weduwe </w:t>
      </w:r>
      <w:r>
        <w:rPr>
          <w:lang w:val="nl-NL"/>
        </w:rPr>
        <w:t xml:space="preserve">of weduwnaar </w:t>
      </w:r>
      <w:r w:rsidRPr="00D60F88">
        <w:rPr>
          <w:lang w:val="nl-NL"/>
        </w:rPr>
        <w:t xml:space="preserve">ten tijde van de Japanse bezetting van Nederlands-Indië/Indonesië, in dienst was van het Nederlands-Indisch </w:t>
      </w:r>
      <w:r w:rsidR="008E3C75">
        <w:rPr>
          <w:lang w:val="nl-NL"/>
        </w:rPr>
        <w:t>G</w:t>
      </w:r>
      <w:r w:rsidRPr="00D60F88">
        <w:rPr>
          <w:lang w:val="nl-NL"/>
        </w:rPr>
        <w:t>ouvernement. Er is niet één archief of bestand op basis waarvan dit kan worden vastgesteld.</w:t>
      </w:r>
    </w:p>
    <w:p w:rsidRPr="005F4925" w:rsidR="0063541A" w:rsidP="005725CB" w:rsidRDefault="005F4925" w14:paraId="403DD6D1" w14:textId="0CD6803B">
      <w:pPr>
        <w:pStyle w:val="Geenafstand"/>
        <w:numPr>
          <w:ilvl w:val="0"/>
          <w:numId w:val="25"/>
        </w:numPr>
        <w:rPr>
          <w:lang w:val="nl-NL"/>
        </w:rPr>
      </w:pPr>
      <w:r w:rsidRPr="005F4925">
        <w:rPr>
          <w:lang w:val="nl-NL"/>
        </w:rPr>
        <w:t>Er zijn ongeveer 16 archieven waar informatie</w:t>
      </w:r>
      <w:r>
        <w:rPr>
          <w:lang w:val="nl-NL"/>
        </w:rPr>
        <w:t xml:space="preserve"> </w:t>
      </w:r>
      <w:r w:rsidRPr="005F4925" w:rsidR="0063541A">
        <w:rPr>
          <w:lang w:val="nl-NL"/>
        </w:rPr>
        <w:t xml:space="preserve">terug te vinden is over het dienstverband van een ambtenaar of militair bij het Nederlands-Indisch Gouvernement. </w:t>
      </w:r>
      <w:r w:rsidR="00DC7B36">
        <w:rPr>
          <w:lang w:val="nl-NL"/>
        </w:rPr>
        <w:t>Het is niet zo dat al die archieven bij elke aanvraag moeten worden geraadpleegd, maar het geeft wel een indicatie van de versnippering van informatie. Daarbij geldt dat e</w:t>
      </w:r>
      <w:r w:rsidRPr="005F4925" w:rsidR="0063541A">
        <w:rPr>
          <w:lang w:val="nl-NL"/>
        </w:rPr>
        <w:t xml:space="preserve">en deel van deze archieven niet digitaal raadpleegbaar </w:t>
      </w:r>
      <w:r w:rsidR="00DC7B36">
        <w:rPr>
          <w:lang w:val="nl-NL"/>
        </w:rPr>
        <w:t xml:space="preserve">is </w:t>
      </w:r>
      <w:r w:rsidRPr="005F4925" w:rsidR="0063541A">
        <w:rPr>
          <w:lang w:val="nl-NL"/>
        </w:rPr>
        <w:t xml:space="preserve">en dus handmatig </w:t>
      </w:r>
      <w:r w:rsidR="00DC7B36">
        <w:rPr>
          <w:lang w:val="nl-NL"/>
        </w:rPr>
        <w:t xml:space="preserve">moet </w:t>
      </w:r>
      <w:r w:rsidRPr="005F4925" w:rsidR="0063541A">
        <w:rPr>
          <w:lang w:val="nl-NL"/>
        </w:rPr>
        <w:t>worden geraadpleegd</w:t>
      </w:r>
      <w:r w:rsidR="00710D6A">
        <w:rPr>
          <w:lang w:val="nl-NL"/>
        </w:rPr>
        <w:t>.</w:t>
      </w:r>
      <w:r w:rsidRPr="005F4925" w:rsidR="0063541A">
        <w:rPr>
          <w:lang w:val="nl-NL"/>
        </w:rPr>
        <w:t xml:space="preserve"> </w:t>
      </w:r>
      <w:r w:rsidR="00DC7B36">
        <w:rPr>
          <w:lang w:val="nl-NL"/>
        </w:rPr>
        <w:t>Ook geldt dat</w:t>
      </w:r>
      <w:r w:rsidRPr="005F4925" w:rsidR="0063541A">
        <w:rPr>
          <w:lang w:val="nl-NL"/>
        </w:rPr>
        <w:t xml:space="preserve"> niet alle archieven compleet</w:t>
      </w:r>
      <w:r w:rsidR="00DC7B36">
        <w:rPr>
          <w:lang w:val="nl-NL"/>
        </w:rPr>
        <w:t xml:space="preserve"> zijn</w:t>
      </w:r>
      <w:r w:rsidRPr="005F4925" w:rsidR="0063541A">
        <w:rPr>
          <w:lang w:val="nl-NL"/>
        </w:rPr>
        <w:t>.</w:t>
      </w:r>
    </w:p>
    <w:p w:rsidR="0063541A" w:rsidP="005725CB" w:rsidRDefault="0063541A" w14:paraId="1F66E4BF" w14:textId="44E5CE1A">
      <w:pPr>
        <w:pStyle w:val="Geenafstand"/>
        <w:numPr>
          <w:ilvl w:val="0"/>
          <w:numId w:val="25"/>
        </w:numPr>
        <w:rPr>
          <w:lang w:val="nl-NL"/>
        </w:rPr>
      </w:pPr>
      <w:r>
        <w:rPr>
          <w:lang w:val="nl-NL"/>
        </w:rPr>
        <w:t>D</w:t>
      </w:r>
      <w:r w:rsidRPr="00D60F88">
        <w:rPr>
          <w:lang w:val="nl-NL"/>
        </w:rPr>
        <w:t xml:space="preserve">e complexiteit van het (internationale) erfrecht </w:t>
      </w:r>
      <w:r>
        <w:rPr>
          <w:lang w:val="nl-NL"/>
        </w:rPr>
        <w:t xml:space="preserve">is een complicerende factor </w:t>
      </w:r>
      <w:r w:rsidRPr="00D60F88">
        <w:rPr>
          <w:lang w:val="nl-NL"/>
        </w:rPr>
        <w:t xml:space="preserve">als de regeling ook </w:t>
      </w:r>
      <w:r>
        <w:rPr>
          <w:lang w:val="nl-NL"/>
        </w:rPr>
        <w:t xml:space="preserve">(deels) </w:t>
      </w:r>
      <w:r w:rsidRPr="00D60F88">
        <w:rPr>
          <w:lang w:val="nl-NL"/>
        </w:rPr>
        <w:t xml:space="preserve">bestemd </w:t>
      </w:r>
      <w:r w:rsidR="00B273E5">
        <w:rPr>
          <w:lang w:val="nl-NL"/>
        </w:rPr>
        <w:t>zal zijn</w:t>
      </w:r>
      <w:r w:rsidRPr="00D60F88">
        <w:rPr>
          <w:lang w:val="nl-NL"/>
        </w:rPr>
        <w:t xml:space="preserve"> voor kinderen of andere erfgenamen van de ambtenaren, militairen</w:t>
      </w:r>
      <w:r>
        <w:rPr>
          <w:lang w:val="nl-NL"/>
        </w:rPr>
        <w:t xml:space="preserve">, </w:t>
      </w:r>
      <w:r w:rsidRPr="00D60F88">
        <w:rPr>
          <w:lang w:val="nl-NL"/>
        </w:rPr>
        <w:t>weduwen</w:t>
      </w:r>
      <w:r>
        <w:rPr>
          <w:lang w:val="nl-NL"/>
        </w:rPr>
        <w:t xml:space="preserve"> of weduwnaars</w:t>
      </w:r>
      <w:r w:rsidRPr="00D60F88">
        <w:rPr>
          <w:lang w:val="nl-NL"/>
        </w:rPr>
        <w:t>.</w:t>
      </w:r>
    </w:p>
    <w:p w:rsidR="0063541A" w:rsidP="005725CB" w:rsidRDefault="00C5542C" w14:paraId="49623E8A" w14:textId="11034E15">
      <w:pPr>
        <w:pStyle w:val="Geenafstand"/>
        <w:numPr>
          <w:ilvl w:val="0"/>
          <w:numId w:val="25"/>
        </w:numPr>
        <w:rPr>
          <w:lang w:val="nl-NL"/>
        </w:rPr>
      </w:pPr>
      <w:r>
        <w:rPr>
          <w:lang w:val="nl-NL"/>
        </w:rPr>
        <w:t>Indien niet op voorhand d</w:t>
      </w:r>
      <w:r w:rsidRPr="00D60F88" w:rsidR="0063541A">
        <w:rPr>
          <w:lang w:val="nl-NL"/>
        </w:rPr>
        <w:t xml:space="preserve">e omvang van de doelgroep </w:t>
      </w:r>
      <w:r>
        <w:rPr>
          <w:lang w:val="nl-NL"/>
        </w:rPr>
        <w:t xml:space="preserve">goed in beeld kan worden gebracht, </w:t>
      </w:r>
      <w:r w:rsidR="0063541A">
        <w:rPr>
          <w:lang w:val="nl-NL"/>
        </w:rPr>
        <w:t xml:space="preserve">kan </w:t>
      </w:r>
      <w:r>
        <w:rPr>
          <w:lang w:val="nl-NL"/>
        </w:rPr>
        <w:t xml:space="preserve">dit </w:t>
      </w:r>
      <w:r w:rsidR="0063541A">
        <w:rPr>
          <w:lang w:val="nl-NL"/>
        </w:rPr>
        <w:t>de complexiteit van de uitvoering van de regeling vergroten.</w:t>
      </w:r>
    </w:p>
    <w:p w:rsidR="0063541A" w:rsidP="005725CB" w:rsidRDefault="0014713B" w14:paraId="59061517" w14:textId="72CC1D8C">
      <w:pPr>
        <w:pStyle w:val="Geenafstand"/>
        <w:numPr>
          <w:ilvl w:val="0"/>
          <w:numId w:val="25"/>
        </w:numPr>
        <w:rPr>
          <w:lang w:val="nl-NL"/>
        </w:rPr>
      </w:pPr>
      <w:r>
        <w:rPr>
          <w:lang w:val="nl-NL"/>
        </w:rPr>
        <w:t xml:space="preserve">Bij elke scenario moet er rekening mee worden gehouden dat er geen </w:t>
      </w:r>
      <w:r w:rsidRPr="00A46740" w:rsidR="0063541A">
        <w:rPr>
          <w:lang w:val="nl-NL"/>
        </w:rPr>
        <w:t xml:space="preserve">breed draagvlak voor </w:t>
      </w:r>
      <w:r>
        <w:rPr>
          <w:lang w:val="nl-NL"/>
        </w:rPr>
        <w:t xml:space="preserve">een </w:t>
      </w:r>
      <w:r w:rsidRPr="00A46740" w:rsidR="0063541A">
        <w:rPr>
          <w:lang w:val="nl-NL"/>
        </w:rPr>
        <w:t xml:space="preserve">regeling </w:t>
      </w:r>
      <w:r>
        <w:rPr>
          <w:lang w:val="nl-NL"/>
        </w:rPr>
        <w:t xml:space="preserve">is </w:t>
      </w:r>
      <w:r w:rsidRPr="00A46740" w:rsidR="0063541A">
        <w:rPr>
          <w:lang w:val="nl-NL"/>
        </w:rPr>
        <w:t xml:space="preserve">binnen de Indische en Molukse gemeenschappen. </w:t>
      </w:r>
      <w:r>
        <w:rPr>
          <w:lang w:val="nl-NL"/>
        </w:rPr>
        <w:t>Bij</w:t>
      </w:r>
      <w:r w:rsidRPr="00A46740" w:rsidR="0063541A">
        <w:rPr>
          <w:lang w:val="nl-NL"/>
        </w:rPr>
        <w:t xml:space="preserve"> gebrek aan draagvlak bestaat het risico dat er uit protest aanvragen, bezwaar- en beroepschriften worden ingediend. Dit </w:t>
      </w:r>
      <w:r w:rsidR="0063541A">
        <w:rPr>
          <w:lang w:val="nl-NL"/>
        </w:rPr>
        <w:t xml:space="preserve">zal, net als </w:t>
      </w:r>
      <w:r w:rsidRPr="00A46740" w:rsidR="0063541A">
        <w:rPr>
          <w:lang w:val="nl-NL"/>
        </w:rPr>
        <w:t xml:space="preserve">bij de uitvoering van de Uitkeringsregeling </w:t>
      </w:r>
      <w:proofErr w:type="spellStart"/>
      <w:r w:rsidRPr="00A46740" w:rsidR="0063541A">
        <w:rPr>
          <w:lang w:val="nl-NL"/>
        </w:rPr>
        <w:t>Backpay</w:t>
      </w:r>
      <w:proofErr w:type="spellEnd"/>
      <w:r w:rsidR="00B273E5">
        <w:rPr>
          <w:lang w:val="nl-NL"/>
        </w:rPr>
        <w:t xml:space="preserve"> in 2015</w:t>
      </w:r>
      <w:r w:rsidR="0063541A">
        <w:rPr>
          <w:lang w:val="nl-NL"/>
        </w:rPr>
        <w:t>,</w:t>
      </w:r>
      <w:r w:rsidRPr="00A46740" w:rsidR="0063541A">
        <w:rPr>
          <w:lang w:val="nl-NL"/>
        </w:rPr>
        <w:t xml:space="preserve"> </w:t>
      </w:r>
      <w:r w:rsidR="00B273E5">
        <w:rPr>
          <w:lang w:val="nl-NL"/>
        </w:rPr>
        <w:t xml:space="preserve">extra </w:t>
      </w:r>
      <w:r w:rsidRPr="00A46740" w:rsidR="0063541A">
        <w:rPr>
          <w:lang w:val="nl-NL"/>
        </w:rPr>
        <w:t>juridische capaciteit</w:t>
      </w:r>
      <w:r w:rsidR="0063541A">
        <w:rPr>
          <w:lang w:val="nl-NL"/>
        </w:rPr>
        <w:t xml:space="preserve"> vergen</w:t>
      </w:r>
      <w:r w:rsidRPr="00A46740" w:rsidR="0063541A">
        <w:rPr>
          <w:lang w:val="nl-NL"/>
        </w:rPr>
        <w:t>.</w:t>
      </w:r>
    </w:p>
    <w:p w:rsidR="0063541A" w:rsidP="005725CB" w:rsidRDefault="0063541A" w14:paraId="5963EED7" w14:textId="77777777">
      <w:pPr>
        <w:pStyle w:val="Geenafstand"/>
        <w:rPr>
          <w:lang w:val="nl-NL"/>
        </w:rPr>
      </w:pPr>
    </w:p>
    <w:p w:rsidR="000A4633" w:rsidP="000300A3" w:rsidRDefault="00EE67EF" w14:paraId="4FCBF769" w14:textId="7F9A7029">
      <w:pPr>
        <w:pStyle w:val="Geenafstand"/>
        <w:rPr>
          <w:lang w:val="nl-NL"/>
        </w:rPr>
      </w:pPr>
      <w:r>
        <w:rPr>
          <w:lang w:val="nl-NL"/>
        </w:rPr>
        <w:t xml:space="preserve">Naast het onderzoek door AEF </w:t>
      </w:r>
      <w:r w:rsidR="00D2595F">
        <w:rPr>
          <w:lang w:val="nl-NL"/>
        </w:rPr>
        <w:t xml:space="preserve">is </w:t>
      </w:r>
      <w:r w:rsidR="007114CA">
        <w:rPr>
          <w:lang w:val="nl-NL"/>
        </w:rPr>
        <w:t xml:space="preserve">tevens een </w:t>
      </w:r>
      <w:proofErr w:type="spellStart"/>
      <w:r w:rsidRPr="002E0DD5" w:rsidR="00FC0514">
        <w:rPr>
          <w:lang w:val="nl-NL"/>
        </w:rPr>
        <w:t>quickscan</w:t>
      </w:r>
      <w:proofErr w:type="spellEnd"/>
      <w:r w:rsidR="000A1DEE">
        <w:rPr>
          <w:rStyle w:val="Voetnootmarkering"/>
          <w:szCs w:val="18"/>
          <w:lang w:val="nl-NL"/>
        </w:rPr>
        <w:footnoteReference w:id="6"/>
      </w:r>
      <w:r w:rsidRPr="002E0DD5" w:rsidR="00FC0514">
        <w:rPr>
          <w:lang w:val="nl-NL"/>
        </w:rPr>
        <w:t xml:space="preserve"> </w:t>
      </w:r>
      <w:r w:rsidR="00D10DC3">
        <w:rPr>
          <w:lang w:val="nl-NL"/>
        </w:rPr>
        <w:t xml:space="preserve">uitgevoerd </w:t>
      </w:r>
      <w:r w:rsidR="007114CA">
        <w:rPr>
          <w:lang w:val="nl-NL"/>
        </w:rPr>
        <w:t xml:space="preserve">door </w:t>
      </w:r>
      <w:r w:rsidRPr="002E0DD5" w:rsidR="00FC0514">
        <w:rPr>
          <w:lang w:val="nl-NL"/>
        </w:rPr>
        <w:t>de Sociale Verzekeringsbank (SVB)</w:t>
      </w:r>
      <w:r w:rsidR="00D10DC3">
        <w:rPr>
          <w:lang w:val="nl-NL"/>
        </w:rPr>
        <w:t xml:space="preserve"> als beoogd uitvoerder van de beleidsregel</w:t>
      </w:r>
      <w:r w:rsidR="007114CA">
        <w:rPr>
          <w:lang w:val="nl-NL"/>
        </w:rPr>
        <w:t xml:space="preserve">. </w:t>
      </w:r>
      <w:r w:rsidR="00FC0514">
        <w:rPr>
          <w:lang w:val="nl-NL"/>
        </w:rPr>
        <w:t xml:space="preserve">In de </w:t>
      </w:r>
      <w:proofErr w:type="spellStart"/>
      <w:r w:rsidR="00FC0514">
        <w:rPr>
          <w:lang w:val="nl-NL"/>
        </w:rPr>
        <w:t>quickscan</w:t>
      </w:r>
      <w:proofErr w:type="spellEnd"/>
      <w:r w:rsidR="00FC0514">
        <w:rPr>
          <w:lang w:val="nl-NL"/>
        </w:rPr>
        <w:t xml:space="preserve"> </w:t>
      </w:r>
      <w:r w:rsidR="00D2595F">
        <w:rPr>
          <w:lang w:val="nl-NL"/>
        </w:rPr>
        <w:t xml:space="preserve">geeft de SVB aan </w:t>
      </w:r>
      <w:r w:rsidRPr="007114CA" w:rsidR="007114CA">
        <w:rPr>
          <w:lang w:val="nl-NL"/>
        </w:rPr>
        <w:t>dat het draagvlak onder Indische en Molukse organisaties een van de belangrijkste randvoorwaarden is voor een goede uitvoering van de regeling. Tegelijkertijd dient de regeling eenvoudig uitvoerbaar te zijn</w:t>
      </w:r>
      <w:r w:rsidRPr="7196B987" w:rsidR="000A4633">
        <w:rPr>
          <w:lang w:val="nl-NL"/>
        </w:rPr>
        <w:t xml:space="preserve">. </w:t>
      </w:r>
    </w:p>
    <w:p w:rsidR="00D2595F" w:rsidP="00B15195" w:rsidRDefault="00D2595F" w14:paraId="01A8F82D" w14:textId="77777777">
      <w:pPr>
        <w:spacing w:after="0"/>
        <w:rPr>
          <w:szCs w:val="18"/>
          <w:lang w:val="nl-NL"/>
        </w:rPr>
      </w:pPr>
    </w:p>
    <w:p w:rsidR="00D30CCB" w:rsidP="000300A3" w:rsidRDefault="00931D17" w14:paraId="1DD56CB1" w14:textId="10C4B1A9">
      <w:pPr>
        <w:pStyle w:val="Geenafstand"/>
        <w:rPr>
          <w:lang w:val="nl-NL"/>
        </w:rPr>
      </w:pPr>
      <w:r>
        <w:rPr>
          <w:lang w:val="nl-NL"/>
        </w:rPr>
        <w:t xml:space="preserve">Bij de totstandkoming van de onderhavige beleidsregel is getracht om </w:t>
      </w:r>
      <w:r w:rsidR="00D30CCB">
        <w:rPr>
          <w:lang w:val="nl-NL"/>
        </w:rPr>
        <w:t>een b</w:t>
      </w:r>
      <w:r w:rsidR="006716FB">
        <w:rPr>
          <w:lang w:val="nl-NL"/>
        </w:rPr>
        <w:t xml:space="preserve">alans te vinden tussen een uitvoerbare </w:t>
      </w:r>
      <w:r w:rsidR="00AC1B13">
        <w:rPr>
          <w:lang w:val="nl-NL"/>
        </w:rPr>
        <w:t xml:space="preserve">en </w:t>
      </w:r>
      <w:r w:rsidR="00FC32CF">
        <w:rPr>
          <w:lang w:val="nl-NL"/>
        </w:rPr>
        <w:t xml:space="preserve">financieel </w:t>
      </w:r>
      <w:r w:rsidR="00AC1B13">
        <w:rPr>
          <w:lang w:val="nl-NL"/>
        </w:rPr>
        <w:t xml:space="preserve">haalbare </w:t>
      </w:r>
      <w:r w:rsidR="006716FB">
        <w:rPr>
          <w:lang w:val="nl-NL"/>
        </w:rPr>
        <w:t xml:space="preserve">regeling en </w:t>
      </w:r>
      <w:r>
        <w:rPr>
          <w:lang w:val="nl-NL"/>
        </w:rPr>
        <w:t xml:space="preserve">een regeling die kan rekenen op </w:t>
      </w:r>
      <w:r w:rsidR="006716FB">
        <w:rPr>
          <w:lang w:val="nl-NL"/>
        </w:rPr>
        <w:t>draagvlak</w:t>
      </w:r>
      <w:r>
        <w:rPr>
          <w:lang w:val="nl-NL"/>
        </w:rPr>
        <w:t xml:space="preserve">. </w:t>
      </w:r>
      <w:r w:rsidR="00BB5FC5">
        <w:rPr>
          <w:lang w:val="nl-NL"/>
        </w:rPr>
        <w:t>Een regeling die op het meeste draagvlak zal kunnen rekenen</w:t>
      </w:r>
      <w:r w:rsidR="00FC32CF">
        <w:rPr>
          <w:lang w:val="nl-NL"/>
        </w:rPr>
        <w:t>,</w:t>
      </w:r>
      <w:r w:rsidR="00BB5FC5">
        <w:rPr>
          <w:lang w:val="nl-NL"/>
        </w:rPr>
        <w:t xml:space="preserve"> behelst een regeling die voorziet in een </w:t>
      </w:r>
      <w:bookmarkStart w:name="_Hlk222240523" w:id="0"/>
      <w:proofErr w:type="spellStart"/>
      <w:r w:rsidRPr="00117C76" w:rsidR="00D30CCB">
        <w:rPr>
          <w:lang w:val="nl-NL"/>
        </w:rPr>
        <w:t>backpay</w:t>
      </w:r>
      <w:proofErr w:type="spellEnd"/>
      <w:r w:rsidRPr="00117C76" w:rsidR="00D30CCB">
        <w:rPr>
          <w:lang w:val="nl-NL"/>
        </w:rPr>
        <w:t>-</w:t>
      </w:r>
      <w:r w:rsidR="00D30CCB">
        <w:rPr>
          <w:lang w:val="nl-NL"/>
        </w:rPr>
        <w:t>uitkering</w:t>
      </w:r>
      <w:r w:rsidRPr="00117C76" w:rsidR="00D30CCB">
        <w:rPr>
          <w:lang w:val="nl-NL"/>
        </w:rPr>
        <w:t xml:space="preserve"> voor alle erfgenamen van de naar schatting 80.000-85.000 ambtenaren en militairen </w:t>
      </w:r>
      <w:r w:rsidR="00FF6E8D">
        <w:rPr>
          <w:lang w:val="nl-NL"/>
        </w:rPr>
        <w:t xml:space="preserve">die in dienst waren van het </w:t>
      </w:r>
      <w:r w:rsidRPr="00117C76" w:rsidR="00D30CCB">
        <w:rPr>
          <w:lang w:val="nl-NL"/>
        </w:rPr>
        <w:t>Nederlands-Indisch Gouvernement</w:t>
      </w:r>
      <w:bookmarkEnd w:id="0"/>
      <w:r w:rsidR="00BB5FC5">
        <w:rPr>
          <w:lang w:val="nl-NL"/>
        </w:rPr>
        <w:t xml:space="preserve">. </w:t>
      </w:r>
      <w:r w:rsidR="003B7D75">
        <w:rPr>
          <w:lang w:val="nl-NL"/>
        </w:rPr>
        <w:t>Alle erfgenamen zou</w:t>
      </w:r>
      <w:r w:rsidR="00B3230B">
        <w:rPr>
          <w:lang w:val="nl-NL"/>
        </w:rPr>
        <w:t>den</w:t>
      </w:r>
      <w:r w:rsidR="003B7D75">
        <w:rPr>
          <w:lang w:val="nl-NL"/>
        </w:rPr>
        <w:t xml:space="preserve"> zowel </w:t>
      </w:r>
      <w:r w:rsidR="00B3230B">
        <w:rPr>
          <w:lang w:val="nl-NL"/>
        </w:rPr>
        <w:t xml:space="preserve">de </w:t>
      </w:r>
      <w:r w:rsidR="003B7D75">
        <w:rPr>
          <w:lang w:val="nl-NL"/>
        </w:rPr>
        <w:t xml:space="preserve">weduwen en weduwnaars als </w:t>
      </w:r>
      <w:r w:rsidR="00B3230B">
        <w:rPr>
          <w:lang w:val="nl-NL"/>
        </w:rPr>
        <w:t xml:space="preserve">de </w:t>
      </w:r>
      <w:r w:rsidR="003B7D75">
        <w:rPr>
          <w:lang w:val="nl-NL"/>
        </w:rPr>
        <w:t xml:space="preserve">kinderen </w:t>
      </w:r>
      <w:r w:rsidR="00B3230B">
        <w:rPr>
          <w:lang w:val="nl-NL"/>
        </w:rPr>
        <w:t xml:space="preserve">van de ambtenaren en militairen </w:t>
      </w:r>
      <w:r w:rsidR="003B7D75">
        <w:rPr>
          <w:lang w:val="nl-NL"/>
        </w:rPr>
        <w:t xml:space="preserve">omvatten. </w:t>
      </w:r>
      <w:r w:rsidR="00BB5FC5">
        <w:rPr>
          <w:lang w:val="nl-NL"/>
        </w:rPr>
        <w:t>Een dergelijk regeling</w:t>
      </w:r>
      <w:r w:rsidRPr="00117C76" w:rsidR="00D30CCB">
        <w:rPr>
          <w:lang w:val="nl-NL"/>
        </w:rPr>
        <w:t xml:space="preserve"> is </w:t>
      </w:r>
      <w:r w:rsidR="00BB5FC5">
        <w:rPr>
          <w:lang w:val="nl-NL"/>
        </w:rPr>
        <w:t xml:space="preserve">echter </w:t>
      </w:r>
      <w:r w:rsidR="00D30CCB">
        <w:rPr>
          <w:lang w:val="nl-NL"/>
        </w:rPr>
        <w:t xml:space="preserve">financieel </w:t>
      </w:r>
      <w:r w:rsidRPr="00117C76" w:rsidR="00C52FF1">
        <w:rPr>
          <w:lang w:val="nl-NL"/>
        </w:rPr>
        <w:t xml:space="preserve">niet </w:t>
      </w:r>
      <w:r w:rsidRPr="00117C76" w:rsidR="00D30CCB">
        <w:rPr>
          <w:lang w:val="nl-NL"/>
        </w:rPr>
        <w:t xml:space="preserve">haalbaar. Een dergelijke </w:t>
      </w:r>
      <w:r w:rsidR="0050438A">
        <w:rPr>
          <w:lang w:val="nl-NL"/>
        </w:rPr>
        <w:t>regeling</w:t>
      </w:r>
      <w:r w:rsidRPr="00117C76" w:rsidR="00D30CCB">
        <w:rPr>
          <w:lang w:val="nl-NL"/>
        </w:rPr>
        <w:t xml:space="preserve"> zou </w:t>
      </w:r>
      <w:r w:rsidR="00FF6E8D">
        <w:rPr>
          <w:lang w:val="nl-NL"/>
        </w:rPr>
        <w:t xml:space="preserve">namelijk </w:t>
      </w:r>
      <w:r w:rsidRPr="00117C76" w:rsidR="00D30CCB">
        <w:rPr>
          <w:lang w:val="nl-NL"/>
        </w:rPr>
        <w:t xml:space="preserve">meer dan 2 miljard euro kosten (uitgaande van 80.000-85.000 uitkeringen van netto €25.000). </w:t>
      </w:r>
    </w:p>
    <w:p w:rsidR="00D30CCB" w:rsidP="00D30CCB" w:rsidRDefault="00D30CCB" w14:paraId="1FB780A5" w14:textId="77777777">
      <w:pPr>
        <w:spacing w:after="0"/>
        <w:rPr>
          <w:szCs w:val="18"/>
          <w:lang w:val="nl-NL"/>
        </w:rPr>
      </w:pPr>
    </w:p>
    <w:p w:rsidR="00D30CCB" w:rsidP="000300A3" w:rsidRDefault="00D30CCB" w14:paraId="5DCEF236" w14:textId="73F8E6BA">
      <w:pPr>
        <w:pStyle w:val="Geenafstand"/>
        <w:rPr>
          <w:lang w:val="nl-NL"/>
        </w:rPr>
      </w:pPr>
      <w:r w:rsidRPr="006A5A79">
        <w:rPr>
          <w:lang w:val="nl-NL"/>
        </w:rPr>
        <w:t xml:space="preserve">Een </w:t>
      </w:r>
      <w:proofErr w:type="spellStart"/>
      <w:r w:rsidRPr="006A5A79">
        <w:rPr>
          <w:lang w:val="nl-NL"/>
        </w:rPr>
        <w:t>backpay</w:t>
      </w:r>
      <w:proofErr w:type="spellEnd"/>
      <w:r w:rsidRPr="006A5A79">
        <w:rPr>
          <w:lang w:val="nl-NL"/>
        </w:rPr>
        <w:t>-uitkering voor de naar schatting 1</w:t>
      </w:r>
      <w:r w:rsidR="004B1801">
        <w:rPr>
          <w:lang w:val="nl-NL"/>
        </w:rPr>
        <w:t>.</w:t>
      </w:r>
      <w:r w:rsidRPr="006A5A79">
        <w:rPr>
          <w:lang w:val="nl-NL"/>
        </w:rPr>
        <w:t xml:space="preserve">700 weduwen en weduwnaars die op 15 augustus 2015 nog in leven waren </w:t>
      </w:r>
      <w:r w:rsidR="0070304F">
        <w:rPr>
          <w:lang w:val="nl-NL"/>
        </w:rPr>
        <w:t>(</w:t>
      </w:r>
      <w:r w:rsidRPr="006A5A79">
        <w:rPr>
          <w:lang w:val="nl-NL"/>
        </w:rPr>
        <w:t xml:space="preserve">de peildatum van de “Uitkeringsregeling </w:t>
      </w:r>
      <w:proofErr w:type="spellStart"/>
      <w:r w:rsidRPr="006A5A79">
        <w:rPr>
          <w:lang w:val="nl-NL"/>
        </w:rPr>
        <w:t>Backpay</w:t>
      </w:r>
      <w:proofErr w:type="spellEnd"/>
      <w:r w:rsidRPr="006A5A79">
        <w:rPr>
          <w:lang w:val="nl-NL"/>
        </w:rPr>
        <w:t>”</w:t>
      </w:r>
      <w:r w:rsidR="0070304F">
        <w:rPr>
          <w:lang w:val="nl-NL"/>
        </w:rPr>
        <w:t>)</w:t>
      </w:r>
      <w:r w:rsidR="00BB5FC5">
        <w:rPr>
          <w:lang w:val="nl-NL"/>
        </w:rPr>
        <w:t xml:space="preserve">, </w:t>
      </w:r>
      <w:r w:rsidRPr="006A5A79">
        <w:rPr>
          <w:lang w:val="nl-NL"/>
        </w:rPr>
        <w:t xml:space="preserve">zou </w:t>
      </w:r>
      <w:r w:rsidR="00D848B0">
        <w:rPr>
          <w:lang w:val="nl-NL"/>
        </w:rPr>
        <w:t>in de praktijk neerkomen op</w:t>
      </w:r>
      <w:r w:rsidR="00BB5FC5">
        <w:rPr>
          <w:lang w:val="nl-NL"/>
        </w:rPr>
        <w:t xml:space="preserve"> een regeling die </w:t>
      </w:r>
      <w:r w:rsidR="00D848B0">
        <w:rPr>
          <w:lang w:val="nl-NL"/>
        </w:rPr>
        <w:t>voornamelijk</w:t>
      </w:r>
      <w:r w:rsidR="00BB5FC5">
        <w:rPr>
          <w:lang w:val="nl-NL"/>
        </w:rPr>
        <w:t xml:space="preserve"> </w:t>
      </w:r>
      <w:r w:rsidR="00D848B0">
        <w:rPr>
          <w:lang w:val="nl-NL"/>
        </w:rPr>
        <w:t>ge</w:t>
      </w:r>
      <w:r w:rsidRPr="006A5A79">
        <w:rPr>
          <w:lang w:val="nl-NL"/>
        </w:rPr>
        <w:t xml:space="preserve">richt </w:t>
      </w:r>
      <w:r w:rsidR="00D848B0">
        <w:rPr>
          <w:lang w:val="nl-NL"/>
        </w:rPr>
        <w:t xml:space="preserve">is </w:t>
      </w:r>
      <w:r w:rsidRPr="006A5A79">
        <w:rPr>
          <w:lang w:val="nl-NL"/>
        </w:rPr>
        <w:t xml:space="preserve">op de erfgenamen </w:t>
      </w:r>
      <w:r w:rsidR="00D848B0">
        <w:rPr>
          <w:lang w:val="nl-NL"/>
        </w:rPr>
        <w:t xml:space="preserve">(veelal de kinderen) </w:t>
      </w:r>
      <w:r w:rsidRPr="006A5A79">
        <w:rPr>
          <w:lang w:val="nl-NL"/>
        </w:rPr>
        <w:t xml:space="preserve">van de weduwen en weduwnaars. </w:t>
      </w:r>
      <w:r w:rsidR="00501123">
        <w:rPr>
          <w:lang w:val="nl-NL"/>
        </w:rPr>
        <w:t>D</w:t>
      </w:r>
      <w:r w:rsidR="0070139E">
        <w:rPr>
          <w:lang w:val="nl-NL"/>
        </w:rPr>
        <w:t xml:space="preserve">e complexiteit van het </w:t>
      </w:r>
      <w:r w:rsidR="00501123">
        <w:rPr>
          <w:lang w:val="nl-NL"/>
        </w:rPr>
        <w:t xml:space="preserve">(internationale) </w:t>
      </w:r>
      <w:r w:rsidR="0070139E">
        <w:rPr>
          <w:lang w:val="nl-NL"/>
        </w:rPr>
        <w:t xml:space="preserve">erfrecht </w:t>
      </w:r>
      <w:r w:rsidR="00501123">
        <w:rPr>
          <w:lang w:val="nl-NL"/>
        </w:rPr>
        <w:t>en het feit dat op voorhand niet bekend zal zijn wat de omvang van de doelgroep is, vormen complicerende factoren voor de uitvoerbaarheid van een dergelijke regeling.</w:t>
      </w:r>
      <w:r w:rsidR="00C52FF1">
        <w:rPr>
          <w:lang w:val="nl-NL"/>
        </w:rPr>
        <w:t xml:space="preserve"> Het erfrecht en de omvang van de doelgroep maken de uitvoering van een dergelijke regeling complex en daarom (financieel) niet haalbaar.</w:t>
      </w:r>
      <w:r w:rsidR="00501123">
        <w:rPr>
          <w:lang w:val="nl-NL"/>
        </w:rPr>
        <w:t xml:space="preserve"> Daarnaast geldt dat een regeling </w:t>
      </w:r>
      <w:r w:rsidR="00DA3F6B">
        <w:rPr>
          <w:lang w:val="nl-NL"/>
        </w:rPr>
        <w:t>met voornoemde peildatum e</w:t>
      </w:r>
      <w:r w:rsidR="00501123">
        <w:rPr>
          <w:lang w:val="nl-NL"/>
        </w:rPr>
        <w:t xml:space="preserve">rtoe zou leiden dat </w:t>
      </w:r>
      <w:r w:rsidR="0070139E">
        <w:rPr>
          <w:lang w:val="nl-NL"/>
        </w:rPr>
        <w:t>slechts een deel van de erfgenamen</w:t>
      </w:r>
      <w:r w:rsidR="00DA3F6B">
        <w:rPr>
          <w:lang w:val="nl-NL"/>
        </w:rPr>
        <w:t xml:space="preserve"> </w:t>
      </w:r>
      <w:r w:rsidR="0070139E">
        <w:rPr>
          <w:lang w:val="nl-NL"/>
        </w:rPr>
        <w:t xml:space="preserve">(veelal de kinderen) van de weduwen en weduwnaars in aanmerking zou komen voor een </w:t>
      </w:r>
      <w:proofErr w:type="spellStart"/>
      <w:r w:rsidR="0070139E">
        <w:rPr>
          <w:lang w:val="nl-NL"/>
        </w:rPr>
        <w:t>backpay</w:t>
      </w:r>
      <w:proofErr w:type="spellEnd"/>
      <w:r w:rsidR="0070139E">
        <w:rPr>
          <w:lang w:val="nl-NL"/>
        </w:rPr>
        <w:t xml:space="preserve">-uitkering. </w:t>
      </w:r>
      <w:r w:rsidRPr="00043B9A" w:rsidR="00C52FF1">
        <w:rPr>
          <w:lang w:val="nl-NL"/>
        </w:rPr>
        <w:t xml:space="preserve">Het is nadrukkelijk niet de bedoeling om een deel van de </w:t>
      </w:r>
      <w:r w:rsidRPr="00043B9A" w:rsidR="00C52FF1">
        <w:rPr>
          <w:u w:val="single"/>
          <w:lang w:val="nl-NL"/>
        </w:rPr>
        <w:t>kinderen</w:t>
      </w:r>
      <w:r w:rsidRPr="00043B9A" w:rsidR="00C52FF1">
        <w:rPr>
          <w:lang w:val="nl-NL"/>
        </w:rPr>
        <w:t xml:space="preserve"> van weduwen en weduwnaars als erfgenaam in aanmerking te brengen voor een </w:t>
      </w:r>
      <w:proofErr w:type="spellStart"/>
      <w:r w:rsidRPr="00043B9A" w:rsidR="00C52FF1">
        <w:rPr>
          <w:lang w:val="nl-NL"/>
        </w:rPr>
        <w:t>Backpay</w:t>
      </w:r>
      <w:proofErr w:type="spellEnd"/>
      <w:r w:rsidRPr="00043B9A" w:rsidR="00C52FF1">
        <w:rPr>
          <w:lang w:val="nl-NL"/>
        </w:rPr>
        <w:t xml:space="preserve">-uitkering. Zoals eerder toegelicht is een regeling voor alle erfgenamen financieel niet mogelijk. </w:t>
      </w:r>
      <w:r w:rsidR="00C52FF1">
        <w:rPr>
          <w:lang w:val="nl-NL"/>
        </w:rPr>
        <w:t xml:space="preserve">Het maken van </w:t>
      </w:r>
      <w:r w:rsidR="00DA3F6B">
        <w:rPr>
          <w:lang w:val="nl-NL"/>
        </w:rPr>
        <w:t xml:space="preserve">onderscheid tussen de erfgenamen is moeilijk te rechtvaardigen. </w:t>
      </w:r>
    </w:p>
    <w:p w:rsidR="00B3230B" w:rsidP="00D30CCB" w:rsidRDefault="00B3230B" w14:paraId="6019B2E9" w14:textId="77777777">
      <w:pPr>
        <w:spacing w:after="0"/>
        <w:rPr>
          <w:szCs w:val="18"/>
          <w:lang w:val="nl-NL"/>
        </w:rPr>
      </w:pPr>
    </w:p>
    <w:p w:rsidR="00B3230B" w:rsidP="000300A3" w:rsidRDefault="00B3230B" w14:paraId="1C20B1C9" w14:textId="29ACABE7">
      <w:pPr>
        <w:pStyle w:val="Geenafstand"/>
        <w:rPr>
          <w:lang w:val="nl-NL"/>
        </w:rPr>
      </w:pPr>
      <w:r>
        <w:rPr>
          <w:lang w:val="nl-NL"/>
        </w:rPr>
        <w:t xml:space="preserve">Geconcludeerd moet worden dat het belang van een uitvoerbare </w:t>
      </w:r>
      <w:r w:rsidR="0038160D">
        <w:rPr>
          <w:lang w:val="nl-NL"/>
        </w:rPr>
        <w:t xml:space="preserve">en financieel haalbare </w:t>
      </w:r>
      <w:r>
        <w:rPr>
          <w:lang w:val="nl-NL"/>
        </w:rPr>
        <w:t>regeling en de wens om tot een regeling te komen die kan rekenen op draagvlak</w:t>
      </w:r>
      <w:r w:rsidR="0038160D">
        <w:rPr>
          <w:lang w:val="nl-NL"/>
        </w:rPr>
        <w:t>,</w:t>
      </w:r>
      <w:r>
        <w:rPr>
          <w:lang w:val="nl-NL"/>
        </w:rPr>
        <w:t xml:space="preserve"> niet </w:t>
      </w:r>
      <w:r w:rsidR="009D0C92">
        <w:rPr>
          <w:lang w:val="nl-NL"/>
        </w:rPr>
        <w:t xml:space="preserve">met elkaar </w:t>
      </w:r>
      <w:r>
        <w:rPr>
          <w:lang w:val="nl-NL"/>
        </w:rPr>
        <w:t xml:space="preserve">te verenigen zijn. De uitvoerbaarheid </w:t>
      </w:r>
      <w:r w:rsidR="0038160D">
        <w:rPr>
          <w:lang w:val="nl-NL"/>
        </w:rPr>
        <w:t xml:space="preserve">en haalbaarheid </w:t>
      </w:r>
      <w:r>
        <w:rPr>
          <w:lang w:val="nl-NL"/>
        </w:rPr>
        <w:t>van een regeling vereis</w:t>
      </w:r>
      <w:r w:rsidR="0038160D">
        <w:rPr>
          <w:lang w:val="nl-NL"/>
        </w:rPr>
        <w:t xml:space="preserve">en </w:t>
      </w:r>
      <w:r>
        <w:rPr>
          <w:lang w:val="nl-NL"/>
        </w:rPr>
        <w:t xml:space="preserve">een beperkte en overzichtelijke doelgroep, maar een keuze daartoe zal tot (nog meer) gebrek aan draagvlak leiden. Gegeven deze patstelling is ervoor gekozen om </w:t>
      </w:r>
      <w:r w:rsidR="00E326B5">
        <w:rPr>
          <w:lang w:val="nl-NL"/>
        </w:rPr>
        <w:t xml:space="preserve">het bieden van enige vorm van rechtsherstel aan de weduwen en weduwnaars voorop te stellen. De onderhavige </w:t>
      </w:r>
      <w:proofErr w:type="spellStart"/>
      <w:r w:rsidR="00E326B5">
        <w:rPr>
          <w:lang w:val="nl-NL"/>
        </w:rPr>
        <w:t>backpay</w:t>
      </w:r>
      <w:proofErr w:type="spellEnd"/>
      <w:r w:rsidR="00E326B5">
        <w:rPr>
          <w:lang w:val="nl-NL"/>
        </w:rPr>
        <w:t xml:space="preserve">-uitkering is daarom beperkt tot de weduwen en weduwnaars die op het moment van indiening van een aanvraag nog in leven zijn. Alleen op deze manier kan worden gekomen tot </w:t>
      </w:r>
      <w:r w:rsidR="0038160D">
        <w:rPr>
          <w:lang w:val="nl-NL"/>
        </w:rPr>
        <w:t xml:space="preserve">een uitvoerbare en </w:t>
      </w:r>
      <w:r w:rsidR="00E326B5">
        <w:rPr>
          <w:lang w:val="nl-NL"/>
        </w:rPr>
        <w:t xml:space="preserve">financieel </w:t>
      </w:r>
      <w:r w:rsidR="0038160D">
        <w:rPr>
          <w:lang w:val="nl-NL"/>
        </w:rPr>
        <w:t xml:space="preserve">haalbare regeling </w:t>
      </w:r>
      <w:r w:rsidR="00E326B5">
        <w:rPr>
          <w:lang w:val="nl-NL"/>
        </w:rPr>
        <w:t xml:space="preserve">waarmee </w:t>
      </w:r>
      <w:r w:rsidR="0038160D">
        <w:rPr>
          <w:lang w:val="nl-NL"/>
        </w:rPr>
        <w:t xml:space="preserve">binnen afzienbare termijn </w:t>
      </w:r>
      <w:r w:rsidR="00E326B5">
        <w:rPr>
          <w:lang w:val="nl-NL"/>
        </w:rPr>
        <w:t xml:space="preserve">de beoogde </w:t>
      </w:r>
      <w:r w:rsidR="0038160D">
        <w:rPr>
          <w:lang w:val="nl-NL"/>
        </w:rPr>
        <w:t>vorm van rechtsherstel kan worden geboden</w:t>
      </w:r>
      <w:r w:rsidR="009D0C92">
        <w:rPr>
          <w:lang w:val="nl-NL"/>
        </w:rPr>
        <w:t xml:space="preserve"> aan de nog levende weduwen en weduwnaars. </w:t>
      </w:r>
      <w:r>
        <w:rPr>
          <w:lang w:val="nl-NL"/>
        </w:rPr>
        <w:t xml:space="preserve">Elke andere verbreding van de doelgroep leidt tot </w:t>
      </w:r>
      <w:r w:rsidR="00956D9C">
        <w:rPr>
          <w:lang w:val="nl-NL"/>
        </w:rPr>
        <w:t>problemen</w:t>
      </w:r>
      <w:r>
        <w:rPr>
          <w:lang w:val="nl-NL"/>
        </w:rPr>
        <w:t xml:space="preserve"> in de uitvoer</w:t>
      </w:r>
      <w:r w:rsidR="009D0C92">
        <w:rPr>
          <w:lang w:val="nl-NL"/>
        </w:rPr>
        <w:t>baarheid en</w:t>
      </w:r>
      <w:r w:rsidR="00806C7F">
        <w:rPr>
          <w:lang w:val="nl-NL"/>
        </w:rPr>
        <w:t>/of is niet financieel haalbaar</w:t>
      </w:r>
      <w:r w:rsidR="009D0C92">
        <w:rPr>
          <w:lang w:val="nl-NL"/>
        </w:rPr>
        <w:t xml:space="preserve">. </w:t>
      </w:r>
    </w:p>
    <w:p w:rsidR="00B3230B" w:rsidP="00D30CCB" w:rsidRDefault="00B3230B" w14:paraId="174867FD" w14:textId="77777777">
      <w:pPr>
        <w:spacing w:after="0"/>
        <w:rPr>
          <w:szCs w:val="18"/>
          <w:lang w:val="nl-NL"/>
        </w:rPr>
      </w:pPr>
    </w:p>
    <w:p w:rsidRPr="009D2EFE" w:rsidR="00B3230B" w:rsidP="009D2EFE" w:rsidRDefault="0095022D" w14:paraId="2E0275D6" w14:textId="5EAFBE4E">
      <w:pPr>
        <w:pStyle w:val="Geenafstand"/>
        <w:rPr>
          <w:lang w:val="nl-NL"/>
        </w:rPr>
      </w:pPr>
      <w:r>
        <w:rPr>
          <w:lang w:val="nl-NL"/>
        </w:rPr>
        <w:t>De gemaakte keuze</w:t>
      </w:r>
      <w:r w:rsidR="009D2EFE">
        <w:rPr>
          <w:lang w:val="nl-NL"/>
        </w:rPr>
        <w:t>, zoals hiervoor omschreven,</w:t>
      </w:r>
      <w:r>
        <w:rPr>
          <w:lang w:val="nl-NL"/>
        </w:rPr>
        <w:t xml:space="preserve"> </w:t>
      </w:r>
      <w:r w:rsidR="00B3230B">
        <w:rPr>
          <w:lang w:val="nl-NL"/>
        </w:rPr>
        <w:t>impliceert dat in</w:t>
      </w:r>
      <w:r w:rsidR="00E50732">
        <w:rPr>
          <w:lang w:val="nl-NL"/>
        </w:rPr>
        <w:t xml:space="preserve">dien </w:t>
      </w:r>
      <w:r w:rsidR="00B3230B">
        <w:rPr>
          <w:lang w:val="nl-NL"/>
        </w:rPr>
        <w:t xml:space="preserve">een ambtenaar of militair eerdere (huwelijks)relaties heeft gehad die evenwel reeds waren geëindigd vóór het moment van diens overlijden, die (huwelijks)partners niet als ‘weduwe of weduwnaar’ in de zin van deze beleidsregel gelden. Er is gekozen om de doelgroep te beperken tot de </w:t>
      </w:r>
      <w:r>
        <w:rPr>
          <w:lang w:val="nl-NL"/>
        </w:rPr>
        <w:t>(huwelijks)</w:t>
      </w:r>
      <w:r w:rsidR="00B3230B">
        <w:rPr>
          <w:lang w:val="nl-NL"/>
        </w:rPr>
        <w:t xml:space="preserve">partner op het moment van het overlijden van de ambtenaar of militair Nederlands-Indisch gouvernement. Alleen de laatste </w:t>
      </w:r>
      <w:r>
        <w:rPr>
          <w:lang w:val="nl-NL"/>
        </w:rPr>
        <w:t>(huwelijks)</w:t>
      </w:r>
      <w:r w:rsidR="00B3230B">
        <w:rPr>
          <w:lang w:val="nl-NL"/>
        </w:rPr>
        <w:t xml:space="preserve">partner </w:t>
      </w:r>
      <w:r>
        <w:rPr>
          <w:lang w:val="nl-NL"/>
        </w:rPr>
        <w:t xml:space="preserve">geldt </w:t>
      </w:r>
      <w:r w:rsidR="00E50732">
        <w:rPr>
          <w:lang w:val="nl-NL"/>
        </w:rPr>
        <w:t xml:space="preserve">dus </w:t>
      </w:r>
      <w:r>
        <w:rPr>
          <w:lang w:val="nl-NL"/>
        </w:rPr>
        <w:t>als de</w:t>
      </w:r>
      <w:r w:rsidR="00B3230B">
        <w:rPr>
          <w:lang w:val="nl-NL"/>
        </w:rPr>
        <w:t xml:space="preserve"> weduwe of weduwnaar</w:t>
      </w:r>
      <w:r w:rsidR="001E06C3">
        <w:rPr>
          <w:lang w:val="nl-NL"/>
        </w:rPr>
        <w:t xml:space="preserve"> en alleen deze persoon komt in aanmerking voor een uitkering. </w:t>
      </w:r>
      <w:r w:rsidR="008C6970">
        <w:rPr>
          <w:lang w:val="nl-NL"/>
        </w:rPr>
        <w:t xml:space="preserve">Als ervoor gekozen zou worden om </w:t>
      </w:r>
      <w:r w:rsidR="00B3230B">
        <w:rPr>
          <w:lang w:val="nl-NL"/>
        </w:rPr>
        <w:t xml:space="preserve">alle (voormalige) </w:t>
      </w:r>
      <w:r w:rsidR="008C6970">
        <w:rPr>
          <w:lang w:val="nl-NL"/>
        </w:rPr>
        <w:t>(huwelijks)</w:t>
      </w:r>
      <w:r w:rsidR="00B3230B">
        <w:rPr>
          <w:lang w:val="nl-NL"/>
        </w:rPr>
        <w:t xml:space="preserve">partners van de ambtenaren en militairen </w:t>
      </w:r>
      <w:r w:rsidR="008C6970">
        <w:rPr>
          <w:lang w:val="nl-NL"/>
        </w:rPr>
        <w:t xml:space="preserve">die in dienst waren van het </w:t>
      </w:r>
      <w:r w:rsidR="00B3230B">
        <w:rPr>
          <w:lang w:val="nl-NL"/>
        </w:rPr>
        <w:t>Nederlands-Indisch gouvernement</w:t>
      </w:r>
      <w:r w:rsidR="008C6970">
        <w:rPr>
          <w:lang w:val="nl-NL"/>
        </w:rPr>
        <w:t xml:space="preserve"> in aanmerking te laten komen voor een uitkering, </w:t>
      </w:r>
      <w:r w:rsidR="00B3230B">
        <w:rPr>
          <w:lang w:val="nl-NL"/>
        </w:rPr>
        <w:t xml:space="preserve">zou de situatie kunnen ontstaan dat meerdere personen tegelijk aanspraak kunnen maken op één uitkering. </w:t>
      </w:r>
      <w:r w:rsidR="009D2EFE">
        <w:rPr>
          <w:lang w:val="nl-NL"/>
        </w:rPr>
        <w:t xml:space="preserve">Uitgangspunt blijft dat slechts eenmaal per ambtenaar of militair een </w:t>
      </w:r>
      <w:proofErr w:type="spellStart"/>
      <w:r w:rsidR="009D2EFE">
        <w:rPr>
          <w:lang w:val="nl-NL"/>
        </w:rPr>
        <w:t>backpay</w:t>
      </w:r>
      <w:proofErr w:type="spellEnd"/>
      <w:r w:rsidR="009D2EFE">
        <w:rPr>
          <w:lang w:val="nl-NL"/>
        </w:rPr>
        <w:t>-uitkering uitbetaald wordt</w:t>
      </w:r>
      <w:r w:rsidRPr="00043B9A" w:rsidR="009D2EFE">
        <w:rPr>
          <w:lang w:val="nl-NL"/>
        </w:rPr>
        <w:t xml:space="preserve"> op grond van het feit dat het salaris niet aan de betreffende ambtenaar</w:t>
      </w:r>
      <w:r w:rsidR="009D2EFE">
        <w:rPr>
          <w:lang w:val="nl-NL"/>
        </w:rPr>
        <w:t xml:space="preserve"> of </w:t>
      </w:r>
      <w:r w:rsidRPr="00043B9A" w:rsidR="009D2EFE">
        <w:rPr>
          <w:lang w:val="nl-NL"/>
        </w:rPr>
        <w:t>militair is uitbetaald</w:t>
      </w:r>
      <w:r w:rsidR="009D2EFE">
        <w:rPr>
          <w:lang w:val="nl-NL"/>
        </w:rPr>
        <w:t>. Daarom</w:t>
      </w:r>
      <w:r w:rsidRPr="00043B9A" w:rsidR="009D2EFE">
        <w:rPr>
          <w:lang w:val="nl-NL"/>
        </w:rPr>
        <w:t xml:space="preserve"> is</w:t>
      </w:r>
      <w:r w:rsidR="009D2EFE">
        <w:rPr>
          <w:lang w:val="nl-NL"/>
        </w:rPr>
        <w:t xml:space="preserve"> ervoor</w:t>
      </w:r>
      <w:r w:rsidRPr="00043B9A" w:rsidR="009D2EFE">
        <w:rPr>
          <w:lang w:val="nl-NL"/>
        </w:rPr>
        <w:t xml:space="preserve"> gekozen </w:t>
      </w:r>
      <w:r w:rsidR="009D2EFE">
        <w:rPr>
          <w:lang w:val="nl-NL"/>
        </w:rPr>
        <w:t xml:space="preserve">om uitsluitend </w:t>
      </w:r>
      <w:r w:rsidRPr="00043B9A" w:rsidR="009D2EFE">
        <w:rPr>
          <w:lang w:val="nl-NL"/>
        </w:rPr>
        <w:t xml:space="preserve">de </w:t>
      </w:r>
      <w:r w:rsidR="009D2EFE">
        <w:rPr>
          <w:lang w:val="nl-NL"/>
        </w:rPr>
        <w:t xml:space="preserve">huwelijks(partner) van de ambtenaar of militair </w:t>
      </w:r>
      <w:r w:rsidRPr="00043B9A" w:rsidR="009D2EFE">
        <w:rPr>
          <w:lang w:val="nl-NL"/>
        </w:rPr>
        <w:t xml:space="preserve">op het moment van </w:t>
      </w:r>
      <w:r w:rsidR="009D2EFE">
        <w:rPr>
          <w:lang w:val="nl-NL"/>
        </w:rPr>
        <w:t xml:space="preserve">diens </w:t>
      </w:r>
      <w:r w:rsidRPr="00043B9A" w:rsidR="009D2EFE">
        <w:rPr>
          <w:lang w:val="nl-NL"/>
        </w:rPr>
        <w:t xml:space="preserve">overlijden </w:t>
      </w:r>
      <w:r w:rsidR="009D2EFE">
        <w:rPr>
          <w:lang w:val="nl-NL"/>
        </w:rPr>
        <w:t xml:space="preserve">in aanmerking te laten komen voor een </w:t>
      </w:r>
      <w:proofErr w:type="spellStart"/>
      <w:r w:rsidR="009D2EFE">
        <w:rPr>
          <w:lang w:val="nl-NL"/>
        </w:rPr>
        <w:t>backpay</w:t>
      </w:r>
      <w:proofErr w:type="spellEnd"/>
      <w:r w:rsidR="009D2EFE">
        <w:rPr>
          <w:lang w:val="nl-NL"/>
        </w:rPr>
        <w:t xml:space="preserve">-uitkering. </w:t>
      </w:r>
    </w:p>
    <w:p w:rsidRPr="00A47505" w:rsidR="00B3230B" w:rsidP="00043B9A" w:rsidRDefault="00B3230B" w14:paraId="68583C15" w14:textId="77777777">
      <w:pPr>
        <w:pStyle w:val="Geenafstand"/>
        <w:rPr>
          <w:lang w:val="nl-NL"/>
        </w:rPr>
      </w:pPr>
    </w:p>
    <w:p w:rsidRPr="0095022D" w:rsidR="00D30CCB" w:rsidP="00043B9A" w:rsidRDefault="0095022D" w14:paraId="672EEB44" w14:textId="2DCA2253">
      <w:pPr>
        <w:pStyle w:val="Geenafstand"/>
        <w:rPr>
          <w:i/>
          <w:iCs/>
          <w:lang w:val="nl-NL"/>
        </w:rPr>
      </w:pPr>
      <w:r>
        <w:rPr>
          <w:i/>
          <w:iCs/>
          <w:lang w:val="nl-NL"/>
        </w:rPr>
        <w:t xml:space="preserve">5. Uitvoeringstoets </w:t>
      </w:r>
    </w:p>
    <w:p w:rsidR="005D5D38" w:rsidP="00043B9A" w:rsidRDefault="005D5D38" w14:paraId="1DA95B52" w14:textId="77777777">
      <w:pPr>
        <w:pStyle w:val="Geenafstand"/>
        <w:rPr>
          <w:lang w:val="nl-NL"/>
        </w:rPr>
      </w:pPr>
    </w:p>
    <w:p w:rsidRPr="005D5D38" w:rsidR="005D5D38" w:rsidP="00043B9A" w:rsidRDefault="005D5D38" w14:paraId="208E04CA" w14:textId="019FC271">
      <w:pPr>
        <w:pStyle w:val="Geenafstand"/>
        <w:rPr>
          <w:b/>
          <w:bCs/>
          <w:lang w:val="nl-NL"/>
        </w:rPr>
      </w:pPr>
      <w:r>
        <w:rPr>
          <w:lang w:val="nl-NL"/>
        </w:rPr>
        <w:t>De SVB heeft een uitvoeringstoets uitgevoer</w:t>
      </w:r>
      <w:r w:rsidR="00C06B9A">
        <w:rPr>
          <w:lang w:val="nl-NL"/>
        </w:rPr>
        <w:t>d en daarin het volgende aangegeven. [PM]</w:t>
      </w:r>
    </w:p>
    <w:p w:rsidR="005D5D38" w:rsidP="00043B9A" w:rsidRDefault="005D5D38" w14:paraId="0C0B5262" w14:textId="77777777">
      <w:pPr>
        <w:pStyle w:val="Geenafstand"/>
        <w:rPr>
          <w:lang w:val="nl-NL"/>
        </w:rPr>
      </w:pPr>
    </w:p>
    <w:p w:rsidRPr="005B3E26" w:rsidR="00A52827" w:rsidP="00043B9A" w:rsidRDefault="00A52827" w14:paraId="6AB98BAB" w14:textId="01BE0CCB">
      <w:pPr>
        <w:pStyle w:val="Geenafstand"/>
        <w:rPr>
          <w:lang w:val="nl-NL"/>
        </w:rPr>
      </w:pPr>
      <w:r w:rsidRPr="005B3E26">
        <w:rPr>
          <w:lang w:val="nl-NL"/>
        </w:rPr>
        <w:t>Artikelsgewijs</w:t>
      </w:r>
    </w:p>
    <w:p w:rsidR="00A52827" w:rsidP="00043B9A" w:rsidRDefault="00A52827" w14:paraId="31A97AB7" w14:textId="77777777">
      <w:pPr>
        <w:pStyle w:val="Geenafstand"/>
        <w:rPr>
          <w:lang w:val="nl-NL"/>
        </w:rPr>
      </w:pPr>
    </w:p>
    <w:p w:rsidRPr="00043B9A" w:rsidR="00865AB5" w:rsidP="009D2EFE" w:rsidRDefault="00865AB5" w14:paraId="3F55987A" w14:textId="58387409">
      <w:pPr>
        <w:pStyle w:val="Geenafstand"/>
        <w:rPr>
          <w:i/>
          <w:iCs/>
          <w:lang w:val="nl-NL"/>
        </w:rPr>
      </w:pPr>
      <w:r w:rsidRPr="00043B9A">
        <w:rPr>
          <w:i/>
          <w:iCs/>
          <w:lang w:val="nl-NL"/>
        </w:rPr>
        <w:t>Artikel 1 Begripsbepalingen</w:t>
      </w:r>
    </w:p>
    <w:p w:rsidR="007F24FE" w:rsidP="00043B9A" w:rsidRDefault="007F24FE" w14:paraId="4494257A" w14:textId="77777777">
      <w:pPr>
        <w:pStyle w:val="Geenafstand"/>
        <w:rPr>
          <w:lang w:val="nl-NL"/>
        </w:rPr>
      </w:pPr>
    </w:p>
    <w:p w:rsidR="008B7B2E" w:rsidP="00043B9A" w:rsidRDefault="00003962" w14:paraId="72D17C4B" w14:textId="138A87C5">
      <w:pPr>
        <w:pStyle w:val="Geenafstand"/>
        <w:rPr>
          <w:lang w:val="nl-NL"/>
        </w:rPr>
      </w:pPr>
      <w:r>
        <w:rPr>
          <w:lang w:val="nl-NL"/>
        </w:rPr>
        <w:t xml:space="preserve">In dit artikel wordt nader omschreven wie onder ‘ambtenaar of militair Nederlands-Indisch Gouvernement’ en </w:t>
      </w:r>
      <w:r w:rsidR="00ED492F">
        <w:rPr>
          <w:lang w:val="nl-NL"/>
        </w:rPr>
        <w:t xml:space="preserve">onder </w:t>
      </w:r>
      <w:r>
        <w:rPr>
          <w:lang w:val="nl-NL"/>
        </w:rPr>
        <w:t xml:space="preserve">‘weduwe of weduwnaar’ in de zin van deze beleidsregel worden verstaan. De omschrijving van ‘ambtenaar of militair Nederlands-Indisch Gouvernement’ is ontleend aan de Uitkeringsregeling </w:t>
      </w:r>
      <w:proofErr w:type="spellStart"/>
      <w:r>
        <w:rPr>
          <w:lang w:val="nl-NL"/>
        </w:rPr>
        <w:t>Backpay</w:t>
      </w:r>
      <w:proofErr w:type="spellEnd"/>
      <w:r>
        <w:rPr>
          <w:lang w:val="nl-NL"/>
        </w:rPr>
        <w:t xml:space="preserve"> uit 2015.</w:t>
      </w:r>
      <w:r>
        <w:rPr>
          <w:rStyle w:val="Voetnootmarkering"/>
          <w:szCs w:val="18"/>
          <w:lang w:val="nl-NL"/>
        </w:rPr>
        <w:footnoteReference w:id="7"/>
      </w:r>
      <w:r>
        <w:rPr>
          <w:lang w:val="nl-NL"/>
        </w:rPr>
        <w:t xml:space="preserve"> </w:t>
      </w:r>
    </w:p>
    <w:p w:rsidR="008B7B2E" w:rsidP="00043B9A" w:rsidRDefault="008B7B2E" w14:paraId="7E32BF2C" w14:textId="77777777">
      <w:pPr>
        <w:pStyle w:val="Geenafstand"/>
        <w:rPr>
          <w:lang w:val="nl-NL"/>
        </w:rPr>
      </w:pPr>
    </w:p>
    <w:p w:rsidR="008B3464" w:rsidP="00043B9A" w:rsidRDefault="00CD07C9" w14:paraId="1E0BFCAD" w14:textId="1A65D0EA">
      <w:pPr>
        <w:pStyle w:val="Geenafstand"/>
        <w:rPr>
          <w:lang w:val="nl-NL"/>
        </w:rPr>
      </w:pPr>
      <w:r>
        <w:rPr>
          <w:lang w:val="nl-NL"/>
        </w:rPr>
        <w:t xml:space="preserve">Als ‘weduwe of weduwnaar’ geldt de persoon die gehuwd was of een geregistreerd partnerschap had met een ambtenaar of militair Nederlands-Indisch Gouvernement op het moment dat die ambtenaar of militair overleed. </w:t>
      </w:r>
      <w:r w:rsidR="008B7B2E">
        <w:rPr>
          <w:lang w:val="nl-NL"/>
        </w:rPr>
        <w:t>Ook geldt als weduwe of weduwnaar degene die op het moment van overlijden van de betreffende ambtenaar of militair duurzaam een gezamenlijke huishouding met die ambtenaar of militair voerde. Het moet hier wel om een partnerrelatie</w:t>
      </w:r>
      <w:r w:rsidR="0005167D">
        <w:rPr>
          <w:lang w:val="nl-NL"/>
        </w:rPr>
        <w:t xml:space="preserve"> gaan</w:t>
      </w:r>
      <w:r w:rsidR="008B7B2E">
        <w:rPr>
          <w:lang w:val="nl-NL"/>
        </w:rPr>
        <w:t xml:space="preserve">. </w:t>
      </w:r>
      <w:r w:rsidR="00582304">
        <w:rPr>
          <w:lang w:val="nl-NL"/>
        </w:rPr>
        <w:t xml:space="preserve">Een persoon die </w:t>
      </w:r>
      <w:r w:rsidR="008B7B2E">
        <w:rPr>
          <w:lang w:val="nl-NL"/>
        </w:rPr>
        <w:t xml:space="preserve">om andere reden een gezamenlijke huishouding </w:t>
      </w:r>
      <w:r w:rsidR="00582304">
        <w:rPr>
          <w:lang w:val="nl-NL"/>
        </w:rPr>
        <w:t xml:space="preserve">met de ambtenaar of militair voerde, </w:t>
      </w:r>
      <w:r w:rsidR="008B7B2E">
        <w:rPr>
          <w:lang w:val="nl-NL"/>
        </w:rPr>
        <w:t>geld</w:t>
      </w:r>
      <w:r w:rsidR="00582304">
        <w:rPr>
          <w:lang w:val="nl-NL"/>
        </w:rPr>
        <w:t>t</w:t>
      </w:r>
      <w:r w:rsidR="008B7B2E">
        <w:rPr>
          <w:lang w:val="nl-NL"/>
        </w:rPr>
        <w:t xml:space="preserve"> niet als weduwe of weduwnaar, ook niet als de samenlevingsvorm een duurzaam karakter had. </w:t>
      </w:r>
      <w:r w:rsidR="008A50F9">
        <w:rPr>
          <w:lang w:val="nl-NL"/>
        </w:rPr>
        <w:t xml:space="preserve">Evenmin geldt als weduwe of weduwnaar degene die een (huwelijks)relatie met de ambtenaar of militair heeft gehad, maar dat huwelijk, het geregistreerde partnerschap dan wel de gezamenlijke huishouding </w:t>
      </w:r>
      <w:r w:rsidR="008B3464">
        <w:rPr>
          <w:lang w:val="nl-NL"/>
        </w:rPr>
        <w:t xml:space="preserve">reeds </w:t>
      </w:r>
      <w:r w:rsidR="008A50F9">
        <w:rPr>
          <w:lang w:val="nl-NL"/>
        </w:rPr>
        <w:t>tot een einde was gekomen</w:t>
      </w:r>
      <w:r w:rsidR="008B3464">
        <w:rPr>
          <w:lang w:val="nl-NL"/>
        </w:rPr>
        <w:t xml:space="preserve"> voordat de ambtenaar of militair overleed. </w:t>
      </w:r>
    </w:p>
    <w:p w:rsidR="00DC773B" w:rsidP="00043B9A" w:rsidRDefault="00DC773B" w14:paraId="0CEBC119" w14:textId="77777777">
      <w:pPr>
        <w:pStyle w:val="Geenafstand"/>
        <w:rPr>
          <w:lang w:val="nl-NL"/>
        </w:rPr>
      </w:pPr>
    </w:p>
    <w:p w:rsidR="00DC773B" w:rsidP="00043B9A" w:rsidRDefault="00DC773B" w14:paraId="015CE25B" w14:textId="05303195">
      <w:pPr>
        <w:pStyle w:val="Geenafstand"/>
        <w:rPr>
          <w:lang w:val="nl-NL"/>
        </w:rPr>
      </w:pPr>
      <w:r>
        <w:rPr>
          <w:lang w:val="nl-NL"/>
        </w:rPr>
        <w:t>Het begrip ‘</w:t>
      </w:r>
      <w:proofErr w:type="spellStart"/>
      <w:r>
        <w:rPr>
          <w:lang w:val="nl-NL"/>
        </w:rPr>
        <w:t>backpay</w:t>
      </w:r>
      <w:proofErr w:type="spellEnd"/>
      <w:r>
        <w:rPr>
          <w:lang w:val="nl-NL"/>
        </w:rPr>
        <w:t xml:space="preserve">-uitkering’ is gelijk aan die in de Uitkeringsregeling </w:t>
      </w:r>
      <w:proofErr w:type="spellStart"/>
      <w:r>
        <w:rPr>
          <w:lang w:val="nl-NL"/>
        </w:rPr>
        <w:t>Backpay</w:t>
      </w:r>
      <w:proofErr w:type="spellEnd"/>
      <w:r>
        <w:rPr>
          <w:lang w:val="nl-NL"/>
        </w:rPr>
        <w:t xml:space="preserve"> uit 2015, zij het dat </w:t>
      </w:r>
      <w:r w:rsidR="00CE1144">
        <w:rPr>
          <w:lang w:val="nl-NL"/>
        </w:rPr>
        <w:t xml:space="preserve">de uitkering wordt gedaan aan de weduwe of weduwnaar en </w:t>
      </w:r>
      <w:r>
        <w:rPr>
          <w:lang w:val="nl-NL"/>
        </w:rPr>
        <w:t>het uit te keren bedrag (</w:t>
      </w:r>
      <w:r w:rsidR="002D7D95">
        <w:rPr>
          <w:lang w:val="nl-NL"/>
        </w:rPr>
        <w:t xml:space="preserve">netto </w:t>
      </w:r>
      <w:r>
        <w:rPr>
          <w:lang w:val="nl-NL"/>
        </w:rPr>
        <w:t xml:space="preserve">25.000 euro) in artikel 2 is vermeld. </w:t>
      </w:r>
    </w:p>
    <w:p w:rsidR="00DC773B" w:rsidP="00043B9A" w:rsidRDefault="00DC773B" w14:paraId="5DA1963B" w14:textId="77777777">
      <w:pPr>
        <w:pStyle w:val="Geenafstand"/>
        <w:rPr>
          <w:lang w:val="nl-NL"/>
        </w:rPr>
      </w:pPr>
    </w:p>
    <w:p w:rsidR="00DC773B" w:rsidP="00043B9A" w:rsidRDefault="00DC773B" w14:paraId="37721AA4" w14:textId="66793B60">
      <w:pPr>
        <w:pStyle w:val="Geenafstand"/>
        <w:rPr>
          <w:lang w:val="nl-NL"/>
        </w:rPr>
      </w:pPr>
      <w:r>
        <w:rPr>
          <w:lang w:val="nl-NL"/>
        </w:rPr>
        <w:t xml:space="preserve">De verantwoordelijke bewindspersoon, zijnde de Minister van Langdurige Zorg, Jeugd en Sport, zal de SVB aanwijzen als de organisatie die de onderhavige beleidsregel uitvoert. </w:t>
      </w:r>
    </w:p>
    <w:p w:rsidRPr="00237377" w:rsidR="005D5D38" w:rsidP="00A52827" w:rsidRDefault="005D5D38" w14:paraId="56A22F53" w14:textId="77777777">
      <w:pPr>
        <w:spacing w:after="0"/>
        <w:rPr>
          <w:szCs w:val="18"/>
          <w:lang w:val="nl-NL"/>
        </w:rPr>
      </w:pPr>
    </w:p>
    <w:p w:rsidRPr="00043B9A" w:rsidR="00A52827" w:rsidP="00334B37" w:rsidRDefault="005B3E26" w14:paraId="4985C89F" w14:textId="394EE83B">
      <w:pPr>
        <w:pStyle w:val="Geenafstand"/>
        <w:rPr>
          <w:i/>
          <w:iCs/>
          <w:lang w:val="nl-NL"/>
        </w:rPr>
      </w:pPr>
      <w:r w:rsidRPr="00043B9A">
        <w:rPr>
          <w:i/>
          <w:iCs/>
          <w:lang w:val="nl-NL"/>
        </w:rPr>
        <w:t>Artikel 2</w:t>
      </w:r>
      <w:r w:rsidRPr="00043B9A" w:rsidR="003B3190">
        <w:rPr>
          <w:i/>
          <w:iCs/>
          <w:lang w:val="nl-NL"/>
        </w:rPr>
        <w:t xml:space="preserve"> Toekenning </w:t>
      </w:r>
      <w:proofErr w:type="spellStart"/>
      <w:r w:rsidRPr="00043B9A" w:rsidR="003B3190">
        <w:rPr>
          <w:i/>
          <w:iCs/>
          <w:lang w:val="nl-NL"/>
        </w:rPr>
        <w:t>backpay</w:t>
      </w:r>
      <w:proofErr w:type="spellEnd"/>
      <w:r w:rsidRPr="00043B9A" w:rsidR="003B3190">
        <w:rPr>
          <w:i/>
          <w:iCs/>
          <w:lang w:val="nl-NL"/>
        </w:rPr>
        <w:t>-uitkering</w:t>
      </w:r>
    </w:p>
    <w:p w:rsidR="005B3E26" w:rsidP="00334B37" w:rsidRDefault="00995999" w14:paraId="5C434D69" w14:textId="5C1738B5">
      <w:pPr>
        <w:pStyle w:val="Geenafstand"/>
        <w:rPr>
          <w:lang w:val="nl-NL"/>
        </w:rPr>
      </w:pPr>
      <w:r>
        <w:rPr>
          <w:lang w:val="nl-NL"/>
        </w:rPr>
        <w:t xml:space="preserve">Dit artikel bepaalt dat door de minister op aanvraag een </w:t>
      </w:r>
      <w:proofErr w:type="spellStart"/>
      <w:r>
        <w:rPr>
          <w:lang w:val="nl-NL"/>
        </w:rPr>
        <w:t>backpay</w:t>
      </w:r>
      <w:proofErr w:type="spellEnd"/>
      <w:r>
        <w:rPr>
          <w:lang w:val="nl-NL"/>
        </w:rPr>
        <w:t xml:space="preserve">-uitkering </w:t>
      </w:r>
      <w:r w:rsidR="002D7D95">
        <w:rPr>
          <w:lang w:val="nl-NL"/>
        </w:rPr>
        <w:t xml:space="preserve">van netto 25.000 euro </w:t>
      </w:r>
      <w:r>
        <w:rPr>
          <w:lang w:val="nl-NL"/>
        </w:rPr>
        <w:t xml:space="preserve">wordt </w:t>
      </w:r>
      <w:r w:rsidR="00865AB5">
        <w:rPr>
          <w:lang w:val="nl-NL"/>
        </w:rPr>
        <w:t xml:space="preserve">toegekend </w:t>
      </w:r>
      <w:r w:rsidR="000803F0">
        <w:rPr>
          <w:lang w:val="nl-NL"/>
        </w:rPr>
        <w:t xml:space="preserve">aan een weduwe of weduwnaar </w:t>
      </w:r>
      <w:r w:rsidR="00865AB5">
        <w:rPr>
          <w:lang w:val="nl-NL"/>
        </w:rPr>
        <w:t>indien</w:t>
      </w:r>
      <w:r>
        <w:rPr>
          <w:lang w:val="nl-NL"/>
        </w:rPr>
        <w:t xml:space="preserve"> </w:t>
      </w:r>
      <w:r w:rsidR="00BC294E">
        <w:rPr>
          <w:lang w:val="nl-NL"/>
        </w:rPr>
        <w:t>uit artikel 3 volgt dat deze daarop recht heeft</w:t>
      </w:r>
      <w:r w:rsidR="000803F0">
        <w:rPr>
          <w:lang w:val="nl-NL"/>
        </w:rPr>
        <w:t xml:space="preserve">. </w:t>
      </w:r>
    </w:p>
    <w:p w:rsidR="00456ECC" w:rsidP="00334B37" w:rsidRDefault="00456ECC" w14:paraId="36B31814" w14:textId="77777777">
      <w:pPr>
        <w:pStyle w:val="Geenafstand"/>
        <w:rPr>
          <w:lang w:val="nl-NL"/>
        </w:rPr>
      </w:pPr>
    </w:p>
    <w:p w:rsidR="00456ECC" w:rsidP="00334B37" w:rsidRDefault="00456ECC" w14:paraId="1474F0B2" w14:textId="0FEA7C0D">
      <w:pPr>
        <w:pStyle w:val="Geenafstand"/>
        <w:rPr>
          <w:lang w:val="nl-NL"/>
        </w:rPr>
      </w:pPr>
      <w:r>
        <w:rPr>
          <w:lang w:val="nl-NL"/>
        </w:rPr>
        <w:t xml:space="preserve">Anders dan bij de Uitkeringsregeling </w:t>
      </w:r>
      <w:proofErr w:type="spellStart"/>
      <w:r>
        <w:rPr>
          <w:lang w:val="nl-NL"/>
        </w:rPr>
        <w:t>backpay</w:t>
      </w:r>
      <w:proofErr w:type="spellEnd"/>
      <w:r>
        <w:rPr>
          <w:lang w:val="nl-NL"/>
        </w:rPr>
        <w:t xml:space="preserve"> uit 2015 kan een </w:t>
      </w:r>
      <w:proofErr w:type="spellStart"/>
      <w:r>
        <w:rPr>
          <w:lang w:val="nl-NL"/>
        </w:rPr>
        <w:t>backpay</w:t>
      </w:r>
      <w:proofErr w:type="spellEnd"/>
      <w:r>
        <w:rPr>
          <w:lang w:val="nl-NL"/>
        </w:rPr>
        <w:t>-uitkering niet ambtshalve worden toegekend. De reden hiervoor is dat er geen bestand of archief beschikbaar is op basis waarvan bepaald kan worden of iemand weduwe of weduwnaar is van een ambtenaar of militair Nederlands-Indisch gouvernement. Om deze reden kunnen uitkeringen alleen worden toegekend op basis van een aanvraag</w:t>
      </w:r>
      <w:r w:rsidR="00E86AB8">
        <w:rPr>
          <w:lang w:val="nl-NL"/>
        </w:rPr>
        <w:t xml:space="preserve"> van de weduwe of weduwnaar</w:t>
      </w:r>
      <w:r>
        <w:rPr>
          <w:lang w:val="nl-NL"/>
        </w:rPr>
        <w:t>.</w:t>
      </w:r>
    </w:p>
    <w:p w:rsidR="00A52827" w:rsidP="00334B37" w:rsidRDefault="00A52827" w14:paraId="2C6E4F9C" w14:textId="77777777">
      <w:pPr>
        <w:pStyle w:val="Geenafstand"/>
        <w:rPr>
          <w:lang w:val="nl-NL"/>
        </w:rPr>
      </w:pPr>
    </w:p>
    <w:p w:rsidRPr="00043B9A" w:rsidR="005B3E26" w:rsidP="00043B9A" w:rsidRDefault="005B3E26" w14:paraId="7221220F" w14:textId="2AE36A77">
      <w:pPr>
        <w:pStyle w:val="Geenafstand"/>
        <w:rPr>
          <w:i/>
          <w:iCs/>
          <w:lang w:val="nl-NL"/>
        </w:rPr>
      </w:pPr>
      <w:r w:rsidRPr="00043B9A">
        <w:rPr>
          <w:i/>
          <w:iCs/>
          <w:lang w:val="nl-NL"/>
        </w:rPr>
        <w:t>Artikel 3</w:t>
      </w:r>
      <w:r w:rsidRPr="00043B9A" w:rsidR="003B3190">
        <w:rPr>
          <w:i/>
          <w:iCs/>
          <w:lang w:val="nl-NL"/>
        </w:rPr>
        <w:t xml:space="preserve"> Recht op </w:t>
      </w:r>
      <w:proofErr w:type="spellStart"/>
      <w:r w:rsidRPr="00043B9A" w:rsidR="00A43B5F">
        <w:rPr>
          <w:i/>
          <w:iCs/>
          <w:lang w:val="nl-NL"/>
        </w:rPr>
        <w:t>backpay</w:t>
      </w:r>
      <w:proofErr w:type="spellEnd"/>
      <w:r w:rsidRPr="00043B9A" w:rsidR="00A43B5F">
        <w:rPr>
          <w:i/>
          <w:iCs/>
          <w:lang w:val="nl-NL"/>
        </w:rPr>
        <w:t>-</w:t>
      </w:r>
      <w:r w:rsidRPr="00043B9A" w:rsidR="003B3190">
        <w:rPr>
          <w:i/>
          <w:iCs/>
          <w:lang w:val="nl-NL"/>
        </w:rPr>
        <w:t>uitkering</w:t>
      </w:r>
    </w:p>
    <w:p w:rsidR="002966F2" w:rsidP="00043B9A" w:rsidRDefault="00865AB5" w14:paraId="20F7A01F" w14:textId="777643EC">
      <w:pPr>
        <w:pStyle w:val="Geenafstand"/>
        <w:rPr>
          <w:lang w:val="nl-NL"/>
        </w:rPr>
      </w:pPr>
      <w:r>
        <w:rPr>
          <w:lang w:val="nl-NL"/>
        </w:rPr>
        <w:t>D</w:t>
      </w:r>
      <w:r w:rsidRPr="00333BAB" w:rsidR="00333BAB">
        <w:rPr>
          <w:lang w:val="nl-NL"/>
        </w:rPr>
        <w:t xml:space="preserve">it artikel </w:t>
      </w:r>
      <w:r>
        <w:rPr>
          <w:lang w:val="nl-NL"/>
        </w:rPr>
        <w:t xml:space="preserve">bepaalt de voorwaarden om in aanmerking te komen voor </w:t>
      </w:r>
      <w:r w:rsidR="00C4695B">
        <w:rPr>
          <w:lang w:val="nl-NL"/>
        </w:rPr>
        <w:t xml:space="preserve">een </w:t>
      </w:r>
      <w:proofErr w:type="spellStart"/>
      <w:r>
        <w:rPr>
          <w:lang w:val="nl-NL"/>
        </w:rPr>
        <w:t>backpay</w:t>
      </w:r>
      <w:proofErr w:type="spellEnd"/>
      <w:r w:rsidR="00C4695B">
        <w:rPr>
          <w:lang w:val="nl-NL"/>
        </w:rPr>
        <w:t>-uitkering.</w:t>
      </w:r>
      <w:r>
        <w:rPr>
          <w:lang w:val="nl-NL"/>
        </w:rPr>
        <w:t xml:space="preserve"> </w:t>
      </w:r>
      <w:r w:rsidR="000876BE">
        <w:rPr>
          <w:lang w:val="nl-NL"/>
        </w:rPr>
        <w:t>Zoals hiervoor is toegelicht, is er uitdrukkelijk voor gekozen om uitsluitend te voorzien in e</w:t>
      </w:r>
      <w:r w:rsidRPr="00D30CCB" w:rsidR="000876BE">
        <w:rPr>
          <w:lang w:val="nl-NL"/>
        </w:rPr>
        <w:t xml:space="preserve">en </w:t>
      </w:r>
      <w:proofErr w:type="spellStart"/>
      <w:r w:rsidRPr="00D30CCB" w:rsidR="000876BE">
        <w:rPr>
          <w:lang w:val="nl-NL"/>
        </w:rPr>
        <w:t>backpay</w:t>
      </w:r>
      <w:proofErr w:type="spellEnd"/>
      <w:r w:rsidRPr="00D30CCB" w:rsidR="000876BE">
        <w:rPr>
          <w:lang w:val="nl-NL"/>
        </w:rPr>
        <w:t>-uitkering voor nog in leven zijnde weduwen en weduwnaars</w:t>
      </w:r>
      <w:r w:rsidR="00E52E00">
        <w:rPr>
          <w:lang w:val="nl-NL"/>
        </w:rPr>
        <w:t xml:space="preserve">. Dit zijn de personen die gehuwd waren, een geregistreerd partnerschap hadden of duurzaam een gezamenlijke huishouding voerden met een </w:t>
      </w:r>
      <w:r w:rsidRPr="00D30CCB" w:rsidR="000876BE">
        <w:rPr>
          <w:lang w:val="nl-NL"/>
        </w:rPr>
        <w:t>ambtena</w:t>
      </w:r>
      <w:r w:rsidR="00E52E00">
        <w:rPr>
          <w:lang w:val="nl-NL"/>
        </w:rPr>
        <w:t>a</w:t>
      </w:r>
      <w:r w:rsidRPr="00D30CCB" w:rsidR="000876BE">
        <w:rPr>
          <w:lang w:val="nl-NL"/>
        </w:rPr>
        <w:t>r</w:t>
      </w:r>
      <w:r w:rsidR="00E52E00">
        <w:rPr>
          <w:lang w:val="nl-NL"/>
        </w:rPr>
        <w:t xml:space="preserve"> of </w:t>
      </w:r>
      <w:r w:rsidRPr="00D30CCB" w:rsidR="000876BE">
        <w:rPr>
          <w:lang w:val="nl-NL"/>
        </w:rPr>
        <w:t xml:space="preserve">militair </w:t>
      </w:r>
      <w:r w:rsidR="000876BE">
        <w:rPr>
          <w:lang w:val="nl-NL"/>
        </w:rPr>
        <w:t>Nederlands-Indisch Gouvernement</w:t>
      </w:r>
      <w:r w:rsidR="00E52E00">
        <w:rPr>
          <w:lang w:val="nl-NL"/>
        </w:rPr>
        <w:t xml:space="preserve"> op het moment van diens overlijden. De </w:t>
      </w:r>
      <w:r w:rsidR="000876BE">
        <w:rPr>
          <w:lang w:val="nl-NL"/>
        </w:rPr>
        <w:t>peildatum dat de weduwe of weduwnaar nog in leven moet zijn, betreft het moment van indiening van de aanvraa</w:t>
      </w:r>
      <w:r w:rsidR="004C0945">
        <w:rPr>
          <w:lang w:val="nl-NL"/>
        </w:rPr>
        <w:t xml:space="preserve">g. Dat is het moment waarop de persoon zich kenbaar maakt als weduwe of weduwnaar. Aanvragen kunnen worden ingediend vanaf de dag waarop de beleidsregel in werking treedt (zie ook artikel 5). Voorafgaand aan de inwerkingtreding van de beleidsregel zal worden voorzien in de benodigde informatievoorziening zodat het voor weduwen en weduwnaars in principe mogelijk zal zijn om gelijk op de dag van inwerkingtreding van de beleidsregel een aanvraag in te dienen. </w:t>
      </w:r>
    </w:p>
    <w:p w:rsidR="002966F2" w:rsidP="00043B9A" w:rsidRDefault="002966F2" w14:paraId="431FFD8A" w14:textId="77777777">
      <w:pPr>
        <w:pStyle w:val="Geenafstand"/>
        <w:rPr>
          <w:lang w:val="nl-NL"/>
        </w:rPr>
      </w:pPr>
    </w:p>
    <w:p w:rsidR="003942AA" w:rsidP="00043B9A" w:rsidRDefault="002966F2" w14:paraId="5910605A" w14:textId="49FB5236">
      <w:pPr>
        <w:pStyle w:val="Geenafstand"/>
        <w:rPr>
          <w:lang w:val="nl-NL"/>
        </w:rPr>
      </w:pPr>
      <w:r>
        <w:rPr>
          <w:lang w:val="nl-NL"/>
        </w:rPr>
        <w:t xml:space="preserve">Het tweede en derde lid bepaalt in welke omstandigheden een weduwe of weduwnaar toch geen recht op een </w:t>
      </w:r>
      <w:proofErr w:type="spellStart"/>
      <w:r>
        <w:rPr>
          <w:lang w:val="nl-NL"/>
        </w:rPr>
        <w:t>backpay</w:t>
      </w:r>
      <w:proofErr w:type="spellEnd"/>
      <w:r>
        <w:rPr>
          <w:lang w:val="nl-NL"/>
        </w:rPr>
        <w:t>-uitkering heeft. Dat is allereerst het geval als aan de overleden echtgenoot</w:t>
      </w:r>
      <w:r w:rsidR="00334B37">
        <w:rPr>
          <w:lang w:val="nl-NL"/>
        </w:rPr>
        <w:t xml:space="preserve"> of partner</w:t>
      </w:r>
      <w:r>
        <w:rPr>
          <w:lang w:val="nl-NL"/>
        </w:rPr>
        <w:t xml:space="preserve"> </w:t>
      </w:r>
      <w:proofErr w:type="spellStart"/>
      <w:r>
        <w:rPr>
          <w:lang w:val="nl-NL"/>
        </w:rPr>
        <w:t>backpay</w:t>
      </w:r>
      <w:proofErr w:type="spellEnd"/>
      <w:r>
        <w:rPr>
          <w:lang w:val="nl-NL"/>
        </w:rPr>
        <w:t xml:space="preserve"> is toegekend op grond van de Uitkeringsregeling </w:t>
      </w:r>
      <w:proofErr w:type="spellStart"/>
      <w:r>
        <w:rPr>
          <w:lang w:val="nl-NL"/>
        </w:rPr>
        <w:t>Backpay</w:t>
      </w:r>
      <w:proofErr w:type="spellEnd"/>
      <w:r>
        <w:rPr>
          <w:lang w:val="nl-NL"/>
        </w:rPr>
        <w:t xml:space="preserve"> uit 2015</w:t>
      </w:r>
      <w:r w:rsidR="004D5A7B">
        <w:rPr>
          <w:lang w:val="nl-NL"/>
        </w:rPr>
        <w:t xml:space="preserve"> of aan diens erfgenamen op grond van artikel 3, tweede lid, van die regeling</w:t>
      </w:r>
      <w:r>
        <w:rPr>
          <w:lang w:val="nl-NL"/>
        </w:rPr>
        <w:t xml:space="preserve">. </w:t>
      </w:r>
      <w:r w:rsidR="004413A2">
        <w:rPr>
          <w:lang w:val="nl-NL"/>
        </w:rPr>
        <w:t xml:space="preserve">Met </w:t>
      </w:r>
      <w:r w:rsidR="000433FA">
        <w:rPr>
          <w:lang w:val="nl-NL"/>
        </w:rPr>
        <w:t xml:space="preserve">de </w:t>
      </w:r>
      <w:r w:rsidR="004413A2">
        <w:rPr>
          <w:lang w:val="nl-NL"/>
        </w:rPr>
        <w:t>uitbetal</w:t>
      </w:r>
      <w:r w:rsidR="000433FA">
        <w:rPr>
          <w:lang w:val="nl-NL"/>
        </w:rPr>
        <w:t>ing</w:t>
      </w:r>
      <w:r w:rsidR="004413A2">
        <w:rPr>
          <w:lang w:val="nl-NL"/>
        </w:rPr>
        <w:t xml:space="preserve"> van </w:t>
      </w:r>
      <w:proofErr w:type="spellStart"/>
      <w:r w:rsidR="004413A2">
        <w:rPr>
          <w:lang w:val="nl-NL"/>
        </w:rPr>
        <w:t>backpay</w:t>
      </w:r>
      <w:proofErr w:type="spellEnd"/>
      <w:r w:rsidR="004413A2">
        <w:rPr>
          <w:lang w:val="nl-NL"/>
        </w:rPr>
        <w:t xml:space="preserve"> aan </w:t>
      </w:r>
      <w:r>
        <w:rPr>
          <w:lang w:val="nl-NL"/>
        </w:rPr>
        <w:t>de echtgenoot</w:t>
      </w:r>
      <w:r w:rsidR="004246B9">
        <w:rPr>
          <w:lang w:val="nl-NL"/>
        </w:rPr>
        <w:t>, partner</w:t>
      </w:r>
      <w:r>
        <w:rPr>
          <w:lang w:val="nl-NL"/>
        </w:rPr>
        <w:t xml:space="preserve"> of </w:t>
      </w:r>
      <w:r w:rsidR="004D5A7B">
        <w:rPr>
          <w:lang w:val="nl-NL"/>
        </w:rPr>
        <w:t>erfgenamen</w:t>
      </w:r>
      <w:r w:rsidR="004413A2">
        <w:rPr>
          <w:lang w:val="nl-NL"/>
        </w:rPr>
        <w:t xml:space="preserve">, is reeds </w:t>
      </w:r>
      <w:r w:rsidR="003B12C7">
        <w:rPr>
          <w:lang w:val="nl-NL"/>
        </w:rPr>
        <w:t xml:space="preserve">een vorm van </w:t>
      </w:r>
      <w:r>
        <w:rPr>
          <w:lang w:val="nl-NL"/>
        </w:rPr>
        <w:t>rechtsherstel</w:t>
      </w:r>
      <w:r w:rsidR="003B12C7">
        <w:rPr>
          <w:lang w:val="nl-NL"/>
        </w:rPr>
        <w:t xml:space="preserve"> geboden</w:t>
      </w:r>
      <w:r w:rsidR="004413A2">
        <w:rPr>
          <w:lang w:val="nl-NL"/>
        </w:rPr>
        <w:t xml:space="preserve">. </w:t>
      </w:r>
      <w:r w:rsidR="000433FA">
        <w:rPr>
          <w:lang w:val="nl-NL"/>
        </w:rPr>
        <w:t>Daarnaast</w:t>
      </w:r>
      <w:r w:rsidR="004413A2">
        <w:rPr>
          <w:lang w:val="nl-NL"/>
        </w:rPr>
        <w:t xml:space="preserve"> </w:t>
      </w:r>
      <w:r w:rsidR="000433FA">
        <w:rPr>
          <w:lang w:val="nl-NL"/>
        </w:rPr>
        <w:t xml:space="preserve">worden </w:t>
      </w:r>
      <w:r>
        <w:rPr>
          <w:lang w:val="nl-NL"/>
        </w:rPr>
        <w:t xml:space="preserve">weduwen of weduwnaars </w:t>
      </w:r>
      <w:r w:rsidRPr="00C74C28" w:rsidR="00C74C28">
        <w:rPr>
          <w:lang w:val="nl-NL"/>
        </w:rPr>
        <w:t xml:space="preserve">die zelf of wiens overleden </w:t>
      </w:r>
      <w:r>
        <w:rPr>
          <w:lang w:val="nl-NL"/>
        </w:rPr>
        <w:t xml:space="preserve">echtgenoot </w:t>
      </w:r>
      <w:r w:rsidR="00CA39FB">
        <w:rPr>
          <w:lang w:val="nl-NL"/>
        </w:rPr>
        <w:t xml:space="preserve">of </w:t>
      </w:r>
      <w:r w:rsidRPr="00C74C28" w:rsidR="00C74C28">
        <w:rPr>
          <w:lang w:val="nl-NL"/>
        </w:rPr>
        <w:t xml:space="preserve">partner </w:t>
      </w:r>
      <w:r w:rsidR="004413A2">
        <w:rPr>
          <w:lang w:val="nl-NL"/>
        </w:rPr>
        <w:t xml:space="preserve">zich tijdens de Tweede Wereldoorlog </w:t>
      </w:r>
      <w:r w:rsidR="000433FA">
        <w:rPr>
          <w:lang w:val="nl-NL"/>
        </w:rPr>
        <w:t xml:space="preserve">schuldig </w:t>
      </w:r>
      <w:r w:rsidR="00BC351B">
        <w:rPr>
          <w:lang w:val="nl-NL"/>
        </w:rPr>
        <w:t>hebben</w:t>
      </w:r>
      <w:r w:rsidR="000433FA">
        <w:rPr>
          <w:lang w:val="nl-NL"/>
        </w:rPr>
        <w:t xml:space="preserve"> gemaakt aan collaboratie met een vijandige mogendheid </w:t>
      </w:r>
      <w:r>
        <w:rPr>
          <w:lang w:val="nl-NL"/>
        </w:rPr>
        <w:t xml:space="preserve">en daarvoor door de rechter </w:t>
      </w:r>
      <w:r w:rsidR="00334B37">
        <w:rPr>
          <w:lang w:val="nl-NL"/>
        </w:rPr>
        <w:t xml:space="preserve">zijn </w:t>
      </w:r>
      <w:r>
        <w:rPr>
          <w:lang w:val="nl-NL"/>
        </w:rPr>
        <w:t>veroordeeld</w:t>
      </w:r>
      <w:r w:rsidR="00D054D1">
        <w:rPr>
          <w:lang w:val="nl-NL"/>
        </w:rPr>
        <w:t xml:space="preserve">, </w:t>
      </w:r>
      <w:r w:rsidR="000433FA">
        <w:rPr>
          <w:lang w:val="nl-NL"/>
        </w:rPr>
        <w:t>uitgezonderd</w:t>
      </w:r>
      <w:r w:rsidR="004413A2">
        <w:rPr>
          <w:lang w:val="nl-NL"/>
        </w:rPr>
        <w:t>.</w:t>
      </w:r>
      <w:r w:rsidR="000433FA">
        <w:rPr>
          <w:lang w:val="nl-NL"/>
        </w:rPr>
        <w:t xml:space="preserve"> In de eerste plaats gaat het daarbij om collaboratie met de Japanse bezetter in Nederlands-Indië</w:t>
      </w:r>
      <w:r w:rsidR="00570856">
        <w:rPr>
          <w:lang w:val="nl-NL"/>
        </w:rPr>
        <w:t>/Indonesië</w:t>
      </w:r>
      <w:r w:rsidR="000433FA">
        <w:rPr>
          <w:lang w:val="nl-NL"/>
        </w:rPr>
        <w:t xml:space="preserve"> maar ten aanzien van de </w:t>
      </w:r>
      <w:r>
        <w:rPr>
          <w:lang w:val="nl-NL"/>
        </w:rPr>
        <w:t>weduwe of weduwnaar</w:t>
      </w:r>
      <w:r w:rsidR="000433FA">
        <w:rPr>
          <w:lang w:val="nl-NL"/>
        </w:rPr>
        <w:t xml:space="preserve"> zou ook sprake kunnen zijn geweest van collaboratie met de Duitse bezetter in Nederland</w:t>
      </w:r>
      <w:r w:rsidR="005F06A3">
        <w:rPr>
          <w:lang w:val="nl-NL"/>
        </w:rPr>
        <w:t xml:space="preserve"> of elders in Europa</w:t>
      </w:r>
      <w:r w:rsidR="000433FA">
        <w:rPr>
          <w:lang w:val="nl-NL"/>
        </w:rPr>
        <w:t>.</w:t>
      </w:r>
      <w:r w:rsidR="004413A2">
        <w:rPr>
          <w:lang w:val="nl-NL"/>
        </w:rPr>
        <w:t xml:space="preserve"> </w:t>
      </w:r>
      <w:r w:rsidRPr="004413A2" w:rsidR="004413A2">
        <w:rPr>
          <w:lang w:val="nl-NL"/>
        </w:rPr>
        <w:t xml:space="preserve">Daarnaast worden </w:t>
      </w:r>
      <w:r>
        <w:rPr>
          <w:lang w:val="nl-NL"/>
        </w:rPr>
        <w:t>weduwen of weduwnaars</w:t>
      </w:r>
      <w:r w:rsidRPr="00C74C28" w:rsidR="00C74C28">
        <w:rPr>
          <w:lang w:val="nl-NL"/>
        </w:rPr>
        <w:t xml:space="preserve"> die zelf of wiens overleden </w:t>
      </w:r>
      <w:r>
        <w:rPr>
          <w:lang w:val="nl-NL"/>
        </w:rPr>
        <w:t xml:space="preserve">echtgenoot </w:t>
      </w:r>
      <w:r w:rsidRPr="00C74C28" w:rsidR="00C74C28">
        <w:rPr>
          <w:lang w:val="nl-NL"/>
        </w:rPr>
        <w:t>partner</w:t>
      </w:r>
      <w:r w:rsidR="00C74C28">
        <w:rPr>
          <w:lang w:val="nl-NL"/>
        </w:rPr>
        <w:t xml:space="preserve"> </w:t>
      </w:r>
      <w:r w:rsidRPr="004413A2" w:rsidR="004413A2">
        <w:rPr>
          <w:lang w:val="nl-NL"/>
        </w:rPr>
        <w:t>gedurende (een deel van) de bezetting de Japanse nationaliteit bezaten</w:t>
      </w:r>
      <w:r w:rsidR="004413A2">
        <w:rPr>
          <w:lang w:val="nl-NL"/>
        </w:rPr>
        <w:t xml:space="preserve">, </w:t>
      </w:r>
      <w:r>
        <w:rPr>
          <w:lang w:val="nl-NL"/>
        </w:rPr>
        <w:t xml:space="preserve">ook </w:t>
      </w:r>
      <w:r w:rsidR="004413A2">
        <w:rPr>
          <w:lang w:val="nl-NL"/>
        </w:rPr>
        <w:t>uitgesloten</w:t>
      </w:r>
      <w:r w:rsidRPr="004413A2" w:rsidR="004413A2">
        <w:rPr>
          <w:lang w:val="nl-NL"/>
        </w:rPr>
        <w:t>.</w:t>
      </w:r>
      <w:r w:rsidR="004413A2">
        <w:rPr>
          <w:lang w:val="nl-NL"/>
        </w:rPr>
        <w:t xml:space="preserve"> </w:t>
      </w:r>
      <w:r>
        <w:rPr>
          <w:lang w:val="nl-NL"/>
        </w:rPr>
        <w:t xml:space="preserve">Deze uitsluitingsvoorwaarden zijn in lijn met de Uitkeringsregeling </w:t>
      </w:r>
      <w:proofErr w:type="spellStart"/>
      <w:r>
        <w:rPr>
          <w:lang w:val="nl-NL"/>
        </w:rPr>
        <w:t>Backpay</w:t>
      </w:r>
      <w:proofErr w:type="spellEnd"/>
      <w:r>
        <w:rPr>
          <w:lang w:val="nl-NL"/>
        </w:rPr>
        <w:t xml:space="preserve"> uit 2015. </w:t>
      </w:r>
    </w:p>
    <w:p w:rsidR="001F1D08" w:rsidP="00333BAB" w:rsidRDefault="001F1D08" w14:paraId="471EA9C4" w14:textId="77777777">
      <w:pPr>
        <w:spacing w:after="0"/>
        <w:rPr>
          <w:szCs w:val="18"/>
          <w:lang w:val="nl-NL"/>
        </w:rPr>
      </w:pPr>
    </w:p>
    <w:p w:rsidRPr="00043B9A" w:rsidR="00180174" w:rsidP="00334B37" w:rsidRDefault="00180174" w14:paraId="0465CB49" w14:textId="1D9FC683">
      <w:pPr>
        <w:pStyle w:val="Geenafstand"/>
        <w:rPr>
          <w:i/>
          <w:iCs/>
          <w:lang w:val="nl-NL"/>
        </w:rPr>
      </w:pPr>
      <w:r w:rsidRPr="00043B9A">
        <w:rPr>
          <w:i/>
          <w:iCs/>
          <w:lang w:val="nl-NL"/>
        </w:rPr>
        <w:t>Artikel 4 Gelijkstelling ambtenaren of militairen</w:t>
      </w:r>
    </w:p>
    <w:p w:rsidR="00496E1C" w:rsidP="00334B37" w:rsidRDefault="00180174" w14:paraId="4F092700" w14:textId="0A98171F">
      <w:pPr>
        <w:pStyle w:val="Geenafstand"/>
        <w:rPr>
          <w:lang w:val="nl-NL"/>
        </w:rPr>
      </w:pPr>
      <w:r>
        <w:rPr>
          <w:lang w:val="nl-NL"/>
        </w:rPr>
        <w:t xml:space="preserve">Met ambtenaren en militairen Nederlands-Indisch gouvernement worden gelijkgesteld </w:t>
      </w:r>
      <w:r w:rsidR="00404F7B">
        <w:rPr>
          <w:lang w:val="nl-NL"/>
        </w:rPr>
        <w:t xml:space="preserve">de personen </w:t>
      </w:r>
      <w:r>
        <w:rPr>
          <w:lang w:val="nl-NL"/>
        </w:rPr>
        <w:t xml:space="preserve">die </w:t>
      </w:r>
      <w:r w:rsidRPr="007A1F84">
        <w:rPr>
          <w:lang w:val="nl-NL"/>
        </w:rPr>
        <w:t xml:space="preserve">onder gezag stonden van het Nederlands-Indisch Gouvernement of het </w:t>
      </w:r>
      <w:r w:rsidR="00404F7B">
        <w:rPr>
          <w:lang w:val="nl-NL"/>
        </w:rPr>
        <w:t xml:space="preserve">Koninklijk Nederlands Indisch Leger (KNIL) </w:t>
      </w:r>
      <w:r w:rsidRPr="007A1F84">
        <w:rPr>
          <w:lang w:val="nl-NL"/>
        </w:rPr>
        <w:t xml:space="preserve">en werden betaald door het Nederlands-Indisch Gouvernement </w:t>
      </w:r>
      <w:r w:rsidR="00404F7B">
        <w:rPr>
          <w:lang w:val="nl-NL"/>
        </w:rPr>
        <w:t xml:space="preserve">(of waar sprake was van een betalingsverplichting) </w:t>
      </w:r>
      <w:r w:rsidRPr="007A1F84">
        <w:rPr>
          <w:lang w:val="nl-NL"/>
        </w:rPr>
        <w:t>of wiens salaris uit publieke middelen werd betaald.</w:t>
      </w:r>
      <w:r>
        <w:rPr>
          <w:lang w:val="nl-NL"/>
        </w:rPr>
        <w:t xml:space="preserve"> Deze personen kregen immers ook geen salaris meer uitbetaald vanwege het wegvallen van het gezag van het Nederlands-Indisch Gouvernement. </w:t>
      </w:r>
    </w:p>
    <w:p w:rsidR="00CD7F1D" w:rsidP="00334B37" w:rsidRDefault="00CD7F1D" w14:paraId="6BDEB51C" w14:textId="77777777">
      <w:pPr>
        <w:pStyle w:val="Geenafstand"/>
        <w:rPr>
          <w:lang w:val="nl-NL"/>
        </w:rPr>
      </w:pPr>
    </w:p>
    <w:p w:rsidR="00180174" w:rsidP="00334B37" w:rsidRDefault="00CD7F1D" w14:paraId="0564BAFA" w14:textId="319AAA1E">
      <w:pPr>
        <w:pStyle w:val="Geenafstand"/>
        <w:rPr>
          <w:lang w:val="nl-NL"/>
        </w:rPr>
      </w:pPr>
      <w:r>
        <w:rPr>
          <w:lang w:val="nl-NL"/>
        </w:rPr>
        <w:t xml:space="preserve">Bij de uitvoering van de Uitkeringsregeling </w:t>
      </w:r>
      <w:proofErr w:type="spellStart"/>
      <w:r w:rsidR="00846D2D">
        <w:rPr>
          <w:lang w:val="nl-NL"/>
        </w:rPr>
        <w:t>B</w:t>
      </w:r>
      <w:r>
        <w:rPr>
          <w:lang w:val="nl-NL"/>
        </w:rPr>
        <w:t>ackpay</w:t>
      </w:r>
      <w:proofErr w:type="spellEnd"/>
      <w:r>
        <w:rPr>
          <w:lang w:val="nl-NL"/>
        </w:rPr>
        <w:t xml:space="preserve"> in 2015 is in een aantal gevallen aan de hand van de concrete omstandigheden van het geval geoordeeld dat de dienstbetrekking en situatie van de betrokken persoon dermate vergelijkbaar was met die van de ambtenaren en militairen van de doelgroep dat </w:t>
      </w:r>
      <w:r w:rsidR="00C721C2">
        <w:rPr>
          <w:lang w:val="nl-NL"/>
        </w:rPr>
        <w:t>die persoon daarmee dien</w:t>
      </w:r>
      <w:r w:rsidR="00846D2D">
        <w:rPr>
          <w:lang w:val="nl-NL"/>
        </w:rPr>
        <w:t xml:space="preserve">de </w:t>
      </w:r>
      <w:r w:rsidR="00C721C2">
        <w:rPr>
          <w:lang w:val="nl-NL"/>
        </w:rPr>
        <w:t xml:space="preserve">te worden gelijkgesteld. </w:t>
      </w:r>
      <w:r w:rsidR="009035D5">
        <w:rPr>
          <w:lang w:val="nl-NL"/>
        </w:rPr>
        <w:t xml:space="preserve">Dit betrof bijvoorbeeld stads- en landwachten of leden van een vernielingskorps waarvan het dienstverband vaststaat in de periode van 20 februari 1942 tot 8 maart 1942. </w:t>
      </w:r>
      <w:r w:rsidR="00C721C2">
        <w:rPr>
          <w:lang w:val="nl-NL"/>
        </w:rPr>
        <w:t xml:space="preserve">In die gevallen is dus een uitkering toegekend. </w:t>
      </w:r>
      <w:r>
        <w:rPr>
          <w:lang w:val="nl-NL"/>
        </w:rPr>
        <w:t>Bij de uitvoering van de onderhavige beleidsregel z</w:t>
      </w:r>
      <w:r w:rsidR="003B7E75">
        <w:rPr>
          <w:lang w:val="nl-NL"/>
        </w:rPr>
        <w:t xml:space="preserve">al in gelijke gevallen dezelfde lijn worden gehanteerd. </w:t>
      </w:r>
    </w:p>
    <w:p w:rsidRPr="00043B9A" w:rsidR="00D054D1" w:rsidP="00334B37" w:rsidRDefault="00D054D1" w14:paraId="333F53BF" w14:textId="77777777">
      <w:pPr>
        <w:pStyle w:val="Geenafstand"/>
        <w:rPr>
          <w:i/>
          <w:iCs/>
          <w:lang w:val="nl-NL"/>
        </w:rPr>
      </w:pPr>
    </w:p>
    <w:p w:rsidRPr="00043B9A" w:rsidR="001F1D08" w:rsidP="00334B37" w:rsidRDefault="0098732D" w14:paraId="4E14C4C8" w14:textId="2E225883">
      <w:pPr>
        <w:pStyle w:val="Geenafstand"/>
        <w:rPr>
          <w:i/>
          <w:iCs/>
          <w:lang w:val="nl-NL"/>
        </w:rPr>
      </w:pPr>
      <w:r w:rsidRPr="00043B9A">
        <w:rPr>
          <w:i/>
          <w:iCs/>
          <w:lang w:val="nl-NL"/>
        </w:rPr>
        <w:t xml:space="preserve">Artikel </w:t>
      </w:r>
      <w:r w:rsidRPr="00043B9A" w:rsidR="00180174">
        <w:rPr>
          <w:i/>
          <w:iCs/>
          <w:lang w:val="nl-NL"/>
        </w:rPr>
        <w:t>5</w:t>
      </w:r>
      <w:r w:rsidRPr="00043B9A" w:rsidR="003B3190">
        <w:rPr>
          <w:i/>
          <w:iCs/>
          <w:lang w:val="nl-NL"/>
        </w:rPr>
        <w:t xml:space="preserve"> Aanvraag via aanvraagformulier</w:t>
      </w:r>
    </w:p>
    <w:p w:rsidRPr="00AE3892" w:rsidR="00C248B9" w:rsidP="00334B37" w:rsidRDefault="00177F4A" w14:paraId="5EF0E024" w14:textId="414E0C89">
      <w:pPr>
        <w:pStyle w:val="Geenafstand"/>
        <w:rPr>
          <w:lang w:val="nl-NL"/>
        </w:rPr>
      </w:pPr>
      <w:r>
        <w:rPr>
          <w:lang w:val="nl-NL"/>
        </w:rPr>
        <w:t xml:space="preserve">De aanvraag moet overeenkomstig </w:t>
      </w:r>
      <w:r w:rsidR="00456ECC">
        <w:rPr>
          <w:lang w:val="nl-NL"/>
        </w:rPr>
        <w:t xml:space="preserve">het </w:t>
      </w:r>
      <w:r>
        <w:rPr>
          <w:lang w:val="nl-NL"/>
        </w:rPr>
        <w:t>eerste lid</w:t>
      </w:r>
      <w:r w:rsidR="00456ECC">
        <w:rPr>
          <w:lang w:val="nl-NL"/>
        </w:rPr>
        <w:t xml:space="preserve"> worden </w:t>
      </w:r>
      <w:r>
        <w:rPr>
          <w:lang w:val="nl-NL"/>
        </w:rPr>
        <w:t xml:space="preserve">gedaan door middel van een door de uitvoeringsorganisatie vastgesteld aanvraagformulier. </w:t>
      </w:r>
      <w:r w:rsidR="00C9729F">
        <w:rPr>
          <w:lang w:val="nl-NL"/>
        </w:rPr>
        <w:t xml:space="preserve">Voorafgaand aan de inwerkingtreding van de beleidsregel zal kenbaar worden gemaakt op welke wijze het aanvraagformulier kan worden ingediend. </w:t>
      </w:r>
      <w:r w:rsidR="00CE43D2">
        <w:rPr>
          <w:lang w:val="nl-NL"/>
        </w:rPr>
        <w:t xml:space="preserve">Indiening van de </w:t>
      </w:r>
      <w:r w:rsidR="00C248B9">
        <w:rPr>
          <w:lang w:val="nl-NL"/>
        </w:rPr>
        <w:t xml:space="preserve">aanvraag </w:t>
      </w:r>
      <w:r w:rsidR="00CE43D2">
        <w:rPr>
          <w:lang w:val="nl-NL"/>
        </w:rPr>
        <w:t xml:space="preserve">is mogelijk </w:t>
      </w:r>
      <w:r w:rsidR="009C3972">
        <w:rPr>
          <w:lang w:val="nl-NL"/>
        </w:rPr>
        <w:t xml:space="preserve">in de periode </w:t>
      </w:r>
      <w:r w:rsidR="00CE43D2">
        <w:rPr>
          <w:lang w:val="nl-NL"/>
        </w:rPr>
        <w:t>vanaf d</w:t>
      </w:r>
      <w:r w:rsidR="00C248B9">
        <w:rPr>
          <w:lang w:val="nl-NL"/>
        </w:rPr>
        <w:t>e dag waarop de beleidsregel in werking treedt tot uiterlijk één jaar daarna.</w:t>
      </w:r>
      <w:r w:rsidR="001541DA">
        <w:rPr>
          <w:lang w:val="nl-NL"/>
        </w:rPr>
        <w:t xml:space="preserve"> </w:t>
      </w:r>
      <w:r w:rsidR="00C248B9">
        <w:rPr>
          <w:lang w:val="nl-NL"/>
        </w:rPr>
        <w:t xml:space="preserve">De ontvangst van het aanvraagformulier wordt binnen twee weken bevestigd. </w:t>
      </w:r>
      <w:r w:rsidRPr="004E0B95" w:rsidR="00C248B9">
        <w:rPr>
          <w:lang w:val="nl-NL"/>
        </w:rPr>
        <w:t>De aanvragen zullen</w:t>
      </w:r>
      <w:r w:rsidR="00C248B9">
        <w:rPr>
          <w:lang w:val="nl-NL"/>
        </w:rPr>
        <w:t xml:space="preserve"> zoveel mogelijk </w:t>
      </w:r>
      <w:r w:rsidRPr="004E0B95" w:rsidR="00C248B9">
        <w:rPr>
          <w:lang w:val="nl-NL"/>
        </w:rPr>
        <w:t>in volgorde van ontvangst worden afgehandeld.</w:t>
      </w:r>
    </w:p>
    <w:p w:rsidR="00C248B9" w:rsidP="00AE3892" w:rsidRDefault="00C248B9" w14:paraId="39F8917C" w14:textId="77777777">
      <w:pPr>
        <w:spacing w:after="0"/>
        <w:rPr>
          <w:szCs w:val="18"/>
          <w:lang w:val="nl-NL"/>
        </w:rPr>
      </w:pPr>
    </w:p>
    <w:p w:rsidRPr="00334B37" w:rsidR="004A26A0" w:rsidP="00334B37" w:rsidRDefault="006D5F12" w14:paraId="66347F04" w14:textId="0E7669C6">
      <w:pPr>
        <w:pStyle w:val="Geenafstand"/>
        <w:rPr>
          <w:lang w:val="nl-NL"/>
        </w:rPr>
      </w:pPr>
      <w:r w:rsidRPr="00334B37">
        <w:rPr>
          <w:lang w:val="nl-NL"/>
        </w:rPr>
        <w:t xml:space="preserve">Bij de inrichting van de procedure is ernaar gestreefd om een balans te vinden tussen de belasting voor enerzijds de weduwe of weduwnaar en anderzijds de </w:t>
      </w:r>
      <w:r w:rsidRPr="00334B37" w:rsidR="00D10DC3">
        <w:rPr>
          <w:lang w:val="nl-NL"/>
        </w:rPr>
        <w:t xml:space="preserve">uitvoeringsorganisatie. </w:t>
      </w:r>
      <w:r w:rsidRPr="00334B37" w:rsidR="00456ECC">
        <w:rPr>
          <w:lang w:val="nl-NL"/>
        </w:rPr>
        <w:t xml:space="preserve">Via het aanvraagformulier worden (zoveel als mogelijk) de benodigde gegevens uitgevraagd. Dat betreft onder meer identificerende gegevens van de weduwe of weduwnaar en diens overleden echtgenoot of partner, alsmede gegevens over de (huwelijks)relatie en de dienstbetrekking van de echtgenoot of partner. Om </w:t>
      </w:r>
      <w:r w:rsidRPr="00334B37" w:rsidR="00476DA9">
        <w:rPr>
          <w:lang w:val="nl-NL"/>
        </w:rPr>
        <w:t xml:space="preserve">de procedure </w:t>
      </w:r>
      <w:r w:rsidRPr="00334B37" w:rsidR="00456ECC">
        <w:rPr>
          <w:lang w:val="nl-NL"/>
        </w:rPr>
        <w:t xml:space="preserve">zo laagdrempelig mogelijk te houden, </w:t>
      </w:r>
      <w:r w:rsidRPr="00334B37" w:rsidR="0075573B">
        <w:rPr>
          <w:lang w:val="nl-NL"/>
        </w:rPr>
        <w:t xml:space="preserve">behoeft de weduwe of weduwnaar bij de indiening van de aanvraag geen bewijsstukken te overleggen. De weduwe of weduwnaar wordt wel uitdrukkelijk uitgenodigd om, voor zover daarover wordt beschikt, bewijsstukken of andere documenten ter onderbouwing van de aanvraag te overleggen omdat dit de behandeling van de aanvraag kan bespoedigen. </w:t>
      </w:r>
      <w:r w:rsidRPr="00334B37" w:rsidR="000F0F11">
        <w:rPr>
          <w:lang w:val="nl-NL"/>
        </w:rPr>
        <w:t xml:space="preserve">Op basis van de bij de aanvraag </w:t>
      </w:r>
      <w:r w:rsidRPr="00334B37" w:rsidR="00CB0E4A">
        <w:rPr>
          <w:lang w:val="nl-NL"/>
        </w:rPr>
        <w:t>verstrekte gegevens</w:t>
      </w:r>
      <w:r w:rsidRPr="00334B37" w:rsidR="000F0F11">
        <w:rPr>
          <w:lang w:val="nl-NL"/>
        </w:rPr>
        <w:t xml:space="preserve"> zal d</w:t>
      </w:r>
      <w:r w:rsidRPr="00334B37" w:rsidR="00AE3892">
        <w:rPr>
          <w:lang w:val="nl-NL"/>
        </w:rPr>
        <w:t>e</w:t>
      </w:r>
      <w:r w:rsidRPr="00334B37" w:rsidR="000F0F11">
        <w:rPr>
          <w:lang w:val="nl-NL"/>
        </w:rPr>
        <w:t xml:space="preserve"> </w:t>
      </w:r>
      <w:r w:rsidRPr="00334B37" w:rsidR="00AE3892">
        <w:rPr>
          <w:lang w:val="nl-NL"/>
        </w:rPr>
        <w:t xml:space="preserve">uitvoeringsorganisatie </w:t>
      </w:r>
      <w:r w:rsidRPr="00334B37" w:rsidR="00A875F5">
        <w:rPr>
          <w:lang w:val="nl-NL"/>
        </w:rPr>
        <w:t xml:space="preserve">in eerste instantie </w:t>
      </w:r>
      <w:r w:rsidRPr="00334B37" w:rsidR="00CB0E4A">
        <w:rPr>
          <w:lang w:val="nl-NL"/>
        </w:rPr>
        <w:t xml:space="preserve">eigenstandig </w:t>
      </w:r>
      <w:r w:rsidRPr="00334B37" w:rsidR="00AE3892">
        <w:rPr>
          <w:lang w:val="nl-NL"/>
        </w:rPr>
        <w:t>ter verificatie</w:t>
      </w:r>
      <w:r w:rsidRPr="00334B37" w:rsidR="00180174">
        <w:rPr>
          <w:lang w:val="nl-NL"/>
        </w:rPr>
        <w:t xml:space="preserve"> </w:t>
      </w:r>
      <w:r w:rsidRPr="00334B37" w:rsidR="00AE3892">
        <w:rPr>
          <w:lang w:val="nl-NL"/>
        </w:rPr>
        <w:t xml:space="preserve">onderzoek doen in de voor </w:t>
      </w:r>
      <w:r w:rsidRPr="00334B37" w:rsidR="001556F9">
        <w:rPr>
          <w:lang w:val="nl-NL"/>
        </w:rPr>
        <w:t xml:space="preserve">de vaststelling van het recht </w:t>
      </w:r>
      <w:r w:rsidRPr="00334B37" w:rsidR="00FA44D8">
        <w:rPr>
          <w:lang w:val="nl-NL"/>
        </w:rPr>
        <w:t>op</w:t>
      </w:r>
      <w:r w:rsidRPr="00334B37" w:rsidR="001556F9">
        <w:rPr>
          <w:lang w:val="nl-NL"/>
        </w:rPr>
        <w:t xml:space="preserve"> </w:t>
      </w:r>
      <w:proofErr w:type="spellStart"/>
      <w:r w:rsidRPr="00334B37" w:rsidR="001556F9">
        <w:rPr>
          <w:lang w:val="nl-NL"/>
        </w:rPr>
        <w:t>backpay</w:t>
      </w:r>
      <w:proofErr w:type="spellEnd"/>
      <w:r w:rsidRPr="00334B37" w:rsidR="001556F9">
        <w:rPr>
          <w:lang w:val="nl-NL"/>
        </w:rPr>
        <w:t>-uitkering</w:t>
      </w:r>
      <w:r w:rsidRPr="00334B37" w:rsidR="00AE3892">
        <w:rPr>
          <w:lang w:val="nl-NL"/>
        </w:rPr>
        <w:t xml:space="preserve"> relevante</w:t>
      </w:r>
      <w:r w:rsidRPr="00334B37" w:rsidR="000F0F11">
        <w:rPr>
          <w:lang w:val="nl-NL"/>
        </w:rPr>
        <w:t xml:space="preserve"> bestanden en archieven. Dit zijn onder meer de </w:t>
      </w:r>
      <w:r w:rsidRPr="00334B37" w:rsidR="00AE3892">
        <w:rPr>
          <w:lang w:val="nl-NL"/>
        </w:rPr>
        <w:t>bronnen die berusten bij het Nationaal Archief, de Stichting Administratie Indonesische Pensioenen</w:t>
      </w:r>
      <w:r w:rsidRPr="00334B37" w:rsidR="000F0F11">
        <w:rPr>
          <w:lang w:val="nl-NL"/>
        </w:rPr>
        <w:t xml:space="preserve"> </w:t>
      </w:r>
      <w:r w:rsidRPr="00334B37" w:rsidR="00AE3892">
        <w:rPr>
          <w:lang w:val="nl-NL"/>
        </w:rPr>
        <w:t>(SAIP), de afdeling V&amp;O van de Sociale Verzekeringsbank</w:t>
      </w:r>
      <w:r w:rsidRPr="00334B37" w:rsidR="000F0F11">
        <w:rPr>
          <w:lang w:val="nl-NL"/>
        </w:rPr>
        <w:t xml:space="preserve">, </w:t>
      </w:r>
      <w:r w:rsidRPr="00334B37" w:rsidR="00AE3892">
        <w:rPr>
          <w:lang w:val="nl-NL"/>
        </w:rPr>
        <w:t xml:space="preserve">het Nederlandse Rode Kruis, </w:t>
      </w:r>
      <w:r w:rsidRPr="00334B37" w:rsidR="000F0F11">
        <w:rPr>
          <w:lang w:val="nl-NL"/>
        </w:rPr>
        <w:t xml:space="preserve">het archief van “Het Gebaar” en </w:t>
      </w:r>
      <w:r w:rsidRPr="00334B37" w:rsidR="00AE3892">
        <w:rPr>
          <w:lang w:val="nl-NL"/>
        </w:rPr>
        <w:t>de stamboeken en overige bronnen met vermeldingen van dienstbetrekkingen.</w:t>
      </w:r>
      <w:r w:rsidRPr="00334B37" w:rsidR="0075573B">
        <w:rPr>
          <w:lang w:val="nl-NL"/>
        </w:rPr>
        <w:t xml:space="preserve"> </w:t>
      </w:r>
      <w:r w:rsidRPr="00334B37" w:rsidR="004A26A0">
        <w:rPr>
          <w:lang w:val="nl-NL"/>
        </w:rPr>
        <w:t>De SVB beschikt over benodigde wettelijke grondslag daartoe op grond van</w:t>
      </w:r>
      <w:r w:rsidR="0093371C">
        <w:rPr>
          <w:lang w:val="nl-NL"/>
        </w:rPr>
        <w:t xml:space="preserve"> artikel 72 S</w:t>
      </w:r>
      <w:r w:rsidR="005C5CEF">
        <w:rPr>
          <w:lang w:val="nl-NL"/>
        </w:rPr>
        <w:t>UWI</w:t>
      </w:r>
      <w:r w:rsidR="0093371C">
        <w:rPr>
          <w:lang w:val="nl-NL"/>
        </w:rPr>
        <w:t>.</w:t>
      </w:r>
    </w:p>
    <w:p w:rsidRPr="00334B37" w:rsidR="004A26A0" w:rsidP="00334B37" w:rsidRDefault="004A26A0" w14:paraId="700FBB83" w14:textId="77777777">
      <w:pPr>
        <w:pStyle w:val="Geenafstand"/>
        <w:rPr>
          <w:lang w:val="nl-NL"/>
        </w:rPr>
      </w:pPr>
    </w:p>
    <w:p w:rsidR="00AE3892" w:rsidP="00334B37" w:rsidRDefault="00E44D24" w14:paraId="635F8168" w14:textId="1C0D6513">
      <w:pPr>
        <w:pStyle w:val="Geenafstand"/>
        <w:rPr>
          <w:szCs w:val="18"/>
          <w:lang w:val="nl-NL"/>
        </w:rPr>
      </w:pPr>
      <w:r>
        <w:rPr>
          <w:szCs w:val="18"/>
          <w:lang w:val="nl-NL"/>
        </w:rPr>
        <w:t xml:space="preserve">In het geval dat toch meer gegevens of bescheiden van de weduwe of weduwnaar nodig zijn voor de beoordeling van de aanvraag, dan kunnen deze worden opgevraagd. </w:t>
      </w:r>
      <w:r w:rsidR="0075573B">
        <w:rPr>
          <w:szCs w:val="18"/>
          <w:lang w:val="nl-NL"/>
        </w:rPr>
        <w:t xml:space="preserve">Dit is niet geregeld in de beleidsregel, omdat dit </w:t>
      </w:r>
      <w:r w:rsidR="00D10DC3">
        <w:rPr>
          <w:szCs w:val="18"/>
          <w:lang w:val="nl-NL"/>
        </w:rPr>
        <w:t xml:space="preserve">al is geregeld in </w:t>
      </w:r>
      <w:r w:rsidR="0075573B">
        <w:rPr>
          <w:szCs w:val="18"/>
          <w:lang w:val="nl-NL"/>
        </w:rPr>
        <w:t>artikel 4:2, tweede lid, van de Algemene wet bestuursrecht</w:t>
      </w:r>
      <w:r w:rsidR="00EA3AD5">
        <w:rPr>
          <w:szCs w:val="18"/>
          <w:lang w:val="nl-NL"/>
        </w:rPr>
        <w:t xml:space="preserve"> </w:t>
      </w:r>
      <w:r w:rsidR="00646920">
        <w:rPr>
          <w:szCs w:val="18"/>
          <w:lang w:val="nl-NL"/>
        </w:rPr>
        <w:t>(</w:t>
      </w:r>
      <w:proofErr w:type="spellStart"/>
      <w:r w:rsidR="00EA3AD5">
        <w:rPr>
          <w:szCs w:val="18"/>
          <w:lang w:val="nl-NL"/>
        </w:rPr>
        <w:t>Awb</w:t>
      </w:r>
      <w:proofErr w:type="spellEnd"/>
      <w:r w:rsidR="00EA3AD5">
        <w:rPr>
          <w:szCs w:val="18"/>
          <w:lang w:val="nl-NL"/>
        </w:rPr>
        <w:t>)</w:t>
      </w:r>
      <w:r w:rsidR="0075573B">
        <w:rPr>
          <w:szCs w:val="18"/>
          <w:lang w:val="nl-NL"/>
        </w:rPr>
        <w:t xml:space="preserve">. </w:t>
      </w:r>
      <w:r w:rsidR="00D10DC3">
        <w:rPr>
          <w:szCs w:val="18"/>
          <w:lang w:val="nl-NL"/>
        </w:rPr>
        <w:t xml:space="preserve">Hierin is bepaald </w:t>
      </w:r>
      <w:r w:rsidR="0075573B">
        <w:rPr>
          <w:szCs w:val="18"/>
          <w:lang w:val="nl-NL"/>
        </w:rPr>
        <w:t>dat een aanvra</w:t>
      </w:r>
      <w:r w:rsidR="00D10DC3">
        <w:rPr>
          <w:szCs w:val="18"/>
          <w:lang w:val="nl-NL"/>
        </w:rPr>
        <w:t>ger</w:t>
      </w:r>
      <w:r w:rsidR="0075573B">
        <w:rPr>
          <w:szCs w:val="18"/>
          <w:lang w:val="nl-NL"/>
        </w:rPr>
        <w:t xml:space="preserve"> de gegevens en bescheiden die voor de beslissing op een aanvraag nodig zijn en waarover hij redelijkerwijs de beschikking kan krijgen moet verschaffen. </w:t>
      </w:r>
    </w:p>
    <w:p w:rsidR="0082196D" w:rsidP="00334B37" w:rsidRDefault="0082196D" w14:paraId="68ECBB40" w14:textId="77777777">
      <w:pPr>
        <w:pStyle w:val="Geenafstand"/>
        <w:rPr>
          <w:szCs w:val="18"/>
          <w:lang w:val="nl-NL"/>
        </w:rPr>
      </w:pPr>
    </w:p>
    <w:p w:rsidR="0082196D" w:rsidP="00334B37" w:rsidRDefault="0082196D" w14:paraId="33F157D5" w14:textId="210B27D9">
      <w:pPr>
        <w:pStyle w:val="Geenafstand"/>
        <w:rPr>
          <w:szCs w:val="18"/>
          <w:lang w:val="nl-NL"/>
        </w:rPr>
      </w:pPr>
      <w:r>
        <w:rPr>
          <w:szCs w:val="18"/>
          <w:lang w:val="nl-NL"/>
        </w:rPr>
        <w:t xml:space="preserve">Met de ondertekening van het aanvraagformulier wordt toestemming verleend voor de verwerking van persoonsgegevens ten behoeve van de beoordeling van de aanvraag. </w:t>
      </w:r>
    </w:p>
    <w:p w:rsidR="006D5F12" w:rsidP="00AE3892" w:rsidRDefault="006D5F12" w14:paraId="5AF86FE3" w14:textId="77777777">
      <w:pPr>
        <w:spacing w:after="0"/>
        <w:rPr>
          <w:szCs w:val="18"/>
          <w:lang w:val="nl-NL"/>
        </w:rPr>
      </w:pPr>
    </w:p>
    <w:p w:rsidRPr="00334B37" w:rsidR="00C45570" w:rsidP="00334B37" w:rsidRDefault="00C45570" w14:paraId="715F9EB2" w14:textId="117CFCE0">
      <w:pPr>
        <w:pStyle w:val="Geenafstand"/>
        <w:rPr>
          <w:i/>
          <w:iCs/>
          <w:lang w:val="nl-NL"/>
        </w:rPr>
      </w:pPr>
      <w:r w:rsidRPr="00334B37">
        <w:rPr>
          <w:i/>
          <w:iCs/>
          <w:lang w:val="nl-NL"/>
        </w:rPr>
        <w:t xml:space="preserve">Artikel </w:t>
      </w:r>
      <w:r w:rsidRPr="00334B37" w:rsidR="009E7C04">
        <w:rPr>
          <w:i/>
          <w:iCs/>
          <w:lang w:val="nl-NL"/>
        </w:rPr>
        <w:t>6</w:t>
      </w:r>
      <w:r w:rsidRPr="00334B37">
        <w:rPr>
          <w:i/>
          <w:iCs/>
          <w:lang w:val="nl-NL"/>
        </w:rPr>
        <w:t xml:space="preserve"> Besluit</w:t>
      </w:r>
      <w:r w:rsidRPr="00334B37" w:rsidR="003D1FA5">
        <w:rPr>
          <w:i/>
          <w:iCs/>
          <w:lang w:val="nl-NL"/>
        </w:rPr>
        <w:t xml:space="preserve"> en uitbetaling</w:t>
      </w:r>
    </w:p>
    <w:p w:rsidR="00172A4F" w:rsidP="00334B37" w:rsidRDefault="00AB3891" w14:paraId="6F0B0C9E" w14:textId="0470915C">
      <w:pPr>
        <w:pStyle w:val="Geenafstand"/>
        <w:rPr>
          <w:lang w:val="nl-NL"/>
        </w:rPr>
      </w:pPr>
      <w:r>
        <w:rPr>
          <w:lang w:val="nl-NL"/>
        </w:rPr>
        <w:t>O</w:t>
      </w:r>
      <w:r w:rsidR="00786C93">
        <w:rPr>
          <w:lang w:val="nl-NL"/>
        </w:rPr>
        <w:t>p basis van de verstrekte en anderszins beschikbare gegevens</w:t>
      </w:r>
      <w:r>
        <w:rPr>
          <w:lang w:val="nl-NL"/>
        </w:rPr>
        <w:t xml:space="preserve"> wordt beoordeeld</w:t>
      </w:r>
      <w:r w:rsidR="00786C93">
        <w:rPr>
          <w:lang w:val="nl-NL"/>
        </w:rPr>
        <w:t xml:space="preserve"> </w:t>
      </w:r>
      <w:r w:rsidR="00C45B03">
        <w:rPr>
          <w:lang w:val="nl-NL"/>
        </w:rPr>
        <w:t xml:space="preserve">of een weduwe of weduwnaar </w:t>
      </w:r>
      <w:r w:rsidR="00786C93">
        <w:rPr>
          <w:lang w:val="nl-NL"/>
        </w:rPr>
        <w:t xml:space="preserve">in aanmerking komt voor een </w:t>
      </w:r>
      <w:proofErr w:type="spellStart"/>
      <w:r w:rsidR="00786C93">
        <w:rPr>
          <w:lang w:val="nl-NL"/>
        </w:rPr>
        <w:t>backpay</w:t>
      </w:r>
      <w:proofErr w:type="spellEnd"/>
      <w:r w:rsidR="00786C93">
        <w:rPr>
          <w:lang w:val="nl-NL"/>
        </w:rPr>
        <w:t xml:space="preserve">-uitkering. Het besluit op de aanvraag wordt binnen een termijn van dertien weken na ontvangst van de </w:t>
      </w:r>
      <w:r w:rsidR="00C405AE">
        <w:rPr>
          <w:lang w:val="nl-NL"/>
        </w:rPr>
        <w:t xml:space="preserve">volledige </w:t>
      </w:r>
      <w:r w:rsidR="00786C93">
        <w:rPr>
          <w:lang w:val="nl-NL"/>
        </w:rPr>
        <w:t xml:space="preserve">aanvraag genomen. </w:t>
      </w:r>
      <w:r w:rsidR="005A52A3">
        <w:rPr>
          <w:lang w:val="nl-NL"/>
        </w:rPr>
        <w:t xml:space="preserve">In de ontvangstbevestiging van de aanvraag zal de weduwe of weduwnaar over deze beslistermijn worden geïnformeerd. </w:t>
      </w:r>
      <w:r w:rsidR="00172A4F">
        <w:rPr>
          <w:lang w:val="nl-NL"/>
        </w:rPr>
        <w:t xml:space="preserve"> </w:t>
      </w:r>
      <w:r w:rsidR="00C405AE">
        <w:rPr>
          <w:lang w:val="nl-NL"/>
        </w:rPr>
        <w:t xml:space="preserve">Indien voor de beoordeling van de aanvraag nadere gegevens of bescheiden van de weduwe of weduwnaar nodig zijn, kan op grond van artikel 4:5, eerste lid, van de </w:t>
      </w:r>
      <w:proofErr w:type="spellStart"/>
      <w:r w:rsidR="00C405AE">
        <w:rPr>
          <w:lang w:val="nl-NL"/>
        </w:rPr>
        <w:t>Awb</w:t>
      </w:r>
      <w:proofErr w:type="spellEnd"/>
      <w:r w:rsidR="00C405AE">
        <w:rPr>
          <w:lang w:val="nl-NL"/>
        </w:rPr>
        <w:t xml:space="preserve"> een termijn worden gesteld waarbinnen de ontbrekende gegevens moeten worden aangeleverd. In dat geval wordt op grond van artikel 4:15 van de </w:t>
      </w:r>
      <w:proofErr w:type="spellStart"/>
      <w:r w:rsidR="00C405AE">
        <w:rPr>
          <w:lang w:val="nl-NL"/>
        </w:rPr>
        <w:t>Awb</w:t>
      </w:r>
      <w:proofErr w:type="spellEnd"/>
      <w:r w:rsidR="00C405AE">
        <w:rPr>
          <w:lang w:val="nl-NL"/>
        </w:rPr>
        <w:t xml:space="preserve"> de beslistermijn opgeschort. </w:t>
      </w:r>
    </w:p>
    <w:p w:rsidR="00BE3FC7" w:rsidP="00334B37" w:rsidRDefault="00BE3FC7" w14:paraId="588C195C" w14:textId="77777777">
      <w:pPr>
        <w:pStyle w:val="Geenafstand"/>
        <w:rPr>
          <w:lang w:val="nl-NL"/>
        </w:rPr>
      </w:pPr>
    </w:p>
    <w:p w:rsidR="00721CD4" w:rsidP="00334B37" w:rsidRDefault="002F5D63" w14:paraId="556611AD" w14:textId="6282209A">
      <w:pPr>
        <w:pStyle w:val="Geenafstand"/>
        <w:rPr>
          <w:lang w:val="nl-NL"/>
        </w:rPr>
      </w:pPr>
      <w:bookmarkStart w:name="_Hlk228451246" w:id="1"/>
      <w:r>
        <w:rPr>
          <w:lang w:val="nl-NL"/>
        </w:rPr>
        <w:t xml:space="preserve">De </w:t>
      </w:r>
      <w:proofErr w:type="spellStart"/>
      <w:r>
        <w:rPr>
          <w:lang w:val="nl-NL"/>
        </w:rPr>
        <w:t>backpay</w:t>
      </w:r>
      <w:proofErr w:type="spellEnd"/>
      <w:r>
        <w:rPr>
          <w:lang w:val="nl-NL"/>
        </w:rPr>
        <w:t>-uitkering wordt bij een toekennend besluit in één keer volledig uitbetaald</w:t>
      </w:r>
      <w:r w:rsidR="00721CD4">
        <w:rPr>
          <w:lang w:val="nl-NL"/>
        </w:rPr>
        <w:t xml:space="preserve">. </w:t>
      </w:r>
      <w:r w:rsidRPr="00043B9A" w:rsidR="00721CD4">
        <w:rPr>
          <w:lang w:val="nl-NL"/>
        </w:rPr>
        <w:t xml:space="preserve">De </w:t>
      </w:r>
      <w:proofErr w:type="spellStart"/>
      <w:r w:rsidR="00721CD4">
        <w:rPr>
          <w:lang w:val="nl-NL"/>
        </w:rPr>
        <w:t>backpay</w:t>
      </w:r>
      <w:proofErr w:type="spellEnd"/>
      <w:r w:rsidR="00721CD4">
        <w:rPr>
          <w:lang w:val="nl-NL"/>
        </w:rPr>
        <w:t>-</w:t>
      </w:r>
      <w:r w:rsidRPr="00043B9A" w:rsidR="00721CD4">
        <w:rPr>
          <w:lang w:val="nl-NL"/>
        </w:rPr>
        <w:t>uitkerin</w:t>
      </w:r>
      <w:r w:rsidR="00721CD4">
        <w:rPr>
          <w:lang w:val="nl-NL"/>
        </w:rPr>
        <w:t>g</w:t>
      </w:r>
      <w:r w:rsidRPr="00043B9A" w:rsidR="00721CD4">
        <w:rPr>
          <w:lang w:val="nl-NL"/>
        </w:rPr>
        <w:t xml:space="preserve"> is eenmalig en telt daarom niet mee voor het inkomen waarop de hoogte van bijvoorbeeld toeslagen wordt beoordeeld. Het bedrag wordt daarentegen na uitkering – voor zover het niet direct wordt besteed – wel onderdeel van het vermogen. Het eenmalige bedrag heeft daarbij effect op het vermogen dat meetelt voor toeslagen als huurtoeslag en zorgtoeslag, de Aanvullende inkomensvoorziening ouderen (AIO), Wet langdurige zorg en Wet maatschappelijke ondersteuning.</w:t>
      </w:r>
      <w:r>
        <w:rPr>
          <w:lang w:val="nl-NL"/>
        </w:rPr>
        <w:t xml:space="preserve"> </w:t>
      </w:r>
      <w:bookmarkEnd w:id="1"/>
      <w:r w:rsidRPr="002B49D5" w:rsidR="002B49D5">
        <w:rPr>
          <w:lang w:val="nl-NL"/>
        </w:rPr>
        <w:t xml:space="preserve">Om te voorkomen dat de </w:t>
      </w:r>
      <w:proofErr w:type="spellStart"/>
      <w:r w:rsidRPr="002B49D5" w:rsidR="002B49D5">
        <w:rPr>
          <w:lang w:val="nl-NL"/>
        </w:rPr>
        <w:t>backpay</w:t>
      </w:r>
      <w:proofErr w:type="spellEnd"/>
      <w:r w:rsidRPr="002B49D5" w:rsidR="002B49D5">
        <w:rPr>
          <w:lang w:val="nl-NL"/>
        </w:rPr>
        <w:t xml:space="preserve">-uitkering gevolg heeft voor de eventuele toeslagen en </w:t>
      </w:r>
      <w:r w:rsidRPr="00721CD4" w:rsidR="002B49D5">
        <w:rPr>
          <w:lang w:val="nl-NL"/>
        </w:rPr>
        <w:t xml:space="preserve">bijdragenverplichtingen van de weduwe of weduwnaar, worden de </w:t>
      </w:r>
      <w:r w:rsidRPr="00043B9A" w:rsidR="002B49D5">
        <w:rPr>
          <w:lang w:val="nl-NL"/>
        </w:rPr>
        <w:t>Uitvoeringsregeling loonbelasting 2011</w:t>
      </w:r>
      <w:r w:rsidRPr="00721CD4" w:rsidR="00721CD4">
        <w:rPr>
          <w:lang w:val="nl-NL"/>
        </w:rPr>
        <w:t xml:space="preserve">, de </w:t>
      </w:r>
      <w:r w:rsidRPr="00043B9A" w:rsidR="00721CD4">
        <w:rPr>
          <w:lang w:val="nl-NL"/>
        </w:rPr>
        <w:t>Regeling Participatiewet IOAW en IOAZ</w:t>
      </w:r>
      <w:r w:rsidRPr="00043B9A" w:rsidR="00721CD4">
        <w:rPr>
          <w:i/>
          <w:iCs/>
          <w:lang w:val="nl-NL"/>
        </w:rPr>
        <w:t xml:space="preserve"> </w:t>
      </w:r>
      <w:r w:rsidRPr="002B49D5" w:rsidR="002B49D5">
        <w:rPr>
          <w:lang w:val="nl-NL"/>
        </w:rPr>
        <w:t xml:space="preserve">en de </w:t>
      </w:r>
      <w:r w:rsidRPr="00043B9A" w:rsidR="002B49D5">
        <w:rPr>
          <w:lang w:val="nl-NL"/>
        </w:rPr>
        <w:t>Uitvoeringsregeling Algemene wet inkomensafhankelijke regelingen</w:t>
      </w:r>
      <w:r w:rsidRPr="002B49D5" w:rsidR="002B49D5">
        <w:rPr>
          <w:lang w:val="nl-NL"/>
        </w:rPr>
        <w:t xml:space="preserve"> aangepast. </w:t>
      </w:r>
    </w:p>
    <w:p w:rsidR="00721CD4" w:rsidP="00334B37" w:rsidRDefault="00721CD4" w14:paraId="1EF3AF22" w14:textId="77777777">
      <w:pPr>
        <w:pStyle w:val="Geenafstand"/>
        <w:rPr>
          <w:lang w:val="nl-NL"/>
        </w:rPr>
      </w:pPr>
    </w:p>
    <w:p w:rsidR="002B49D5" w:rsidP="00334B37" w:rsidRDefault="00721CD4" w14:paraId="1EE45D31" w14:textId="25A0A557">
      <w:pPr>
        <w:pStyle w:val="Geenafstand"/>
        <w:rPr>
          <w:lang w:val="nl-NL"/>
        </w:rPr>
      </w:pPr>
      <w:r>
        <w:rPr>
          <w:lang w:val="nl-NL"/>
        </w:rPr>
        <w:t>De uitbetaling zal zo spoedig mogelijk, maar uiterlijk binnen dertien weken plaatsvinden.</w:t>
      </w:r>
    </w:p>
    <w:p w:rsidRPr="00C45570" w:rsidR="00C45570" w:rsidP="00D40D99" w:rsidRDefault="00786C93" w14:paraId="1BE29F22" w14:textId="55C6D7C6">
      <w:pPr>
        <w:spacing w:after="0"/>
        <w:rPr>
          <w:i/>
          <w:iCs/>
          <w:szCs w:val="18"/>
          <w:lang w:val="nl-NL"/>
        </w:rPr>
      </w:pPr>
      <w:r>
        <w:rPr>
          <w:szCs w:val="18"/>
          <w:lang w:val="nl-NL"/>
        </w:rPr>
        <w:br/>
      </w:r>
      <w:r w:rsidRPr="00C45570" w:rsidR="00C45570">
        <w:rPr>
          <w:i/>
          <w:iCs/>
          <w:szCs w:val="18"/>
          <w:lang w:val="nl-NL"/>
        </w:rPr>
        <w:t>Artike</w:t>
      </w:r>
      <w:r w:rsidR="009E7C04">
        <w:rPr>
          <w:i/>
          <w:iCs/>
          <w:szCs w:val="18"/>
          <w:lang w:val="nl-NL"/>
        </w:rPr>
        <w:t>l</w:t>
      </w:r>
      <w:r w:rsidRPr="00C45570" w:rsidR="00C45570">
        <w:rPr>
          <w:i/>
          <w:iCs/>
          <w:szCs w:val="18"/>
          <w:lang w:val="nl-NL"/>
        </w:rPr>
        <w:t xml:space="preserve"> </w:t>
      </w:r>
      <w:r w:rsidR="009E7C04">
        <w:rPr>
          <w:i/>
          <w:iCs/>
          <w:szCs w:val="18"/>
          <w:lang w:val="nl-NL"/>
        </w:rPr>
        <w:t xml:space="preserve">7 </w:t>
      </w:r>
      <w:r w:rsidRPr="00C45570" w:rsidR="00C45570">
        <w:rPr>
          <w:i/>
          <w:iCs/>
          <w:szCs w:val="18"/>
          <w:lang w:val="nl-NL"/>
        </w:rPr>
        <w:t>Intrekking</w:t>
      </w:r>
      <w:r w:rsidR="0072084C">
        <w:rPr>
          <w:i/>
          <w:iCs/>
          <w:szCs w:val="18"/>
          <w:lang w:val="nl-NL"/>
        </w:rPr>
        <w:t xml:space="preserve"> en terugvordering</w:t>
      </w:r>
    </w:p>
    <w:p w:rsidR="00B06701" w:rsidRDefault="00C45570" w14:paraId="50952D58" w14:textId="39C549A6">
      <w:pPr>
        <w:rPr>
          <w:lang w:val="nl-NL"/>
        </w:rPr>
      </w:pPr>
      <w:r w:rsidRPr="00C45570">
        <w:rPr>
          <w:lang w:val="nl-NL"/>
        </w:rPr>
        <w:t>Dit artikel biedt de mogelijkheid om een besluit tot toekenning van</w:t>
      </w:r>
      <w:r>
        <w:rPr>
          <w:lang w:val="nl-NL"/>
        </w:rPr>
        <w:t xml:space="preserve"> een uitkering</w:t>
      </w:r>
      <w:r w:rsidRPr="00C45570">
        <w:rPr>
          <w:lang w:val="nl-NL"/>
        </w:rPr>
        <w:t xml:space="preserve"> in te trekken, indien de </w:t>
      </w:r>
      <w:proofErr w:type="spellStart"/>
      <w:r w:rsidR="00FA44D8">
        <w:rPr>
          <w:lang w:val="nl-NL"/>
        </w:rPr>
        <w:t>backpay</w:t>
      </w:r>
      <w:proofErr w:type="spellEnd"/>
      <w:r w:rsidR="00FA44D8">
        <w:rPr>
          <w:lang w:val="nl-NL"/>
        </w:rPr>
        <w:t>-</w:t>
      </w:r>
      <w:r w:rsidRPr="00C45570">
        <w:rPr>
          <w:lang w:val="nl-NL"/>
        </w:rPr>
        <w:t xml:space="preserve">uitkering ten onrechte </w:t>
      </w:r>
      <w:r w:rsidR="00FA44D8">
        <w:rPr>
          <w:lang w:val="nl-NL"/>
        </w:rPr>
        <w:t>blijkt te zijn</w:t>
      </w:r>
      <w:r w:rsidRPr="00C45570" w:rsidR="00FA44D8">
        <w:rPr>
          <w:lang w:val="nl-NL"/>
        </w:rPr>
        <w:t xml:space="preserve"> </w:t>
      </w:r>
      <w:r w:rsidRPr="00C45570">
        <w:rPr>
          <w:lang w:val="nl-NL"/>
        </w:rPr>
        <w:t>toegekend als gevolg van onjuiste of onvolledige informatieverstrekking</w:t>
      </w:r>
      <w:r w:rsidR="00786C93">
        <w:rPr>
          <w:lang w:val="nl-NL"/>
        </w:rPr>
        <w:t xml:space="preserve"> door de weduwe of weduwnaar</w:t>
      </w:r>
      <w:r w:rsidRPr="00C45570">
        <w:rPr>
          <w:lang w:val="nl-NL"/>
        </w:rPr>
        <w:t xml:space="preserve">. </w:t>
      </w:r>
      <w:r w:rsidR="00FA44D8">
        <w:rPr>
          <w:lang w:val="nl-NL"/>
        </w:rPr>
        <w:t xml:space="preserve">In het geval uitbetaling van de </w:t>
      </w:r>
      <w:proofErr w:type="spellStart"/>
      <w:r w:rsidR="00FA44D8">
        <w:rPr>
          <w:lang w:val="nl-NL"/>
        </w:rPr>
        <w:t>backpay</w:t>
      </w:r>
      <w:proofErr w:type="spellEnd"/>
      <w:r w:rsidR="00FA44D8">
        <w:rPr>
          <w:lang w:val="nl-NL"/>
        </w:rPr>
        <w:t xml:space="preserve">-uitkering op het moment van intrekking al heeft plaatsgevonden, wordt de uitbetaalde </w:t>
      </w:r>
      <w:proofErr w:type="spellStart"/>
      <w:r w:rsidR="00FA44D8">
        <w:rPr>
          <w:lang w:val="nl-NL"/>
        </w:rPr>
        <w:t>backpay</w:t>
      </w:r>
      <w:proofErr w:type="spellEnd"/>
      <w:r w:rsidR="00FA44D8">
        <w:rPr>
          <w:lang w:val="nl-NL"/>
        </w:rPr>
        <w:t xml:space="preserve">-uitkering door de minister teruggevorderd. </w:t>
      </w:r>
      <w:r w:rsidR="009E7C04">
        <w:rPr>
          <w:lang w:val="nl-NL"/>
        </w:rPr>
        <w:t xml:space="preserve">Terugbetaling dient te geschieden binnen twaalf maanden na intrekking van het besluit tot toekening. Deze termijn zal worden opgenomen in het intrekkingsbesluit. </w:t>
      </w:r>
    </w:p>
    <w:p w:rsidRPr="00786C93" w:rsidR="00786C93" w:rsidRDefault="00786C93" w14:paraId="6E2FDBE0" w14:textId="77777777">
      <w:pPr>
        <w:rPr>
          <w:b/>
          <w:bCs/>
          <w:i/>
          <w:iCs/>
          <w:lang w:val="nl-NL"/>
        </w:rPr>
      </w:pPr>
    </w:p>
    <w:p w:rsidRPr="004E0B95" w:rsidR="003557A3" w:rsidP="003557A3" w:rsidRDefault="003557A3" w14:paraId="36980BED" w14:textId="77777777">
      <w:pPr>
        <w:spacing w:after="0"/>
        <w:rPr>
          <w:szCs w:val="18"/>
          <w:lang w:val="nl-NL"/>
        </w:rPr>
      </w:pPr>
      <w:r>
        <w:rPr>
          <w:szCs w:val="18"/>
          <w:lang w:val="nl-NL"/>
        </w:rPr>
        <w:t>De M</w:t>
      </w:r>
      <w:r w:rsidRPr="004E0B95">
        <w:rPr>
          <w:szCs w:val="18"/>
          <w:lang w:val="nl-NL"/>
        </w:rPr>
        <w:t xml:space="preserve">inister </w:t>
      </w:r>
      <w:r>
        <w:rPr>
          <w:szCs w:val="18"/>
          <w:lang w:val="nl-NL"/>
        </w:rPr>
        <w:t xml:space="preserve">van </w:t>
      </w:r>
      <w:r w:rsidRPr="004E0B95">
        <w:rPr>
          <w:szCs w:val="18"/>
          <w:lang w:val="nl-NL"/>
        </w:rPr>
        <w:t>Langdurige Zorg, Jeugd en Sport</w:t>
      </w:r>
    </w:p>
    <w:p w:rsidRPr="006542A8" w:rsidR="00DF4C92" w:rsidP="00DF4C92" w:rsidRDefault="00DF4C92" w14:paraId="2E6D4A4E" w14:textId="6B1020A6">
      <w:pPr>
        <w:spacing w:after="0"/>
        <w:rPr>
          <w:i/>
          <w:iCs/>
          <w:szCs w:val="18"/>
          <w:lang w:val="nl-NL"/>
        </w:rPr>
      </w:pPr>
    </w:p>
    <w:sectPr w:rsidRPr="006542A8" w:rsidR="00DF4C92"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1754" w14:textId="77777777" w:rsidR="00330291" w:rsidRDefault="00330291" w:rsidP="00D40D99">
      <w:pPr>
        <w:spacing w:after="0" w:line="240" w:lineRule="auto"/>
      </w:pPr>
      <w:r>
        <w:separator/>
      </w:r>
    </w:p>
  </w:endnote>
  <w:endnote w:type="continuationSeparator" w:id="0">
    <w:p w14:paraId="24F9998E" w14:textId="77777777" w:rsidR="00330291" w:rsidRDefault="00330291" w:rsidP="00D4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001397"/>
      <w:docPartObj>
        <w:docPartGallery w:val="Page Numbers (Bottom of Page)"/>
        <w:docPartUnique/>
      </w:docPartObj>
    </w:sdtPr>
    <w:sdtContent>
      <w:p w14:paraId="697B694C" w14:textId="7FEB5DF1" w:rsidR="00524CA0" w:rsidRDefault="00524CA0">
        <w:pPr>
          <w:pStyle w:val="Voettekst"/>
        </w:pPr>
        <w:r>
          <w:rPr>
            <w:noProof/>
          </w:rPr>
          <mc:AlternateContent>
            <mc:Choice Requires="wps">
              <w:drawing>
                <wp:anchor distT="0" distB="0" distL="114300" distR="114300" simplePos="0" relativeHeight="251659264" behindDoc="0" locked="0" layoutInCell="1" allowOverlap="1" wp14:anchorId="568FF1DA" wp14:editId="3EBA61EA">
                  <wp:simplePos x="0" y="0"/>
                  <wp:positionH relativeFrom="rightMargin">
                    <wp:align>center</wp:align>
                  </wp:positionH>
                  <wp:positionV relativeFrom="bottomMargin">
                    <wp:align>center</wp:align>
                  </wp:positionV>
                  <wp:extent cx="565785" cy="191770"/>
                  <wp:effectExtent l="0" t="0" r="0" b="0"/>
                  <wp:wrapNone/>
                  <wp:docPr id="69931210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3E2909" w14:textId="77777777" w:rsidR="00524CA0" w:rsidRPr="00524CA0" w:rsidRDefault="00524CA0">
                              <w:pPr>
                                <w:pBdr>
                                  <w:top w:val="single" w:sz="4" w:space="1" w:color="7F7F7F" w:themeColor="background1" w:themeShade="7F"/>
                                </w:pBdr>
                                <w:jc w:val="center"/>
                              </w:pPr>
                              <w:r w:rsidRPr="00043B9A">
                                <w:fldChar w:fldCharType="begin"/>
                              </w:r>
                              <w:r w:rsidRPr="00524CA0">
                                <w:instrText>PAGE   \* MERGEFORMAT</w:instrText>
                              </w:r>
                              <w:r w:rsidRPr="00043B9A">
                                <w:fldChar w:fldCharType="separate"/>
                              </w:r>
                              <w:r w:rsidRPr="00043B9A">
                                <w:rPr>
                                  <w:lang w:val="nl-NL"/>
                                </w:rPr>
                                <w:t>2</w:t>
                              </w:r>
                              <w:r w:rsidRPr="00043B9A">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68FF1DA"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B3E2909" w14:textId="77777777" w:rsidR="00524CA0" w:rsidRPr="00524CA0" w:rsidRDefault="00524CA0">
                        <w:pPr>
                          <w:pBdr>
                            <w:top w:val="single" w:sz="4" w:space="1" w:color="7F7F7F" w:themeColor="background1" w:themeShade="7F"/>
                          </w:pBdr>
                          <w:jc w:val="center"/>
                        </w:pPr>
                        <w:r w:rsidRPr="00043B9A">
                          <w:fldChar w:fldCharType="begin"/>
                        </w:r>
                        <w:r w:rsidRPr="00524CA0">
                          <w:instrText>PAGE   \* MERGEFORMAT</w:instrText>
                        </w:r>
                        <w:r w:rsidRPr="00043B9A">
                          <w:fldChar w:fldCharType="separate"/>
                        </w:r>
                        <w:r w:rsidRPr="00043B9A">
                          <w:rPr>
                            <w:lang w:val="nl-NL"/>
                          </w:rPr>
                          <w:t>2</w:t>
                        </w:r>
                        <w:r w:rsidRPr="00043B9A">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D9BD" w14:textId="77777777" w:rsidR="00330291" w:rsidRDefault="00330291" w:rsidP="00D40D99">
      <w:pPr>
        <w:spacing w:after="0" w:line="240" w:lineRule="auto"/>
      </w:pPr>
      <w:r>
        <w:separator/>
      </w:r>
    </w:p>
  </w:footnote>
  <w:footnote w:type="continuationSeparator" w:id="0">
    <w:p w14:paraId="71224DC7" w14:textId="77777777" w:rsidR="00330291" w:rsidRDefault="00330291" w:rsidP="00D40D99">
      <w:pPr>
        <w:spacing w:after="0" w:line="240" w:lineRule="auto"/>
      </w:pPr>
      <w:r>
        <w:continuationSeparator/>
      </w:r>
    </w:p>
  </w:footnote>
  <w:footnote w:id="1">
    <w:p w14:paraId="3A6D7F4B" w14:textId="77777777" w:rsidR="00786C93" w:rsidRPr="00317821" w:rsidRDefault="00786C93" w:rsidP="00786C93">
      <w:pPr>
        <w:pStyle w:val="Voetnoottekst"/>
        <w:rPr>
          <w:sz w:val="16"/>
          <w:szCs w:val="16"/>
          <w:lang w:val="nl-NL"/>
        </w:rPr>
      </w:pPr>
      <w:r w:rsidRPr="00317821">
        <w:rPr>
          <w:rStyle w:val="Voetnootmarkering"/>
          <w:sz w:val="16"/>
          <w:szCs w:val="16"/>
        </w:rPr>
        <w:footnoteRef/>
      </w:r>
      <w:r w:rsidRPr="00317821">
        <w:rPr>
          <w:sz w:val="16"/>
          <w:szCs w:val="16"/>
          <w:lang w:val="nl-NL"/>
        </w:rPr>
        <w:t xml:space="preserve"> </w:t>
      </w:r>
      <w:proofErr w:type="spellStart"/>
      <w:r w:rsidRPr="00317821">
        <w:rPr>
          <w:sz w:val="16"/>
          <w:szCs w:val="16"/>
          <w:lang w:val="nl-NL"/>
        </w:rPr>
        <w:t>St</w:t>
      </w:r>
      <w:r>
        <w:rPr>
          <w:sz w:val="16"/>
          <w:szCs w:val="16"/>
          <w:lang w:val="nl-NL"/>
        </w:rPr>
        <w:t>crt</w:t>
      </w:r>
      <w:proofErr w:type="spellEnd"/>
      <w:r>
        <w:rPr>
          <w:sz w:val="16"/>
          <w:szCs w:val="16"/>
          <w:lang w:val="nl-NL"/>
        </w:rPr>
        <w:t>.</w:t>
      </w:r>
      <w:r w:rsidRPr="00317821">
        <w:rPr>
          <w:sz w:val="16"/>
          <w:szCs w:val="16"/>
          <w:lang w:val="nl-NL"/>
        </w:rPr>
        <w:t xml:space="preserve"> 2015, 47434</w:t>
      </w:r>
      <w:r>
        <w:rPr>
          <w:sz w:val="16"/>
          <w:szCs w:val="16"/>
          <w:lang w:val="nl-NL"/>
        </w:rPr>
        <w:t xml:space="preserve">. </w:t>
      </w:r>
    </w:p>
  </w:footnote>
  <w:footnote w:id="2">
    <w:p w14:paraId="6C03A8F3" w14:textId="611E66F6" w:rsidR="006A4C1E" w:rsidRPr="006A4C1E" w:rsidRDefault="006A4C1E">
      <w:pPr>
        <w:pStyle w:val="Voetnoottekst"/>
        <w:rPr>
          <w:sz w:val="16"/>
          <w:szCs w:val="16"/>
          <w:lang w:val="nl-NL"/>
        </w:rPr>
      </w:pPr>
      <w:r w:rsidRPr="006A4C1E">
        <w:rPr>
          <w:rStyle w:val="Voetnootmarkering"/>
          <w:sz w:val="16"/>
          <w:szCs w:val="16"/>
        </w:rPr>
        <w:footnoteRef/>
      </w:r>
      <w:r w:rsidRPr="006A4C1E">
        <w:rPr>
          <w:sz w:val="16"/>
          <w:szCs w:val="16"/>
          <w:lang w:val="nl-NL"/>
        </w:rPr>
        <w:t xml:space="preserve"> Kamerstukken II 2020/21, 35570-XVI, nr. 125. </w:t>
      </w:r>
    </w:p>
  </w:footnote>
  <w:footnote w:id="3">
    <w:p w14:paraId="001D4A45" w14:textId="77777777" w:rsidR="006C150F" w:rsidRPr="00BA6A42" w:rsidRDefault="006C150F" w:rsidP="006C150F">
      <w:pPr>
        <w:pStyle w:val="Voetnoottekst"/>
        <w:rPr>
          <w:sz w:val="16"/>
          <w:szCs w:val="16"/>
          <w:lang w:val="nl-NL"/>
        </w:rPr>
      </w:pPr>
      <w:r w:rsidRPr="00BA6A42">
        <w:rPr>
          <w:rStyle w:val="Voetnootmarkering"/>
          <w:sz w:val="16"/>
          <w:szCs w:val="16"/>
          <w:lang w:val="nl-NL"/>
        </w:rPr>
        <w:footnoteRef/>
      </w:r>
      <w:r w:rsidRPr="00BA6A42">
        <w:rPr>
          <w:sz w:val="16"/>
          <w:szCs w:val="16"/>
          <w:lang w:val="nl-NL"/>
        </w:rPr>
        <w:t xml:space="preserve"> </w:t>
      </w:r>
      <w:r>
        <w:rPr>
          <w:sz w:val="16"/>
          <w:szCs w:val="16"/>
          <w:lang w:val="nl-NL"/>
        </w:rPr>
        <w:t xml:space="preserve">Kamerstukken II 2024/25, 36725, nr. 1. </w:t>
      </w:r>
    </w:p>
  </w:footnote>
  <w:footnote w:id="4">
    <w:p w14:paraId="0ABC08CB" w14:textId="3B832BC9" w:rsidR="00660AA2" w:rsidRPr="00043B9A" w:rsidRDefault="00660AA2">
      <w:pPr>
        <w:pStyle w:val="Voetnoottekst"/>
        <w:rPr>
          <w:sz w:val="16"/>
          <w:szCs w:val="16"/>
          <w:lang w:val="nl-NL"/>
        </w:rPr>
      </w:pPr>
      <w:r w:rsidRPr="00043B9A">
        <w:rPr>
          <w:rStyle w:val="Voetnootmarkering"/>
          <w:sz w:val="16"/>
          <w:szCs w:val="16"/>
        </w:rPr>
        <w:footnoteRef/>
      </w:r>
      <w:r w:rsidRPr="00043B9A">
        <w:rPr>
          <w:sz w:val="16"/>
          <w:szCs w:val="16"/>
          <w:lang w:val="nl-NL"/>
        </w:rPr>
        <w:t xml:space="preserve"> Kamerstukken II</w:t>
      </w:r>
      <w:r>
        <w:rPr>
          <w:sz w:val="16"/>
          <w:szCs w:val="16"/>
          <w:lang w:val="nl-NL"/>
        </w:rPr>
        <w:t xml:space="preserve"> </w:t>
      </w:r>
      <w:r w:rsidRPr="00043B9A">
        <w:rPr>
          <w:sz w:val="16"/>
          <w:szCs w:val="16"/>
          <w:lang w:val="nl-NL"/>
        </w:rPr>
        <w:t>2022/23</w:t>
      </w:r>
      <w:r>
        <w:rPr>
          <w:sz w:val="16"/>
          <w:szCs w:val="16"/>
          <w:lang w:val="nl-NL"/>
        </w:rPr>
        <w:t xml:space="preserve">, </w:t>
      </w:r>
      <w:r w:rsidR="00EC1CFA">
        <w:rPr>
          <w:sz w:val="16"/>
          <w:szCs w:val="16"/>
          <w:lang w:val="nl-NL"/>
        </w:rPr>
        <w:t>20 454, nr. 181</w:t>
      </w:r>
      <w:r>
        <w:rPr>
          <w:sz w:val="16"/>
          <w:szCs w:val="16"/>
          <w:lang w:val="nl-NL"/>
        </w:rPr>
        <w:t>.</w:t>
      </w:r>
    </w:p>
  </w:footnote>
  <w:footnote w:id="5">
    <w:p w14:paraId="3ADEABCC" w14:textId="56FC0406" w:rsidR="00B15195" w:rsidRPr="000A1DEE" w:rsidRDefault="00B15195" w:rsidP="00B15195">
      <w:pPr>
        <w:pStyle w:val="Voetnoottekst"/>
        <w:rPr>
          <w:sz w:val="16"/>
          <w:szCs w:val="16"/>
          <w:lang w:val="nl-NL"/>
        </w:rPr>
      </w:pPr>
      <w:r w:rsidRPr="000A1DEE">
        <w:rPr>
          <w:rStyle w:val="Voetnootmarkering"/>
          <w:sz w:val="16"/>
          <w:szCs w:val="16"/>
          <w:lang w:val="nl-NL"/>
        </w:rPr>
        <w:footnoteRef/>
      </w:r>
      <w:r w:rsidRPr="000A1DEE">
        <w:rPr>
          <w:sz w:val="16"/>
          <w:szCs w:val="16"/>
          <w:lang w:val="nl-NL"/>
        </w:rPr>
        <w:t xml:space="preserve"> </w:t>
      </w:r>
      <w:r w:rsidR="00C255BD">
        <w:rPr>
          <w:sz w:val="16"/>
          <w:szCs w:val="16"/>
          <w:lang w:val="nl-NL"/>
        </w:rPr>
        <w:t>Kamerstukken II</w:t>
      </w:r>
      <w:r w:rsidRPr="000A1DEE">
        <w:rPr>
          <w:sz w:val="16"/>
          <w:szCs w:val="16"/>
          <w:lang w:val="nl-NL"/>
        </w:rPr>
        <w:t>2021</w:t>
      </w:r>
      <w:r w:rsidR="00C255BD">
        <w:rPr>
          <w:sz w:val="16"/>
          <w:szCs w:val="16"/>
          <w:lang w:val="nl-NL"/>
        </w:rPr>
        <w:t>/</w:t>
      </w:r>
      <w:r w:rsidRPr="000A1DEE">
        <w:rPr>
          <w:sz w:val="16"/>
          <w:szCs w:val="16"/>
          <w:lang w:val="nl-NL"/>
        </w:rPr>
        <w:t>22, 20454, nr. 172</w:t>
      </w:r>
      <w:r w:rsidR="00C255BD">
        <w:rPr>
          <w:sz w:val="16"/>
          <w:szCs w:val="16"/>
          <w:lang w:val="nl-NL"/>
        </w:rPr>
        <w:t>.</w:t>
      </w:r>
    </w:p>
  </w:footnote>
  <w:footnote w:id="6">
    <w:p w14:paraId="1FB82586" w14:textId="4B52D201" w:rsidR="000A1DEE" w:rsidRPr="000A1DEE" w:rsidRDefault="000A1DEE">
      <w:pPr>
        <w:pStyle w:val="Voetnoottekst"/>
        <w:rPr>
          <w:lang w:val="nl-NL"/>
        </w:rPr>
      </w:pPr>
      <w:r w:rsidRPr="000A1DEE">
        <w:rPr>
          <w:rStyle w:val="Voetnootmarkering"/>
          <w:sz w:val="16"/>
          <w:szCs w:val="16"/>
        </w:rPr>
        <w:footnoteRef/>
      </w:r>
      <w:r w:rsidRPr="000A1DEE">
        <w:rPr>
          <w:sz w:val="16"/>
          <w:szCs w:val="16"/>
          <w:lang w:val="nl-NL"/>
        </w:rPr>
        <w:t xml:space="preserve"> </w:t>
      </w:r>
      <w:r w:rsidR="00C255BD">
        <w:rPr>
          <w:sz w:val="16"/>
          <w:szCs w:val="16"/>
          <w:lang w:val="nl-NL"/>
        </w:rPr>
        <w:t>Kamerstukken II</w:t>
      </w:r>
      <w:r w:rsidR="004246B9">
        <w:rPr>
          <w:sz w:val="16"/>
          <w:szCs w:val="16"/>
          <w:lang w:val="nl-NL"/>
        </w:rPr>
        <w:t xml:space="preserve"> </w:t>
      </w:r>
      <w:r w:rsidRPr="000A1DEE">
        <w:rPr>
          <w:sz w:val="16"/>
          <w:szCs w:val="16"/>
          <w:lang w:val="nl-NL"/>
        </w:rPr>
        <w:t>202</w:t>
      </w:r>
      <w:r>
        <w:rPr>
          <w:sz w:val="16"/>
          <w:szCs w:val="16"/>
          <w:lang w:val="nl-NL"/>
        </w:rPr>
        <w:t>2</w:t>
      </w:r>
      <w:r w:rsidR="00C255BD">
        <w:rPr>
          <w:sz w:val="16"/>
          <w:szCs w:val="16"/>
          <w:lang w:val="nl-NL"/>
        </w:rPr>
        <w:t>/</w:t>
      </w:r>
      <w:r w:rsidRPr="000A1DEE">
        <w:rPr>
          <w:sz w:val="16"/>
          <w:szCs w:val="16"/>
          <w:lang w:val="nl-NL"/>
        </w:rPr>
        <w:t>2</w:t>
      </w:r>
      <w:r>
        <w:rPr>
          <w:sz w:val="16"/>
          <w:szCs w:val="16"/>
          <w:lang w:val="nl-NL"/>
        </w:rPr>
        <w:t>3</w:t>
      </w:r>
      <w:r w:rsidRPr="000A1DEE">
        <w:rPr>
          <w:sz w:val="16"/>
          <w:szCs w:val="16"/>
          <w:lang w:val="nl-NL"/>
        </w:rPr>
        <w:t>, 20454, nr. 181</w:t>
      </w:r>
      <w:r w:rsidR="00C255BD">
        <w:rPr>
          <w:sz w:val="16"/>
          <w:szCs w:val="16"/>
          <w:lang w:val="nl-NL"/>
        </w:rPr>
        <w:t>.</w:t>
      </w:r>
    </w:p>
  </w:footnote>
  <w:footnote w:id="7">
    <w:p w14:paraId="0DD01957" w14:textId="70F0755D" w:rsidR="00003962" w:rsidRPr="00003962" w:rsidRDefault="00003962">
      <w:pPr>
        <w:pStyle w:val="Voetnoottekst"/>
        <w:rPr>
          <w:sz w:val="16"/>
          <w:szCs w:val="16"/>
          <w:lang w:val="nl-NL"/>
        </w:rPr>
      </w:pPr>
      <w:r w:rsidRPr="00003962">
        <w:rPr>
          <w:rStyle w:val="Voetnootmarkering"/>
          <w:sz w:val="16"/>
          <w:szCs w:val="16"/>
        </w:rPr>
        <w:footnoteRef/>
      </w:r>
      <w:r w:rsidRPr="00003962">
        <w:rPr>
          <w:sz w:val="16"/>
          <w:szCs w:val="16"/>
          <w:lang w:val="nl-NL"/>
        </w:rPr>
        <w:t xml:space="preserve"> Zie artikel 1, onderdeel d, begrip ‘belanghebbende’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61B"/>
    <w:multiLevelType w:val="hybridMultilevel"/>
    <w:tmpl w:val="63B0C446"/>
    <w:lvl w:ilvl="0" w:tplc="59743162">
      <w:start w:val="1"/>
      <w:numFmt w:val="decimal"/>
      <w:lvlText w:val="%1."/>
      <w:lvlJc w:val="left"/>
      <w:pPr>
        <w:ind w:left="1020" w:hanging="360"/>
      </w:pPr>
    </w:lvl>
    <w:lvl w:ilvl="1" w:tplc="CECCFC28">
      <w:start w:val="1"/>
      <w:numFmt w:val="decimal"/>
      <w:lvlText w:val="%2."/>
      <w:lvlJc w:val="left"/>
      <w:pPr>
        <w:ind w:left="1020" w:hanging="360"/>
      </w:pPr>
    </w:lvl>
    <w:lvl w:ilvl="2" w:tplc="25EC20E2">
      <w:start w:val="1"/>
      <w:numFmt w:val="decimal"/>
      <w:lvlText w:val="%3."/>
      <w:lvlJc w:val="left"/>
      <w:pPr>
        <w:ind w:left="1020" w:hanging="360"/>
      </w:pPr>
    </w:lvl>
    <w:lvl w:ilvl="3" w:tplc="EA1E4324">
      <w:start w:val="1"/>
      <w:numFmt w:val="decimal"/>
      <w:lvlText w:val="%4."/>
      <w:lvlJc w:val="left"/>
      <w:pPr>
        <w:ind w:left="1020" w:hanging="360"/>
      </w:pPr>
    </w:lvl>
    <w:lvl w:ilvl="4" w:tplc="2B12CEEE">
      <w:start w:val="1"/>
      <w:numFmt w:val="decimal"/>
      <w:lvlText w:val="%5."/>
      <w:lvlJc w:val="left"/>
      <w:pPr>
        <w:ind w:left="1020" w:hanging="360"/>
      </w:pPr>
    </w:lvl>
    <w:lvl w:ilvl="5" w:tplc="1B28182A">
      <w:start w:val="1"/>
      <w:numFmt w:val="decimal"/>
      <w:lvlText w:val="%6."/>
      <w:lvlJc w:val="left"/>
      <w:pPr>
        <w:ind w:left="1020" w:hanging="360"/>
      </w:pPr>
    </w:lvl>
    <w:lvl w:ilvl="6" w:tplc="84F08A88">
      <w:start w:val="1"/>
      <w:numFmt w:val="decimal"/>
      <w:lvlText w:val="%7."/>
      <w:lvlJc w:val="left"/>
      <w:pPr>
        <w:ind w:left="1020" w:hanging="360"/>
      </w:pPr>
    </w:lvl>
    <w:lvl w:ilvl="7" w:tplc="2A067720">
      <w:start w:val="1"/>
      <w:numFmt w:val="decimal"/>
      <w:lvlText w:val="%8."/>
      <w:lvlJc w:val="left"/>
      <w:pPr>
        <w:ind w:left="1020" w:hanging="360"/>
      </w:pPr>
    </w:lvl>
    <w:lvl w:ilvl="8" w:tplc="6492B234">
      <w:start w:val="1"/>
      <w:numFmt w:val="decimal"/>
      <w:lvlText w:val="%9."/>
      <w:lvlJc w:val="left"/>
      <w:pPr>
        <w:ind w:left="1020" w:hanging="360"/>
      </w:pPr>
    </w:lvl>
  </w:abstractNum>
  <w:abstractNum w:abstractNumId="1" w15:restartNumberingAfterBreak="0">
    <w:nsid w:val="05E8387E"/>
    <w:multiLevelType w:val="hybridMultilevel"/>
    <w:tmpl w:val="FC002460"/>
    <w:lvl w:ilvl="0" w:tplc="F4BC7F7E">
      <w:start w:val="1"/>
      <w:numFmt w:val="decimal"/>
      <w:lvlText w:val="%1."/>
      <w:lvlJc w:val="left"/>
      <w:pPr>
        <w:ind w:left="1020" w:hanging="360"/>
      </w:pPr>
    </w:lvl>
    <w:lvl w:ilvl="1" w:tplc="6A92F81C">
      <w:start w:val="1"/>
      <w:numFmt w:val="decimal"/>
      <w:lvlText w:val="%2."/>
      <w:lvlJc w:val="left"/>
      <w:pPr>
        <w:ind w:left="1020" w:hanging="360"/>
      </w:pPr>
    </w:lvl>
    <w:lvl w:ilvl="2" w:tplc="087257FE">
      <w:start w:val="1"/>
      <w:numFmt w:val="decimal"/>
      <w:lvlText w:val="%3."/>
      <w:lvlJc w:val="left"/>
      <w:pPr>
        <w:ind w:left="1020" w:hanging="360"/>
      </w:pPr>
    </w:lvl>
    <w:lvl w:ilvl="3" w:tplc="29CE4B5C">
      <w:start w:val="1"/>
      <w:numFmt w:val="decimal"/>
      <w:lvlText w:val="%4."/>
      <w:lvlJc w:val="left"/>
      <w:pPr>
        <w:ind w:left="1020" w:hanging="360"/>
      </w:pPr>
    </w:lvl>
    <w:lvl w:ilvl="4" w:tplc="61520A22">
      <w:start w:val="1"/>
      <w:numFmt w:val="decimal"/>
      <w:lvlText w:val="%5."/>
      <w:lvlJc w:val="left"/>
      <w:pPr>
        <w:ind w:left="1020" w:hanging="360"/>
      </w:pPr>
    </w:lvl>
    <w:lvl w:ilvl="5" w:tplc="107479AC">
      <w:start w:val="1"/>
      <w:numFmt w:val="decimal"/>
      <w:lvlText w:val="%6."/>
      <w:lvlJc w:val="left"/>
      <w:pPr>
        <w:ind w:left="1020" w:hanging="360"/>
      </w:pPr>
    </w:lvl>
    <w:lvl w:ilvl="6" w:tplc="5E7048BC">
      <w:start w:val="1"/>
      <w:numFmt w:val="decimal"/>
      <w:lvlText w:val="%7."/>
      <w:lvlJc w:val="left"/>
      <w:pPr>
        <w:ind w:left="1020" w:hanging="360"/>
      </w:pPr>
    </w:lvl>
    <w:lvl w:ilvl="7" w:tplc="E194750A">
      <w:start w:val="1"/>
      <w:numFmt w:val="decimal"/>
      <w:lvlText w:val="%8."/>
      <w:lvlJc w:val="left"/>
      <w:pPr>
        <w:ind w:left="1020" w:hanging="360"/>
      </w:pPr>
    </w:lvl>
    <w:lvl w:ilvl="8" w:tplc="6D6665A0">
      <w:start w:val="1"/>
      <w:numFmt w:val="decimal"/>
      <w:lvlText w:val="%9."/>
      <w:lvlJc w:val="left"/>
      <w:pPr>
        <w:ind w:left="1020" w:hanging="360"/>
      </w:pPr>
    </w:lvl>
  </w:abstractNum>
  <w:abstractNum w:abstractNumId="2" w15:restartNumberingAfterBreak="0">
    <w:nsid w:val="0C0830DA"/>
    <w:multiLevelType w:val="hybridMultilevel"/>
    <w:tmpl w:val="CCD0D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9C2286"/>
    <w:multiLevelType w:val="hybridMultilevel"/>
    <w:tmpl w:val="62E67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F33AC5"/>
    <w:multiLevelType w:val="hybridMultilevel"/>
    <w:tmpl w:val="9886C8FA"/>
    <w:lvl w:ilvl="0" w:tplc="DB2005CA">
      <w:start w:val="1"/>
      <w:numFmt w:val="decimal"/>
      <w:lvlText w:val="%1."/>
      <w:lvlJc w:val="left"/>
      <w:pPr>
        <w:ind w:left="1020" w:hanging="360"/>
      </w:pPr>
    </w:lvl>
    <w:lvl w:ilvl="1" w:tplc="6F884B3C">
      <w:start w:val="1"/>
      <w:numFmt w:val="decimal"/>
      <w:lvlText w:val="%2."/>
      <w:lvlJc w:val="left"/>
      <w:pPr>
        <w:ind w:left="1020" w:hanging="360"/>
      </w:pPr>
    </w:lvl>
    <w:lvl w:ilvl="2" w:tplc="B5C864C0">
      <w:start w:val="1"/>
      <w:numFmt w:val="decimal"/>
      <w:lvlText w:val="%3."/>
      <w:lvlJc w:val="left"/>
      <w:pPr>
        <w:ind w:left="1020" w:hanging="360"/>
      </w:pPr>
    </w:lvl>
    <w:lvl w:ilvl="3" w:tplc="B8309E58">
      <w:start w:val="1"/>
      <w:numFmt w:val="decimal"/>
      <w:lvlText w:val="%4."/>
      <w:lvlJc w:val="left"/>
      <w:pPr>
        <w:ind w:left="1020" w:hanging="360"/>
      </w:pPr>
    </w:lvl>
    <w:lvl w:ilvl="4" w:tplc="272E9AF8">
      <w:start w:val="1"/>
      <w:numFmt w:val="decimal"/>
      <w:lvlText w:val="%5."/>
      <w:lvlJc w:val="left"/>
      <w:pPr>
        <w:ind w:left="1020" w:hanging="360"/>
      </w:pPr>
    </w:lvl>
    <w:lvl w:ilvl="5" w:tplc="B3380794">
      <w:start w:val="1"/>
      <w:numFmt w:val="decimal"/>
      <w:lvlText w:val="%6."/>
      <w:lvlJc w:val="left"/>
      <w:pPr>
        <w:ind w:left="1020" w:hanging="360"/>
      </w:pPr>
    </w:lvl>
    <w:lvl w:ilvl="6" w:tplc="F30A761C">
      <w:start w:val="1"/>
      <w:numFmt w:val="decimal"/>
      <w:lvlText w:val="%7."/>
      <w:lvlJc w:val="left"/>
      <w:pPr>
        <w:ind w:left="1020" w:hanging="360"/>
      </w:pPr>
    </w:lvl>
    <w:lvl w:ilvl="7" w:tplc="85A2110C">
      <w:start w:val="1"/>
      <w:numFmt w:val="decimal"/>
      <w:lvlText w:val="%8."/>
      <w:lvlJc w:val="left"/>
      <w:pPr>
        <w:ind w:left="1020" w:hanging="360"/>
      </w:pPr>
    </w:lvl>
    <w:lvl w:ilvl="8" w:tplc="583C635A">
      <w:start w:val="1"/>
      <w:numFmt w:val="decimal"/>
      <w:lvlText w:val="%9."/>
      <w:lvlJc w:val="left"/>
      <w:pPr>
        <w:ind w:left="1020" w:hanging="360"/>
      </w:pPr>
    </w:lvl>
  </w:abstractNum>
  <w:abstractNum w:abstractNumId="5" w15:restartNumberingAfterBreak="0">
    <w:nsid w:val="143571AC"/>
    <w:multiLevelType w:val="hybridMultilevel"/>
    <w:tmpl w:val="6DD02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3B5FB2"/>
    <w:multiLevelType w:val="hybridMultilevel"/>
    <w:tmpl w:val="46E07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284DFE"/>
    <w:multiLevelType w:val="hybridMultilevel"/>
    <w:tmpl w:val="B4A49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353F9E"/>
    <w:multiLevelType w:val="hybridMultilevel"/>
    <w:tmpl w:val="97A4F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5A5900"/>
    <w:multiLevelType w:val="hybridMultilevel"/>
    <w:tmpl w:val="17AC9216"/>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10" w15:restartNumberingAfterBreak="0">
    <w:nsid w:val="38096899"/>
    <w:multiLevelType w:val="hybridMultilevel"/>
    <w:tmpl w:val="262E06F2"/>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1" w15:restartNumberingAfterBreak="0">
    <w:nsid w:val="39373A34"/>
    <w:multiLevelType w:val="hybridMultilevel"/>
    <w:tmpl w:val="2980840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0E55F70"/>
    <w:multiLevelType w:val="hybridMultilevel"/>
    <w:tmpl w:val="E51E3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4A65C3"/>
    <w:multiLevelType w:val="hybridMultilevel"/>
    <w:tmpl w:val="67B64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6C367F"/>
    <w:multiLevelType w:val="hybridMultilevel"/>
    <w:tmpl w:val="C69A9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1E60D4"/>
    <w:multiLevelType w:val="hybridMultilevel"/>
    <w:tmpl w:val="E6CC9DF6"/>
    <w:lvl w:ilvl="0" w:tplc="8B442F06">
      <w:start w:val="1"/>
      <w:numFmt w:val="decimal"/>
      <w:lvlText w:val="%1."/>
      <w:lvlJc w:val="left"/>
      <w:pPr>
        <w:ind w:left="1020" w:hanging="360"/>
      </w:pPr>
    </w:lvl>
    <w:lvl w:ilvl="1" w:tplc="4DFAF41A">
      <w:start w:val="1"/>
      <w:numFmt w:val="decimal"/>
      <w:lvlText w:val="%2."/>
      <w:lvlJc w:val="left"/>
      <w:pPr>
        <w:ind w:left="1020" w:hanging="360"/>
      </w:pPr>
    </w:lvl>
    <w:lvl w:ilvl="2" w:tplc="3F8C3FF0">
      <w:start w:val="1"/>
      <w:numFmt w:val="decimal"/>
      <w:lvlText w:val="%3."/>
      <w:lvlJc w:val="left"/>
      <w:pPr>
        <w:ind w:left="1020" w:hanging="360"/>
      </w:pPr>
    </w:lvl>
    <w:lvl w:ilvl="3" w:tplc="569ACD5A">
      <w:start w:val="1"/>
      <w:numFmt w:val="decimal"/>
      <w:lvlText w:val="%4."/>
      <w:lvlJc w:val="left"/>
      <w:pPr>
        <w:ind w:left="1020" w:hanging="360"/>
      </w:pPr>
    </w:lvl>
    <w:lvl w:ilvl="4" w:tplc="8974CC96">
      <w:start w:val="1"/>
      <w:numFmt w:val="decimal"/>
      <w:lvlText w:val="%5."/>
      <w:lvlJc w:val="left"/>
      <w:pPr>
        <w:ind w:left="1020" w:hanging="360"/>
      </w:pPr>
    </w:lvl>
    <w:lvl w:ilvl="5" w:tplc="52F02D68">
      <w:start w:val="1"/>
      <w:numFmt w:val="decimal"/>
      <w:lvlText w:val="%6."/>
      <w:lvlJc w:val="left"/>
      <w:pPr>
        <w:ind w:left="1020" w:hanging="360"/>
      </w:pPr>
    </w:lvl>
    <w:lvl w:ilvl="6" w:tplc="62A263FC">
      <w:start w:val="1"/>
      <w:numFmt w:val="decimal"/>
      <w:lvlText w:val="%7."/>
      <w:lvlJc w:val="left"/>
      <w:pPr>
        <w:ind w:left="1020" w:hanging="360"/>
      </w:pPr>
    </w:lvl>
    <w:lvl w:ilvl="7" w:tplc="3C701EB8">
      <w:start w:val="1"/>
      <w:numFmt w:val="decimal"/>
      <w:lvlText w:val="%8."/>
      <w:lvlJc w:val="left"/>
      <w:pPr>
        <w:ind w:left="1020" w:hanging="360"/>
      </w:pPr>
    </w:lvl>
    <w:lvl w:ilvl="8" w:tplc="F94A4DD0">
      <w:start w:val="1"/>
      <w:numFmt w:val="decimal"/>
      <w:lvlText w:val="%9."/>
      <w:lvlJc w:val="left"/>
      <w:pPr>
        <w:ind w:left="1020" w:hanging="360"/>
      </w:pPr>
    </w:lvl>
  </w:abstractNum>
  <w:abstractNum w:abstractNumId="16" w15:restartNumberingAfterBreak="0">
    <w:nsid w:val="4E29529C"/>
    <w:multiLevelType w:val="hybridMultilevel"/>
    <w:tmpl w:val="EC0C4CF4"/>
    <w:lvl w:ilvl="0" w:tplc="9A6215A8">
      <w:start w:val="1"/>
      <w:numFmt w:val="decimal"/>
      <w:lvlText w:val="%1."/>
      <w:lvlJc w:val="left"/>
      <w:pPr>
        <w:ind w:left="1020" w:hanging="360"/>
      </w:pPr>
    </w:lvl>
    <w:lvl w:ilvl="1" w:tplc="3856B7F6">
      <w:start w:val="1"/>
      <w:numFmt w:val="decimal"/>
      <w:lvlText w:val="%2."/>
      <w:lvlJc w:val="left"/>
      <w:pPr>
        <w:ind w:left="1020" w:hanging="360"/>
      </w:pPr>
    </w:lvl>
    <w:lvl w:ilvl="2" w:tplc="0EDA36D4">
      <w:start w:val="1"/>
      <w:numFmt w:val="decimal"/>
      <w:lvlText w:val="%3."/>
      <w:lvlJc w:val="left"/>
      <w:pPr>
        <w:ind w:left="1020" w:hanging="360"/>
      </w:pPr>
    </w:lvl>
    <w:lvl w:ilvl="3" w:tplc="B8006DEE">
      <w:start w:val="1"/>
      <w:numFmt w:val="decimal"/>
      <w:lvlText w:val="%4."/>
      <w:lvlJc w:val="left"/>
      <w:pPr>
        <w:ind w:left="1020" w:hanging="360"/>
      </w:pPr>
    </w:lvl>
    <w:lvl w:ilvl="4" w:tplc="BA968CBC">
      <w:start w:val="1"/>
      <w:numFmt w:val="decimal"/>
      <w:lvlText w:val="%5."/>
      <w:lvlJc w:val="left"/>
      <w:pPr>
        <w:ind w:left="1020" w:hanging="360"/>
      </w:pPr>
    </w:lvl>
    <w:lvl w:ilvl="5" w:tplc="B0646D74">
      <w:start w:val="1"/>
      <w:numFmt w:val="decimal"/>
      <w:lvlText w:val="%6."/>
      <w:lvlJc w:val="left"/>
      <w:pPr>
        <w:ind w:left="1020" w:hanging="360"/>
      </w:pPr>
    </w:lvl>
    <w:lvl w:ilvl="6" w:tplc="65365202">
      <w:start w:val="1"/>
      <w:numFmt w:val="decimal"/>
      <w:lvlText w:val="%7."/>
      <w:lvlJc w:val="left"/>
      <w:pPr>
        <w:ind w:left="1020" w:hanging="360"/>
      </w:pPr>
    </w:lvl>
    <w:lvl w:ilvl="7" w:tplc="93467F90">
      <w:start w:val="1"/>
      <w:numFmt w:val="decimal"/>
      <w:lvlText w:val="%8."/>
      <w:lvlJc w:val="left"/>
      <w:pPr>
        <w:ind w:left="1020" w:hanging="360"/>
      </w:pPr>
    </w:lvl>
    <w:lvl w:ilvl="8" w:tplc="5066C410">
      <w:start w:val="1"/>
      <w:numFmt w:val="decimal"/>
      <w:lvlText w:val="%9."/>
      <w:lvlJc w:val="left"/>
      <w:pPr>
        <w:ind w:left="1020" w:hanging="360"/>
      </w:pPr>
    </w:lvl>
  </w:abstractNum>
  <w:abstractNum w:abstractNumId="17" w15:restartNumberingAfterBreak="0">
    <w:nsid w:val="521C5601"/>
    <w:multiLevelType w:val="hybridMultilevel"/>
    <w:tmpl w:val="2D5EF8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1F0DB0"/>
    <w:multiLevelType w:val="hybridMultilevel"/>
    <w:tmpl w:val="B706EE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BA4B62"/>
    <w:multiLevelType w:val="hybridMultilevel"/>
    <w:tmpl w:val="4BA2D8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DC60AF"/>
    <w:multiLevelType w:val="hybridMultilevel"/>
    <w:tmpl w:val="CDD89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DC02EB"/>
    <w:multiLevelType w:val="hybridMultilevel"/>
    <w:tmpl w:val="2A8C903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6C490C7F"/>
    <w:multiLevelType w:val="hybridMultilevel"/>
    <w:tmpl w:val="BDEA3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D4764A"/>
    <w:multiLevelType w:val="hybridMultilevel"/>
    <w:tmpl w:val="9A645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E80587"/>
    <w:multiLevelType w:val="hybridMultilevel"/>
    <w:tmpl w:val="94C02FB0"/>
    <w:lvl w:ilvl="0" w:tplc="EEA4902A">
      <w:start w:val="1"/>
      <w:numFmt w:val="decimal"/>
      <w:lvlText w:val="%1."/>
      <w:lvlJc w:val="left"/>
      <w:pPr>
        <w:ind w:left="1020" w:hanging="360"/>
      </w:pPr>
    </w:lvl>
    <w:lvl w:ilvl="1" w:tplc="03FE8EDC">
      <w:start w:val="1"/>
      <w:numFmt w:val="decimal"/>
      <w:lvlText w:val="%2."/>
      <w:lvlJc w:val="left"/>
      <w:pPr>
        <w:ind w:left="1020" w:hanging="360"/>
      </w:pPr>
    </w:lvl>
    <w:lvl w:ilvl="2" w:tplc="033C8CFC">
      <w:start w:val="1"/>
      <w:numFmt w:val="decimal"/>
      <w:lvlText w:val="%3."/>
      <w:lvlJc w:val="left"/>
      <w:pPr>
        <w:ind w:left="1020" w:hanging="360"/>
      </w:pPr>
    </w:lvl>
    <w:lvl w:ilvl="3" w:tplc="43F68BFC">
      <w:start w:val="1"/>
      <w:numFmt w:val="decimal"/>
      <w:lvlText w:val="%4."/>
      <w:lvlJc w:val="left"/>
      <w:pPr>
        <w:ind w:left="1020" w:hanging="360"/>
      </w:pPr>
    </w:lvl>
    <w:lvl w:ilvl="4" w:tplc="C36CB228">
      <w:start w:val="1"/>
      <w:numFmt w:val="decimal"/>
      <w:lvlText w:val="%5."/>
      <w:lvlJc w:val="left"/>
      <w:pPr>
        <w:ind w:left="1020" w:hanging="360"/>
      </w:pPr>
    </w:lvl>
    <w:lvl w:ilvl="5" w:tplc="15327D8A">
      <w:start w:val="1"/>
      <w:numFmt w:val="decimal"/>
      <w:lvlText w:val="%6."/>
      <w:lvlJc w:val="left"/>
      <w:pPr>
        <w:ind w:left="1020" w:hanging="360"/>
      </w:pPr>
    </w:lvl>
    <w:lvl w:ilvl="6" w:tplc="B538C64A">
      <w:start w:val="1"/>
      <w:numFmt w:val="decimal"/>
      <w:lvlText w:val="%7."/>
      <w:lvlJc w:val="left"/>
      <w:pPr>
        <w:ind w:left="1020" w:hanging="360"/>
      </w:pPr>
    </w:lvl>
    <w:lvl w:ilvl="7" w:tplc="84C26BDC">
      <w:start w:val="1"/>
      <w:numFmt w:val="decimal"/>
      <w:lvlText w:val="%8."/>
      <w:lvlJc w:val="left"/>
      <w:pPr>
        <w:ind w:left="1020" w:hanging="360"/>
      </w:pPr>
    </w:lvl>
    <w:lvl w:ilvl="8" w:tplc="31804074">
      <w:start w:val="1"/>
      <w:numFmt w:val="decimal"/>
      <w:lvlText w:val="%9."/>
      <w:lvlJc w:val="left"/>
      <w:pPr>
        <w:ind w:left="1020" w:hanging="360"/>
      </w:pPr>
    </w:lvl>
  </w:abstractNum>
  <w:num w:numId="1" w16cid:durableId="1033112481">
    <w:abstractNumId w:val="19"/>
  </w:num>
  <w:num w:numId="2" w16cid:durableId="1840776929">
    <w:abstractNumId w:val="3"/>
  </w:num>
  <w:num w:numId="3" w16cid:durableId="1038513067">
    <w:abstractNumId w:val="11"/>
  </w:num>
  <w:num w:numId="4" w16cid:durableId="212422241">
    <w:abstractNumId w:val="0"/>
  </w:num>
  <w:num w:numId="5" w16cid:durableId="1679041934">
    <w:abstractNumId w:val="4"/>
  </w:num>
  <w:num w:numId="6" w16cid:durableId="2146505655">
    <w:abstractNumId w:val="5"/>
  </w:num>
  <w:num w:numId="7" w16cid:durableId="519319385">
    <w:abstractNumId w:val="8"/>
  </w:num>
  <w:num w:numId="8" w16cid:durableId="1646163453">
    <w:abstractNumId w:val="14"/>
  </w:num>
  <w:num w:numId="9" w16cid:durableId="2068217678">
    <w:abstractNumId w:val="9"/>
  </w:num>
  <w:num w:numId="10" w16cid:durableId="405567143">
    <w:abstractNumId w:val="13"/>
  </w:num>
  <w:num w:numId="11" w16cid:durableId="1453597350">
    <w:abstractNumId w:val="20"/>
  </w:num>
  <w:num w:numId="12" w16cid:durableId="1287740487">
    <w:abstractNumId w:val="2"/>
  </w:num>
  <w:num w:numId="13" w16cid:durableId="437482856">
    <w:abstractNumId w:val="1"/>
  </w:num>
  <w:num w:numId="14" w16cid:durableId="1256598278">
    <w:abstractNumId w:val="15"/>
  </w:num>
  <w:num w:numId="15" w16cid:durableId="280041052">
    <w:abstractNumId w:val="16"/>
  </w:num>
  <w:num w:numId="16" w16cid:durableId="217714715">
    <w:abstractNumId w:val="24"/>
  </w:num>
  <w:num w:numId="17" w16cid:durableId="840780420">
    <w:abstractNumId w:val="23"/>
  </w:num>
  <w:num w:numId="18" w16cid:durableId="166487030">
    <w:abstractNumId w:val="7"/>
  </w:num>
  <w:num w:numId="19" w16cid:durableId="178475358">
    <w:abstractNumId w:val="10"/>
  </w:num>
  <w:num w:numId="20" w16cid:durableId="2089616916">
    <w:abstractNumId w:val="22"/>
  </w:num>
  <w:num w:numId="21" w16cid:durableId="592127023">
    <w:abstractNumId w:val="17"/>
  </w:num>
  <w:num w:numId="22" w16cid:durableId="1725062876">
    <w:abstractNumId w:val="18"/>
  </w:num>
  <w:num w:numId="23" w16cid:durableId="41484887">
    <w:abstractNumId w:val="21"/>
  </w:num>
  <w:num w:numId="24" w16cid:durableId="198980295">
    <w:abstractNumId w:val="12"/>
  </w:num>
  <w:num w:numId="25" w16cid:durableId="1725177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99"/>
    <w:rsid w:val="0000294A"/>
    <w:rsid w:val="00003962"/>
    <w:rsid w:val="00007037"/>
    <w:rsid w:val="000147CB"/>
    <w:rsid w:val="00021146"/>
    <w:rsid w:val="00022EC3"/>
    <w:rsid w:val="0002416B"/>
    <w:rsid w:val="000263B6"/>
    <w:rsid w:val="000269C8"/>
    <w:rsid w:val="000300A3"/>
    <w:rsid w:val="000433FA"/>
    <w:rsid w:val="00043B9A"/>
    <w:rsid w:val="0005167D"/>
    <w:rsid w:val="00051C58"/>
    <w:rsid w:val="00056C7B"/>
    <w:rsid w:val="00063108"/>
    <w:rsid w:val="00077F61"/>
    <w:rsid w:val="0008034C"/>
    <w:rsid w:val="000803F0"/>
    <w:rsid w:val="000876BE"/>
    <w:rsid w:val="000A1DEE"/>
    <w:rsid w:val="000A4633"/>
    <w:rsid w:val="000B3869"/>
    <w:rsid w:val="000B52B0"/>
    <w:rsid w:val="000B5EDB"/>
    <w:rsid w:val="000C4CB2"/>
    <w:rsid w:val="000C63B2"/>
    <w:rsid w:val="000D0562"/>
    <w:rsid w:val="000E1287"/>
    <w:rsid w:val="000E5188"/>
    <w:rsid w:val="000E68C0"/>
    <w:rsid w:val="000F0F11"/>
    <w:rsid w:val="000F6E31"/>
    <w:rsid w:val="000F7BD0"/>
    <w:rsid w:val="00101381"/>
    <w:rsid w:val="0011206C"/>
    <w:rsid w:val="00113C04"/>
    <w:rsid w:val="0011584C"/>
    <w:rsid w:val="00117C76"/>
    <w:rsid w:val="00125A29"/>
    <w:rsid w:val="0012624B"/>
    <w:rsid w:val="00131344"/>
    <w:rsid w:val="0013375D"/>
    <w:rsid w:val="00142671"/>
    <w:rsid w:val="0014713B"/>
    <w:rsid w:val="00152A5B"/>
    <w:rsid w:val="001541DA"/>
    <w:rsid w:val="001556F9"/>
    <w:rsid w:val="0015614C"/>
    <w:rsid w:val="00157C9F"/>
    <w:rsid w:val="001627B7"/>
    <w:rsid w:val="00165F6C"/>
    <w:rsid w:val="00171A50"/>
    <w:rsid w:val="00172A4F"/>
    <w:rsid w:val="00177D05"/>
    <w:rsid w:val="00177F4A"/>
    <w:rsid w:val="00180174"/>
    <w:rsid w:val="001921F0"/>
    <w:rsid w:val="001A36A9"/>
    <w:rsid w:val="001B13BA"/>
    <w:rsid w:val="001B1C99"/>
    <w:rsid w:val="001B3020"/>
    <w:rsid w:val="001C5320"/>
    <w:rsid w:val="001D3A05"/>
    <w:rsid w:val="001D4773"/>
    <w:rsid w:val="001E06C3"/>
    <w:rsid w:val="001E6A24"/>
    <w:rsid w:val="001E6BD5"/>
    <w:rsid w:val="001E7547"/>
    <w:rsid w:val="001F1D08"/>
    <w:rsid w:val="001F3270"/>
    <w:rsid w:val="0020429B"/>
    <w:rsid w:val="002165CE"/>
    <w:rsid w:val="00220B6C"/>
    <w:rsid w:val="002232AD"/>
    <w:rsid w:val="00225F13"/>
    <w:rsid w:val="00230B01"/>
    <w:rsid w:val="002318F0"/>
    <w:rsid w:val="00232F21"/>
    <w:rsid w:val="00237377"/>
    <w:rsid w:val="0024261C"/>
    <w:rsid w:val="002436AC"/>
    <w:rsid w:val="0024477D"/>
    <w:rsid w:val="00247132"/>
    <w:rsid w:val="0025308C"/>
    <w:rsid w:val="00254AA4"/>
    <w:rsid w:val="002550BB"/>
    <w:rsid w:val="00260880"/>
    <w:rsid w:val="00270301"/>
    <w:rsid w:val="00275183"/>
    <w:rsid w:val="00276293"/>
    <w:rsid w:val="00284781"/>
    <w:rsid w:val="00286E12"/>
    <w:rsid w:val="002900EF"/>
    <w:rsid w:val="00290AFD"/>
    <w:rsid w:val="00292203"/>
    <w:rsid w:val="002966F2"/>
    <w:rsid w:val="002A2CAA"/>
    <w:rsid w:val="002A5D3C"/>
    <w:rsid w:val="002B07E0"/>
    <w:rsid w:val="002B49D5"/>
    <w:rsid w:val="002B520B"/>
    <w:rsid w:val="002C0295"/>
    <w:rsid w:val="002C5FA7"/>
    <w:rsid w:val="002D12DD"/>
    <w:rsid w:val="002D7D95"/>
    <w:rsid w:val="002E0431"/>
    <w:rsid w:val="002E0DD5"/>
    <w:rsid w:val="002E236A"/>
    <w:rsid w:val="002E2AF5"/>
    <w:rsid w:val="002E5FA5"/>
    <w:rsid w:val="002F05C8"/>
    <w:rsid w:val="002F5D63"/>
    <w:rsid w:val="00302923"/>
    <w:rsid w:val="00307AF9"/>
    <w:rsid w:val="003113DA"/>
    <w:rsid w:val="00315EB3"/>
    <w:rsid w:val="00317821"/>
    <w:rsid w:val="00330291"/>
    <w:rsid w:val="003314C3"/>
    <w:rsid w:val="00333BAB"/>
    <w:rsid w:val="003343BE"/>
    <w:rsid w:val="00334B37"/>
    <w:rsid w:val="003354FC"/>
    <w:rsid w:val="00335EEC"/>
    <w:rsid w:val="00336CEF"/>
    <w:rsid w:val="003416A9"/>
    <w:rsid w:val="00345A43"/>
    <w:rsid w:val="00346DA9"/>
    <w:rsid w:val="003557A3"/>
    <w:rsid w:val="003609CC"/>
    <w:rsid w:val="00362F76"/>
    <w:rsid w:val="003669D0"/>
    <w:rsid w:val="00367B91"/>
    <w:rsid w:val="00370BDD"/>
    <w:rsid w:val="00376AB3"/>
    <w:rsid w:val="0038160D"/>
    <w:rsid w:val="0038664D"/>
    <w:rsid w:val="003942AA"/>
    <w:rsid w:val="00395A4E"/>
    <w:rsid w:val="00397C27"/>
    <w:rsid w:val="003B12C7"/>
    <w:rsid w:val="003B3190"/>
    <w:rsid w:val="003B3D7E"/>
    <w:rsid w:val="003B7D75"/>
    <w:rsid w:val="003B7E75"/>
    <w:rsid w:val="003D1812"/>
    <w:rsid w:val="003D1FA5"/>
    <w:rsid w:val="003D42B9"/>
    <w:rsid w:val="003E1640"/>
    <w:rsid w:val="003E36E5"/>
    <w:rsid w:val="003E792D"/>
    <w:rsid w:val="003F5A04"/>
    <w:rsid w:val="00404F7B"/>
    <w:rsid w:val="004067BB"/>
    <w:rsid w:val="0040729F"/>
    <w:rsid w:val="00410F07"/>
    <w:rsid w:val="0041201F"/>
    <w:rsid w:val="00413E78"/>
    <w:rsid w:val="0041760C"/>
    <w:rsid w:val="00423BB0"/>
    <w:rsid w:val="004246B9"/>
    <w:rsid w:val="00425461"/>
    <w:rsid w:val="004349DE"/>
    <w:rsid w:val="00436BFB"/>
    <w:rsid w:val="004413A2"/>
    <w:rsid w:val="00452C56"/>
    <w:rsid w:val="0045664A"/>
    <w:rsid w:val="00456ECC"/>
    <w:rsid w:val="00474865"/>
    <w:rsid w:val="00476DA9"/>
    <w:rsid w:val="00477778"/>
    <w:rsid w:val="004814FF"/>
    <w:rsid w:val="00484D90"/>
    <w:rsid w:val="00490A71"/>
    <w:rsid w:val="00496E1C"/>
    <w:rsid w:val="004A26A0"/>
    <w:rsid w:val="004A3563"/>
    <w:rsid w:val="004B0E72"/>
    <w:rsid w:val="004B1801"/>
    <w:rsid w:val="004B1C33"/>
    <w:rsid w:val="004B4780"/>
    <w:rsid w:val="004B506E"/>
    <w:rsid w:val="004B5CF5"/>
    <w:rsid w:val="004C0945"/>
    <w:rsid w:val="004D06A3"/>
    <w:rsid w:val="004D5A7B"/>
    <w:rsid w:val="004D7F4E"/>
    <w:rsid w:val="004E2FEC"/>
    <w:rsid w:val="004E33C4"/>
    <w:rsid w:val="004E4AD0"/>
    <w:rsid w:val="004E6C73"/>
    <w:rsid w:val="004F0229"/>
    <w:rsid w:val="004F576F"/>
    <w:rsid w:val="00501123"/>
    <w:rsid w:val="0050400B"/>
    <w:rsid w:val="0050438A"/>
    <w:rsid w:val="005100B1"/>
    <w:rsid w:val="005103FE"/>
    <w:rsid w:val="005175C6"/>
    <w:rsid w:val="00520179"/>
    <w:rsid w:val="0052134E"/>
    <w:rsid w:val="00524CA0"/>
    <w:rsid w:val="00525171"/>
    <w:rsid w:val="00526A24"/>
    <w:rsid w:val="00527E13"/>
    <w:rsid w:val="005412E5"/>
    <w:rsid w:val="00541D40"/>
    <w:rsid w:val="00546E52"/>
    <w:rsid w:val="00553DBE"/>
    <w:rsid w:val="00553FB3"/>
    <w:rsid w:val="00555844"/>
    <w:rsid w:val="0056069F"/>
    <w:rsid w:val="00570856"/>
    <w:rsid w:val="005725CB"/>
    <w:rsid w:val="00582304"/>
    <w:rsid w:val="00584A68"/>
    <w:rsid w:val="00586E40"/>
    <w:rsid w:val="005A3B56"/>
    <w:rsid w:val="005A52A3"/>
    <w:rsid w:val="005A544A"/>
    <w:rsid w:val="005B06F2"/>
    <w:rsid w:val="005B0949"/>
    <w:rsid w:val="005B0EB7"/>
    <w:rsid w:val="005B3E26"/>
    <w:rsid w:val="005B5420"/>
    <w:rsid w:val="005B613B"/>
    <w:rsid w:val="005B6BFA"/>
    <w:rsid w:val="005C5CEF"/>
    <w:rsid w:val="005C64CF"/>
    <w:rsid w:val="005D5D38"/>
    <w:rsid w:val="005E5884"/>
    <w:rsid w:val="005F06A3"/>
    <w:rsid w:val="005F2DBA"/>
    <w:rsid w:val="005F3A0D"/>
    <w:rsid w:val="005F4925"/>
    <w:rsid w:val="006066B5"/>
    <w:rsid w:val="00621ED4"/>
    <w:rsid w:val="0063419E"/>
    <w:rsid w:val="0063541A"/>
    <w:rsid w:val="0063779B"/>
    <w:rsid w:val="00646920"/>
    <w:rsid w:val="0065337B"/>
    <w:rsid w:val="006542A8"/>
    <w:rsid w:val="00660AA2"/>
    <w:rsid w:val="006616B0"/>
    <w:rsid w:val="006646CB"/>
    <w:rsid w:val="006656E1"/>
    <w:rsid w:val="00671242"/>
    <w:rsid w:val="006716FB"/>
    <w:rsid w:val="006733F9"/>
    <w:rsid w:val="006820D2"/>
    <w:rsid w:val="00683148"/>
    <w:rsid w:val="006912F7"/>
    <w:rsid w:val="006955EC"/>
    <w:rsid w:val="006A4C1E"/>
    <w:rsid w:val="006A5A79"/>
    <w:rsid w:val="006B2C98"/>
    <w:rsid w:val="006B5D23"/>
    <w:rsid w:val="006C150F"/>
    <w:rsid w:val="006D089E"/>
    <w:rsid w:val="006D5F12"/>
    <w:rsid w:val="006E19AC"/>
    <w:rsid w:val="006E3318"/>
    <w:rsid w:val="006E3A3D"/>
    <w:rsid w:val="006F2923"/>
    <w:rsid w:val="006F464E"/>
    <w:rsid w:val="00700DB8"/>
    <w:rsid w:val="0070139E"/>
    <w:rsid w:val="0070304F"/>
    <w:rsid w:val="00707979"/>
    <w:rsid w:val="00710D6A"/>
    <w:rsid w:val="007114CA"/>
    <w:rsid w:val="0071361A"/>
    <w:rsid w:val="00714CD3"/>
    <w:rsid w:val="0072084C"/>
    <w:rsid w:val="00721CD4"/>
    <w:rsid w:val="00734737"/>
    <w:rsid w:val="00734C85"/>
    <w:rsid w:val="0075573B"/>
    <w:rsid w:val="00772952"/>
    <w:rsid w:val="00772FC7"/>
    <w:rsid w:val="00780CA3"/>
    <w:rsid w:val="00783159"/>
    <w:rsid w:val="00783E36"/>
    <w:rsid w:val="00786C93"/>
    <w:rsid w:val="0079075D"/>
    <w:rsid w:val="007907E7"/>
    <w:rsid w:val="00790DE8"/>
    <w:rsid w:val="00791127"/>
    <w:rsid w:val="0079350E"/>
    <w:rsid w:val="007A1F84"/>
    <w:rsid w:val="007A497F"/>
    <w:rsid w:val="007A76E7"/>
    <w:rsid w:val="007B1585"/>
    <w:rsid w:val="007B165C"/>
    <w:rsid w:val="007B5B01"/>
    <w:rsid w:val="007C355C"/>
    <w:rsid w:val="007D1C02"/>
    <w:rsid w:val="007D3727"/>
    <w:rsid w:val="007D64F3"/>
    <w:rsid w:val="007D6EAF"/>
    <w:rsid w:val="007E13D7"/>
    <w:rsid w:val="007F204B"/>
    <w:rsid w:val="007F24FE"/>
    <w:rsid w:val="007F6C5D"/>
    <w:rsid w:val="00801023"/>
    <w:rsid w:val="00803D1D"/>
    <w:rsid w:val="00804222"/>
    <w:rsid w:val="00806C7F"/>
    <w:rsid w:val="008117CD"/>
    <w:rsid w:val="00814151"/>
    <w:rsid w:val="0082196D"/>
    <w:rsid w:val="0083031A"/>
    <w:rsid w:val="00846D2D"/>
    <w:rsid w:val="00853219"/>
    <w:rsid w:val="00861A3D"/>
    <w:rsid w:val="00865AB5"/>
    <w:rsid w:val="00870E5F"/>
    <w:rsid w:val="00891A84"/>
    <w:rsid w:val="00893E87"/>
    <w:rsid w:val="00895217"/>
    <w:rsid w:val="008A0B0B"/>
    <w:rsid w:val="008A1897"/>
    <w:rsid w:val="008A4E93"/>
    <w:rsid w:val="008A50F9"/>
    <w:rsid w:val="008B2A02"/>
    <w:rsid w:val="008B3464"/>
    <w:rsid w:val="008B6137"/>
    <w:rsid w:val="008B6E36"/>
    <w:rsid w:val="008B7B2E"/>
    <w:rsid w:val="008C00EB"/>
    <w:rsid w:val="008C5E4F"/>
    <w:rsid w:val="008C6970"/>
    <w:rsid w:val="008D071A"/>
    <w:rsid w:val="008E3C75"/>
    <w:rsid w:val="008F66A1"/>
    <w:rsid w:val="009035D5"/>
    <w:rsid w:val="00904393"/>
    <w:rsid w:val="009068EA"/>
    <w:rsid w:val="00913007"/>
    <w:rsid w:val="00922BA2"/>
    <w:rsid w:val="0092481F"/>
    <w:rsid w:val="00927E57"/>
    <w:rsid w:val="00931D17"/>
    <w:rsid w:val="0093371C"/>
    <w:rsid w:val="0093427A"/>
    <w:rsid w:val="00942599"/>
    <w:rsid w:val="0095022D"/>
    <w:rsid w:val="009537AB"/>
    <w:rsid w:val="00956D9C"/>
    <w:rsid w:val="009571C1"/>
    <w:rsid w:val="00957CB0"/>
    <w:rsid w:val="00961827"/>
    <w:rsid w:val="00982BDD"/>
    <w:rsid w:val="0098732D"/>
    <w:rsid w:val="00995999"/>
    <w:rsid w:val="009A3F76"/>
    <w:rsid w:val="009A5531"/>
    <w:rsid w:val="009B33B8"/>
    <w:rsid w:val="009B56AF"/>
    <w:rsid w:val="009C2D35"/>
    <w:rsid w:val="009C3972"/>
    <w:rsid w:val="009D0C92"/>
    <w:rsid w:val="009D2EFE"/>
    <w:rsid w:val="009D77EF"/>
    <w:rsid w:val="009E7C04"/>
    <w:rsid w:val="009F10EF"/>
    <w:rsid w:val="009F2D85"/>
    <w:rsid w:val="009F465F"/>
    <w:rsid w:val="009F58A4"/>
    <w:rsid w:val="00A062E7"/>
    <w:rsid w:val="00A0687F"/>
    <w:rsid w:val="00A07074"/>
    <w:rsid w:val="00A101C1"/>
    <w:rsid w:val="00A11FAE"/>
    <w:rsid w:val="00A16658"/>
    <w:rsid w:val="00A17F55"/>
    <w:rsid w:val="00A21419"/>
    <w:rsid w:val="00A41239"/>
    <w:rsid w:val="00A43B5F"/>
    <w:rsid w:val="00A455B8"/>
    <w:rsid w:val="00A46740"/>
    <w:rsid w:val="00A47505"/>
    <w:rsid w:val="00A50058"/>
    <w:rsid w:val="00A5012B"/>
    <w:rsid w:val="00A52827"/>
    <w:rsid w:val="00A569CF"/>
    <w:rsid w:val="00A67C0F"/>
    <w:rsid w:val="00A71918"/>
    <w:rsid w:val="00A816BE"/>
    <w:rsid w:val="00A875F5"/>
    <w:rsid w:val="00A904EB"/>
    <w:rsid w:val="00A93806"/>
    <w:rsid w:val="00AA34A9"/>
    <w:rsid w:val="00AA4104"/>
    <w:rsid w:val="00AA701F"/>
    <w:rsid w:val="00AA794E"/>
    <w:rsid w:val="00AB3891"/>
    <w:rsid w:val="00AC0CA2"/>
    <w:rsid w:val="00AC1B13"/>
    <w:rsid w:val="00AC71FF"/>
    <w:rsid w:val="00AD3887"/>
    <w:rsid w:val="00AE001F"/>
    <w:rsid w:val="00AE26CB"/>
    <w:rsid w:val="00AE3892"/>
    <w:rsid w:val="00AF0980"/>
    <w:rsid w:val="00AF0C23"/>
    <w:rsid w:val="00AF1DA2"/>
    <w:rsid w:val="00B0186E"/>
    <w:rsid w:val="00B06701"/>
    <w:rsid w:val="00B107C7"/>
    <w:rsid w:val="00B15195"/>
    <w:rsid w:val="00B273E5"/>
    <w:rsid w:val="00B276E5"/>
    <w:rsid w:val="00B311CD"/>
    <w:rsid w:val="00B31FA2"/>
    <w:rsid w:val="00B3230B"/>
    <w:rsid w:val="00B45F2A"/>
    <w:rsid w:val="00B518D8"/>
    <w:rsid w:val="00B53D81"/>
    <w:rsid w:val="00B6260C"/>
    <w:rsid w:val="00B71C47"/>
    <w:rsid w:val="00B80F8C"/>
    <w:rsid w:val="00B81A43"/>
    <w:rsid w:val="00B952E5"/>
    <w:rsid w:val="00B96545"/>
    <w:rsid w:val="00BA6A42"/>
    <w:rsid w:val="00BA76B8"/>
    <w:rsid w:val="00BB0B18"/>
    <w:rsid w:val="00BB2285"/>
    <w:rsid w:val="00BB4BFA"/>
    <w:rsid w:val="00BB5435"/>
    <w:rsid w:val="00BB5FC5"/>
    <w:rsid w:val="00BC294E"/>
    <w:rsid w:val="00BC31B8"/>
    <w:rsid w:val="00BC351B"/>
    <w:rsid w:val="00BD2414"/>
    <w:rsid w:val="00BE1107"/>
    <w:rsid w:val="00BE3FC7"/>
    <w:rsid w:val="00BF55F0"/>
    <w:rsid w:val="00BF714D"/>
    <w:rsid w:val="00BF780E"/>
    <w:rsid w:val="00C06B9A"/>
    <w:rsid w:val="00C07161"/>
    <w:rsid w:val="00C073A1"/>
    <w:rsid w:val="00C216D4"/>
    <w:rsid w:val="00C248B9"/>
    <w:rsid w:val="00C24C1C"/>
    <w:rsid w:val="00C255BD"/>
    <w:rsid w:val="00C32A1F"/>
    <w:rsid w:val="00C32DEF"/>
    <w:rsid w:val="00C3343E"/>
    <w:rsid w:val="00C3475B"/>
    <w:rsid w:val="00C405AE"/>
    <w:rsid w:val="00C44882"/>
    <w:rsid w:val="00C45570"/>
    <w:rsid w:val="00C45B03"/>
    <w:rsid w:val="00C4695B"/>
    <w:rsid w:val="00C47AE2"/>
    <w:rsid w:val="00C504B1"/>
    <w:rsid w:val="00C52FF1"/>
    <w:rsid w:val="00C53529"/>
    <w:rsid w:val="00C55101"/>
    <w:rsid w:val="00C5542C"/>
    <w:rsid w:val="00C6796A"/>
    <w:rsid w:val="00C7156E"/>
    <w:rsid w:val="00C721C2"/>
    <w:rsid w:val="00C74C28"/>
    <w:rsid w:val="00C8484C"/>
    <w:rsid w:val="00C86B71"/>
    <w:rsid w:val="00C87E03"/>
    <w:rsid w:val="00C90234"/>
    <w:rsid w:val="00C95CA9"/>
    <w:rsid w:val="00C9729F"/>
    <w:rsid w:val="00CA1BE7"/>
    <w:rsid w:val="00CA38D2"/>
    <w:rsid w:val="00CA39FB"/>
    <w:rsid w:val="00CA5E15"/>
    <w:rsid w:val="00CB0E4A"/>
    <w:rsid w:val="00CB3701"/>
    <w:rsid w:val="00CB48C8"/>
    <w:rsid w:val="00CB4DC8"/>
    <w:rsid w:val="00CB5DF9"/>
    <w:rsid w:val="00CB6165"/>
    <w:rsid w:val="00CD07C9"/>
    <w:rsid w:val="00CD7F1D"/>
    <w:rsid w:val="00CE1144"/>
    <w:rsid w:val="00CE43D2"/>
    <w:rsid w:val="00CF5788"/>
    <w:rsid w:val="00CF6172"/>
    <w:rsid w:val="00D02052"/>
    <w:rsid w:val="00D054D1"/>
    <w:rsid w:val="00D05B47"/>
    <w:rsid w:val="00D06011"/>
    <w:rsid w:val="00D10DC3"/>
    <w:rsid w:val="00D2595F"/>
    <w:rsid w:val="00D259A5"/>
    <w:rsid w:val="00D30CCB"/>
    <w:rsid w:val="00D40D99"/>
    <w:rsid w:val="00D51032"/>
    <w:rsid w:val="00D53E7C"/>
    <w:rsid w:val="00D54969"/>
    <w:rsid w:val="00D60F88"/>
    <w:rsid w:val="00D615C6"/>
    <w:rsid w:val="00D6284B"/>
    <w:rsid w:val="00D713CC"/>
    <w:rsid w:val="00D73C57"/>
    <w:rsid w:val="00D848B0"/>
    <w:rsid w:val="00D850B4"/>
    <w:rsid w:val="00DA0982"/>
    <w:rsid w:val="00DA3F6B"/>
    <w:rsid w:val="00DA6E35"/>
    <w:rsid w:val="00DB1469"/>
    <w:rsid w:val="00DB47AC"/>
    <w:rsid w:val="00DC773B"/>
    <w:rsid w:val="00DC7B36"/>
    <w:rsid w:val="00DC7E94"/>
    <w:rsid w:val="00DD5C18"/>
    <w:rsid w:val="00DD7082"/>
    <w:rsid w:val="00DE7515"/>
    <w:rsid w:val="00DF4C92"/>
    <w:rsid w:val="00DF73FB"/>
    <w:rsid w:val="00E0695A"/>
    <w:rsid w:val="00E10FB0"/>
    <w:rsid w:val="00E13721"/>
    <w:rsid w:val="00E13748"/>
    <w:rsid w:val="00E248A8"/>
    <w:rsid w:val="00E326B5"/>
    <w:rsid w:val="00E360A1"/>
    <w:rsid w:val="00E44D24"/>
    <w:rsid w:val="00E45EB7"/>
    <w:rsid w:val="00E46FFC"/>
    <w:rsid w:val="00E50732"/>
    <w:rsid w:val="00E52682"/>
    <w:rsid w:val="00E52E00"/>
    <w:rsid w:val="00E53821"/>
    <w:rsid w:val="00E55B60"/>
    <w:rsid w:val="00E7686D"/>
    <w:rsid w:val="00E814B3"/>
    <w:rsid w:val="00E82457"/>
    <w:rsid w:val="00E8652A"/>
    <w:rsid w:val="00E86AB8"/>
    <w:rsid w:val="00E975CF"/>
    <w:rsid w:val="00EA107A"/>
    <w:rsid w:val="00EA3AD5"/>
    <w:rsid w:val="00EA3E98"/>
    <w:rsid w:val="00EA6BC7"/>
    <w:rsid w:val="00EB3403"/>
    <w:rsid w:val="00EB503F"/>
    <w:rsid w:val="00EB79F4"/>
    <w:rsid w:val="00EC1552"/>
    <w:rsid w:val="00EC1CFA"/>
    <w:rsid w:val="00EC1F5C"/>
    <w:rsid w:val="00EC430F"/>
    <w:rsid w:val="00ED0905"/>
    <w:rsid w:val="00ED492F"/>
    <w:rsid w:val="00ED7F89"/>
    <w:rsid w:val="00EE567C"/>
    <w:rsid w:val="00EE67EF"/>
    <w:rsid w:val="00EF77F3"/>
    <w:rsid w:val="00F101CD"/>
    <w:rsid w:val="00F12904"/>
    <w:rsid w:val="00F13F40"/>
    <w:rsid w:val="00F14DF6"/>
    <w:rsid w:val="00F223A9"/>
    <w:rsid w:val="00F258F3"/>
    <w:rsid w:val="00F26050"/>
    <w:rsid w:val="00F30832"/>
    <w:rsid w:val="00F32E7A"/>
    <w:rsid w:val="00F34314"/>
    <w:rsid w:val="00F4140B"/>
    <w:rsid w:val="00F524E6"/>
    <w:rsid w:val="00F60A92"/>
    <w:rsid w:val="00F60F02"/>
    <w:rsid w:val="00F65621"/>
    <w:rsid w:val="00F66329"/>
    <w:rsid w:val="00F737B4"/>
    <w:rsid w:val="00F913E8"/>
    <w:rsid w:val="00F91F63"/>
    <w:rsid w:val="00F97518"/>
    <w:rsid w:val="00FA44D8"/>
    <w:rsid w:val="00FC0514"/>
    <w:rsid w:val="00FC1663"/>
    <w:rsid w:val="00FC32CF"/>
    <w:rsid w:val="00FD4017"/>
    <w:rsid w:val="00FD481E"/>
    <w:rsid w:val="00FE3418"/>
    <w:rsid w:val="00FE47AE"/>
    <w:rsid w:val="00FE7944"/>
    <w:rsid w:val="00FF4B3E"/>
    <w:rsid w:val="00FF6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57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0D99"/>
  </w:style>
  <w:style w:type="paragraph" w:styleId="Kop1">
    <w:name w:val="heading 1"/>
    <w:basedOn w:val="Standaard"/>
    <w:next w:val="Standaard"/>
    <w:link w:val="Kop1Char"/>
    <w:uiPriority w:val="9"/>
    <w:qFormat/>
    <w:rsid w:val="00D40D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40D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40D9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40D9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40D9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40D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40D9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40D9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40D9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D9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40D9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40D9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D40D9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D40D9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D40D9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40D9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40D9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40D9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40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D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D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D9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40D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D99"/>
    <w:rPr>
      <w:i/>
      <w:iCs/>
      <w:color w:val="404040" w:themeColor="text1" w:themeTint="BF"/>
    </w:rPr>
  </w:style>
  <w:style w:type="paragraph" w:styleId="Lijstalinea">
    <w:name w:val="List Paragraph"/>
    <w:basedOn w:val="Standaard"/>
    <w:uiPriority w:val="34"/>
    <w:qFormat/>
    <w:rsid w:val="00D40D99"/>
    <w:pPr>
      <w:ind w:left="720"/>
      <w:contextualSpacing/>
    </w:pPr>
  </w:style>
  <w:style w:type="character" w:styleId="Intensievebenadrukking">
    <w:name w:val="Intense Emphasis"/>
    <w:basedOn w:val="Standaardalinea-lettertype"/>
    <w:uiPriority w:val="21"/>
    <w:qFormat/>
    <w:rsid w:val="00D40D99"/>
    <w:rPr>
      <w:i/>
      <w:iCs/>
      <w:color w:val="2E74B5" w:themeColor="accent1" w:themeShade="BF"/>
    </w:rPr>
  </w:style>
  <w:style w:type="paragraph" w:styleId="Duidelijkcitaat">
    <w:name w:val="Intense Quote"/>
    <w:basedOn w:val="Standaard"/>
    <w:next w:val="Standaard"/>
    <w:link w:val="DuidelijkcitaatChar"/>
    <w:uiPriority w:val="30"/>
    <w:qFormat/>
    <w:rsid w:val="00D40D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40D99"/>
    <w:rPr>
      <w:i/>
      <w:iCs/>
      <w:color w:val="2E74B5" w:themeColor="accent1" w:themeShade="BF"/>
    </w:rPr>
  </w:style>
  <w:style w:type="character" w:styleId="Intensieveverwijzing">
    <w:name w:val="Intense Reference"/>
    <w:basedOn w:val="Standaardalinea-lettertype"/>
    <w:uiPriority w:val="32"/>
    <w:qFormat/>
    <w:rsid w:val="00D40D99"/>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D40D99"/>
    <w:rPr>
      <w:sz w:val="16"/>
      <w:szCs w:val="16"/>
    </w:rPr>
  </w:style>
  <w:style w:type="paragraph" w:styleId="Tekstopmerking">
    <w:name w:val="annotation text"/>
    <w:basedOn w:val="Standaard"/>
    <w:link w:val="TekstopmerkingChar"/>
    <w:uiPriority w:val="99"/>
    <w:unhideWhenUsed/>
    <w:rsid w:val="00D40D99"/>
    <w:pPr>
      <w:spacing w:line="240" w:lineRule="auto"/>
    </w:pPr>
    <w:rPr>
      <w:sz w:val="20"/>
      <w:szCs w:val="20"/>
    </w:rPr>
  </w:style>
  <w:style w:type="character" w:customStyle="1" w:styleId="TekstopmerkingChar">
    <w:name w:val="Tekst opmerking Char"/>
    <w:basedOn w:val="Standaardalinea-lettertype"/>
    <w:link w:val="Tekstopmerking"/>
    <w:uiPriority w:val="99"/>
    <w:rsid w:val="00D40D99"/>
    <w:rPr>
      <w:sz w:val="20"/>
      <w:szCs w:val="20"/>
    </w:rPr>
  </w:style>
  <w:style w:type="paragraph" w:styleId="Voetnoottekst">
    <w:name w:val="footnote text"/>
    <w:basedOn w:val="Standaard"/>
    <w:link w:val="VoetnoottekstChar"/>
    <w:uiPriority w:val="99"/>
    <w:semiHidden/>
    <w:unhideWhenUsed/>
    <w:rsid w:val="00D40D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0D99"/>
    <w:rPr>
      <w:sz w:val="20"/>
      <w:szCs w:val="20"/>
    </w:rPr>
  </w:style>
  <w:style w:type="character" w:styleId="Voetnootmarkering">
    <w:name w:val="footnote reference"/>
    <w:basedOn w:val="Standaardalinea-lettertype"/>
    <w:uiPriority w:val="99"/>
    <w:semiHidden/>
    <w:unhideWhenUsed/>
    <w:rsid w:val="00D40D99"/>
    <w:rPr>
      <w:vertAlign w:val="superscript"/>
    </w:rPr>
  </w:style>
  <w:style w:type="paragraph" w:styleId="Onderwerpvanopmerking">
    <w:name w:val="annotation subject"/>
    <w:basedOn w:val="Tekstopmerking"/>
    <w:next w:val="Tekstopmerking"/>
    <w:link w:val="OnderwerpvanopmerkingChar"/>
    <w:uiPriority w:val="99"/>
    <w:semiHidden/>
    <w:unhideWhenUsed/>
    <w:rsid w:val="009068EA"/>
    <w:rPr>
      <w:b/>
      <w:bCs/>
    </w:rPr>
  </w:style>
  <w:style w:type="character" w:customStyle="1" w:styleId="OnderwerpvanopmerkingChar">
    <w:name w:val="Onderwerp van opmerking Char"/>
    <w:basedOn w:val="TekstopmerkingChar"/>
    <w:link w:val="Onderwerpvanopmerking"/>
    <w:uiPriority w:val="99"/>
    <w:semiHidden/>
    <w:rsid w:val="009068EA"/>
    <w:rPr>
      <w:b/>
      <w:bCs/>
      <w:sz w:val="20"/>
      <w:szCs w:val="20"/>
    </w:rPr>
  </w:style>
  <w:style w:type="paragraph" w:styleId="Revisie">
    <w:name w:val="Revision"/>
    <w:hidden/>
    <w:uiPriority w:val="99"/>
    <w:semiHidden/>
    <w:rsid w:val="002E5FA5"/>
    <w:pPr>
      <w:spacing w:after="0" w:line="240" w:lineRule="auto"/>
    </w:pPr>
  </w:style>
  <w:style w:type="paragraph" w:styleId="Koptekst">
    <w:name w:val="header"/>
    <w:basedOn w:val="Standaard"/>
    <w:link w:val="KoptekstChar"/>
    <w:uiPriority w:val="99"/>
    <w:unhideWhenUsed/>
    <w:rsid w:val="00524C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CA0"/>
  </w:style>
  <w:style w:type="paragraph" w:styleId="Voettekst">
    <w:name w:val="footer"/>
    <w:basedOn w:val="Standaard"/>
    <w:link w:val="VoettekstChar"/>
    <w:uiPriority w:val="99"/>
    <w:unhideWhenUsed/>
    <w:rsid w:val="00524C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CA0"/>
  </w:style>
  <w:style w:type="paragraph" w:styleId="Geenafstand">
    <w:name w:val="No Spacing"/>
    <w:uiPriority w:val="1"/>
    <w:qFormat/>
    <w:rsid w:val="00865AB5"/>
    <w:pPr>
      <w:spacing w:after="0" w:line="240" w:lineRule="auto"/>
    </w:pPr>
  </w:style>
  <w:style w:type="character" w:styleId="Vermelding">
    <w:name w:val="Mention"/>
    <w:basedOn w:val="Standaardalinea-lettertype"/>
    <w:uiPriority w:val="99"/>
    <w:unhideWhenUsed/>
    <w:rsid w:val="005F49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16085944">
      <w:bodyDiv w:val="1"/>
      <w:marLeft w:val="0"/>
      <w:marRight w:val="0"/>
      <w:marTop w:val="0"/>
      <w:marBottom w:val="0"/>
      <w:divBdr>
        <w:top w:val="none" w:sz="0" w:space="0" w:color="auto"/>
        <w:left w:val="none" w:sz="0" w:space="0" w:color="auto"/>
        <w:bottom w:val="none" w:sz="0" w:space="0" w:color="auto"/>
        <w:right w:val="none" w:sz="0" w:space="0" w:color="auto"/>
      </w:divBdr>
    </w:div>
    <w:div w:id="341903421">
      <w:bodyDiv w:val="1"/>
      <w:marLeft w:val="0"/>
      <w:marRight w:val="0"/>
      <w:marTop w:val="0"/>
      <w:marBottom w:val="0"/>
      <w:divBdr>
        <w:top w:val="none" w:sz="0" w:space="0" w:color="auto"/>
        <w:left w:val="none" w:sz="0" w:space="0" w:color="auto"/>
        <w:bottom w:val="none" w:sz="0" w:space="0" w:color="auto"/>
        <w:right w:val="none" w:sz="0" w:space="0" w:color="auto"/>
      </w:divBdr>
    </w:div>
    <w:div w:id="716663734">
      <w:bodyDiv w:val="1"/>
      <w:marLeft w:val="0"/>
      <w:marRight w:val="0"/>
      <w:marTop w:val="0"/>
      <w:marBottom w:val="0"/>
      <w:divBdr>
        <w:top w:val="none" w:sz="0" w:space="0" w:color="auto"/>
        <w:left w:val="none" w:sz="0" w:space="0" w:color="auto"/>
        <w:bottom w:val="none" w:sz="0" w:space="0" w:color="auto"/>
        <w:right w:val="none" w:sz="0" w:space="0" w:color="auto"/>
      </w:divBdr>
    </w:div>
    <w:div w:id="780228362">
      <w:bodyDiv w:val="1"/>
      <w:marLeft w:val="0"/>
      <w:marRight w:val="0"/>
      <w:marTop w:val="0"/>
      <w:marBottom w:val="0"/>
      <w:divBdr>
        <w:top w:val="none" w:sz="0" w:space="0" w:color="auto"/>
        <w:left w:val="none" w:sz="0" w:space="0" w:color="auto"/>
        <w:bottom w:val="none" w:sz="0" w:space="0" w:color="auto"/>
        <w:right w:val="none" w:sz="0" w:space="0" w:color="auto"/>
      </w:divBdr>
    </w:div>
    <w:div w:id="962007313">
      <w:bodyDiv w:val="1"/>
      <w:marLeft w:val="0"/>
      <w:marRight w:val="0"/>
      <w:marTop w:val="0"/>
      <w:marBottom w:val="0"/>
      <w:divBdr>
        <w:top w:val="none" w:sz="0" w:space="0" w:color="auto"/>
        <w:left w:val="none" w:sz="0" w:space="0" w:color="auto"/>
        <w:bottom w:val="none" w:sz="0" w:space="0" w:color="auto"/>
        <w:right w:val="none" w:sz="0" w:space="0" w:color="auto"/>
      </w:divBdr>
    </w:div>
    <w:div w:id="1183591964">
      <w:bodyDiv w:val="1"/>
      <w:marLeft w:val="0"/>
      <w:marRight w:val="0"/>
      <w:marTop w:val="0"/>
      <w:marBottom w:val="0"/>
      <w:divBdr>
        <w:top w:val="none" w:sz="0" w:space="0" w:color="auto"/>
        <w:left w:val="none" w:sz="0" w:space="0" w:color="auto"/>
        <w:bottom w:val="none" w:sz="0" w:space="0" w:color="auto"/>
        <w:right w:val="none" w:sz="0" w:space="0" w:color="auto"/>
      </w:divBdr>
    </w:div>
    <w:div w:id="200477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3358</ap:Words>
  <ap:Characters>20591</ap:Characters>
  <ap:DocSecurity>0</ap:DocSecurity>
  <ap:Lines>438</ap:Lines>
  <ap:Paragraphs>213</ap:Paragraphs>
  <ap:ScaleCrop>false</ap:ScaleCrop>
  <ap:LinksUpToDate>false</ap:LinksUpToDate>
  <ap:CharactersWithSpaces>23736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2026-07-02T10:43:00.0000000Z</dcterms:created>
  <dcterms:modified xsi:type="dcterms:W3CDTF">2026-07-02T10:43:00.0000000Z</dcterms:modified>
  <version/>
  <category/>
</coreProperties>
</file>