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061C3E45" w14:textId="77777777"/>
        <w:p w:rsidR="00241BB9" w:rsidRDefault="00000000" w14:paraId="048D9D35" w14:textId="77777777">
          <w:pPr>
            <w:spacing w:line="240" w:lineRule="auto"/>
          </w:pPr>
        </w:p>
      </w:sdtContent>
    </w:sdt>
    <w:p w:rsidR="00CD5856" w:rsidRDefault="00CD5856" w14:paraId="47D4C050" w14:textId="77777777">
      <w:pPr>
        <w:spacing w:line="240" w:lineRule="auto"/>
      </w:pPr>
    </w:p>
    <w:p w:rsidR="00CD5856" w:rsidRDefault="00CD5856" w14:paraId="47E29088" w14:textId="77777777"/>
    <w:p w:rsidR="00CD5856" w:rsidRDefault="00CD5856" w14:paraId="59CF9895" w14:textId="77777777"/>
    <w:p w:rsidR="00CD5856" w:rsidRDefault="00CD5856" w14:paraId="0C1D6A8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5F8D04E0" w14:textId="77777777">
      <w:pPr>
        <w:pStyle w:val="Huisstijl-Aanhef"/>
      </w:pPr>
      <w:r>
        <w:t>Geachte voorzitter,</w:t>
      </w:r>
    </w:p>
    <w:p w:rsidRPr="007502C9" w:rsidR="003F0584" w:rsidP="003F0584" w:rsidRDefault="00000000" w14:paraId="4000EFEC" w14:textId="77777777">
      <w:bookmarkStart w:name="_Hlk232670944" w:id="2"/>
      <w:r w:rsidRPr="00CC6120">
        <w:t xml:space="preserve">Met </w:t>
      </w:r>
      <w:r>
        <w:t>de</w:t>
      </w:r>
      <w:r w:rsidRPr="00CC6120">
        <w:t xml:space="preserve"> brief van </w:t>
      </w:r>
      <w:r>
        <w:t>10</w:t>
      </w:r>
      <w:r w:rsidRPr="00CC6120">
        <w:t xml:space="preserve"> juni 202</w:t>
      </w:r>
      <w:r>
        <w:t>6</w:t>
      </w:r>
      <w:r>
        <w:rPr>
          <w:rStyle w:val="Voetnootmarkering"/>
        </w:rPr>
        <w:footnoteReference w:id="1"/>
      </w:r>
      <w:r w:rsidRPr="00CC6120">
        <w:t xml:space="preserve"> heeft </w:t>
      </w:r>
      <w:r>
        <w:t>de vaste commissie</w:t>
      </w:r>
      <w:r w:rsidRPr="00BE4FF6">
        <w:t xml:space="preserve"> voor Volksgezondheid, Welzijn en Sport</w:t>
      </w:r>
      <w:r>
        <w:t xml:space="preserve"> mij verzocht om een toelichting te geven op de gevolgde procedure van het vaststellen van een beleidsregel op basis van </w:t>
      </w:r>
      <w:r w:rsidRPr="007502C9">
        <w:t xml:space="preserve">de Kaderwet zelfstandige bestuursorganen </w:t>
      </w:r>
      <w:r>
        <w:t>(Kaderwet)</w:t>
      </w:r>
      <w:r w:rsidRPr="007502C9">
        <w:t xml:space="preserve"> </w:t>
      </w:r>
      <w:r>
        <w:t xml:space="preserve">en niet de weg van de aanwijzingsbevoegdheid ingevolge de Wet marktordening gezondheidszorg (Wmg) met een daaraan voorafgaande voorhangprocedure bij het </w:t>
      </w:r>
      <w:r w:rsidR="000A4670">
        <w:t>p</w:t>
      </w:r>
      <w:r>
        <w:t>arlement</w:t>
      </w:r>
      <w:r w:rsidRPr="007502C9">
        <w:t xml:space="preserve">. </w:t>
      </w:r>
      <w:r>
        <w:t>Daarnaast heb ik op verzoek van de commissie een afschrift van de beleidsregel bijgevoegd.</w:t>
      </w:r>
      <w:r w:rsidR="00B57E26">
        <w:t xml:space="preserve"> Deze is reeds gepubliceerd in de Staatscourant. </w:t>
      </w:r>
    </w:p>
    <w:bookmarkEnd w:id="2"/>
    <w:p w:rsidR="003F0584" w:rsidP="003F0584" w:rsidRDefault="003F0584" w14:paraId="7F0115CF" w14:textId="77777777"/>
    <w:p w:rsidR="003F0584" w:rsidP="003F0584" w:rsidRDefault="00000000" w14:paraId="67AEA7AC" w14:textId="77777777">
      <w:r w:rsidRPr="0063154E">
        <w:t xml:space="preserve">De Nederlandse Zorgautoriteit (NZa) voert haar wettelijke taken uit als zelfstandig bestuursorgaan. De </w:t>
      </w:r>
      <w:r>
        <w:t>m</w:t>
      </w:r>
      <w:r w:rsidRPr="0063154E">
        <w:t>inister van VWS bepaalt de beleidsmatige kaders en neemt de politiek-bestuurlijke beslissingen, terwijl de NZa binnen die kaders zelfstandig verantwoordelijk is voor de uitvoering van haar wettelijke taken, waaronder het vaststellen van prestaties en tarieven. De NZa is daarbij niet hiërarchisch ondergeschikt aan de minister. Sturing op de taakuitoefening van de NZa kan daarom uitsluitend plaatsvinden voor zover de wet daarvoor een expliciete bevoegdheid biedt.</w:t>
      </w:r>
      <w:r w:rsidRPr="00780082">
        <w:rPr>
          <w:rFonts w:eastAsia="Times New Roman" w:cs="Times New Roman"/>
          <w:szCs w:val="20"/>
        </w:rPr>
        <w:t xml:space="preserve"> De bestaande wetgeving regelt op dat gebied de bevoegdheid op grond van de Kaderwet </w:t>
      </w:r>
      <w:r>
        <w:rPr>
          <w:rFonts w:eastAsia="Times New Roman" w:cs="Times New Roman"/>
          <w:szCs w:val="20"/>
        </w:rPr>
        <w:t xml:space="preserve">om een </w:t>
      </w:r>
      <w:r w:rsidRPr="00780082">
        <w:rPr>
          <w:rFonts w:eastAsia="Times New Roman" w:cs="Times New Roman"/>
          <w:szCs w:val="20"/>
        </w:rPr>
        <w:t>beleidsregel vast te stellen voor de taakuitoefening door de NZa</w:t>
      </w:r>
      <w:r>
        <w:rPr>
          <w:rFonts w:eastAsia="Times New Roman" w:cs="Times New Roman"/>
          <w:szCs w:val="20"/>
          <w:vertAlign w:val="superscript"/>
        </w:rPr>
        <w:footnoteReference w:id="2"/>
      </w:r>
      <w:r>
        <w:rPr>
          <w:rFonts w:eastAsia="Times New Roman" w:cs="Times New Roman"/>
          <w:szCs w:val="20"/>
        </w:rPr>
        <w:t xml:space="preserve"> en</w:t>
      </w:r>
      <w:r w:rsidRPr="00780082">
        <w:rPr>
          <w:rFonts w:eastAsia="Times New Roman" w:cs="Times New Roman"/>
          <w:szCs w:val="20"/>
        </w:rPr>
        <w:t xml:space="preserve"> </w:t>
      </w:r>
      <w:r>
        <w:rPr>
          <w:rFonts w:eastAsia="Times New Roman" w:cs="Times New Roman"/>
          <w:szCs w:val="20"/>
        </w:rPr>
        <w:t xml:space="preserve">om op grond van </w:t>
      </w:r>
      <w:r w:rsidRPr="00780082">
        <w:rPr>
          <w:rFonts w:eastAsia="Times New Roman" w:cs="Times New Roman"/>
          <w:szCs w:val="20"/>
        </w:rPr>
        <w:t xml:space="preserve">de Wmg een </w:t>
      </w:r>
      <w:r>
        <w:rPr>
          <w:rFonts w:eastAsia="Times New Roman" w:cs="Times New Roman"/>
          <w:szCs w:val="20"/>
        </w:rPr>
        <w:t xml:space="preserve">algemene </w:t>
      </w:r>
      <w:r w:rsidRPr="00780082">
        <w:rPr>
          <w:rFonts w:eastAsia="Times New Roman" w:cs="Times New Roman"/>
          <w:szCs w:val="20"/>
        </w:rPr>
        <w:t xml:space="preserve">aanwijzing te geven aan de NZa </w:t>
      </w:r>
      <w:r>
        <w:rPr>
          <w:rFonts w:eastAsia="Times New Roman" w:cs="Times New Roman"/>
          <w:szCs w:val="20"/>
        </w:rPr>
        <w:t>met betrekking tot</w:t>
      </w:r>
      <w:r w:rsidRPr="00780082">
        <w:rPr>
          <w:rFonts w:eastAsia="Times New Roman" w:cs="Times New Roman"/>
          <w:szCs w:val="20"/>
        </w:rPr>
        <w:t xml:space="preserve"> onderwerpen waarvoor zij op grond van de Wmg (beleids)regels vaststelt</w:t>
      </w:r>
      <w:r>
        <w:rPr>
          <w:rFonts w:eastAsia="Times New Roman" w:cs="Times New Roman"/>
          <w:szCs w:val="20"/>
        </w:rPr>
        <w:t>.</w:t>
      </w:r>
      <w:r>
        <w:rPr>
          <w:rFonts w:eastAsia="Times New Roman" w:cs="Times New Roman"/>
          <w:szCs w:val="20"/>
          <w:vertAlign w:val="superscript"/>
        </w:rPr>
        <w:footnoteReference w:id="3"/>
      </w:r>
    </w:p>
    <w:p w:rsidR="003F0584" w:rsidP="003F0584" w:rsidRDefault="003F0584" w14:paraId="32636CE4" w14:textId="77777777"/>
    <w:p w:rsidR="008D59C5" w:rsidP="003F0584" w:rsidRDefault="00000000" w14:paraId="2B5546E3" w14:textId="77777777">
      <w:r w:rsidRPr="00BF51ED">
        <w:t xml:space="preserve">Artikel 21 van de Kaderwet geeft </w:t>
      </w:r>
      <w:r>
        <w:t xml:space="preserve">de minister </w:t>
      </w:r>
      <w:r w:rsidRPr="00BF51ED">
        <w:t xml:space="preserve">een ruime bevoegdheid om vooraf via </w:t>
      </w:r>
      <w:r>
        <w:t>een beleidsregel</w:t>
      </w:r>
      <w:r w:rsidRPr="00BF51ED">
        <w:t xml:space="preserve"> aan te geven op welke wijze de taakuitoefening moet plaatsvinden, alsmede om met </w:t>
      </w:r>
      <w:r>
        <w:t xml:space="preserve">een </w:t>
      </w:r>
      <w:r w:rsidRPr="00BF51ED">
        <w:t>beleidsregel een kader te stellen of bij te stellen waarbinnen de taakuitoefening door het zelfstandig bestuursorgaan moet plaatsvinden</w:t>
      </w:r>
      <w:r w:rsidRPr="000C2460">
        <w:t xml:space="preserve">. Daarmee kan de minister een algemeen kader stellen waarbinnen de </w:t>
      </w:r>
      <w:r w:rsidRPr="000C2460">
        <w:lastRenderedPageBreak/>
        <w:t>NZa haar bevoegdheden uitoefent, terwijl de NZa verantwoordelijk blijft voor de concrete toepassing daarvan. Het vaststellen van een dergelijke beleidsregel betreft een zelfstandige bevoegdheid van de minister</w:t>
      </w:r>
      <w:r>
        <w:t>. Er geldt geen voorschrift dat een on</w:t>
      </w:r>
      <w:r w:rsidRPr="00041B51">
        <w:t xml:space="preserve">twerp daarvan </w:t>
      </w:r>
      <w:r>
        <w:t xml:space="preserve">eerst gedurende een bepaalde tijd </w:t>
      </w:r>
      <w:r w:rsidRPr="00041B51">
        <w:t xml:space="preserve">ter kennis van </w:t>
      </w:r>
      <w:r>
        <w:t>de Eerste Kamer en Tweede Kamer moet worden</w:t>
      </w:r>
      <w:r w:rsidRPr="00041B51">
        <w:t xml:space="preserve"> gebracht</w:t>
      </w:r>
      <w:r w:rsidRPr="000C2460">
        <w:t>.</w:t>
      </w:r>
    </w:p>
    <w:p w:rsidRPr="008D59C5" w:rsidR="003F0584" w:rsidP="003F0584" w:rsidRDefault="003F0584" w14:paraId="018D4710" w14:textId="77777777"/>
    <w:p w:rsidR="003F0584" w:rsidP="003F0584" w:rsidRDefault="00000000" w14:paraId="23EBE710" w14:textId="77777777">
      <w:r w:rsidRPr="000C2460">
        <w:t>Artikel 7 W</w:t>
      </w:r>
      <w:r>
        <w:t>mg</w:t>
      </w:r>
      <w:r w:rsidRPr="000C2460">
        <w:t xml:space="preserve"> biedt </w:t>
      </w:r>
      <w:r>
        <w:t xml:space="preserve">de minister </w:t>
      </w:r>
      <w:r w:rsidRPr="000C2460">
        <w:t>de mogelijkheid om de NZa een algemene aanwijzing te geven. Een aanwijzing is bedoeld om de NZa opdracht te geven beleidsregels of nadere regels vast te stellen ten aanzien van een bepaald onderwerp</w:t>
      </w:r>
      <w:r>
        <w:rPr>
          <w:rStyle w:val="Voetnootmarkering"/>
        </w:rPr>
        <w:footnoteReference w:id="4"/>
      </w:r>
      <w:r w:rsidRPr="000C2460">
        <w:t>. Dit instrument wordt doorgaans ingezet bij beleids</w:t>
      </w:r>
      <w:r>
        <w:t>rijke</w:t>
      </w:r>
      <w:r w:rsidRPr="000C2460">
        <w:t xml:space="preserve"> wijzigingen, zoals de invoering van een nieuw bekostigingssysteem, </w:t>
      </w:r>
      <w:r>
        <w:t>het starten van een</w:t>
      </w:r>
      <w:r w:rsidRPr="000C2460">
        <w:t xml:space="preserve"> experiment of</w:t>
      </w:r>
      <w:r>
        <w:t xml:space="preserve"> het doorvoeren van</w:t>
      </w:r>
      <w:r w:rsidRPr="000C2460">
        <w:t xml:space="preserve"> een tariefmaatregel. </w:t>
      </w:r>
      <w:r>
        <w:t>D</w:t>
      </w:r>
      <w:r w:rsidRPr="00E711DC">
        <w:t>e minister</w:t>
      </w:r>
      <w:r>
        <w:t xml:space="preserve"> moet op grond van artikel 8 Wmg de zakelijke inhoud van een voorgenomen aanwijzing gedurende 30 dagen schriftelijk </w:t>
      </w:r>
      <w:r w:rsidRPr="00E711DC">
        <w:t xml:space="preserve">ter kennis van </w:t>
      </w:r>
      <w:r>
        <w:t>de Eerste en Tweede Kamer brengen. H</w:t>
      </w:r>
      <w:r w:rsidRPr="00E711DC">
        <w:t xml:space="preserve">et </w:t>
      </w:r>
      <w:r w:rsidR="000A4670">
        <w:t>p</w:t>
      </w:r>
      <w:r w:rsidRPr="00E711DC">
        <w:t xml:space="preserve">arlement wordt hiermee enige tijd in de gelegenheid gesteld opmerkingen over het </w:t>
      </w:r>
      <w:r>
        <w:t>voornemen</w:t>
      </w:r>
      <w:r w:rsidRPr="00E711DC">
        <w:t xml:space="preserve"> te maken en daarover met de betrokken bewindspersoon van gedachten te wisselen. </w:t>
      </w:r>
      <w:r>
        <w:t xml:space="preserve">De minister kan na deze voorhangprocedure een aanwijzing aan de NZa geven. </w:t>
      </w:r>
    </w:p>
    <w:p w:rsidR="003F0584" w:rsidP="003F0584" w:rsidRDefault="003F0584" w14:paraId="2C0C17C6" w14:textId="77777777"/>
    <w:p w:rsidR="003F0584" w:rsidP="000A4670" w:rsidRDefault="00000000" w14:paraId="66F8C66E" w14:textId="77777777">
      <w:r>
        <w:t>Zoals ik in de Kamerbrief van 28 mei 2026</w:t>
      </w:r>
      <w:r>
        <w:rPr>
          <w:rStyle w:val="Voetnootmarkering"/>
        </w:rPr>
        <w:footnoteReference w:id="5"/>
      </w:r>
      <w:r>
        <w:t xml:space="preserve"> al met u heb gedeeld, geeft h</w:t>
      </w:r>
      <w:r w:rsidRPr="007868F3">
        <w:t>et kabinet binnen het beschikbare Wlz-kader voor 2027 prioriteit aan het niet-doorvoeren van drie tariefmaatregelen</w:t>
      </w:r>
      <w:r>
        <w:t xml:space="preserve"> voor het jaar 2027</w:t>
      </w:r>
      <w:r w:rsidRPr="007868F3">
        <w:t>.</w:t>
      </w:r>
      <w:r>
        <w:t xml:space="preserve"> Gelet hierop heb ik gekozen</w:t>
      </w:r>
      <w:r w:rsidRPr="000C2460">
        <w:t xml:space="preserve"> voor </w:t>
      </w:r>
      <w:r>
        <w:t xml:space="preserve">het vaststellen van </w:t>
      </w:r>
      <w:r w:rsidRPr="000C2460">
        <w:t xml:space="preserve">een beleidsregel op grond van de Kaderwet. </w:t>
      </w:r>
      <w:r>
        <w:t>Deze beleidsregel wijzigt de beleidsregel voor het gebruik van kostenonderzoeken als basis voor de vaststelling van tarieven voor bij of krachtens de Wet langdurige zorg omschreven zorg.</w:t>
      </w:r>
      <w:r>
        <w:rPr>
          <w:rStyle w:val="Voetnootmarkering"/>
        </w:rPr>
        <w:footnoteReference w:id="6"/>
      </w:r>
      <w:r>
        <w:t xml:space="preserve"> </w:t>
      </w:r>
      <w:r w:rsidRPr="000C2460">
        <w:t>Met deze beleidsregel wordt een kader gesteld voor de taakuitoefening van de NZa, met als doel</w:t>
      </w:r>
      <w:r>
        <w:t xml:space="preserve"> prioriteit te kunnen geven aan het niet-uitvoeren van (voorgenomen) tariefmaatregelen omdat het beschikbare Wlz-kader keuzes vergt. De toepassing van de (gewijzigde) beleidsregel voor 2027 leidt tot uitstel van </w:t>
      </w:r>
      <w:r w:rsidRPr="000C2460">
        <w:t xml:space="preserve">de implementatie van de uitkomsten van het onderzoek </w:t>
      </w:r>
      <w:r>
        <w:t xml:space="preserve">naar de </w:t>
      </w:r>
      <w:r w:rsidRPr="004230F2">
        <w:t xml:space="preserve">vergoeding voor de kosten van het eigen vermogen </w:t>
      </w:r>
      <w:r w:rsidRPr="000C2460">
        <w:t>tot 2028.</w:t>
      </w:r>
      <w:r>
        <w:t xml:space="preserve"> </w:t>
      </w:r>
      <w:r w:rsidRPr="007868F3">
        <w:t xml:space="preserve">De toepassing van de beleidsregel biedt ruimte voor nader overleg met de NZa en zorgkantoren om te bezien of, en zo ja hoe, de uitkomsten van het kostenonderzoek op een doelmatige wijze kunnen worden verwerkt in het zorginkoopbeleid en het </w:t>
      </w:r>
      <w:r>
        <w:t>beschikbare Wlz-</w:t>
      </w:r>
      <w:r w:rsidRPr="007868F3">
        <w:t>kader vanaf 2028.</w:t>
      </w:r>
    </w:p>
    <w:p w:rsidRPr="009A31BF" w:rsidR="00CD5856" w:rsidRDefault="00000000" w14:paraId="70E154B2" w14:textId="77777777">
      <w:pPr>
        <w:pStyle w:val="Huisstijl-Slotzin"/>
      </w:pPr>
      <w:r>
        <w:t>Hoogachtend,</w:t>
      </w:r>
    </w:p>
    <w:p w:rsidR="00BC481F" w:rsidP="00463DBC" w:rsidRDefault="00BC481F" w14:paraId="0F7B1406" w14:textId="77777777">
      <w:pPr>
        <w:spacing w:line="240" w:lineRule="auto"/>
        <w:rPr>
          <w:noProof/>
        </w:rPr>
      </w:pPr>
    </w:p>
    <w:p w:rsidR="00C7683A" w:rsidP="00C62B6C" w:rsidRDefault="00000000" w14:paraId="03194065" w14:textId="77777777">
      <w:pPr>
        <w:spacing w:line="240" w:lineRule="atLeast"/>
        <w:jc w:val="both"/>
      </w:pPr>
      <w:r>
        <w:t xml:space="preserve">de minister van Langdurige Zorg, </w:t>
      </w:r>
    </w:p>
    <w:p w:rsidR="00C62B6C" w:rsidP="00C62B6C" w:rsidRDefault="00000000" w14:paraId="7FBBD842" w14:textId="6320F9BA">
      <w:pPr>
        <w:spacing w:line="240" w:lineRule="atLeast"/>
        <w:jc w:val="both"/>
        <w:rPr>
          <w:szCs w:val="18"/>
        </w:rPr>
      </w:pPr>
      <w:r>
        <w:t>Jeugd en Sport</w:t>
      </w:r>
      <w:r>
        <w:rPr>
          <w:szCs w:val="18"/>
        </w:rPr>
        <w:t>,</w:t>
      </w:r>
    </w:p>
    <w:p w:rsidRPr="007B6A41" w:rsidR="00C62B6C" w:rsidP="00C62B6C" w:rsidRDefault="00C62B6C" w14:paraId="64645103" w14:textId="77777777">
      <w:pPr>
        <w:spacing w:line="240" w:lineRule="atLeast"/>
        <w:rPr>
          <w:szCs w:val="18"/>
        </w:rPr>
      </w:pPr>
      <w:bookmarkStart w:name="bmkHandtekening" w:id="3"/>
    </w:p>
    <w:bookmarkEnd w:id="3"/>
    <w:p w:rsidRPr="007B6A41" w:rsidR="00C62B6C" w:rsidP="00C62B6C" w:rsidRDefault="00000000" w14:paraId="7784D5CD" w14:textId="77777777">
      <w:pPr>
        <w:spacing w:line="240" w:lineRule="atLeast"/>
        <w:rPr>
          <w:szCs w:val="18"/>
        </w:rPr>
      </w:pPr>
      <w:r>
        <w:cr/>
      </w:r>
      <w:r>
        <w:cr/>
      </w:r>
    </w:p>
    <w:p w:rsidRPr="007B6A41" w:rsidR="00C62B6C" w:rsidP="00C62B6C" w:rsidRDefault="00000000" w14:paraId="3E0B0106" w14:textId="77777777">
      <w:pPr>
        <w:spacing w:line="240" w:lineRule="atLeast"/>
        <w:jc w:val="both"/>
        <w:rPr>
          <w:szCs w:val="18"/>
        </w:rPr>
      </w:pPr>
      <w:r>
        <w:t>Mirjam Sterk</w:t>
      </w:r>
    </w:p>
    <w:p w:rsidR="00C95CA9" w:rsidRDefault="00C95CA9" w14:paraId="47331E38" w14:textId="77777777">
      <w:pPr>
        <w:spacing w:line="240" w:lineRule="auto"/>
        <w:rPr>
          <w:noProof/>
        </w:rPr>
      </w:pPr>
    </w:p>
    <w:p w:rsidR="00235AED" w:rsidP="00463DBC" w:rsidRDefault="00235AED" w14:paraId="0F1B186C"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3906" w14:textId="77777777" w:rsidR="00B91B75" w:rsidRDefault="00B91B75">
      <w:pPr>
        <w:spacing w:line="240" w:lineRule="auto"/>
      </w:pPr>
      <w:r>
        <w:separator/>
      </w:r>
    </w:p>
  </w:endnote>
  <w:endnote w:type="continuationSeparator" w:id="0">
    <w:p w14:paraId="678D77EF" w14:textId="77777777" w:rsidR="00B91B75" w:rsidRDefault="00B91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7ECE" w14:textId="66EE46B6" w:rsidR="00DC7639" w:rsidRDefault="00A45F9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9E44C94" wp14:editId="7E38DFCA">
              <wp:simplePos x="0" y="0"/>
              <wp:positionH relativeFrom="page">
                <wp:posOffset>5922645</wp:posOffset>
              </wp:positionH>
              <wp:positionV relativeFrom="page">
                <wp:posOffset>10225405</wp:posOffset>
              </wp:positionV>
              <wp:extent cx="1259840" cy="185420"/>
              <wp:effectExtent l="7620" t="5080" r="8890" b="9525"/>
              <wp:wrapNone/>
              <wp:docPr id="132077128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302382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44C9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302382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D512" w14:textId="77777777" w:rsidR="00B91B75" w:rsidRDefault="00B91B75">
      <w:pPr>
        <w:spacing w:line="240" w:lineRule="auto"/>
      </w:pPr>
      <w:r>
        <w:separator/>
      </w:r>
    </w:p>
  </w:footnote>
  <w:footnote w:type="continuationSeparator" w:id="0">
    <w:p w14:paraId="11BD4F88" w14:textId="77777777" w:rsidR="00B91B75" w:rsidRDefault="00B91B75">
      <w:pPr>
        <w:spacing w:line="240" w:lineRule="auto"/>
      </w:pPr>
      <w:r>
        <w:continuationSeparator/>
      </w:r>
    </w:p>
  </w:footnote>
  <w:footnote w:id="1">
    <w:p w14:paraId="50C15E6F" w14:textId="77777777" w:rsidR="003F0584" w:rsidRPr="00D44AB6" w:rsidRDefault="00000000" w:rsidP="00D44AB6">
      <w:pPr>
        <w:pStyle w:val="Voetnoottekst"/>
        <w:rPr>
          <w:sz w:val="14"/>
          <w:szCs w:val="14"/>
          <w:lang w:val="nl-NL"/>
        </w:rPr>
      </w:pPr>
      <w:r w:rsidRPr="00D44AB6">
        <w:rPr>
          <w:rStyle w:val="Voetnootmarkering"/>
          <w:sz w:val="14"/>
          <w:szCs w:val="14"/>
        </w:rPr>
        <w:footnoteRef/>
      </w:r>
      <w:r w:rsidRPr="00D44AB6">
        <w:rPr>
          <w:sz w:val="14"/>
          <w:szCs w:val="14"/>
          <w:lang w:val="nl-NL"/>
        </w:rPr>
        <w:t xml:space="preserve"> </w:t>
      </w:r>
      <w:r w:rsidRPr="00D44AB6">
        <w:rPr>
          <w:sz w:val="16"/>
          <w:szCs w:val="16"/>
          <w:lang w:val="nl-NL"/>
        </w:rPr>
        <w:t>Kenmerk: 36800-XVI-196/2026D28646.</w:t>
      </w:r>
    </w:p>
  </w:footnote>
  <w:footnote w:id="2">
    <w:p w14:paraId="2550BB1E" w14:textId="77777777" w:rsidR="003F0584" w:rsidRPr="00D44AB6" w:rsidRDefault="00000000" w:rsidP="00D44AB6">
      <w:pPr>
        <w:pStyle w:val="Voetnoottekst"/>
        <w:rPr>
          <w:sz w:val="14"/>
          <w:szCs w:val="14"/>
          <w:lang w:val="nl-NL"/>
        </w:rPr>
      </w:pPr>
      <w:r w:rsidRPr="00D44AB6">
        <w:rPr>
          <w:rStyle w:val="Voetnootmarkering"/>
          <w:sz w:val="14"/>
          <w:szCs w:val="14"/>
        </w:rPr>
        <w:footnoteRef/>
      </w:r>
      <w:r w:rsidRPr="00D44AB6">
        <w:rPr>
          <w:sz w:val="14"/>
          <w:szCs w:val="14"/>
          <w:lang w:val="nl-NL"/>
        </w:rPr>
        <w:t xml:space="preserve"> </w:t>
      </w:r>
      <w:r w:rsidRPr="00D44AB6">
        <w:rPr>
          <w:sz w:val="16"/>
          <w:szCs w:val="16"/>
          <w:lang w:val="nl-NL"/>
        </w:rPr>
        <w:t>Artikel 21 van de Kaderwet zelfstandige bestuursorganen.</w:t>
      </w:r>
    </w:p>
  </w:footnote>
  <w:footnote w:id="3">
    <w:p w14:paraId="25272BDE" w14:textId="77777777" w:rsidR="003F0584" w:rsidRPr="00D44AB6" w:rsidRDefault="00000000" w:rsidP="00D44AB6">
      <w:pPr>
        <w:pStyle w:val="Voetnoottekst"/>
        <w:rPr>
          <w:sz w:val="14"/>
          <w:szCs w:val="14"/>
          <w:lang w:val="nl-NL"/>
        </w:rPr>
      </w:pPr>
      <w:r w:rsidRPr="00D44AB6">
        <w:rPr>
          <w:rStyle w:val="Voetnootmarkering"/>
          <w:sz w:val="14"/>
          <w:szCs w:val="14"/>
        </w:rPr>
        <w:footnoteRef/>
      </w:r>
      <w:r w:rsidRPr="00D44AB6">
        <w:rPr>
          <w:sz w:val="14"/>
          <w:szCs w:val="14"/>
          <w:lang w:val="nl-NL"/>
        </w:rPr>
        <w:t xml:space="preserve"> </w:t>
      </w:r>
      <w:r w:rsidRPr="00D44AB6">
        <w:rPr>
          <w:sz w:val="16"/>
          <w:szCs w:val="16"/>
          <w:lang w:val="nl-NL"/>
        </w:rPr>
        <w:t>Artikel 7 Wmg.</w:t>
      </w:r>
    </w:p>
  </w:footnote>
  <w:footnote w:id="4">
    <w:p w14:paraId="6ACA9F70" w14:textId="77777777" w:rsidR="003F0584" w:rsidRPr="00D44AB6" w:rsidRDefault="00000000" w:rsidP="00D44AB6">
      <w:pPr>
        <w:pStyle w:val="Voetnoottekst"/>
        <w:rPr>
          <w:sz w:val="16"/>
          <w:szCs w:val="16"/>
          <w:lang w:val="nl-NL"/>
        </w:rPr>
      </w:pPr>
      <w:r w:rsidRPr="00D44AB6">
        <w:rPr>
          <w:rStyle w:val="Voetnootmarkering"/>
          <w:sz w:val="14"/>
          <w:szCs w:val="14"/>
        </w:rPr>
        <w:footnoteRef/>
      </w:r>
      <w:r w:rsidRPr="00D44AB6">
        <w:rPr>
          <w:sz w:val="14"/>
          <w:szCs w:val="14"/>
          <w:lang w:val="nl-NL"/>
        </w:rPr>
        <w:t xml:space="preserve"> </w:t>
      </w:r>
      <w:r w:rsidRPr="00D44AB6">
        <w:rPr>
          <w:sz w:val="16"/>
          <w:szCs w:val="16"/>
          <w:lang w:val="nl-NL"/>
        </w:rPr>
        <w:t>In artikel 59 Wmg is bepaald in welke situaties het geven van een voorafgaande aanwijzing verplicht is (bijvoorbeeld voor het vaststellen en wijzigen van een tariefsoort en voor experimenten).</w:t>
      </w:r>
    </w:p>
  </w:footnote>
  <w:footnote w:id="5">
    <w:p w14:paraId="7A5389F0" w14:textId="77777777" w:rsidR="003F0584" w:rsidRPr="00D44AB6" w:rsidRDefault="00000000" w:rsidP="00D44AB6">
      <w:pPr>
        <w:pStyle w:val="Voetnoottekst"/>
        <w:rPr>
          <w:sz w:val="14"/>
          <w:szCs w:val="14"/>
          <w:lang w:val="nl-NL"/>
        </w:rPr>
      </w:pPr>
      <w:r w:rsidRPr="00D44AB6">
        <w:rPr>
          <w:rStyle w:val="Voetnootmarkering"/>
          <w:sz w:val="14"/>
          <w:szCs w:val="14"/>
        </w:rPr>
        <w:footnoteRef/>
      </w:r>
      <w:r w:rsidRPr="00D44AB6">
        <w:rPr>
          <w:sz w:val="14"/>
          <w:szCs w:val="14"/>
          <w:lang w:val="nl-NL"/>
        </w:rPr>
        <w:t xml:space="preserve"> </w:t>
      </w:r>
      <w:r w:rsidRPr="00D44AB6">
        <w:rPr>
          <w:i/>
          <w:iCs/>
          <w:sz w:val="16"/>
          <w:szCs w:val="16"/>
          <w:lang w:val="nl-NL"/>
        </w:rPr>
        <w:t>Kamerstukken II</w:t>
      </w:r>
      <w:r w:rsidRPr="00D44AB6">
        <w:rPr>
          <w:sz w:val="16"/>
          <w:szCs w:val="16"/>
          <w:lang w:val="nl-NL"/>
        </w:rPr>
        <w:t>, 2025-2026, 36800-XVI, nr. 196.</w:t>
      </w:r>
    </w:p>
  </w:footnote>
  <w:footnote w:id="6">
    <w:p w14:paraId="71DFBEEF" w14:textId="77777777" w:rsidR="003F0584" w:rsidRPr="00183DBA" w:rsidRDefault="00000000" w:rsidP="00D44AB6">
      <w:pPr>
        <w:pStyle w:val="Voetnoottekst"/>
        <w:rPr>
          <w:lang w:val="nl-NL"/>
        </w:rPr>
      </w:pPr>
      <w:r w:rsidRPr="00D44AB6">
        <w:rPr>
          <w:rStyle w:val="Voetnootmarkering"/>
          <w:sz w:val="14"/>
          <w:szCs w:val="14"/>
        </w:rPr>
        <w:footnoteRef/>
      </w:r>
      <w:r w:rsidRPr="00D44AB6">
        <w:rPr>
          <w:sz w:val="14"/>
          <w:szCs w:val="14"/>
          <w:lang w:val="nl-NL"/>
        </w:rPr>
        <w:t xml:space="preserve"> </w:t>
      </w:r>
      <w:r w:rsidRPr="00D44AB6">
        <w:rPr>
          <w:sz w:val="16"/>
          <w:szCs w:val="16"/>
          <w:lang w:val="nl-NL"/>
        </w:rPr>
        <w:t>Beleidsregel van de Minister van Volksgezondheid, Welzijn en Sport van 29 juni 2018, zie Stcrt. 2018, 37598 en Stcrt. 2019, 33998).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930A" w14:textId="0B203934" w:rsidR="00CD5856" w:rsidRDefault="00000000">
    <w:pPr>
      <w:pStyle w:val="Koptekst"/>
    </w:pPr>
    <w:r>
      <w:rPr>
        <w:noProof/>
        <w:lang w:eastAsia="nl-NL" w:bidi="ar-SA"/>
      </w:rPr>
      <w:drawing>
        <wp:anchor distT="0" distB="0" distL="114300" distR="114300" simplePos="0" relativeHeight="251652096" behindDoc="1" locked="0" layoutInCell="1" allowOverlap="1" wp14:anchorId="24AD7109" wp14:editId="2CD62D6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F97A42D" wp14:editId="6782263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45F90">
      <w:rPr>
        <w:noProof/>
        <w:lang w:eastAsia="nl-NL" w:bidi="ar-SA"/>
      </w:rPr>
      <mc:AlternateContent>
        <mc:Choice Requires="wps">
          <w:drawing>
            <wp:anchor distT="0" distB="0" distL="114300" distR="114300" simplePos="0" relativeHeight="251658240" behindDoc="0" locked="0" layoutInCell="1" allowOverlap="1" wp14:anchorId="07000976" wp14:editId="3499CB7D">
              <wp:simplePos x="0" y="0"/>
              <wp:positionH relativeFrom="page">
                <wp:posOffset>5922645</wp:posOffset>
              </wp:positionH>
              <wp:positionV relativeFrom="page">
                <wp:posOffset>1965960</wp:posOffset>
              </wp:positionV>
              <wp:extent cx="1259840" cy="8009890"/>
              <wp:effectExtent l="7620" t="13335" r="8890" b="6350"/>
              <wp:wrapNone/>
              <wp:docPr id="18326137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48E3B9F" w14:textId="77777777" w:rsidR="00CD5856" w:rsidRDefault="00000000">
                          <w:pPr>
                            <w:pStyle w:val="Huisstijl-AfzendgegevensW1"/>
                          </w:pPr>
                          <w:r>
                            <w:t>Bezoekadres</w:t>
                          </w:r>
                        </w:p>
                        <w:p w14:paraId="2F91FA36" w14:textId="77777777" w:rsidR="00CD5856" w:rsidRDefault="00000000">
                          <w:pPr>
                            <w:pStyle w:val="Huisstijl-Afzendgegevens"/>
                          </w:pPr>
                          <w:r>
                            <w:t>Parnassusplein 5</w:t>
                          </w:r>
                        </w:p>
                        <w:p w14:paraId="0E38ACF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F50D7FA" w14:textId="77777777" w:rsidR="00CD5856" w:rsidRDefault="00000000">
                          <w:pPr>
                            <w:pStyle w:val="Huisstijl-Afzendgegevens"/>
                          </w:pPr>
                          <w:r w:rsidRPr="008D59C5">
                            <w:t>www.rijksoverheid.nl</w:t>
                          </w:r>
                        </w:p>
                        <w:p w14:paraId="4B7A4D8A" w14:textId="77777777" w:rsidR="00CD5856" w:rsidRDefault="00000000">
                          <w:pPr>
                            <w:pStyle w:val="Huisstijl-ReferentiegegevenskopW2"/>
                          </w:pPr>
                          <w:r w:rsidRPr="008D59C5">
                            <w:t>Kenmerk</w:t>
                          </w:r>
                        </w:p>
                        <w:p w14:paraId="2DFD780F" w14:textId="77777777" w:rsidR="00CD5856" w:rsidRDefault="00000000">
                          <w:pPr>
                            <w:pStyle w:val="Huisstijl-Referentiegegevens"/>
                          </w:pPr>
                          <w:bookmarkStart w:id="0" w:name="_Hlk117784077"/>
                          <w:r>
                            <w:t>4470994-1100687-LZ</w:t>
                          </w:r>
                        </w:p>
                        <w:bookmarkEnd w:id="0"/>
                        <w:p w14:paraId="6E226C63" w14:textId="55907A96" w:rsidR="00215CB5" w:rsidRPr="00C7683A" w:rsidRDefault="00000000">
                          <w:pPr>
                            <w:pStyle w:val="Huisstijl-ReferentiegegevenskopW1"/>
                          </w:pPr>
                          <w:r w:rsidRPr="008D59C5">
                            <w:t>Bijlage(n)</w:t>
                          </w:r>
                          <w:r w:rsidR="00C7683A">
                            <w:br/>
                          </w:r>
                          <w:r>
                            <w:rPr>
                              <w:b w:val="0"/>
                              <w:bCs/>
                            </w:rPr>
                            <w:t>1</w:t>
                          </w:r>
                        </w:p>
                        <w:p w14:paraId="39A5007C" w14:textId="77777777" w:rsidR="00CD5856" w:rsidRDefault="00000000">
                          <w:pPr>
                            <w:pStyle w:val="Huisstijl-ReferentiegegevenskopW1"/>
                          </w:pPr>
                          <w:r>
                            <w:t>Kenmerk afzender</w:t>
                          </w:r>
                        </w:p>
                        <w:p w14:paraId="0A106BE4" w14:textId="77777777" w:rsidR="00CD5856" w:rsidRDefault="00CD5856">
                          <w:pPr>
                            <w:pStyle w:val="Huisstijl-Referentiegegevens"/>
                          </w:pPr>
                        </w:p>
                        <w:p w14:paraId="3307D150" w14:textId="77777777" w:rsidR="00CD5856" w:rsidRDefault="00000000">
                          <w:pPr>
                            <w:pStyle w:val="Huisstijl-Algemenevoorwaarden"/>
                          </w:pPr>
                          <w:r>
                            <w:t>Correspondentie uitsluitend richten aan het retouradres met vermelding van de datum en het kenmerk van deze brief.</w:t>
                          </w:r>
                        </w:p>
                        <w:p w14:paraId="4DF5A87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00097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48E3B9F" w14:textId="77777777" w:rsidR="00CD5856" w:rsidRDefault="00000000">
                    <w:pPr>
                      <w:pStyle w:val="Huisstijl-AfzendgegevensW1"/>
                    </w:pPr>
                    <w:r>
                      <w:t>Bezoekadres</w:t>
                    </w:r>
                  </w:p>
                  <w:p w14:paraId="2F91FA36" w14:textId="77777777" w:rsidR="00CD5856" w:rsidRDefault="00000000">
                    <w:pPr>
                      <w:pStyle w:val="Huisstijl-Afzendgegevens"/>
                    </w:pPr>
                    <w:r>
                      <w:t>Parnassusplein 5</w:t>
                    </w:r>
                  </w:p>
                  <w:p w14:paraId="0E38ACF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F50D7FA" w14:textId="77777777" w:rsidR="00CD5856" w:rsidRDefault="00000000">
                    <w:pPr>
                      <w:pStyle w:val="Huisstijl-Afzendgegevens"/>
                    </w:pPr>
                    <w:r w:rsidRPr="008D59C5">
                      <w:t>www.rijksoverheid.nl</w:t>
                    </w:r>
                  </w:p>
                  <w:p w14:paraId="4B7A4D8A" w14:textId="77777777" w:rsidR="00CD5856" w:rsidRDefault="00000000">
                    <w:pPr>
                      <w:pStyle w:val="Huisstijl-ReferentiegegevenskopW2"/>
                    </w:pPr>
                    <w:r w:rsidRPr="008D59C5">
                      <w:t>Kenmerk</w:t>
                    </w:r>
                  </w:p>
                  <w:p w14:paraId="2DFD780F" w14:textId="77777777" w:rsidR="00CD5856" w:rsidRDefault="00000000">
                    <w:pPr>
                      <w:pStyle w:val="Huisstijl-Referentiegegevens"/>
                    </w:pPr>
                    <w:bookmarkStart w:id="1" w:name="_Hlk117784077"/>
                    <w:r>
                      <w:t>4470994-1100687-LZ</w:t>
                    </w:r>
                  </w:p>
                  <w:bookmarkEnd w:id="1"/>
                  <w:p w14:paraId="6E226C63" w14:textId="55907A96" w:rsidR="00215CB5" w:rsidRPr="00C7683A" w:rsidRDefault="00000000">
                    <w:pPr>
                      <w:pStyle w:val="Huisstijl-ReferentiegegevenskopW1"/>
                    </w:pPr>
                    <w:r w:rsidRPr="008D59C5">
                      <w:t>Bijlage(n)</w:t>
                    </w:r>
                    <w:r w:rsidR="00C7683A">
                      <w:br/>
                    </w:r>
                    <w:r>
                      <w:rPr>
                        <w:b w:val="0"/>
                        <w:bCs/>
                      </w:rPr>
                      <w:t>1</w:t>
                    </w:r>
                  </w:p>
                  <w:p w14:paraId="39A5007C" w14:textId="77777777" w:rsidR="00CD5856" w:rsidRDefault="00000000">
                    <w:pPr>
                      <w:pStyle w:val="Huisstijl-ReferentiegegevenskopW1"/>
                    </w:pPr>
                    <w:r>
                      <w:t>Kenmerk afzender</w:t>
                    </w:r>
                  </w:p>
                  <w:p w14:paraId="0A106BE4" w14:textId="77777777" w:rsidR="00CD5856" w:rsidRDefault="00CD5856">
                    <w:pPr>
                      <w:pStyle w:val="Huisstijl-Referentiegegevens"/>
                    </w:pPr>
                  </w:p>
                  <w:p w14:paraId="3307D150" w14:textId="77777777" w:rsidR="00CD5856" w:rsidRDefault="00000000">
                    <w:pPr>
                      <w:pStyle w:val="Huisstijl-Algemenevoorwaarden"/>
                    </w:pPr>
                    <w:r>
                      <w:t>Correspondentie uitsluitend richten aan het retouradres met vermelding van de datum en het kenmerk van deze brief.</w:t>
                    </w:r>
                  </w:p>
                  <w:p w14:paraId="4DF5A87A" w14:textId="77777777" w:rsidR="00CD5856" w:rsidRDefault="00CD5856"/>
                </w:txbxContent>
              </v:textbox>
              <w10:wrap anchorx="page" anchory="page"/>
            </v:shape>
          </w:pict>
        </mc:Fallback>
      </mc:AlternateContent>
    </w:r>
    <w:r w:rsidR="00A45F90">
      <w:rPr>
        <w:noProof/>
        <w:lang w:eastAsia="nl-NL" w:bidi="ar-SA"/>
      </w:rPr>
      <mc:AlternateContent>
        <mc:Choice Requires="wps">
          <w:drawing>
            <wp:anchor distT="0" distB="0" distL="114300" distR="114300" simplePos="0" relativeHeight="251657216" behindDoc="0" locked="0" layoutInCell="1" allowOverlap="1" wp14:anchorId="2777974F" wp14:editId="53EB52A0">
              <wp:simplePos x="0" y="0"/>
              <wp:positionH relativeFrom="page">
                <wp:posOffset>1011555</wp:posOffset>
              </wp:positionH>
              <wp:positionV relativeFrom="page">
                <wp:posOffset>3769995</wp:posOffset>
              </wp:positionV>
              <wp:extent cx="4103370" cy="619125"/>
              <wp:effectExtent l="11430" t="7620" r="9525" b="11430"/>
              <wp:wrapNone/>
              <wp:docPr id="32981677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11A8444" w14:textId="093B1A31" w:rsidR="00CD5856" w:rsidRDefault="00000000">
                          <w:pPr>
                            <w:pStyle w:val="Huisstijl-Datumenbetreft"/>
                            <w:tabs>
                              <w:tab w:val="clear" w:pos="737"/>
                              <w:tab w:val="left" w:pos="-5954"/>
                              <w:tab w:val="left" w:pos="-5670"/>
                              <w:tab w:val="left" w:pos="1134"/>
                            </w:tabs>
                          </w:pPr>
                          <w:r>
                            <w:t>Datum</w:t>
                          </w:r>
                          <w:r w:rsidR="00E1490C">
                            <w:tab/>
                          </w:r>
                          <w:r w:rsidR="00FE18A6">
                            <w:t>2 juli 2026</w:t>
                          </w:r>
                        </w:p>
                        <w:p w14:paraId="7150DCE6" w14:textId="77777777" w:rsidR="00CD5856" w:rsidRDefault="00000000" w:rsidP="003F0584">
                          <w:pPr>
                            <w:pStyle w:val="Huisstijl-Datumenbetreft"/>
                            <w:tabs>
                              <w:tab w:val="clear" w:pos="737"/>
                              <w:tab w:val="left" w:pos="-5954"/>
                              <w:tab w:val="left" w:pos="-5670"/>
                              <w:tab w:val="left" w:pos="1134"/>
                            </w:tabs>
                            <w:ind w:left="1140" w:hanging="1140"/>
                          </w:pPr>
                          <w:r>
                            <w:t>Betreft</w:t>
                          </w:r>
                          <w:r w:rsidR="00E1490C">
                            <w:tab/>
                          </w:r>
                          <w:r w:rsidR="003F0584" w:rsidRPr="003F0584">
                            <w:t>Toelichting op de keuze voor de Kaderwet ZBO’s als grondslag</w:t>
                          </w:r>
                        </w:p>
                        <w:p w14:paraId="4637463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77974F"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11A8444" w14:textId="093B1A31" w:rsidR="00CD5856" w:rsidRDefault="00000000">
                    <w:pPr>
                      <w:pStyle w:val="Huisstijl-Datumenbetreft"/>
                      <w:tabs>
                        <w:tab w:val="clear" w:pos="737"/>
                        <w:tab w:val="left" w:pos="-5954"/>
                        <w:tab w:val="left" w:pos="-5670"/>
                        <w:tab w:val="left" w:pos="1134"/>
                      </w:tabs>
                    </w:pPr>
                    <w:r>
                      <w:t>Datum</w:t>
                    </w:r>
                    <w:r w:rsidR="00E1490C">
                      <w:tab/>
                    </w:r>
                    <w:r w:rsidR="00FE18A6">
                      <w:t>2 juli 2026</w:t>
                    </w:r>
                  </w:p>
                  <w:p w14:paraId="7150DCE6" w14:textId="77777777" w:rsidR="00CD5856" w:rsidRDefault="00000000" w:rsidP="003F0584">
                    <w:pPr>
                      <w:pStyle w:val="Huisstijl-Datumenbetreft"/>
                      <w:tabs>
                        <w:tab w:val="clear" w:pos="737"/>
                        <w:tab w:val="left" w:pos="-5954"/>
                        <w:tab w:val="left" w:pos="-5670"/>
                        <w:tab w:val="left" w:pos="1134"/>
                      </w:tabs>
                      <w:ind w:left="1140" w:hanging="1140"/>
                    </w:pPr>
                    <w:r>
                      <w:t>Betreft</w:t>
                    </w:r>
                    <w:r w:rsidR="00E1490C">
                      <w:tab/>
                    </w:r>
                    <w:r w:rsidR="003F0584" w:rsidRPr="003F0584">
                      <w:t>Toelichting op de keuze voor de Kaderwet ZBO’s als grondslag</w:t>
                    </w:r>
                  </w:p>
                  <w:p w14:paraId="4637463D" w14:textId="77777777" w:rsidR="00CD5856" w:rsidRDefault="00CD5856">
                    <w:pPr>
                      <w:pStyle w:val="Huisstijl-Datumenbetreft"/>
                      <w:tabs>
                        <w:tab w:val="left" w:pos="-5954"/>
                        <w:tab w:val="left" w:pos="-5670"/>
                      </w:tabs>
                    </w:pPr>
                  </w:p>
                </w:txbxContent>
              </v:textbox>
              <w10:wrap anchorx="page" anchory="page"/>
            </v:shape>
          </w:pict>
        </mc:Fallback>
      </mc:AlternateContent>
    </w:r>
    <w:r w:rsidR="00A45F90">
      <w:rPr>
        <w:noProof/>
        <w:lang w:eastAsia="nl-NL" w:bidi="ar-SA"/>
      </w:rPr>
      <mc:AlternateContent>
        <mc:Choice Requires="wps">
          <w:drawing>
            <wp:anchor distT="0" distB="0" distL="114300" distR="114300" simplePos="0" relativeHeight="251656192" behindDoc="0" locked="0" layoutInCell="1" allowOverlap="1" wp14:anchorId="31F48851" wp14:editId="427BE1D1">
              <wp:simplePos x="0" y="0"/>
              <wp:positionH relativeFrom="page">
                <wp:posOffset>1008380</wp:posOffset>
              </wp:positionH>
              <wp:positionV relativeFrom="page">
                <wp:posOffset>3384550</wp:posOffset>
              </wp:positionV>
              <wp:extent cx="4104005" cy="179705"/>
              <wp:effectExtent l="8255" t="12700" r="12065" b="7620"/>
              <wp:wrapNone/>
              <wp:docPr id="18120186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D14AD3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4885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D14AD3A" w14:textId="77777777" w:rsidR="00CD5856" w:rsidRDefault="00CD5856">
                    <w:pPr>
                      <w:pStyle w:val="Huisstijl-Toezendgegevens"/>
                    </w:pPr>
                  </w:p>
                </w:txbxContent>
              </v:textbox>
              <w10:wrap anchorx="page" anchory="page"/>
            </v:shape>
          </w:pict>
        </mc:Fallback>
      </mc:AlternateContent>
    </w:r>
    <w:r w:rsidR="00A45F90">
      <w:rPr>
        <w:noProof/>
        <w:lang w:eastAsia="nl-NL" w:bidi="ar-SA"/>
      </w:rPr>
      <mc:AlternateContent>
        <mc:Choice Requires="wps">
          <w:drawing>
            <wp:anchor distT="0" distB="0" distL="114300" distR="114300" simplePos="0" relativeHeight="251655168" behindDoc="0" locked="0" layoutInCell="1" allowOverlap="1" wp14:anchorId="0D1E645E" wp14:editId="10C5A9A2">
              <wp:simplePos x="0" y="0"/>
              <wp:positionH relativeFrom="page">
                <wp:posOffset>1008380</wp:posOffset>
              </wp:positionH>
              <wp:positionV relativeFrom="page">
                <wp:posOffset>1944370</wp:posOffset>
              </wp:positionV>
              <wp:extent cx="3347720" cy="1080135"/>
              <wp:effectExtent l="8255" t="10795" r="6350" b="13970"/>
              <wp:wrapNone/>
              <wp:docPr id="20050173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198E62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E645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198E62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A45F90">
      <w:rPr>
        <w:noProof/>
        <w:lang w:eastAsia="nl-NL" w:bidi="ar-SA"/>
      </w:rPr>
      <mc:AlternateContent>
        <mc:Choice Requires="wps">
          <w:drawing>
            <wp:anchor distT="0" distB="0" distL="114300" distR="114300" simplePos="0" relativeHeight="251654144" behindDoc="0" locked="1" layoutInCell="1" allowOverlap="1" wp14:anchorId="61FD34ED" wp14:editId="56B58357">
              <wp:simplePos x="0" y="0"/>
              <wp:positionH relativeFrom="page">
                <wp:posOffset>1008380</wp:posOffset>
              </wp:positionH>
              <wp:positionV relativeFrom="page">
                <wp:posOffset>1713865</wp:posOffset>
              </wp:positionV>
              <wp:extent cx="3590925" cy="144145"/>
              <wp:effectExtent l="8255" t="8890" r="10795" b="8890"/>
              <wp:wrapNone/>
              <wp:docPr id="117638801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C0E2BD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D34ED"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C0E2BD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D68E" w14:textId="68534614" w:rsidR="00CD5856" w:rsidRDefault="00A45F90">
    <w:pPr>
      <w:pStyle w:val="Koptekst"/>
    </w:pPr>
    <w:r>
      <w:rPr>
        <w:noProof/>
        <w:lang w:eastAsia="nl-NL" w:bidi="ar-SA"/>
      </w:rPr>
      <mc:AlternateContent>
        <mc:Choice Requires="wps">
          <w:drawing>
            <wp:anchor distT="0" distB="0" distL="114300" distR="114300" simplePos="0" relativeHeight="251659264" behindDoc="0" locked="0" layoutInCell="1" allowOverlap="1" wp14:anchorId="565A937E" wp14:editId="4DF5C354">
              <wp:simplePos x="0" y="0"/>
              <wp:positionH relativeFrom="page">
                <wp:posOffset>5922645</wp:posOffset>
              </wp:positionH>
              <wp:positionV relativeFrom="page">
                <wp:posOffset>1936750</wp:posOffset>
              </wp:positionV>
              <wp:extent cx="1259840" cy="8009890"/>
              <wp:effectExtent l="7620" t="12700" r="8890" b="6985"/>
              <wp:wrapNone/>
              <wp:docPr id="1276115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4A2CC1" w14:textId="77777777" w:rsidR="00CD5856" w:rsidRDefault="00000000">
                          <w:pPr>
                            <w:pStyle w:val="Huisstijl-ReferentiegegevenskopW2"/>
                          </w:pPr>
                          <w:r w:rsidRPr="008D59C5">
                            <w:t>Kenmerk</w:t>
                          </w:r>
                        </w:p>
                        <w:p w14:paraId="43A3A135" w14:textId="77777777" w:rsidR="00C95CA9" w:rsidRPr="00C95CA9" w:rsidRDefault="00000000" w:rsidP="00C95CA9">
                          <w:pPr>
                            <w:pStyle w:val="Huisstijl-Referentiegegevens"/>
                          </w:pPr>
                          <w:r w:rsidRPr="00C95CA9">
                            <w:t>4470994-1100687-LZ</w:t>
                          </w:r>
                        </w:p>
                        <w:p w14:paraId="776C57D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A937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74A2CC1" w14:textId="77777777" w:rsidR="00CD5856" w:rsidRDefault="00000000">
                    <w:pPr>
                      <w:pStyle w:val="Huisstijl-ReferentiegegevenskopW2"/>
                    </w:pPr>
                    <w:r w:rsidRPr="008D59C5">
                      <w:t>Kenmerk</w:t>
                    </w:r>
                  </w:p>
                  <w:p w14:paraId="43A3A135" w14:textId="77777777" w:rsidR="00C95CA9" w:rsidRPr="00C95CA9" w:rsidRDefault="00000000" w:rsidP="00C95CA9">
                    <w:pPr>
                      <w:pStyle w:val="Huisstijl-Referentiegegevens"/>
                    </w:pPr>
                    <w:r w:rsidRPr="00C95CA9">
                      <w:t>4470994-1100687-LZ</w:t>
                    </w:r>
                  </w:p>
                  <w:p w14:paraId="776C57D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BD93EC8" wp14:editId="133C228E">
              <wp:simplePos x="0" y="0"/>
              <wp:positionH relativeFrom="page">
                <wp:posOffset>5922645</wp:posOffset>
              </wp:positionH>
              <wp:positionV relativeFrom="page">
                <wp:posOffset>10225405</wp:posOffset>
              </wp:positionV>
              <wp:extent cx="1259840" cy="213995"/>
              <wp:effectExtent l="7620" t="5080" r="8890" b="9525"/>
              <wp:wrapNone/>
              <wp:docPr id="17227729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2BDBCC2" w14:textId="708B501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02114">
                            <w:fldChar w:fldCharType="begin"/>
                          </w:r>
                          <w:r>
                            <w:instrText xml:space="preserve"> SECTIONPAGES  \* Arabic  \* MERGEFORMAT </w:instrText>
                          </w:r>
                          <w:r w:rsidR="00902114">
                            <w:fldChar w:fldCharType="separate"/>
                          </w:r>
                          <w:r w:rsidR="00A45F90">
                            <w:rPr>
                              <w:noProof/>
                            </w:rPr>
                            <w:t>2</w:t>
                          </w:r>
                          <w:r w:rsidR="00902114">
                            <w:rPr>
                              <w:noProof/>
                            </w:rPr>
                            <w:fldChar w:fldCharType="end"/>
                          </w:r>
                        </w:p>
                        <w:p w14:paraId="03FF2EA7" w14:textId="77777777" w:rsidR="00CD5856" w:rsidRDefault="00CD5856"/>
                        <w:p w14:paraId="6FAD7DC7" w14:textId="77777777" w:rsidR="00CD5856" w:rsidRDefault="00CD5856">
                          <w:pPr>
                            <w:pStyle w:val="Huisstijl-Paginanummer"/>
                          </w:pPr>
                        </w:p>
                        <w:p w14:paraId="6DBF359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93EC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2BDBCC2" w14:textId="708B501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02114">
                      <w:fldChar w:fldCharType="begin"/>
                    </w:r>
                    <w:r>
                      <w:instrText xml:space="preserve"> SECTIONPAGES  \* Arabic  \* MERGEFORMAT </w:instrText>
                    </w:r>
                    <w:r w:rsidR="00902114">
                      <w:fldChar w:fldCharType="separate"/>
                    </w:r>
                    <w:r w:rsidR="00A45F90">
                      <w:rPr>
                        <w:noProof/>
                      </w:rPr>
                      <w:t>2</w:t>
                    </w:r>
                    <w:r w:rsidR="00902114">
                      <w:rPr>
                        <w:noProof/>
                      </w:rPr>
                      <w:fldChar w:fldCharType="end"/>
                    </w:r>
                  </w:p>
                  <w:p w14:paraId="03FF2EA7" w14:textId="77777777" w:rsidR="00CD5856" w:rsidRDefault="00CD5856"/>
                  <w:p w14:paraId="6FAD7DC7" w14:textId="77777777" w:rsidR="00CD5856" w:rsidRDefault="00CD5856">
                    <w:pPr>
                      <w:pStyle w:val="Huisstijl-Paginanummer"/>
                    </w:pPr>
                  </w:p>
                  <w:p w14:paraId="6DBF359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CF0D" w14:textId="1AF7B0FC" w:rsidR="00CD5856" w:rsidRDefault="00A45F90">
    <w:pPr>
      <w:pStyle w:val="Koptekst"/>
    </w:pPr>
    <w:r>
      <w:rPr>
        <w:noProof/>
        <w:lang w:eastAsia="nl-NL" w:bidi="ar-SA"/>
      </w:rPr>
      <mc:AlternateContent>
        <mc:Choice Requires="wps">
          <w:drawing>
            <wp:anchor distT="0" distB="0" distL="114300" distR="114300" simplePos="0" relativeHeight="251664384" behindDoc="0" locked="0" layoutInCell="1" allowOverlap="1" wp14:anchorId="084A8216" wp14:editId="25251732">
              <wp:simplePos x="0" y="0"/>
              <wp:positionH relativeFrom="page">
                <wp:posOffset>1009650</wp:posOffset>
              </wp:positionH>
              <wp:positionV relativeFrom="page">
                <wp:posOffset>3768725</wp:posOffset>
              </wp:positionV>
              <wp:extent cx="4103370" cy="457200"/>
              <wp:effectExtent l="9525" t="6350" r="11430" b="12700"/>
              <wp:wrapTopAndBottom/>
              <wp:docPr id="17482212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6ED594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7683A">
                                <w:t>26 juni 2014</w:t>
                              </w:r>
                            </w:sdtContent>
                          </w:sdt>
                        </w:p>
                        <w:p w14:paraId="5A87BCEE" w14:textId="77777777" w:rsidR="00CD5856" w:rsidRDefault="00000000">
                          <w:pPr>
                            <w:pStyle w:val="Huisstijl-Datumenbetreft"/>
                            <w:tabs>
                              <w:tab w:val="left" w:pos="-5954"/>
                              <w:tab w:val="left" w:pos="-5670"/>
                            </w:tabs>
                          </w:pPr>
                          <w:r>
                            <w:t>Betreft</w:t>
                          </w:r>
                          <w:r>
                            <w:tab/>
                          </w:r>
                          <w:r w:rsidR="008D59C5">
                            <w:t>BETREFT</w:t>
                          </w:r>
                        </w:p>
                        <w:p w14:paraId="2467EE2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84A821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6ED594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7683A">
                          <w:t>26 juni 2014</w:t>
                        </w:r>
                      </w:sdtContent>
                    </w:sdt>
                  </w:p>
                  <w:p w14:paraId="5A87BCEE" w14:textId="77777777" w:rsidR="00CD5856" w:rsidRDefault="00000000">
                    <w:pPr>
                      <w:pStyle w:val="Huisstijl-Datumenbetreft"/>
                      <w:tabs>
                        <w:tab w:val="left" w:pos="-5954"/>
                        <w:tab w:val="left" w:pos="-5670"/>
                      </w:tabs>
                    </w:pPr>
                    <w:r>
                      <w:t>Betreft</w:t>
                    </w:r>
                    <w:r>
                      <w:tab/>
                    </w:r>
                    <w:r w:rsidR="008D59C5">
                      <w:t>BETREFT</w:t>
                    </w:r>
                  </w:p>
                  <w:p w14:paraId="2467EE2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D6D2A2F" wp14:editId="4FF81CA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C6FE265" wp14:editId="6B4D319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B73E265" wp14:editId="4BE27F1F">
              <wp:simplePos x="0" y="0"/>
              <wp:positionH relativeFrom="page">
                <wp:posOffset>5922645</wp:posOffset>
              </wp:positionH>
              <wp:positionV relativeFrom="page">
                <wp:posOffset>1964690</wp:posOffset>
              </wp:positionV>
              <wp:extent cx="1259840" cy="8009890"/>
              <wp:effectExtent l="7620" t="12065" r="8890" b="7620"/>
              <wp:wrapNone/>
              <wp:docPr id="145647408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C0B92D0" w14:textId="77777777" w:rsidR="00CD5856" w:rsidRDefault="00000000">
                          <w:pPr>
                            <w:pStyle w:val="Huisstijl-Afzendgegevens"/>
                          </w:pPr>
                          <w:r w:rsidRPr="008D59C5">
                            <w:t>Rijnstraat 50</w:t>
                          </w:r>
                        </w:p>
                        <w:p w14:paraId="130C25CF" w14:textId="77777777" w:rsidR="00CD5856" w:rsidRDefault="00000000">
                          <w:pPr>
                            <w:pStyle w:val="Huisstijl-Afzendgegevens"/>
                          </w:pPr>
                          <w:r w:rsidRPr="008D59C5">
                            <w:t>Den Haag</w:t>
                          </w:r>
                        </w:p>
                        <w:p w14:paraId="54132D92" w14:textId="77777777" w:rsidR="00CD5856" w:rsidRDefault="00000000">
                          <w:pPr>
                            <w:pStyle w:val="Huisstijl-Afzendgegevens"/>
                          </w:pPr>
                          <w:r w:rsidRPr="008D59C5">
                            <w:t>www.rijksoverheid.nl</w:t>
                          </w:r>
                        </w:p>
                        <w:p w14:paraId="7EC81CCB" w14:textId="77777777" w:rsidR="00CD5856" w:rsidRDefault="00000000">
                          <w:pPr>
                            <w:pStyle w:val="Huisstijl-AfzendgegevenskopW1"/>
                          </w:pPr>
                          <w:r>
                            <w:t>Contactpersoon</w:t>
                          </w:r>
                        </w:p>
                        <w:p w14:paraId="5E058105" w14:textId="77777777" w:rsidR="00CD5856" w:rsidRDefault="00000000">
                          <w:pPr>
                            <w:pStyle w:val="Huisstijl-Afzendgegevens"/>
                          </w:pPr>
                          <w:r w:rsidRPr="008D59C5">
                            <w:t>ing. J.A. Ramlal</w:t>
                          </w:r>
                        </w:p>
                        <w:p w14:paraId="14337E9A" w14:textId="77777777" w:rsidR="00CD5856" w:rsidRDefault="00000000">
                          <w:pPr>
                            <w:pStyle w:val="Huisstijl-Afzendgegevens"/>
                          </w:pPr>
                          <w:r w:rsidRPr="008D59C5">
                            <w:t>ja.ramlal@minvws.nl</w:t>
                          </w:r>
                        </w:p>
                        <w:p w14:paraId="168C8EFF" w14:textId="77777777" w:rsidR="00CD5856" w:rsidRDefault="00000000">
                          <w:pPr>
                            <w:pStyle w:val="Huisstijl-ReferentiegegevenskopW2"/>
                          </w:pPr>
                          <w:r>
                            <w:t>Ons kenmerk</w:t>
                          </w:r>
                        </w:p>
                        <w:p w14:paraId="29569731" w14:textId="77777777" w:rsidR="00CD5856" w:rsidRDefault="00000000">
                          <w:pPr>
                            <w:pStyle w:val="Huisstijl-Referentiegegevens"/>
                          </w:pPr>
                          <w:r>
                            <w:t>KENMERK</w:t>
                          </w:r>
                        </w:p>
                        <w:p w14:paraId="79F3025F" w14:textId="77777777" w:rsidR="00CD5856" w:rsidRDefault="00000000">
                          <w:pPr>
                            <w:pStyle w:val="Huisstijl-ReferentiegegevenskopW1"/>
                          </w:pPr>
                          <w:r>
                            <w:t>Uw kenmerk</w:t>
                          </w:r>
                        </w:p>
                        <w:p w14:paraId="7AAEF2F7"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3E26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C0B92D0" w14:textId="77777777" w:rsidR="00CD5856" w:rsidRDefault="00000000">
                    <w:pPr>
                      <w:pStyle w:val="Huisstijl-Afzendgegevens"/>
                    </w:pPr>
                    <w:r w:rsidRPr="008D59C5">
                      <w:t>Rijnstraat 50</w:t>
                    </w:r>
                  </w:p>
                  <w:p w14:paraId="130C25CF" w14:textId="77777777" w:rsidR="00CD5856" w:rsidRDefault="00000000">
                    <w:pPr>
                      <w:pStyle w:val="Huisstijl-Afzendgegevens"/>
                    </w:pPr>
                    <w:r w:rsidRPr="008D59C5">
                      <w:t>Den Haag</w:t>
                    </w:r>
                  </w:p>
                  <w:p w14:paraId="54132D92" w14:textId="77777777" w:rsidR="00CD5856" w:rsidRDefault="00000000">
                    <w:pPr>
                      <w:pStyle w:val="Huisstijl-Afzendgegevens"/>
                    </w:pPr>
                    <w:r w:rsidRPr="008D59C5">
                      <w:t>www.rijksoverheid.nl</w:t>
                    </w:r>
                  </w:p>
                  <w:p w14:paraId="7EC81CCB" w14:textId="77777777" w:rsidR="00CD5856" w:rsidRDefault="00000000">
                    <w:pPr>
                      <w:pStyle w:val="Huisstijl-AfzendgegevenskopW1"/>
                    </w:pPr>
                    <w:r>
                      <w:t>Contactpersoon</w:t>
                    </w:r>
                  </w:p>
                  <w:p w14:paraId="5E058105" w14:textId="77777777" w:rsidR="00CD5856" w:rsidRDefault="00000000">
                    <w:pPr>
                      <w:pStyle w:val="Huisstijl-Afzendgegevens"/>
                    </w:pPr>
                    <w:r w:rsidRPr="008D59C5">
                      <w:t>ing. J.A. Ramlal</w:t>
                    </w:r>
                  </w:p>
                  <w:p w14:paraId="14337E9A" w14:textId="77777777" w:rsidR="00CD5856" w:rsidRDefault="00000000">
                    <w:pPr>
                      <w:pStyle w:val="Huisstijl-Afzendgegevens"/>
                    </w:pPr>
                    <w:r w:rsidRPr="008D59C5">
                      <w:t>ja.ramlal@minvws.nl</w:t>
                    </w:r>
                  </w:p>
                  <w:p w14:paraId="168C8EFF" w14:textId="77777777" w:rsidR="00CD5856" w:rsidRDefault="00000000">
                    <w:pPr>
                      <w:pStyle w:val="Huisstijl-ReferentiegegevenskopW2"/>
                    </w:pPr>
                    <w:r>
                      <w:t>Ons kenmerk</w:t>
                    </w:r>
                  </w:p>
                  <w:p w14:paraId="29569731" w14:textId="77777777" w:rsidR="00CD5856" w:rsidRDefault="00000000">
                    <w:pPr>
                      <w:pStyle w:val="Huisstijl-Referentiegegevens"/>
                    </w:pPr>
                    <w:r>
                      <w:t>KENMERK</w:t>
                    </w:r>
                  </w:p>
                  <w:p w14:paraId="79F3025F" w14:textId="77777777" w:rsidR="00CD5856" w:rsidRDefault="00000000">
                    <w:pPr>
                      <w:pStyle w:val="Huisstijl-ReferentiegegevenskopW1"/>
                    </w:pPr>
                    <w:r>
                      <w:t>Uw kenmerk</w:t>
                    </w:r>
                  </w:p>
                  <w:p w14:paraId="7AAEF2F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7C0F842" wp14:editId="43D3B860">
              <wp:simplePos x="0" y="0"/>
              <wp:positionH relativeFrom="page">
                <wp:posOffset>1008380</wp:posOffset>
              </wp:positionH>
              <wp:positionV relativeFrom="page">
                <wp:posOffset>1942465</wp:posOffset>
              </wp:positionV>
              <wp:extent cx="2988310" cy="1080135"/>
              <wp:effectExtent l="8255" t="8890" r="13335" b="6350"/>
              <wp:wrapNone/>
              <wp:docPr id="41378652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1248EF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0F84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1248EF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100E553" wp14:editId="4F8568BD">
              <wp:simplePos x="0" y="0"/>
              <wp:positionH relativeFrom="page">
                <wp:posOffset>5922645</wp:posOffset>
              </wp:positionH>
              <wp:positionV relativeFrom="page">
                <wp:posOffset>10224770</wp:posOffset>
              </wp:positionV>
              <wp:extent cx="730885" cy="107950"/>
              <wp:effectExtent l="7620" t="13970" r="13970" b="11430"/>
              <wp:wrapNone/>
              <wp:docPr id="104651178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EF804B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0E55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EF804B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A6A89FA" wp14:editId="223C0D1F">
              <wp:simplePos x="0" y="0"/>
              <wp:positionH relativeFrom="page">
                <wp:posOffset>1008380</wp:posOffset>
              </wp:positionH>
              <wp:positionV relativeFrom="page">
                <wp:posOffset>3384550</wp:posOffset>
              </wp:positionV>
              <wp:extent cx="4104005" cy="179705"/>
              <wp:effectExtent l="8255" t="12700" r="12065" b="7620"/>
              <wp:wrapNone/>
              <wp:docPr id="173920435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56A62A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A89F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56A62A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43C1A15" wp14:editId="58DA088A">
              <wp:simplePos x="0" y="0"/>
              <wp:positionH relativeFrom="page">
                <wp:posOffset>1008380</wp:posOffset>
              </wp:positionH>
              <wp:positionV relativeFrom="page">
                <wp:posOffset>1715135</wp:posOffset>
              </wp:positionV>
              <wp:extent cx="3590925" cy="144145"/>
              <wp:effectExtent l="8255" t="10160" r="10795" b="7620"/>
              <wp:wrapNone/>
              <wp:docPr id="126890394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8DFC093"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C1A1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8DFC09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1A82AFA">
      <w:numFmt w:val="bullet"/>
      <w:lvlText w:val=""/>
      <w:lvlJc w:val="left"/>
      <w:pPr>
        <w:ind w:left="720" w:hanging="360"/>
      </w:pPr>
      <w:rPr>
        <w:rFonts w:ascii="Wingdings" w:eastAsia="DejaVu Sans" w:hAnsi="Wingdings" w:cs="Lohit Hindi" w:hint="default"/>
      </w:rPr>
    </w:lvl>
    <w:lvl w:ilvl="1" w:tplc="17E89ED6" w:tentative="1">
      <w:start w:val="1"/>
      <w:numFmt w:val="bullet"/>
      <w:lvlText w:val="o"/>
      <w:lvlJc w:val="left"/>
      <w:pPr>
        <w:ind w:left="1440" w:hanging="360"/>
      </w:pPr>
      <w:rPr>
        <w:rFonts w:ascii="Courier New" w:hAnsi="Courier New" w:cs="Courier New" w:hint="default"/>
      </w:rPr>
    </w:lvl>
    <w:lvl w:ilvl="2" w:tplc="053AC898" w:tentative="1">
      <w:start w:val="1"/>
      <w:numFmt w:val="bullet"/>
      <w:lvlText w:val=""/>
      <w:lvlJc w:val="left"/>
      <w:pPr>
        <w:ind w:left="2160" w:hanging="360"/>
      </w:pPr>
      <w:rPr>
        <w:rFonts w:ascii="Wingdings" w:hAnsi="Wingdings" w:hint="default"/>
      </w:rPr>
    </w:lvl>
    <w:lvl w:ilvl="3" w:tplc="174E4B88" w:tentative="1">
      <w:start w:val="1"/>
      <w:numFmt w:val="bullet"/>
      <w:lvlText w:val=""/>
      <w:lvlJc w:val="left"/>
      <w:pPr>
        <w:ind w:left="2880" w:hanging="360"/>
      </w:pPr>
      <w:rPr>
        <w:rFonts w:ascii="Symbol" w:hAnsi="Symbol" w:hint="default"/>
      </w:rPr>
    </w:lvl>
    <w:lvl w:ilvl="4" w:tplc="F954A8AE" w:tentative="1">
      <w:start w:val="1"/>
      <w:numFmt w:val="bullet"/>
      <w:lvlText w:val="o"/>
      <w:lvlJc w:val="left"/>
      <w:pPr>
        <w:ind w:left="3600" w:hanging="360"/>
      </w:pPr>
      <w:rPr>
        <w:rFonts w:ascii="Courier New" w:hAnsi="Courier New" w:cs="Courier New" w:hint="default"/>
      </w:rPr>
    </w:lvl>
    <w:lvl w:ilvl="5" w:tplc="D0840E46" w:tentative="1">
      <w:start w:val="1"/>
      <w:numFmt w:val="bullet"/>
      <w:lvlText w:val=""/>
      <w:lvlJc w:val="left"/>
      <w:pPr>
        <w:ind w:left="4320" w:hanging="360"/>
      </w:pPr>
      <w:rPr>
        <w:rFonts w:ascii="Wingdings" w:hAnsi="Wingdings" w:hint="default"/>
      </w:rPr>
    </w:lvl>
    <w:lvl w:ilvl="6" w:tplc="08A62748" w:tentative="1">
      <w:start w:val="1"/>
      <w:numFmt w:val="bullet"/>
      <w:lvlText w:val=""/>
      <w:lvlJc w:val="left"/>
      <w:pPr>
        <w:ind w:left="5040" w:hanging="360"/>
      </w:pPr>
      <w:rPr>
        <w:rFonts w:ascii="Symbol" w:hAnsi="Symbol" w:hint="default"/>
      </w:rPr>
    </w:lvl>
    <w:lvl w:ilvl="7" w:tplc="6E8C659C" w:tentative="1">
      <w:start w:val="1"/>
      <w:numFmt w:val="bullet"/>
      <w:lvlText w:val="o"/>
      <w:lvlJc w:val="left"/>
      <w:pPr>
        <w:ind w:left="5760" w:hanging="360"/>
      </w:pPr>
      <w:rPr>
        <w:rFonts w:ascii="Courier New" w:hAnsi="Courier New" w:cs="Courier New" w:hint="default"/>
      </w:rPr>
    </w:lvl>
    <w:lvl w:ilvl="8" w:tplc="6ABE7998" w:tentative="1">
      <w:start w:val="1"/>
      <w:numFmt w:val="bullet"/>
      <w:lvlText w:val=""/>
      <w:lvlJc w:val="left"/>
      <w:pPr>
        <w:ind w:left="6480" w:hanging="360"/>
      </w:pPr>
      <w:rPr>
        <w:rFonts w:ascii="Wingdings" w:hAnsi="Wingdings" w:hint="default"/>
      </w:rPr>
    </w:lvl>
  </w:abstractNum>
  <w:num w:numId="1" w16cid:durableId="2144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1B51"/>
    <w:rsid w:val="00050D5B"/>
    <w:rsid w:val="000A4670"/>
    <w:rsid w:val="000B1832"/>
    <w:rsid w:val="000B45B1"/>
    <w:rsid w:val="000C1119"/>
    <w:rsid w:val="000C2460"/>
    <w:rsid w:val="000C29E1"/>
    <w:rsid w:val="000D0CCB"/>
    <w:rsid w:val="000D6D8A"/>
    <w:rsid w:val="000E2F12"/>
    <w:rsid w:val="000E54B6"/>
    <w:rsid w:val="00113778"/>
    <w:rsid w:val="00125BDF"/>
    <w:rsid w:val="00172CD9"/>
    <w:rsid w:val="00183DBA"/>
    <w:rsid w:val="001B41E1"/>
    <w:rsid w:val="001B7303"/>
    <w:rsid w:val="001F1D24"/>
    <w:rsid w:val="00215CB5"/>
    <w:rsid w:val="00235AED"/>
    <w:rsid w:val="00241BB9"/>
    <w:rsid w:val="00246E02"/>
    <w:rsid w:val="00256420"/>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0584"/>
    <w:rsid w:val="003F3A47"/>
    <w:rsid w:val="004230F2"/>
    <w:rsid w:val="0043480A"/>
    <w:rsid w:val="00437B5F"/>
    <w:rsid w:val="004509BE"/>
    <w:rsid w:val="0045486D"/>
    <w:rsid w:val="00463DBC"/>
    <w:rsid w:val="004934A8"/>
    <w:rsid w:val="004C5FEF"/>
    <w:rsid w:val="004F0B09"/>
    <w:rsid w:val="00516D6A"/>
    <w:rsid w:val="00523C02"/>
    <w:rsid w:val="00544135"/>
    <w:rsid w:val="005600D7"/>
    <w:rsid w:val="005677D6"/>
    <w:rsid w:val="00582E97"/>
    <w:rsid w:val="00587714"/>
    <w:rsid w:val="005C3CD4"/>
    <w:rsid w:val="005D327A"/>
    <w:rsid w:val="00620BE8"/>
    <w:rsid w:val="0063154E"/>
    <w:rsid w:val="0063555A"/>
    <w:rsid w:val="0066218C"/>
    <w:rsid w:val="00686885"/>
    <w:rsid w:val="006922AC"/>
    <w:rsid w:val="00697032"/>
    <w:rsid w:val="006B16C1"/>
    <w:rsid w:val="007104A0"/>
    <w:rsid w:val="0074764C"/>
    <w:rsid w:val="007502C9"/>
    <w:rsid w:val="00763E81"/>
    <w:rsid w:val="00776965"/>
    <w:rsid w:val="00780082"/>
    <w:rsid w:val="007868F3"/>
    <w:rsid w:val="007A4F37"/>
    <w:rsid w:val="007B028B"/>
    <w:rsid w:val="007B6A41"/>
    <w:rsid w:val="007C592D"/>
    <w:rsid w:val="007D0F21"/>
    <w:rsid w:val="007D23C6"/>
    <w:rsid w:val="007E36BA"/>
    <w:rsid w:val="007F380D"/>
    <w:rsid w:val="007F4A98"/>
    <w:rsid w:val="0087691C"/>
    <w:rsid w:val="00893C24"/>
    <w:rsid w:val="008A21F4"/>
    <w:rsid w:val="008D59C5"/>
    <w:rsid w:val="008D618A"/>
    <w:rsid w:val="008E210E"/>
    <w:rsid w:val="008E4B89"/>
    <w:rsid w:val="008F1A6D"/>
    <w:rsid w:val="008F33AD"/>
    <w:rsid w:val="00902114"/>
    <w:rsid w:val="00960E2B"/>
    <w:rsid w:val="00985A65"/>
    <w:rsid w:val="009A31BF"/>
    <w:rsid w:val="009B2459"/>
    <w:rsid w:val="009C4777"/>
    <w:rsid w:val="009C75F1"/>
    <w:rsid w:val="009D3C77"/>
    <w:rsid w:val="009D7D63"/>
    <w:rsid w:val="009F419D"/>
    <w:rsid w:val="00A2727B"/>
    <w:rsid w:val="00A45F90"/>
    <w:rsid w:val="00A52DBE"/>
    <w:rsid w:val="00A83BE3"/>
    <w:rsid w:val="00AA61EA"/>
    <w:rsid w:val="00AF6BEC"/>
    <w:rsid w:val="00B57E26"/>
    <w:rsid w:val="00B8296E"/>
    <w:rsid w:val="00B82F43"/>
    <w:rsid w:val="00B91B75"/>
    <w:rsid w:val="00BA7566"/>
    <w:rsid w:val="00BC481F"/>
    <w:rsid w:val="00BD75C1"/>
    <w:rsid w:val="00BE4FF6"/>
    <w:rsid w:val="00BF51ED"/>
    <w:rsid w:val="00C3438D"/>
    <w:rsid w:val="00C62B6C"/>
    <w:rsid w:val="00C7683A"/>
    <w:rsid w:val="00C81260"/>
    <w:rsid w:val="00C95CA9"/>
    <w:rsid w:val="00CA061B"/>
    <w:rsid w:val="00CC6120"/>
    <w:rsid w:val="00CD4AED"/>
    <w:rsid w:val="00CD5856"/>
    <w:rsid w:val="00CE71E2"/>
    <w:rsid w:val="00CF0F2E"/>
    <w:rsid w:val="00CF3E82"/>
    <w:rsid w:val="00D44AB6"/>
    <w:rsid w:val="00D54679"/>
    <w:rsid w:val="00D67BAF"/>
    <w:rsid w:val="00DA15A1"/>
    <w:rsid w:val="00DC7639"/>
    <w:rsid w:val="00E1490C"/>
    <w:rsid w:val="00E37122"/>
    <w:rsid w:val="00E711DC"/>
    <w:rsid w:val="00E85195"/>
    <w:rsid w:val="00EA275E"/>
    <w:rsid w:val="00EB6C09"/>
    <w:rsid w:val="00EE23CE"/>
    <w:rsid w:val="00EE2A9D"/>
    <w:rsid w:val="00F32EA9"/>
    <w:rsid w:val="00F56EBE"/>
    <w:rsid w:val="00F72360"/>
    <w:rsid w:val="00F847BF"/>
    <w:rsid w:val="00F87E88"/>
    <w:rsid w:val="00FC776C"/>
    <w:rsid w:val="00FD036B"/>
    <w:rsid w:val="00FD7364"/>
    <w:rsid w:val="00FE18A6"/>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2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F0584"/>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3F0584"/>
    <w:rPr>
      <w:rFonts w:ascii="Verdana" w:eastAsiaTheme="minorHAnsi" w:hAnsi="Verdana" w:cstheme="minorBidi"/>
      <w:kern w:val="2"/>
      <w:sz w:val="20"/>
      <w:szCs w:val="20"/>
      <w:lang w:val="en-US" w:eastAsia="en-US" w:bidi="ar-SA"/>
    </w:rPr>
  </w:style>
  <w:style w:type="character" w:styleId="Voetnootmarkering">
    <w:name w:val="footnote reference"/>
    <w:aliases w:val="Kop 4 Char1"/>
    <w:basedOn w:val="Standaardalinea-lettertype"/>
    <w:uiPriority w:val="99"/>
    <w:unhideWhenUsed/>
    <w:qFormat/>
    <w:rsid w:val="003F0584"/>
    <w:rPr>
      <w:vertAlign w:val="superscript"/>
    </w:rPr>
  </w:style>
  <w:style w:type="paragraph" w:customStyle="1" w:styleId="WitregelW1bodytekst">
    <w:name w:val="Witregel W1 (bodytekst)"/>
    <w:basedOn w:val="Standaard"/>
    <w:next w:val="Standaard"/>
    <w:rsid w:val="003F0584"/>
    <w:pPr>
      <w:widowControl/>
      <w:suppressAutoHyphens w:val="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3702</ap:Characters>
  <ap:DocSecurity>0</ap:DocSecurity>
  <ap:Lines>30</ap:Lines>
  <ap:Paragraphs>8</ap:Paragraphs>
  <ap:ScaleCrop>false</ap:ScaleCrop>
  <ap:LinksUpToDate>false</ap:LinksUpToDate>
  <ap:CharactersWithSpaces>4367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2026-07-02T09:57:00.0000000Z</dcterms:created>
  <dcterms:modified xsi:type="dcterms:W3CDTF">2026-07-02T09:57:00.0000000Z</dcterms:modified>
  <dc:description>------------------------</dc:description>
  <dc:subject/>
  <dc:title/>
  <keywords/>
  <version/>
  <category/>
</coreProperties>
</file>