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177CC8" w:rsidRDefault="00EE2A9D" w14:paraId="445E5EEC" w14:textId="77777777"/>
        <w:p w:rsidR="00CD5856" w:rsidP="00177CC8" w:rsidRDefault="00357316" w14:paraId="1ED8C761" w14:textId="5A5BD358">
          <w:pPr>
            <w:spacing w:line="240" w:lineRule="auto"/>
          </w:pPr>
        </w:p>
      </w:sdtContent>
    </w:sdt>
    <w:p w:rsidR="00CD5856" w:rsidP="00177CC8" w:rsidRDefault="00CD5856" w14:paraId="7D6596D9" w14:textId="77777777"/>
    <w:p w:rsidR="00CD5856" w:rsidP="00177CC8" w:rsidRDefault="00CD5856" w14:paraId="3D58EF07" w14:textId="77777777"/>
    <w:p w:rsidR="00CD5856" w:rsidP="00177CC8" w:rsidRDefault="00CD5856" w14:paraId="17D6C47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177CC8" w:rsidRDefault="00357316" w14:paraId="253C2323" w14:textId="77777777">
      <w:pPr>
        <w:pStyle w:val="Huisstijl-Aanhef"/>
      </w:pPr>
      <w:r>
        <w:t>Geachte voorzitter,</w:t>
      </w:r>
    </w:p>
    <w:p w:rsidR="00530880" w:rsidP="00177CC8" w:rsidRDefault="00530880" w14:paraId="60564FE7" w14:textId="45C7BB51">
      <w:pPr>
        <w:pStyle w:val="Default"/>
        <w:suppressAutoHyphens/>
        <w:rPr>
          <w:sz w:val="18"/>
          <w:szCs w:val="18"/>
        </w:rPr>
      </w:pPr>
      <w:bookmarkStart w:name="Text1" w:id="1"/>
      <w:r>
        <w:rPr>
          <w:sz w:val="18"/>
          <w:szCs w:val="18"/>
        </w:rPr>
        <w:t>Conform de uitwerking</w:t>
      </w:r>
      <w:r w:rsidRPr="003D1247">
        <w:rPr>
          <w:rStyle w:val="Voetnootmarkering"/>
          <w:sz w:val="16"/>
          <w:szCs w:val="16"/>
        </w:rPr>
        <w:footnoteReference w:id="1"/>
      </w:r>
      <w:r>
        <w:rPr>
          <w:sz w:val="12"/>
          <w:szCs w:val="12"/>
        </w:rPr>
        <w:t xml:space="preserve"> </w:t>
      </w:r>
      <w:r>
        <w:rPr>
          <w:sz w:val="18"/>
          <w:szCs w:val="18"/>
        </w:rPr>
        <w:t>van de motie Harbers</w:t>
      </w:r>
      <w:r w:rsidRPr="003D1247">
        <w:rPr>
          <w:rStyle w:val="Voetnootmarkering"/>
          <w:sz w:val="16"/>
          <w:szCs w:val="16"/>
        </w:rPr>
        <w:footnoteReference w:id="2"/>
      </w:r>
      <w:r>
        <w:rPr>
          <w:sz w:val="12"/>
          <w:szCs w:val="12"/>
        </w:rPr>
        <w:t xml:space="preserve"> </w:t>
      </w:r>
      <w:r>
        <w:rPr>
          <w:sz w:val="18"/>
          <w:szCs w:val="18"/>
        </w:rPr>
        <w:t>informeer ik de Kamer over de opzet en de vraagstelling van de Periodieke rapportage van het onderwerp Wet maatschappelijke ondersteuning 2015 (</w:t>
      </w:r>
      <w:proofErr w:type="spellStart"/>
      <w:r>
        <w:rPr>
          <w:sz w:val="18"/>
          <w:szCs w:val="18"/>
        </w:rPr>
        <w:t>Wmo</w:t>
      </w:r>
      <w:proofErr w:type="spellEnd"/>
      <w:r>
        <w:rPr>
          <w:sz w:val="18"/>
          <w:szCs w:val="18"/>
        </w:rPr>
        <w:t xml:space="preserve"> 2015, hierna </w:t>
      </w:r>
      <w:proofErr w:type="spellStart"/>
      <w:r>
        <w:rPr>
          <w:sz w:val="18"/>
          <w:szCs w:val="18"/>
        </w:rPr>
        <w:t>Wmo</w:t>
      </w:r>
      <w:proofErr w:type="spellEnd"/>
      <w:r>
        <w:rPr>
          <w:sz w:val="18"/>
          <w:szCs w:val="18"/>
        </w:rPr>
        <w:t>). Dit thema van de Strategische Evaluatie Agenda (SEA) heeft betrekking op zowel begrotingsartikel 3 als elementen van het Financieel Beeld Zorg van het ministerie van Volksgezondheid, Welzijn en Sport (VWS).</w:t>
      </w:r>
    </w:p>
    <w:p w:rsidR="00530880" w:rsidP="00177CC8" w:rsidRDefault="00530880" w14:paraId="6A443193" w14:textId="77777777">
      <w:pPr>
        <w:pStyle w:val="Default"/>
        <w:suppressAutoHyphens/>
        <w:rPr>
          <w:sz w:val="18"/>
          <w:szCs w:val="18"/>
        </w:rPr>
      </w:pPr>
    </w:p>
    <w:p w:rsidR="00530880" w:rsidP="00177CC8" w:rsidRDefault="00530880" w14:paraId="552EBA61" w14:textId="77777777">
      <w:pPr>
        <w:pStyle w:val="Lijstalinea"/>
        <w:suppressAutoHyphens/>
        <w:ind w:left="0"/>
        <w:rPr>
          <w:lang w:val="nl-NL"/>
        </w:rPr>
      </w:pPr>
      <w:r>
        <w:rPr>
          <w:lang w:val="nl-NL"/>
        </w:rPr>
        <w:t>De hoofdvraag van de Periodieke rapportage luidt:</w:t>
      </w:r>
    </w:p>
    <w:p w:rsidR="00530880" w:rsidP="00177CC8" w:rsidRDefault="00530880" w14:paraId="7CB0FD3E" w14:textId="77777777">
      <w:pPr>
        <w:widowControl/>
        <w:numPr>
          <w:ilvl w:val="0"/>
          <w:numId w:val="4"/>
        </w:numPr>
        <w:autoSpaceDN/>
        <w:spacing w:after="60" w:line="259" w:lineRule="auto"/>
        <w:contextualSpacing/>
        <w:textAlignment w:val="auto"/>
        <w:rPr>
          <w:kern w:val="0"/>
        </w:rPr>
      </w:pPr>
      <w:r w:rsidRPr="00143B88">
        <w:rPr>
          <w:szCs w:val="18"/>
        </w:rPr>
        <w:t>“</w:t>
      </w:r>
      <w:r>
        <w:rPr>
          <w:szCs w:val="18"/>
        </w:rPr>
        <w:t>H</w:t>
      </w:r>
      <w:r w:rsidRPr="00143B88">
        <w:rPr>
          <w:szCs w:val="18"/>
        </w:rPr>
        <w:t xml:space="preserve">oe doeltreffend en doelmatig was het </w:t>
      </w:r>
      <w:r>
        <w:rPr>
          <w:szCs w:val="18"/>
        </w:rPr>
        <w:t>stelsel</w:t>
      </w:r>
      <w:r w:rsidRPr="00143B88">
        <w:rPr>
          <w:szCs w:val="18"/>
        </w:rPr>
        <w:t xml:space="preserve"> van maatschappelijke ondersteuning in de periode 2015-2024”?</w:t>
      </w:r>
    </w:p>
    <w:p w:rsidR="00530880" w:rsidP="00177CC8" w:rsidRDefault="00530880" w14:paraId="2CF023D8" w14:textId="77777777">
      <w:pPr>
        <w:pStyle w:val="Default"/>
        <w:suppressAutoHyphens/>
        <w:rPr>
          <w:sz w:val="18"/>
          <w:szCs w:val="18"/>
        </w:rPr>
      </w:pPr>
    </w:p>
    <w:p w:rsidR="00530880" w:rsidP="00177CC8" w:rsidRDefault="00530880" w14:paraId="139BD3BD" w14:textId="5E854070">
      <w:pPr>
        <w:pStyle w:val="Default"/>
        <w:suppressAutoHyphens/>
        <w:rPr>
          <w:sz w:val="18"/>
          <w:szCs w:val="18"/>
        </w:rPr>
      </w:pPr>
      <w:r>
        <w:rPr>
          <w:sz w:val="18"/>
          <w:szCs w:val="18"/>
        </w:rPr>
        <w:t>De SEA als onderdeel van de VWS begroting 2024 kent een thema</w:t>
      </w:r>
      <w:r w:rsidR="00ED5855">
        <w:rPr>
          <w:sz w:val="18"/>
          <w:szCs w:val="18"/>
        </w:rPr>
        <w:t>tische</w:t>
      </w:r>
      <w:r>
        <w:rPr>
          <w:sz w:val="18"/>
          <w:szCs w:val="18"/>
        </w:rPr>
        <w:t xml:space="preserve"> opzet bestaande uit een overzicht van de belangrijke beleidsthema's van het ministerie. Het geleverd aanbod via de </w:t>
      </w:r>
      <w:proofErr w:type="spellStart"/>
      <w:r>
        <w:rPr>
          <w:sz w:val="18"/>
          <w:szCs w:val="18"/>
        </w:rPr>
        <w:t>Wmo</w:t>
      </w:r>
      <w:proofErr w:type="spellEnd"/>
      <w:r>
        <w:rPr>
          <w:sz w:val="18"/>
          <w:szCs w:val="18"/>
        </w:rPr>
        <w:t xml:space="preserve"> tussen 2015 tot en met 2024 is een van deze hoofdthema’s, waarvoor in 2026 een Periodieke rapportage zal worden opgesteld. Deze rapportage is, in de basis, een kennissynthese van de monitors, evaluaties en andere onderzoeken die de afgelopen periode zijn uitgevoerd op de gebieden van (maatwerk)voorzieningen van de </w:t>
      </w:r>
      <w:proofErr w:type="spellStart"/>
      <w:r>
        <w:rPr>
          <w:sz w:val="18"/>
          <w:szCs w:val="18"/>
        </w:rPr>
        <w:t>Wmo</w:t>
      </w:r>
      <w:proofErr w:type="spellEnd"/>
      <w:r>
        <w:rPr>
          <w:sz w:val="18"/>
          <w:szCs w:val="18"/>
        </w:rPr>
        <w:t>.</w:t>
      </w:r>
    </w:p>
    <w:p w:rsidR="00530880" w:rsidP="00177CC8" w:rsidRDefault="00530880" w14:paraId="5C16AAF6" w14:textId="77777777">
      <w:pPr>
        <w:pStyle w:val="Default"/>
        <w:suppressAutoHyphens/>
        <w:rPr>
          <w:sz w:val="18"/>
          <w:szCs w:val="18"/>
        </w:rPr>
      </w:pPr>
    </w:p>
    <w:p w:rsidR="005C23FF" w:rsidP="00177CC8" w:rsidRDefault="00ED5855" w14:paraId="747807EE" w14:textId="43CF0DFE">
      <w:pPr>
        <w:pStyle w:val="Default"/>
        <w:suppressAutoHyphens/>
        <w:rPr>
          <w:sz w:val="18"/>
          <w:szCs w:val="18"/>
        </w:rPr>
      </w:pPr>
      <w:r>
        <w:rPr>
          <w:sz w:val="18"/>
          <w:szCs w:val="18"/>
        </w:rPr>
        <w:t>H</w:t>
      </w:r>
      <w:r w:rsidR="00530880">
        <w:rPr>
          <w:sz w:val="18"/>
          <w:szCs w:val="18"/>
        </w:rPr>
        <w:t xml:space="preserve">et Houdbaarheidsonderzoek </w:t>
      </w:r>
      <w:proofErr w:type="spellStart"/>
      <w:r w:rsidR="00530880">
        <w:rPr>
          <w:sz w:val="18"/>
          <w:szCs w:val="18"/>
        </w:rPr>
        <w:t>Wmo</w:t>
      </w:r>
      <w:proofErr w:type="spellEnd"/>
      <w:r w:rsidR="00530880">
        <w:rPr>
          <w:sz w:val="18"/>
          <w:szCs w:val="18"/>
        </w:rPr>
        <w:t xml:space="preserve"> 2015, dat de Kamer op 26 november 2025 heeft ontvangen</w:t>
      </w:r>
      <w:r w:rsidRPr="00BE6921" w:rsidR="00530880">
        <w:rPr>
          <w:rStyle w:val="Voetnootmarkering"/>
          <w:sz w:val="16"/>
          <w:szCs w:val="16"/>
        </w:rPr>
        <w:footnoteReference w:id="3"/>
      </w:r>
      <w:r w:rsidRPr="00302E35" w:rsidR="00530880">
        <w:rPr>
          <w:sz w:val="18"/>
          <w:szCs w:val="18"/>
        </w:rPr>
        <w:t xml:space="preserve">, </w:t>
      </w:r>
      <w:r w:rsidR="00530880">
        <w:rPr>
          <w:sz w:val="18"/>
          <w:szCs w:val="18"/>
        </w:rPr>
        <w:t xml:space="preserve">kan </w:t>
      </w:r>
      <w:r>
        <w:rPr>
          <w:sz w:val="18"/>
          <w:szCs w:val="18"/>
        </w:rPr>
        <w:t>als</w:t>
      </w:r>
      <w:r w:rsidR="00530880">
        <w:rPr>
          <w:sz w:val="18"/>
          <w:szCs w:val="18"/>
        </w:rPr>
        <w:t xml:space="preserve"> uitgebreide studie de basis zijn voor de Periodieke rapportage</w:t>
      </w:r>
      <w:r w:rsidRPr="00302E35" w:rsidR="00530880">
        <w:rPr>
          <w:sz w:val="18"/>
          <w:szCs w:val="18"/>
        </w:rPr>
        <w:t xml:space="preserve">. </w:t>
      </w:r>
      <w:r w:rsidR="00530880">
        <w:rPr>
          <w:sz w:val="18"/>
          <w:szCs w:val="18"/>
        </w:rPr>
        <w:t xml:space="preserve">In dit houdbaarheidsonderzoek wordt geconcludeerd dat factoren buiten de </w:t>
      </w:r>
      <w:proofErr w:type="spellStart"/>
      <w:r w:rsidR="00530880">
        <w:rPr>
          <w:sz w:val="18"/>
          <w:szCs w:val="18"/>
        </w:rPr>
        <w:t>Wmo</w:t>
      </w:r>
      <w:proofErr w:type="spellEnd"/>
      <w:r w:rsidR="00530880">
        <w:rPr>
          <w:sz w:val="18"/>
          <w:szCs w:val="18"/>
        </w:rPr>
        <w:t xml:space="preserve"> bepalend zijn voor de houdbaarheid van deze wet, zoals de dubbele vergrijzing en daarmee gepaard gaande groeiende zorg- en hulpvraag, een toenemend aantal mantelzorgvragers, terwijl het aantal mantelzorggevers afneemt, de bouw van voor senioren geschikte woningen etc. Met name de dubbele vergrijzing zet de gehele zorg onder druk en daarom zijn er integrale zorgakkoorden gesloten. </w:t>
      </w:r>
    </w:p>
    <w:p w:rsidRPr="00ED5855" w:rsidR="00530880" w:rsidP="00177CC8" w:rsidRDefault="00530880" w14:paraId="3F985587" w14:textId="6D146566">
      <w:pPr>
        <w:pStyle w:val="Default"/>
        <w:suppressAutoHyphens/>
        <w:rPr>
          <w:sz w:val="18"/>
          <w:szCs w:val="18"/>
        </w:rPr>
      </w:pPr>
      <w:r>
        <w:rPr>
          <w:sz w:val="18"/>
          <w:szCs w:val="18"/>
        </w:rPr>
        <w:lastRenderedPageBreak/>
        <w:t xml:space="preserve">De ondertekenaars van de integrale zorgakkoorden pleiten voor passende zorg en, waar mogelijk, door inzet aan de voorkant van het zorg- en welzijnsstelsel, zoals vastgelegd </w:t>
      </w:r>
      <w:r w:rsidRPr="00506521">
        <w:rPr>
          <w:sz w:val="18"/>
          <w:szCs w:val="18"/>
        </w:rPr>
        <w:t>in het Integraal Zorg Akkoord (IZA, 2022</w:t>
      </w:r>
      <w:r>
        <w:rPr>
          <w:rStyle w:val="Voetnootmarkering"/>
          <w:sz w:val="18"/>
          <w:szCs w:val="18"/>
        </w:rPr>
        <w:footnoteReference w:id="4"/>
      </w:r>
      <w:r w:rsidRPr="00506521">
        <w:rPr>
          <w:sz w:val="18"/>
          <w:szCs w:val="18"/>
        </w:rPr>
        <w:t>) en het Aanvullend Zorg- en Welzijn akkoord (AZWA, 2025</w:t>
      </w:r>
      <w:r>
        <w:rPr>
          <w:rStyle w:val="Voetnootmarkering"/>
          <w:sz w:val="18"/>
          <w:szCs w:val="18"/>
        </w:rPr>
        <w:footnoteReference w:id="5"/>
      </w:r>
      <w:r w:rsidRPr="00506521">
        <w:rPr>
          <w:sz w:val="18"/>
          <w:szCs w:val="18"/>
        </w:rPr>
        <w:t xml:space="preserve">). De </w:t>
      </w:r>
      <w:proofErr w:type="spellStart"/>
      <w:r w:rsidRPr="00506521">
        <w:rPr>
          <w:sz w:val="18"/>
          <w:szCs w:val="18"/>
        </w:rPr>
        <w:t>Wmo</w:t>
      </w:r>
      <w:proofErr w:type="spellEnd"/>
      <w:r w:rsidRPr="00506521">
        <w:rPr>
          <w:sz w:val="18"/>
          <w:szCs w:val="18"/>
        </w:rPr>
        <w:t xml:space="preserve"> ondersteunt de</w:t>
      </w:r>
      <w:r>
        <w:rPr>
          <w:sz w:val="18"/>
          <w:szCs w:val="18"/>
        </w:rPr>
        <w:t>ze</w:t>
      </w:r>
      <w:r w:rsidRPr="00506521">
        <w:rPr>
          <w:sz w:val="18"/>
          <w:szCs w:val="18"/>
        </w:rPr>
        <w:t xml:space="preserve"> </w:t>
      </w:r>
      <w:r>
        <w:rPr>
          <w:sz w:val="18"/>
          <w:szCs w:val="18"/>
        </w:rPr>
        <w:t>zogenoemde ‘</w:t>
      </w:r>
      <w:r w:rsidRPr="00506521">
        <w:rPr>
          <w:sz w:val="18"/>
          <w:szCs w:val="18"/>
        </w:rPr>
        <w:t>beweging naar de voorkant</w:t>
      </w:r>
      <w:r>
        <w:rPr>
          <w:sz w:val="18"/>
          <w:szCs w:val="18"/>
        </w:rPr>
        <w:t>’</w:t>
      </w:r>
      <w:r w:rsidRPr="00506521">
        <w:rPr>
          <w:sz w:val="18"/>
          <w:szCs w:val="18"/>
        </w:rPr>
        <w:t xml:space="preserve"> en sluit aan bij de visie op passende zorg.</w:t>
      </w:r>
      <w:r>
        <w:rPr>
          <w:sz w:val="18"/>
          <w:szCs w:val="18"/>
        </w:rPr>
        <w:t xml:space="preserve"> Dit dient bij te dragen aan de gezondheid van de </w:t>
      </w:r>
      <w:proofErr w:type="spellStart"/>
      <w:r>
        <w:rPr>
          <w:sz w:val="18"/>
          <w:szCs w:val="18"/>
        </w:rPr>
        <w:t>Wmo</w:t>
      </w:r>
      <w:proofErr w:type="spellEnd"/>
      <w:r>
        <w:rPr>
          <w:sz w:val="18"/>
          <w:szCs w:val="18"/>
        </w:rPr>
        <w:t>-doelgroepen die daardoor minder (lang) een beroep doen hoeven te doen op complexe en dure zorg- en hulpverlening.</w:t>
      </w:r>
    </w:p>
    <w:p w:rsidR="00530880" w:rsidP="00177CC8" w:rsidRDefault="00530880" w14:paraId="5215DF67" w14:textId="77777777">
      <w:pPr>
        <w:pStyle w:val="Default"/>
        <w:suppressAutoHyphens/>
        <w:rPr>
          <w:b/>
          <w:bCs/>
          <w:sz w:val="18"/>
          <w:szCs w:val="18"/>
        </w:rPr>
      </w:pPr>
    </w:p>
    <w:p w:rsidR="00530880" w:rsidP="00177CC8" w:rsidRDefault="00530880" w14:paraId="2C285793" w14:textId="77777777">
      <w:pPr>
        <w:pStyle w:val="Default"/>
        <w:suppressAutoHyphens/>
        <w:rPr>
          <w:b/>
          <w:bCs/>
          <w:sz w:val="18"/>
          <w:szCs w:val="18"/>
        </w:rPr>
      </w:pPr>
      <w:r>
        <w:rPr>
          <w:b/>
          <w:bCs/>
          <w:sz w:val="18"/>
          <w:szCs w:val="18"/>
        </w:rPr>
        <w:t>Periodieke rapportage Maatschappelijke Ondersteuning</w:t>
      </w:r>
    </w:p>
    <w:p w:rsidR="00530880" w:rsidP="00177CC8" w:rsidRDefault="00530880" w14:paraId="22B45E1F" w14:textId="77777777">
      <w:pPr>
        <w:pStyle w:val="Default"/>
        <w:suppressAutoHyphens/>
        <w:rPr>
          <w:sz w:val="18"/>
          <w:szCs w:val="18"/>
        </w:rPr>
      </w:pPr>
    </w:p>
    <w:p w:rsidRPr="00ED5855" w:rsidR="00530880" w:rsidP="00177CC8" w:rsidRDefault="00530880" w14:paraId="12F39783" w14:textId="3E984266">
      <w:pPr>
        <w:rPr>
          <w:kern w:val="0"/>
          <w:szCs w:val="18"/>
        </w:rPr>
      </w:pPr>
      <w:r w:rsidRPr="003B2CD5">
        <w:rPr>
          <w:kern w:val="0"/>
          <w:szCs w:val="18"/>
        </w:rPr>
        <w:t xml:space="preserve">Deze Periodieke rapportage richt zich op het functioneren van het gedecentraliseerde stelsel van de </w:t>
      </w:r>
      <w:proofErr w:type="spellStart"/>
      <w:r w:rsidRPr="003B2CD5">
        <w:rPr>
          <w:kern w:val="0"/>
          <w:szCs w:val="18"/>
        </w:rPr>
        <w:t>Wmo</w:t>
      </w:r>
      <w:proofErr w:type="spellEnd"/>
      <w:r w:rsidRPr="003B2CD5">
        <w:rPr>
          <w:kern w:val="0"/>
          <w:szCs w:val="18"/>
        </w:rPr>
        <w:t xml:space="preserve"> 2015. Het doel van het stelsel van maatschappelijke ondersteuning is het ondersteunen van de zelfredzaamheid en participatie van mensen met een beperking, psychische of psychosociale problemen: die ondersteuning moet erop gericht zijn dat mensen zo lang mogelijk in de eigen leefomgeving kunnen blijven. Met de invoering van de </w:t>
      </w:r>
      <w:proofErr w:type="spellStart"/>
      <w:r w:rsidRPr="003B2CD5">
        <w:rPr>
          <w:kern w:val="0"/>
          <w:szCs w:val="18"/>
        </w:rPr>
        <w:t>Wmo</w:t>
      </w:r>
      <w:proofErr w:type="spellEnd"/>
      <w:r w:rsidRPr="003B2CD5">
        <w:rPr>
          <w:kern w:val="0"/>
          <w:szCs w:val="18"/>
        </w:rPr>
        <w:t xml:space="preserve"> 2015 werd beoogd om (1) de kwaliteit van maatschappelijke ondersteuning aan te passen aan de veranderde eisen en omstandigheden, (2) de betrokkenheid van mensen bij elkaar te vergroten en (3) de financiële houdbaarheid te vergroten. Een belangrijk element van het stelsel is het subsidiariteitsbeginsel: namelijk de volgorde waarin ondersteuning wordt ingezet. Eerst wordt gekeken naar hetgeen mensen binnen hun eigen kracht en met behulp van hun sociale netwerk kunnen, vervolgens wat mogelijk is met ondersteuning van algemene voorzieningen. Als dat niet voldoende blijkt, komen mogelijke maatwerkvoorzieningen in beeld.   </w:t>
      </w:r>
    </w:p>
    <w:p w:rsidRPr="006550CC" w:rsidR="00530880" w:rsidP="00177CC8" w:rsidRDefault="00530880" w14:paraId="26082760" w14:textId="77777777">
      <w:pPr>
        <w:pStyle w:val="Lijstalinea"/>
        <w:suppressAutoHyphens/>
        <w:ind w:left="0"/>
        <w:rPr>
          <w:lang w:val="nl-NL"/>
        </w:rPr>
      </w:pPr>
    </w:p>
    <w:p w:rsidRPr="00ED6559" w:rsidR="00530880" w:rsidP="00177CC8" w:rsidRDefault="00530880" w14:paraId="21DB5CDA" w14:textId="77777777">
      <w:pPr>
        <w:pStyle w:val="Lijstalinea"/>
        <w:suppressAutoHyphens/>
        <w:ind w:left="0"/>
        <w:rPr>
          <w:i/>
          <w:iCs/>
          <w:lang w:val="nl-NL"/>
        </w:rPr>
      </w:pPr>
      <w:r w:rsidRPr="00ED6559">
        <w:rPr>
          <w:i/>
          <w:iCs/>
          <w:lang w:val="nl-NL"/>
        </w:rPr>
        <w:t xml:space="preserve">Voorgeschiedenis van de </w:t>
      </w:r>
      <w:proofErr w:type="spellStart"/>
      <w:r w:rsidRPr="00ED6559">
        <w:rPr>
          <w:i/>
          <w:iCs/>
          <w:lang w:val="nl-NL"/>
        </w:rPr>
        <w:t>Wmo</w:t>
      </w:r>
      <w:proofErr w:type="spellEnd"/>
    </w:p>
    <w:p w:rsidRPr="00334A13" w:rsidR="00530880" w:rsidP="00177CC8" w:rsidRDefault="00530880" w14:paraId="7785DBE7" w14:textId="77777777">
      <w:r w:rsidRPr="00334A13">
        <w:t xml:space="preserve">Sinds de Hervorming Langdurige Zorg (HLZ) per 1 januari 2015 is de maatschappelijke opvang geregeld middels de </w:t>
      </w:r>
      <w:proofErr w:type="spellStart"/>
      <w:r>
        <w:t>Wmo</w:t>
      </w:r>
      <w:proofErr w:type="spellEnd"/>
      <w:r w:rsidRPr="00334A13">
        <w:t xml:space="preserve">. De evaluatieperiode voor deze </w:t>
      </w:r>
      <w:r>
        <w:rPr>
          <w:szCs w:val="18"/>
        </w:rPr>
        <w:t>P</w:t>
      </w:r>
      <w:r w:rsidRPr="00334A13">
        <w:t>eriodieke rapportage van de maatschappelijke ondersteuning betreft de periode vanaf 2015 tot en met 2024.</w:t>
      </w:r>
    </w:p>
    <w:p w:rsidRPr="00334A13" w:rsidR="00530880" w:rsidP="00177CC8" w:rsidRDefault="00530880" w14:paraId="65521C69" w14:textId="77777777">
      <w:pPr>
        <w:spacing w:after="60"/>
      </w:pPr>
      <w:r w:rsidRPr="00334A13">
        <w:t>De HLZ heeft per 1 januari 2015 tot verschillende wetswijzigingen geleid:</w:t>
      </w:r>
    </w:p>
    <w:p w:rsidRPr="009E0C01" w:rsidR="00530880" w:rsidP="00177CC8" w:rsidRDefault="00530880" w14:paraId="1A18CCC7" w14:textId="77777777">
      <w:pPr>
        <w:pStyle w:val="Lijstalinea"/>
        <w:numPr>
          <w:ilvl w:val="1"/>
          <w:numId w:val="2"/>
        </w:numPr>
        <w:suppressAutoHyphens/>
        <w:rPr>
          <w:lang w:val="nl-NL"/>
        </w:rPr>
      </w:pPr>
      <w:r w:rsidRPr="009E0C01">
        <w:rPr>
          <w:lang w:val="nl-NL"/>
        </w:rPr>
        <w:t>de Algemene Wet Bijzondere Ziektekosten (AWBZ) houdt op te bestaan;</w:t>
      </w:r>
    </w:p>
    <w:p w:rsidRPr="009E0C01" w:rsidR="00530880" w:rsidP="00177CC8" w:rsidRDefault="00530880" w14:paraId="44749F99" w14:textId="77777777">
      <w:pPr>
        <w:pStyle w:val="Lijstalinea"/>
        <w:numPr>
          <w:ilvl w:val="1"/>
          <w:numId w:val="2"/>
        </w:numPr>
        <w:suppressAutoHyphens/>
        <w:rPr>
          <w:lang w:val="nl-NL"/>
        </w:rPr>
      </w:pPr>
      <w:r w:rsidRPr="009E0C01">
        <w:rPr>
          <w:lang w:val="nl-NL"/>
        </w:rPr>
        <w:t>de Wet langdurige zorg (</w:t>
      </w:r>
      <w:proofErr w:type="spellStart"/>
      <w:r w:rsidRPr="009E0C01">
        <w:rPr>
          <w:lang w:val="nl-NL"/>
        </w:rPr>
        <w:t>Wlz</w:t>
      </w:r>
      <w:proofErr w:type="spellEnd"/>
      <w:r w:rsidRPr="009E0C01">
        <w:rPr>
          <w:lang w:val="nl-NL"/>
        </w:rPr>
        <w:t>) is er voor personen die blijvend 24 uur per dag zorg in de nabijheid en/of permanent toezicht nodig hebben;</w:t>
      </w:r>
    </w:p>
    <w:p w:rsidRPr="009E0C01" w:rsidR="00530880" w:rsidP="00177CC8" w:rsidRDefault="00530880" w14:paraId="491B77FD" w14:textId="77777777">
      <w:pPr>
        <w:pStyle w:val="Lijstalinea"/>
        <w:numPr>
          <w:ilvl w:val="1"/>
          <w:numId w:val="2"/>
        </w:numPr>
        <w:suppressAutoHyphens/>
        <w:rPr>
          <w:lang w:val="nl-NL"/>
        </w:rPr>
      </w:pPr>
      <w:r w:rsidRPr="009E0C01">
        <w:rPr>
          <w:lang w:val="nl-NL"/>
        </w:rPr>
        <w:t xml:space="preserve">Ondersteuning bij zelfredzaamheid, beschermd wonen en opvang worden gefinancierd vanuit de </w:t>
      </w:r>
      <w:proofErr w:type="spellStart"/>
      <w:r w:rsidRPr="009E0C01">
        <w:rPr>
          <w:lang w:val="nl-NL"/>
        </w:rPr>
        <w:t>W</w:t>
      </w:r>
      <w:r>
        <w:rPr>
          <w:lang w:val="nl-NL"/>
        </w:rPr>
        <w:t>mo</w:t>
      </w:r>
      <w:proofErr w:type="spellEnd"/>
      <w:r w:rsidRPr="009E0C01">
        <w:rPr>
          <w:lang w:val="nl-NL"/>
        </w:rPr>
        <w:t xml:space="preserve"> 2015, deze vervangt de </w:t>
      </w:r>
      <w:proofErr w:type="spellStart"/>
      <w:r w:rsidRPr="009E0C01">
        <w:rPr>
          <w:lang w:val="nl-NL"/>
        </w:rPr>
        <w:t>Wmo</w:t>
      </w:r>
      <w:proofErr w:type="spellEnd"/>
      <w:r w:rsidRPr="009E0C01">
        <w:rPr>
          <w:lang w:val="nl-NL"/>
        </w:rPr>
        <w:t xml:space="preserve"> (2007);</w:t>
      </w:r>
    </w:p>
    <w:p w:rsidRPr="009E0C01" w:rsidR="00530880" w:rsidP="00177CC8" w:rsidRDefault="00530880" w14:paraId="3DD702B9" w14:textId="77777777">
      <w:pPr>
        <w:pStyle w:val="Lijstalinea"/>
        <w:numPr>
          <w:ilvl w:val="1"/>
          <w:numId w:val="2"/>
        </w:numPr>
        <w:suppressAutoHyphens/>
        <w:rPr>
          <w:lang w:val="nl-NL"/>
        </w:rPr>
      </w:pPr>
      <w:r w:rsidRPr="009E0C01">
        <w:rPr>
          <w:lang w:val="nl-NL"/>
        </w:rPr>
        <w:t>Verpleging en verzorging (wijkverpleging) en behandeling bij zintuiglijk gehandicapten wordt gefinancierd vanuit de Zorgverzekeringswet (</w:t>
      </w:r>
      <w:proofErr w:type="spellStart"/>
      <w:r w:rsidRPr="009E0C01">
        <w:rPr>
          <w:lang w:val="nl-NL"/>
        </w:rPr>
        <w:t>Zvw</w:t>
      </w:r>
      <w:proofErr w:type="spellEnd"/>
      <w:r w:rsidRPr="009E0C01">
        <w:rPr>
          <w:lang w:val="nl-NL"/>
        </w:rPr>
        <w:t>);</w:t>
      </w:r>
    </w:p>
    <w:p w:rsidR="00530880" w:rsidP="00177CC8" w:rsidRDefault="00530880" w14:paraId="7C903690" w14:textId="77777777">
      <w:pPr>
        <w:pStyle w:val="Lijstalinea"/>
        <w:numPr>
          <w:ilvl w:val="1"/>
          <w:numId w:val="2"/>
        </w:numPr>
        <w:suppressAutoHyphens/>
        <w:ind w:hanging="357"/>
        <w:contextualSpacing w:val="0"/>
        <w:rPr>
          <w:lang w:val="nl-NL"/>
        </w:rPr>
      </w:pPr>
      <w:r w:rsidRPr="009E0C01">
        <w:rPr>
          <w:lang w:val="nl-NL"/>
        </w:rPr>
        <w:t>Jeugdhulp voor kinderen en jongeren onder de 18 jaar wordt gefinancierd vanuit de Jeugdwet</w:t>
      </w:r>
      <w:r>
        <w:rPr>
          <w:lang w:val="nl-NL"/>
        </w:rPr>
        <w:t>.</w:t>
      </w:r>
    </w:p>
    <w:p w:rsidR="00530880" w:rsidP="00177CC8" w:rsidRDefault="00530880" w14:paraId="303D6F1D" w14:textId="77777777">
      <w:r w:rsidRPr="00334A13">
        <w:t xml:space="preserve">Het nieuwe systeem van langdurige zorg </w:t>
      </w:r>
      <w:r>
        <w:t xml:space="preserve">via de </w:t>
      </w:r>
      <w:proofErr w:type="spellStart"/>
      <w:r>
        <w:t>Wlz</w:t>
      </w:r>
      <w:proofErr w:type="spellEnd"/>
      <w:r>
        <w:t xml:space="preserve"> en </w:t>
      </w:r>
      <w:proofErr w:type="spellStart"/>
      <w:r>
        <w:t>Wmo</w:t>
      </w:r>
      <w:proofErr w:type="spellEnd"/>
      <w:r>
        <w:t xml:space="preserve"> </w:t>
      </w:r>
      <w:r w:rsidRPr="00334A13">
        <w:t>legt veel nadruk op wat mensen en hun omgeving zelf kunnen en willen (eigen regie</w:t>
      </w:r>
      <w:r>
        <w:t xml:space="preserve"> of zelfredzaamheid</w:t>
      </w:r>
      <w:r w:rsidRPr="00334A13">
        <w:t>)</w:t>
      </w:r>
      <w:r>
        <w:t>, z</w:t>
      </w:r>
      <w:r w:rsidRPr="00334A13">
        <w:t>owel voor mensen die thuis ondersteuning en zorg nodig hebben als voor mensen die verblijven in een instelling</w:t>
      </w:r>
      <w:r>
        <w:t>. Een doelstelling</w:t>
      </w:r>
      <w:r w:rsidRPr="002450CD">
        <w:t xml:space="preserve"> van de HLZ is dat gemeenten in een gedecentraliseerd stelsel met</w:t>
      </w:r>
      <w:r>
        <w:t xml:space="preserve"> </w:t>
      </w:r>
      <w:r w:rsidRPr="002450CD">
        <w:t xml:space="preserve">ondersteuning gericht </w:t>
      </w:r>
      <w:r w:rsidRPr="002450CD">
        <w:lastRenderedPageBreak/>
        <w:t>op het zo lang mogelijk zelfstandig (kunnen) wonen, in staat worden gesteld</w:t>
      </w:r>
      <w:r>
        <w:t xml:space="preserve"> </w:t>
      </w:r>
      <w:r w:rsidRPr="002450CD">
        <w:t>om het beroep van inwoners op formele, meer complexe zorg te kunnen voorkomen of uitstellen</w:t>
      </w:r>
      <w:r>
        <w:t>.</w:t>
      </w:r>
    </w:p>
    <w:p w:rsidR="00530880" w:rsidP="00177CC8" w:rsidRDefault="00530880" w14:paraId="438A3DD4" w14:textId="252850DB"/>
    <w:p w:rsidRPr="00334A13" w:rsidR="00530880" w:rsidP="00177CC8" w:rsidRDefault="00530880" w14:paraId="2972D040" w14:textId="77777777">
      <w:pPr>
        <w:rPr>
          <w:i/>
          <w:iCs/>
        </w:rPr>
      </w:pPr>
      <w:r w:rsidRPr="00334A13">
        <w:rPr>
          <w:i/>
          <w:iCs/>
        </w:rPr>
        <w:t>Beleidstheorie</w:t>
      </w:r>
      <w:r>
        <w:rPr>
          <w:i/>
          <w:iCs/>
        </w:rPr>
        <w:t xml:space="preserve"> van de </w:t>
      </w:r>
      <w:proofErr w:type="spellStart"/>
      <w:r>
        <w:rPr>
          <w:i/>
          <w:iCs/>
        </w:rPr>
        <w:t>Wmo</w:t>
      </w:r>
      <w:proofErr w:type="spellEnd"/>
    </w:p>
    <w:p w:rsidRPr="00B23B23" w:rsidR="00530880" w:rsidP="00177CC8" w:rsidRDefault="00530880" w14:paraId="34ABDFBF" w14:textId="67B5AF7F">
      <w:pPr>
        <w:pStyle w:val="Lijstalinea"/>
        <w:suppressAutoHyphens/>
        <w:ind w:left="0"/>
        <w:rPr>
          <w:lang w:val="nl-NL"/>
        </w:rPr>
      </w:pPr>
      <w:r>
        <w:rPr>
          <w:lang w:val="nl-NL"/>
        </w:rPr>
        <w:t>D</w:t>
      </w:r>
      <w:r w:rsidRPr="00E20FD7">
        <w:rPr>
          <w:lang w:val="nl-NL"/>
        </w:rPr>
        <w:t xml:space="preserve">e </w:t>
      </w:r>
      <w:proofErr w:type="spellStart"/>
      <w:r w:rsidRPr="00E20FD7">
        <w:rPr>
          <w:lang w:val="nl-NL"/>
        </w:rPr>
        <w:t>Wmo</w:t>
      </w:r>
      <w:proofErr w:type="spellEnd"/>
      <w:r w:rsidRPr="00E20FD7">
        <w:rPr>
          <w:lang w:val="nl-NL"/>
        </w:rPr>
        <w:t xml:space="preserve"> is een voorzieningenwet geïntroduceerd op het snijvlak van zorg, ondersteuning, welzijn, veiligheid en </w:t>
      </w:r>
      <w:r>
        <w:rPr>
          <w:lang w:val="nl-NL"/>
        </w:rPr>
        <w:t>maatschappelijke participatie</w:t>
      </w:r>
      <w:r w:rsidRPr="00E20FD7">
        <w:rPr>
          <w:lang w:val="nl-NL"/>
        </w:rPr>
        <w:t xml:space="preserve">. De wet gaat (per definitie) niet uit van rechten of specifiek omschreven aanspraken - zoals in de </w:t>
      </w:r>
      <w:r>
        <w:rPr>
          <w:lang w:val="nl-NL"/>
        </w:rPr>
        <w:t>Wet Langdurige zorg</w:t>
      </w:r>
      <w:r w:rsidRPr="00E20FD7">
        <w:rPr>
          <w:lang w:val="nl-NL"/>
        </w:rPr>
        <w:t xml:space="preserve"> - van het individu, maar</w:t>
      </w:r>
      <w:r>
        <w:rPr>
          <w:lang w:val="nl-NL"/>
        </w:rPr>
        <w:t xml:space="preserve"> verplicht gemeenten om (maatwerk)</w:t>
      </w:r>
      <w:r w:rsidRPr="00E20FD7">
        <w:rPr>
          <w:lang w:val="nl-NL"/>
        </w:rPr>
        <w:t>voorzieningen</w:t>
      </w:r>
      <w:r>
        <w:rPr>
          <w:lang w:val="nl-NL"/>
        </w:rPr>
        <w:t xml:space="preserve"> te treffen die inwoners in staat stellen tot zelfredzaamheid en maatschappelijke participatie</w:t>
      </w:r>
      <w:r w:rsidRPr="00E20FD7">
        <w:rPr>
          <w:lang w:val="nl-NL"/>
        </w:rPr>
        <w:t xml:space="preserve">. Het uitgangspunt hierbij is: lichte(re) ondersteuning waar mogelijk, zwaardere zorg en ondersteuning waar nodig. Gemeenten worden met de wet in staat gesteld </w:t>
      </w:r>
      <w:r>
        <w:rPr>
          <w:lang w:val="nl-NL"/>
        </w:rPr>
        <w:t xml:space="preserve">om </w:t>
      </w:r>
      <w:r w:rsidRPr="00E20FD7">
        <w:rPr>
          <w:lang w:val="nl-NL"/>
        </w:rPr>
        <w:t xml:space="preserve">op maat, integraal en passend bij de lokale structuren ondersteuning te organiseren. </w:t>
      </w:r>
      <w:r w:rsidRPr="00DF57C5">
        <w:rPr>
          <w:lang w:val="nl-NL"/>
        </w:rPr>
        <w:t>In de praktijk omvat dit ook het versterken van de zogenoemde sociale basis.</w:t>
      </w:r>
      <w:r w:rsidRPr="003D1247">
        <w:rPr>
          <w:lang w:val="nl-NL"/>
        </w:rPr>
        <w:t xml:space="preserve"> Deze wet vindt haar oorsprong namelijk in de welzijnswetgeving. De decentralisatie van taken naar gemeenten bracht een grote mate van beleidsruimte met zich mee, een noodzakelijke voorwaarde voor beleid van deze omvang. Tegelijkertijd was het doel van de decentralisatie om lokaal maatwerk mogelijk te maken, met als ambitie een grotere doelmatigheid, zowel financieel als inhoudelijk.</w:t>
      </w:r>
      <w:r w:rsidRPr="00E20FD7">
        <w:rPr>
          <w:lang w:val="nl-NL"/>
        </w:rPr>
        <w:t xml:space="preserve"> </w:t>
      </w:r>
      <w:r>
        <w:rPr>
          <w:lang w:val="nl-NL"/>
        </w:rPr>
        <w:t xml:space="preserve">Verantwoording en evaluatie van dienstverlening in het kader van de </w:t>
      </w:r>
      <w:proofErr w:type="spellStart"/>
      <w:r>
        <w:rPr>
          <w:lang w:val="nl-NL"/>
        </w:rPr>
        <w:t>Wmo</w:t>
      </w:r>
      <w:proofErr w:type="spellEnd"/>
      <w:r>
        <w:rPr>
          <w:lang w:val="nl-NL"/>
        </w:rPr>
        <w:t xml:space="preserve"> dient plaats te vinden in de relatie tussen raad en college van gemeenten. Gemeenten zijn ook verplicht om cli</w:t>
      </w:r>
      <w:r w:rsidR="00ED5855">
        <w:rPr>
          <w:lang w:val="nl-NL"/>
        </w:rPr>
        <w:t>ë</w:t>
      </w:r>
      <w:r>
        <w:rPr>
          <w:lang w:val="nl-NL"/>
        </w:rPr>
        <w:t>ntervaringen te meten binnen hun gemeenten, die jaarlijks aan het Rijk worden aangeleverd</w:t>
      </w:r>
      <w:r w:rsidRPr="00C04E8E">
        <w:rPr>
          <w:rStyle w:val="Voetnootmarkering"/>
          <w:sz w:val="16"/>
          <w:szCs w:val="16"/>
          <w:lang w:val="nl-NL"/>
        </w:rPr>
        <w:footnoteReference w:id="6"/>
      </w:r>
      <w:r>
        <w:rPr>
          <w:lang w:val="nl-NL"/>
        </w:rPr>
        <w:t>.</w:t>
      </w:r>
    </w:p>
    <w:p w:rsidRPr="00641D03" w:rsidR="00530880" w:rsidP="00177CC8" w:rsidRDefault="00530880" w14:paraId="40725196" w14:textId="77777777">
      <w:pPr>
        <w:rPr>
          <w:i/>
          <w:iCs/>
        </w:rPr>
      </w:pPr>
      <w:r w:rsidRPr="00641D03">
        <w:rPr>
          <w:i/>
          <w:iCs/>
        </w:rPr>
        <w:t xml:space="preserve">Tijd voor stevige keuzes: Houdbaarheidsonderzoek </w:t>
      </w:r>
      <w:proofErr w:type="spellStart"/>
      <w:r w:rsidRPr="00641D03">
        <w:rPr>
          <w:i/>
          <w:iCs/>
        </w:rPr>
        <w:t>Wmo</w:t>
      </w:r>
      <w:proofErr w:type="spellEnd"/>
      <w:r w:rsidRPr="00641D03">
        <w:rPr>
          <w:i/>
          <w:iCs/>
        </w:rPr>
        <w:t xml:space="preserve"> 2015</w:t>
      </w:r>
    </w:p>
    <w:p w:rsidR="00530880" w:rsidP="00177CC8" w:rsidRDefault="00530880" w14:paraId="7CB0CED1" w14:textId="77777777">
      <w:pPr>
        <w:pStyle w:val="Lijstalinea"/>
        <w:suppressAutoHyphens/>
        <w:ind w:left="0"/>
        <w:rPr>
          <w:rFonts w:cs="RijksoverheidSerif"/>
          <w:color w:val="000000"/>
          <w:szCs w:val="18"/>
          <w:lang w:val="nl-NL"/>
        </w:rPr>
      </w:pPr>
      <w:r>
        <w:rPr>
          <w:lang w:val="nl-NL"/>
        </w:rPr>
        <w:t xml:space="preserve">De Periodieke rapportage betreft in de basis een synthese van bestaand (evaluatie)onderzoek. Het belangrijkste onderdeel hiervan betreft het recent afgeronde ‘Houdbaarheidsonderzoek </w:t>
      </w:r>
      <w:proofErr w:type="spellStart"/>
      <w:r>
        <w:rPr>
          <w:lang w:val="nl-NL"/>
        </w:rPr>
        <w:t>Wmo</w:t>
      </w:r>
      <w:proofErr w:type="spellEnd"/>
      <w:r>
        <w:rPr>
          <w:lang w:val="nl-NL"/>
        </w:rPr>
        <w:t xml:space="preserve"> 2015’ en de daarvoor gemaakte deelrapporten</w:t>
      </w:r>
      <w:r w:rsidRPr="00A129F5">
        <w:rPr>
          <w:lang w:val="nl-NL"/>
        </w:rPr>
        <w:t>.</w:t>
      </w:r>
      <w:r>
        <w:rPr>
          <w:lang w:val="nl-NL"/>
        </w:rPr>
        <w:t xml:space="preserve"> </w:t>
      </w:r>
    </w:p>
    <w:p w:rsidR="00530880" w:rsidP="00177CC8" w:rsidRDefault="00530880" w14:paraId="25FB1446" w14:textId="77777777">
      <w:pPr>
        <w:pStyle w:val="Lijstalinea"/>
        <w:suppressAutoHyphens/>
        <w:ind w:left="0"/>
        <w:rPr>
          <w:rFonts w:cs="RijksoverheidSerif"/>
          <w:color w:val="000000"/>
          <w:szCs w:val="18"/>
          <w:lang w:val="nl-NL"/>
        </w:rPr>
      </w:pPr>
    </w:p>
    <w:p w:rsidR="00530880" w:rsidP="00177CC8" w:rsidRDefault="00530880" w14:paraId="2C458E15" w14:textId="59EDDD83">
      <w:pPr>
        <w:pStyle w:val="Lijstalinea"/>
        <w:suppressAutoHyphens/>
        <w:ind w:left="0"/>
        <w:rPr>
          <w:rFonts w:cs="RijksoverheidSerif"/>
          <w:color w:val="000000"/>
          <w:szCs w:val="18"/>
          <w:lang w:val="nl-NL"/>
        </w:rPr>
      </w:pPr>
      <w:r w:rsidRPr="006550CC">
        <w:rPr>
          <w:rFonts w:cs="RijksoverheidSerif"/>
          <w:color w:val="000000"/>
          <w:szCs w:val="18"/>
          <w:lang w:val="nl-NL"/>
        </w:rPr>
        <w:t xml:space="preserve">Het doel van het </w:t>
      </w:r>
      <w:r>
        <w:rPr>
          <w:rFonts w:cs="RijksoverheidSerif"/>
          <w:color w:val="000000"/>
          <w:szCs w:val="18"/>
          <w:lang w:val="nl-NL"/>
        </w:rPr>
        <w:t>h</w:t>
      </w:r>
      <w:r w:rsidRPr="006550CC">
        <w:rPr>
          <w:rFonts w:cs="RijksoverheidSerif"/>
          <w:color w:val="000000"/>
          <w:szCs w:val="18"/>
          <w:lang w:val="nl-NL"/>
        </w:rPr>
        <w:t xml:space="preserve">oudbaarheidsonderzoek </w:t>
      </w:r>
      <w:r>
        <w:rPr>
          <w:rFonts w:cs="RijksoverheidSerif"/>
          <w:color w:val="000000"/>
          <w:szCs w:val="18"/>
          <w:lang w:val="nl-NL"/>
        </w:rPr>
        <w:t>was</w:t>
      </w:r>
      <w:r w:rsidRPr="006550CC">
        <w:rPr>
          <w:rFonts w:cs="RijksoverheidSerif"/>
          <w:color w:val="000000"/>
          <w:szCs w:val="18"/>
          <w:lang w:val="nl-NL"/>
        </w:rPr>
        <w:t xml:space="preserve"> om</w:t>
      </w:r>
      <w:r>
        <w:rPr>
          <w:rFonts w:cs="RijksoverheidSerif"/>
          <w:color w:val="000000"/>
          <w:szCs w:val="18"/>
          <w:lang w:val="nl-NL"/>
        </w:rPr>
        <w:t xml:space="preserve"> met de VNG </w:t>
      </w:r>
      <w:r w:rsidRPr="006550CC">
        <w:rPr>
          <w:rFonts w:cs="RijksoverheidSerif"/>
          <w:color w:val="000000"/>
          <w:szCs w:val="18"/>
          <w:lang w:val="nl-NL"/>
        </w:rPr>
        <w:t xml:space="preserve">een gezamenlijk beeld te krijgen van de opgave in de </w:t>
      </w:r>
      <w:proofErr w:type="spellStart"/>
      <w:r w:rsidRPr="006550CC">
        <w:rPr>
          <w:rFonts w:cs="RijksoverheidSerif"/>
          <w:color w:val="000000"/>
          <w:szCs w:val="18"/>
          <w:lang w:val="nl-NL"/>
        </w:rPr>
        <w:t>Wmo</w:t>
      </w:r>
      <w:proofErr w:type="spellEnd"/>
      <w:r w:rsidRPr="006550CC">
        <w:rPr>
          <w:rFonts w:cs="RijksoverheidSerif"/>
          <w:color w:val="000000"/>
          <w:szCs w:val="18"/>
          <w:lang w:val="nl-NL"/>
        </w:rPr>
        <w:t xml:space="preserve"> en daarnaast te bevorderen dat de VNG en het Rijk gezamenlijk en proactief kunnen sturen op de fundamentele vraagstukken ten aanzien van maatschappelijke ondersteuning voor de lange termijn. </w:t>
      </w:r>
      <w:r>
        <w:rPr>
          <w:rFonts w:cs="RijksoverheidSerif"/>
          <w:color w:val="000000"/>
          <w:szCs w:val="18"/>
          <w:lang w:val="nl-NL"/>
        </w:rPr>
        <w:t xml:space="preserve">Gedurende het houdbaarheidsonderzoek </w:t>
      </w:r>
      <w:r w:rsidRPr="006550CC">
        <w:rPr>
          <w:rFonts w:cs="RijksoverheidSerif"/>
          <w:color w:val="000000"/>
          <w:szCs w:val="18"/>
          <w:lang w:val="nl-NL"/>
        </w:rPr>
        <w:t>zijn er verschillende deelonderzoeken uitgevoerd</w:t>
      </w:r>
      <w:r>
        <w:rPr>
          <w:rFonts w:cs="RijksoverheidSerif"/>
          <w:color w:val="000000"/>
          <w:szCs w:val="18"/>
          <w:lang w:val="nl-NL"/>
        </w:rPr>
        <w:t xml:space="preserve"> en </w:t>
      </w:r>
      <w:r w:rsidRPr="006550CC">
        <w:rPr>
          <w:rFonts w:cs="RijksoverheidSerif"/>
          <w:color w:val="000000"/>
          <w:szCs w:val="18"/>
          <w:lang w:val="nl-NL"/>
        </w:rPr>
        <w:t xml:space="preserve">rondetafelgesprekken </w:t>
      </w:r>
      <w:r>
        <w:rPr>
          <w:rFonts w:cs="RijksoverheidSerif"/>
          <w:color w:val="000000"/>
          <w:szCs w:val="18"/>
          <w:lang w:val="nl-NL"/>
        </w:rPr>
        <w:t xml:space="preserve">met belanghebbenden </w:t>
      </w:r>
      <w:r w:rsidRPr="006550CC">
        <w:rPr>
          <w:rFonts w:cs="RijksoverheidSerif"/>
          <w:color w:val="000000"/>
          <w:szCs w:val="18"/>
          <w:lang w:val="nl-NL"/>
        </w:rPr>
        <w:t>gevoerd</w:t>
      </w:r>
      <w:r>
        <w:rPr>
          <w:rFonts w:cs="RijksoverheidSerif"/>
          <w:color w:val="000000"/>
          <w:szCs w:val="18"/>
          <w:lang w:val="nl-NL"/>
        </w:rPr>
        <w:t>. Alle vergaarde informatie is input voor deze Periodieke rapportage.</w:t>
      </w:r>
    </w:p>
    <w:p w:rsidR="00530880" w:rsidP="00177CC8" w:rsidRDefault="00530880" w14:paraId="03688E81" w14:textId="77777777">
      <w:pPr>
        <w:pStyle w:val="Lijstalinea"/>
        <w:suppressAutoHyphens/>
        <w:ind w:left="0"/>
        <w:rPr>
          <w:rFonts w:cs="RijksoverheidSerif"/>
          <w:color w:val="000000"/>
          <w:szCs w:val="18"/>
          <w:lang w:val="nl-NL"/>
        </w:rPr>
      </w:pPr>
    </w:p>
    <w:p w:rsidRPr="00856B42" w:rsidR="00530880" w:rsidP="00177CC8" w:rsidRDefault="00530880" w14:paraId="5D2F9A4B" w14:textId="47ED3D9B">
      <w:pPr>
        <w:pStyle w:val="Lijstalinea"/>
        <w:suppressAutoHyphens/>
        <w:ind w:left="0"/>
        <w:rPr>
          <w:lang w:val="nl-NL"/>
        </w:rPr>
      </w:pPr>
      <w:r>
        <w:rPr>
          <w:rFonts w:cs="RijksoverheidSerif"/>
          <w:color w:val="000000"/>
          <w:szCs w:val="18"/>
          <w:lang w:val="nl-NL"/>
        </w:rPr>
        <w:t xml:space="preserve">Daar waar de focus van het houdbaarheidsonderzoek op de financiële, personele, maatschappelijke en juridische houdbaarheid voor de lange termijn lag, wordt in de Periodieke rapportage teruggekeken naar de doeltreffendheid en de doelmatigheid van de </w:t>
      </w:r>
      <w:proofErr w:type="spellStart"/>
      <w:r>
        <w:rPr>
          <w:rFonts w:cs="RijksoverheidSerif"/>
          <w:color w:val="000000"/>
          <w:szCs w:val="18"/>
          <w:lang w:val="nl-NL"/>
        </w:rPr>
        <w:t>Wmo</w:t>
      </w:r>
      <w:proofErr w:type="spellEnd"/>
      <w:r>
        <w:rPr>
          <w:rFonts w:cs="RijksoverheidSerif"/>
          <w:color w:val="000000"/>
          <w:szCs w:val="18"/>
          <w:lang w:val="nl-NL"/>
        </w:rPr>
        <w:t xml:space="preserve">. Uiteraard is in het houdbaarheidsonderzoek ook teruggekeken om iets te kunnen zeggen over de lange termijn. Tussen het houdbaarheidsonderzoek </w:t>
      </w:r>
      <w:proofErr w:type="spellStart"/>
      <w:r>
        <w:rPr>
          <w:rFonts w:cs="RijksoverheidSerif"/>
          <w:color w:val="000000"/>
          <w:szCs w:val="18"/>
          <w:lang w:val="nl-NL"/>
        </w:rPr>
        <w:t>Wmo</w:t>
      </w:r>
      <w:proofErr w:type="spellEnd"/>
      <w:r>
        <w:rPr>
          <w:rFonts w:cs="RijksoverheidSerif"/>
          <w:color w:val="000000"/>
          <w:szCs w:val="18"/>
          <w:lang w:val="nl-NL"/>
        </w:rPr>
        <w:t xml:space="preserve"> en de uit te voeren Periodieke rapportage zit </w:t>
      </w:r>
      <w:r w:rsidR="005F2D45">
        <w:rPr>
          <w:rFonts w:cs="RijksoverheidSerif"/>
          <w:color w:val="000000"/>
          <w:szCs w:val="18"/>
          <w:lang w:val="nl-NL"/>
        </w:rPr>
        <w:t>daarom</w:t>
      </w:r>
      <w:r>
        <w:rPr>
          <w:rFonts w:cs="RijksoverheidSerif"/>
          <w:color w:val="000000"/>
          <w:szCs w:val="18"/>
          <w:lang w:val="nl-NL"/>
        </w:rPr>
        <w:t xml:space="preserve"> de nodige overlap. </w:t>
      </w:r>
      <w:r w:rsidDel="00A32F04">
        <w:rPr>
          <w:rFonts w:cs="RijksoverheidSerif"/>
          <w:color w:val="000000"/>
          <w:szCs w:val="18"/>
          <w:lang w:val="nl-NL"/>
        </w:rPr>
        <w:t xml:space="preserve"> </w:t>
      </w:r>
    </w:p>
    <w:p w:rsidRPr="00ED6559" w:rsidR="00530880" w:rsidP="00177CC8" w:rsidRDefault="00530880" w14:paraId="3B2CC416" w14:textId="77777777">
      <w:pPr>
        <w:rPr>
          <w:i/>
          <w:iCs/>
        </w:rPr>
      </w:pPr>
      <w:r w:rsidRPr="00ED6559">
        <w:rPr>
          <w:i/>
          <w:iCs/>
        </w:rPr>
        <w:t xml:space="preserve">Onderzoeksvragen </w:t>
      </w:r>
      <w:r>
        <w:rPr>
          <w:i/>
          <w:iCs/>
        </w:rPr>
        <w:t>P</w:t>
      </w:r>
      <w:r w:rsidRPr="00ED6559">
        <w:rPr>
          <w:i/>
          <w:iCs/>
        </w:rPr>
        <w:t xml:space="preserve">eriodieke rapportage </w:t>
      </w:r>
    </w:p>
    <w:p w:rsidR="00530880" w:rsidP="00177CC8" w:rsidRDefault="00530880" w14:paraId="3F6B605A" w14:textId="77777777">
      <w:pPr>
        <w:pStyle w:val="Lijstalinea"/>
        <w:suppressAutoHyphens/>
        <w:ind w:left="0"/>
        <w:rPr>
          <w:lang w:val="nl-NL"/>
        </w:rPr>
      </w:pPr>
      <w:r>
        <w:rPr>
          <w:lang w:val="nl-NL"/>
        </w:rPr>
        <w:t>De hoofdvraag van de Periodieke rapportage luidt:</w:t>
      </w:r>
    </w:p>
    <w:p w:rsidR="00530880" w:rsidP="00177CC8" w:rsidRDefault="00530880" w14:paraId="155C26CD" w14:textId="77777777">
      <w:pPr>
        <w:widowControl/>
        <w:numPr>
          <w:ilvl w:val="0"/>
          <w:numId w:val="4"/>
        </w:numPr>
        <w:autoSpaceDN/>
        <w:spacing w:after="60" w:line="259" w:lineRule="auto"/>
        <w:contextualSpacing/>
        <w:textAlignment w:val="auto"/>
        <w:rPr>
          <w:kern w:val="0"/>
        </w:rPr>
      </w:pPr>
      <w:r w:rsidRPr="00143B88">
        <w:rPr>
          <w:szCs w:val="18"/>
        </w:rPr>
        <w:t>“</w:t>
      </w:r>
      <w:r>
        <w:rPr>
          <w:szCs w:val="18"/>
        </w:rPr>
        <w:t>H</w:t>
      </w:r>
      <w:r w:rsidRPr="00143B88">
        <w:rPr>
          <w:szCs w:val="18"/>
        </w:rPr>
        <w:t xml:space="preserve">oe doeltreffend en doelmatig was het </w:t>
      </w:r>
      <w:r>
        <w:rPr>
          <w:szCs w:val="18"/>
        </w:rPr>
        <w:t>stelsel</w:t>
      </w:r>
      <w:r w:rsidRPr="00143B88">
        <w:rPr>
          <w:szCs w:val="18"/>
        </w:rPr>
        <w:t xml:space="preserve"> van maatschappelijke ondersteuning in de periode 2015-2024”?</w:t>
      </w:r>
    </w:p>
    <w:p w:rsidR="00530880" w:rsidP="00177CC8" w:rsidRDefault="00530880" w14:paraId="0B49529A" w14:textId="77777777"/>
    <w:p w:rsidR="00530880" w:rsidP="00177CC8" w:rsidRDefault="00530880" w14:paraId="16F2A667" w14:textId="77777777">
      <w:r>
        <w:lastRenderedPageBreak/>
        <w:t>Deelvragen:</w:t>
      </w:r>
    </w:p>
    <w:p w:rsidRPr="00343C5B" w:rsidR="00530880" w:rsidP="00177CC8" w:rsidRDefault="00530880" w14:paraId="75E689B1" w14:textId="77777777">
      <w:pPr>
        <w:widowControl/>
        <w:numPr>
          <w:ilvl w:val="0"/>
          <w:numId w:val="3"/>
        </w:numPr>
        <w:autoSpaceDN/>
        <w:spacing w:after="60" w:line="259" w:lineRule="auto"/>
        <w:contextualSpacing/>
        <w:textAlignment w:val="auto"/>
        <w:rPr>
          <w:kern w:val="0"/>
        </w:rPr>
      </w:pPr>
      <w:r w:rsidRPr="00343C5B">
        <w:rPr>
          <w:kern w:val="0"/>
        </w:rPr>
        <w:t>In hoeverre heeft het stelsel van maatschappelijke ondersteuning in de periode 2015</w:t>
      </w:r>
      <w:r>
        <w:rPr>
          <w:kern w:val="0"/>
        </w:rPr>
        <w:t>-</w:t>
      </w:r>
      <w:r w:rsidRPr="00343C5B">
        <w:rPr>
          <w:kern w:val="0"/>
        </w:rPr>
        <w:t>2024 bijgedragen aan het bevorderen van zelfredzaamheid en maatschappelijke participatie van cliënten?</w:t>
      </w:r>
    </w:p>
    <w:p w:rsidRPr="005971D1" w:rsidR="00530880" w:rsidP="00177CC8" w:rsidRDefault="00530880" w14:paraId="283D480F" w14:textId="77777777">
      <w:pPr>
        <w:widowControl/>
        <w:numPr>
          <w:ilvl w:val="1"/>
          <w:numId w:val="3"/>
        </w:numPr>
        <w:autoSpaceDN/>
        <w:spacing w:after="60" w:line="259" w:lineRule="auto"/>
        <w:textAlignment w:val="auto"/>
        <w:rPr>
          <w:kern w:val="0"/>
        </w:rPr>
      </w:pPr>
      <w:r w:rsidRPr="005971D1">
        <w:rPr>
          <w:kern w:val="0"/>
          <w:szCs w:val="18"/>
        </w:rPr>
        <w:t>In hoeverre heeft het stelsel bijgedragen aan de beleidsdoelstelling rondom kwaliteit van ondersteuning?</w:t>
      </w:r>
    </w:p>
    <w:p w:rsidRPr="005971D1" w:rsidR="00530880" w:rsidP="00177CC8" w:rsidRDefault="00530880" w14:paraId="52022B8F" w14:textId="77777777">
      <w:pPr>
        <w:widowControl/>
        <w:numPr>
          <w:ilvl w:val="1"/>
          <w:numId w:val="3"/>
        </w:numPr>
        <w:autoSpaceDN/>
        <w:spacing w:after="60" w:line="259" w:lineRule="auto"/>
        <w:textAlignment w:val="auto"/>
        <w:rPr>
          <w:kern w:val="0"/>
        </w:rPr>
      </w:pPr>
      <w:r w:rsidRPr="005971D1">
        <w:rPr>
          <w:kern w:val="0"/>
        </w:rPr>
        <w:t>In hoeverre heeft het stelsel geleid tot een grotere maatschappelijke betrokkenheid, benutting van sociale netwerken en ondersteuning van eigen kracht bij cliënten?</w:t>
      </w:r>
    </w:p>
    <w:p w:rsidRPr="005971D1" w:rsidR="00530880" w:rsidP="00177CC8" w:rsidRDefault="00530880" w14:paraId="384DEB0F" w14:textId="77777777">
      <w:pPr>
        <w:widowControl/>
        <w:numPr>
          <w:ilvl w:val="1"/>
          <w:numId w:val="3"/>
        </w:numPr>
        <w:autoSpaceDN/>
        <w:spacing w:after="60" w:line="259" w:lineRule="auto"/>
        <w:textAlignment w:val="auto"/>
        <w:rPr>
          <w:kern w:val="0"/>
        </w:rPr>
      </w:pPr>
      <w:r w:rsidRPr="005971D1">
        <w:rPr>
          <w:kern w:val="0"/>
        </w:rPr>
        <w:t>In hoeverre heeft het stelsel bijgedragen aan de financiële houdbaarheid van de langdurige zorg?</w:t>
      </w:r>
    </w:p>
    <w:p w:rsidRPr="00F73F2E" w:rsidR="00530880" w:rsidP="00177CC8" w:rsidRDefault="00530880" w14:paraId="203F7DAF" w14:textId="77777777">
      <w:pPr>
        <w:widowControl/>
        <w:numPr>
          <w:ilvl w:val="1"/>
          <w:numId w:val="3"/>
        </w:numPr>
        <w:autoSpaceDN/>
        <w:spacing w:after="60" w:line="259" w:lineRule="auto"/>
        <w:textAlignment w:val="auto"/>
        <w:rPr>
          <w:kern w:val="0"/>
        </w:rPr>
      </w:pPr>
      <w:r w:rsidRPr="00343C5B">
        <w:rPr>
          <w:kern w:val="0"/>
        </w:rPr>
        <w:t xml:space="preserve">In welke mate </w:t>
      </w:r>
      <w:r>
        <w:rPr>
          <w:kern w:val="0"/>
        </w:rPr>
        <w:t xml:space="preserve">wordt het zicht op de doeltreffendheid en doelmatigheid van het stelsel van maatschappelijke ondersteuning verminderd door maatschappelijke </w:t>
      </w:r>
      <w:r w:rsidRPr="00343C5B">
        <w:rPr>
          <w:kern w:val="0"/>
        </w:rPr>
        <w:t>factoren, zoals de dubbele vergrijzing</w:t>
      </w:r>
      <w:r>
        <w:rPr>
          <w:kern w:val="0"/>
        </w:rPr>
        <w:t>, arbeidsmarktproblematiek</w:t>
      </w:r>
      <w:r w:rsidRPr="00343C5B">
        <w:rPr>
          <w:kern w:val="0"/>
        </w:rPr>
        <w:t xml:space="preserve"> en </w:t>
      </w:r>
      <w:r>
        <w:rPr>
          <w:kern w:val="0"/>
        </w:rPr>
        <w:t xml:space="preserve">dynamieken op de </w:t>
      </w:r>
      <w:r w:rsidRPr="00343C5B">
        <w:rPr>
          <w:kern w:val="0"/>
        </w:rPr>
        <w:t>woningmarkt</w:t>
      </w:r>
      <w:r>
        <w:rPr>
          <w:kern w:val="0"/>
        </w:rPr>
        <w:t>?</w:t>
      </w:r>
    </w:p>
    <w:p w:rsidR="00530880" w:rsidP="00177CC8" w:rsidRDefault="00530880" w14:paraId="3EC5773E" w14:textId="77777777">
      <w:pPr>
        <w:pStyle w:val="Lijstalinea"/>
        <w:numPr>
          <w:ilvl w:val="1"/>
          <w:numId w:val="3"/>
        </w:numPr>
        <w:suppressAutoHyphens/>
        <w:spacing w:after="60"/>
        <w:contextualSpacing w:val="0"/>
        <w:rPr>
          <w:lang w:val="nl-NL"/>
        </w:rPr>
      </w:pPr>
      <w:r w:rsidRPr="007928D9">
        <w:rPr>
          <w:lang w:val="nl-NL"/>
        </w:rPr>
        <w:t xml:space="preserve">Welke beleidswijzigingen </w:t>
      </w:r>
      <w:r>
        <w:rPr>
          <w:lang w:val="nl-NL"/>
        </w:rPr>
        <w:t xml:space="preserve">binnen de zorg- en welzijnssector </w:t>
      </w:r>
      <w:r w:rsidRPr="007928D9">
        <w:rPr>
          <w:lang w:val="nl-NL"/>
        </w:rPr>
        <w:t>zijn in deze periode ingezet door wie en met welk doel? Wat betekenen deze wijzigingen voor de doeltreffendheid en de doelmatigheid van het beleid</w:t>
      </w:r>
      <w:r>
        <w:rPr>
          <w:lang w:val="nl-NL"/>
        </w:rPr>
        <w:t xml:space="preserve"> voor maatwerkvoorzieningen</w:t>
      </w:r>
      <w:r w:rsidRPr="007928D9">
        <w:rPr>
          <w:lang w:val="nl-NL"/>
        </w:rPr>
        <w:t>?</w:t>
      </w:r>
    </w:p>
    <w:p w:rsidRPr="00F73F2E" w:rsidR="00530880" w:rsidP="00177CC8" w:rsidRDefault="00530880" w14:paraId="387C691B" w14:textId="77777777">
      <w:pPr>
        <w:pStyle w:val="Lijstalinea"/>
        <w:numPr>
          <w:ilvl w:val="1"/>
          <w:numId w:val="3"/>
        </w:numPr>
        <w:suppressAutoHyphens/>
        <w:spacing w:after="60"/>
        <w:contextualSpacing w:val="0"/>
        <w:rPr>
          <w:kern w:val="0"/>
          <w:lang w:val="nl-NL"/>
        </w:rPr>
      </w:pPr>
      <w:r w:rsidRPr="00F73F2E">
        <w:rPr>
          <w:lang w:val="nl-NL"/>
        </w:rPr>
        <w:t>Welke andere factoren binnen het zorg- en welzijnsveld</w:t>
      </w:r>
      <w:r>
        <w:rPr>
          <w:lang w:val="nl-NL"/>
        </w:rPr>
        <w:t xml:space="preserve"> hebben een effect</w:t>
      </w:r>
      <w:r w:rsidRPr="00F73F2E">
        <w:rPr>
          <w:lang w:val="nl-NL"/>
        </w:rPr>
        <w:t>, zoals bijvoorbeeld de groeiende jurisprudentie over kwaliteit, betaalbaarheid en toegankelijkheid, op de doeltreffendheid en doelmatigheid van de maatschappelijke ondersteuning en op welke wijze?</w:t>
      </w:r>
    </w:p>
    <w:p w:rsidRPr="005971D1" w:rsidR="00530880" w:rsidP="00177CC8" w:rsidRDefault="00530880" w14:paraId="17D8F3A6" w14:textId="77777777">
      <w:pPr>
        <w:widowControl/>
        <w:numPr>
          <w:ilvl w:val="0"/>
          <w:numId w:val="3"/>
        </w:numPr>
        <w:autoSpaceDN/>
        <w:spacing w:after="60" w:line="259" w:lineRule="auto"/>
        <w:textAlignment w:val="auto"/>
        <w:rPr>
          <w:kern w:val="0"/>
        </w:rPr>
      </w:pPr>
      <w:r w:rsidRPr="005971D1">
        <w:rPr>
          <w:kern w:val="0"/>
        </w:rPr>
        <w:t>In hoeverre heeft het subsidiariteitsbeginsel binnen het stelsel geleid tot een doeltreffende en doelmatige inzet van publieke middelen?</w:t>
      </w:r>
    </w:p>
    <w:p w:rsidRPr="005971D1" w:rsidR="00530880" w:rsidP="00177CC8" w:rsidRDefault="00530880" w14:paraId="7907DBAD" w14:textId="77777777">
      <w:pPr>
        <w:widowControl/>
        <w:numPr>
          <w:ilvl w:val="0"/>
          <w:numId w:val="3"/>
        </w:numPr>
        <w:autoSpaceDN/>
        <w:spacing w:after="60" w:line="259" w:lineRule="auto"/>
        <w:textAlignment w:val="auto"/>
        <w:rPr>
          <w:kern w:val="0"/>
        </w:rPr>
      </w:pPr>
      <w:r w:rsidRPr="005971D1">
        <w:rPr>
          <w:kern w:val="0"/>
        </w:rPr>
        <w:t>Indien de vragen over doeltreffendheid en doelmatigheid niet (volledig) beantwoord kunnen worden, wat zijn aanbevelingen om de informatiebasis die voor deze beantwoording nodig is te versterken, rekening houdend met het decentrale karakter van het stelsel?</w:t>
      </w:r>
    </w:p>
    <w:p w:rsidR="00530880" w:rsidP="00177CC8" w:rsidRDefault="00530880" w14:paraId="3D837AC7" w14:textId="77777777">
      <w:pPr>
        <w:widowControl/>
        <w:numPr>
          <w:ilvl w:val="0"/>
          <w:numId w:val="3"/>
        </w:numPr>
        <w:autoSpaceDN/>
        <w:spacing w:after="160" w:line="259" w:lineRule="auto"/>
        <w:contextualSpacing/>
        <w:textAlignment w:val="auto"/>
        <w:rPr>
          <w:kern w:val="0"/>
        </w:rPr>
      </w:pPr>
      <w:r w:rsidRPr="005971D1">
        <w:rPr>
          <w:kern w:val="0"/>
        </w:rPr>
        <w:t>Zijn er mogelijkheden voor verbetering; kan het doelmatiger en doeltreffender en welke instrumenten kan het Rijk hiervoor inzetten?</w:t>
      </w:r>
    </w:p>
    <w:p w:rsidRPr="005971D1" w:rsidR="00530880" w:rsidP="00177CC8" w:rsidRDefault="00530880" w14:paraId="7809F2BD" w14:textId="77777777">
      <w:pPr>
        <w:ind w:left="1437"/>
        <w:contextualSpacing/>
        <w:rPr>
          <w:kern w:val="0"/>
        </w:rPr>
      </w:pPr>
    </w:p>
    <w:p w:rsidRPr="008B50CE" w:rsidR="00530880" w:rsidP="00177CC8" w:rsidRDefault="00530880" w14:paraId="30B243AF" w14:textId="77777777">
      <w:pPr>
        <w:rPr>
          <w:i/>
          <w:iCs/>
        </w:rPr>
      </w:pPr>
      <w:r w:rsidRPr="008B50CE">
        <w:rPr>
          <w:i/>
          <w:iCs/>
        </w:rPr>
        <w:t>Afbakening en financiële grondslag</w:t>
      </w:r>
    </w:p>
    <w:p w:rsidRPr="00E70AF5" w:rsidR="00530880" w:rsidP="00177CC8" w:rsidRDefault="00530880" w14:paraId="41DB5057" w14:textId="2A0F9447">
      <w:r>
        <w:t>D</w:t>
      </w:r>
      <w:r w:rsidRPr="00E338E1">
        <w:t xml:space="preserve">e </w:t>
      </w:r>
      <w:r>
        <w:t xml:space="preserve">Periodieke rapportage </w:t>
      </w:r>
      <w:r w:rsidRPr="00E338E1">
        <w:t xml:space="preserve">maatschappelijke ondersteuning </w:t>
      </w:r>
      <w:r>
        <w:t xml:space="preserve">is een synthese op basis van bestaand (evaluatie)onderzoek en neemt </w:t>
      </w:r>
      <w:r w:rsidRPr="00E338E1">
        <w:t xml:space="preserve">de </w:t>
      </w:r>
      <w:proofErr w:type="spellStart"/>
      <w:r w:rsidRPr="00E338E1">
        <w:t>Wmo</w:t>
      </w:r>
      <w:proofErr w:type="spellEnd"/>
      <w:r w:rsidRPr="00E338E1">
        <w:t xml:space="preserve"> </w:t>
      </w:r>
      <w:r>
        <w:t xml:space="preserve">als </w:t>
      </w:r>
      <w:r w:rsidRPr="00E338E1">
        <w:t xml:space="preserve">basis. </w:t>
      </w:r>
      <w:bookmarkStart w:name="_Hlk230183323" w:id="2"/>
      <w:r w:rsidRPr="00853983">
        <w:t>Een onderdeel van de Periodieke rapportage is het uitwerken van een 20% besparingsvariant met als grondslag de uitgaven voor maatwerkvoorzieningen</w:t>
      </w:r>
      <w:r w:rsidRPr="00EB18B5">
        <w:t xml:space="preserve"> aan de </w:t>
      </w:r>
      <w:proofErr w:type="spellStart"/>
      <w:r w:rsidRPr="00EB18B5">
        <w:t>Wmo</w:t>
      </w:r>
      <w:proofErr w:type="spellEnd"/>
      <w:r w:rsidRPr="00EB18B5">
        <w:t xml:space="preserve"> in 2024, te weten 6 miljard</w:t>
      </w:r>
      <w:r w:rsidRPr="00EB18B5">
        <w:rPr>
          <w:rStyle w:val="Voetnootmarkering"/>
          <w:sz w:val="16"/>
          <w:szCs w:val="16"/>
        </w:rPr>
        <w:footnoteReference w:id="7"/>
      </w:r>
      <w:r w:rsidRPr="00EB18B5">
        <w:rPr>
          <w:sz w:val="16"/>
          <w:szCs w:val="16"/>
        </w:rPr>
        <w:t>.</w:t>
      </w:r>
      <w:bookmarkEnd w:id="2"/>
      <w:r w:rsidRPr="00E70AF5">
        <w:rPr>
          <w:rFonts w:cs="RijksoverheidSerif"/>
          <w:color w:val="000000"/>
          <w:szCs w:val="18"/>
        </w:rPr>
        <w:t xml:space="preserve"> </w:t>
      </w:r>
      <w:r w:rsidRPr="00165369">
        <w:rPr>
          <w:rFonts w:cs="RijksoverheidSerif"/>
          <w:color w:val="000000"/>
          <w:szCs w:val="18"/>
        </w:rPr>
        <w:t>De onderzoeksperiode start de facto in 2017, omdat het een paar jaar duurt voordat de vrijwillige uitvraag naar gebruik van maatwerkvoorzieningen enige betrouwbaarheid geniet.</w:t>
      </w:r>
    </w:p>
    <w:p w:rsidR="00ED5855" w:rsidP="00177CC8" w:rsidRDefault="00ED5855" w14:paraId="7F85A512" w14:textId="77777777">
      <w:pPr>
        <w:rPr>
          <w:i/>
          <w:iCs/>
        </w:rPr>
      </w:pPr>
    </w:p>
    <w:p w:rsidRPr="00E338E1" w:rsidR="00530880" w:rsidP="00177CC8" w:rsidRDefault="00530880" w14:paraId="15A5E330" w14:textId="2736E1EA">
      <w:pPr>
        <w:rPr>
          <w:i/>
          <w:iCs/>
        </w:rPr>
      </w:pPr>
      <w:r w:rsidRPr="008B50CE">
        <w:rPr>
          <w:i/>
          <w:iCs/>
        </w:rPr>
        <w:t>Onderzoekaanpak</w:t>
      </w:r>
      <w:r>
        <w:rPr>
          <w:i/>
          <w:iCs/>
        </w:rPr>
        <w:t>,</w:t>
      </w:r>
      <w:r w:rsidRPr="008B50CE">
        <w:rPr>
          <w:i/>
          <w:iCs/>
        </w:rPr>
        <w:t xml:space="preserve"> onafhankelijkheid</w:t>
      </w:r>
      <w:r>
        <w:rPr>
          <w:i/>
          <w:iCs/>
        </w:rPr>
        <w:t xml:space="preserve"> en planning</w:t>
      </w:r>
    </w:p>
    <w:p w:rsidR="005C23FF" w:rsidP="00177CC8" w:rsidRDefault="00530880" w14:paraId="37FB0D7A" w14:textId="77777777">
      <w:r w:rsidRPr="008B50CE">
        <w:t xml:space="preserve">De periodieke </w:t>
      </w:r>
      <w:r>
        <w:t>rapportage</w:t>
      </w:r>
      <w:r w:rsidRPr="008B50CE">
        <w:t xml:space="preserve"> zal worden uitgevoerd</w:t>
      </w:r>
      <w:r>
        <w:t xml:space="preserve"> door een onafhankelijke onderzoeker/onderzoeksgroep.</w:t>
      </w:r>
    </w:p>
    <w:p w:rsidR="005C23FF" w:rsidP="00177CC8" w:rsidRDefault="005C23FF" w14:paraId="05964192" w14:textId="77777777"/>
    <w:p w:rsidR="00177CC8" w:rsidP="00177CC8" w:rsidRDefault="00177CC8" w14:paraId="28891EFF" w14:textId="77777777"/>
    <w:p w:rsidR="00530880" w:rsidP="00177CC8" w:rsidRDefault="00530880" w14:paraId="18096A27" w14:textId="516FFE36">
      <w:r>
        <w:lastRenderedPageBreak/>
        <w:t xml:space="preserve">De eisen uit de </w:t>
      </w:r>
      <w:r w:rsidRPr="00461969">
        <w:t>Regeling</w:t>
      </w:r>
      <w:r>
        <w:t xml:space="preserve"> Periodiek evaluatieonderzoek 2022 (RPE 2022)</w:t>
      </w:r>
      <w:r>
        <w:rPr>
          <w:rStyle w:val="Voetnootmarkering"/>
        </w:rPr>
        <w:footnoteReference w:id="8"/>
      </w:r>
      <w:r w:rsidRPr="00461969">
        <w:t xml:space="preserve"> </w:t>
      </w:r>
      <w:r>
        <w:t>en Handreiking P</w:t>
      </w:r>
      <w:r w:rsidRPr="00461969">
        <w:t>eriodiek evaluatie</w:t>
      </w:r>
      <w:r>
        <w:t>s</w:t>
      </w:r>
      <w:r>
        <w:rPr>
          <w:rStyle w:val="Voetnootmarkering"/>
        </w:rPr>
        <w:footnoteReference w:id="9"/>
      </w:r>
      <w:r w:rsidRPr="00461969">
        <w:t xml:space="preserve"> </w:t>
      </w:r>
      <w:r>
        <w:t xml:space="preserve">vormen de leidraad voor de uitvoering van het onderzoek en de rapportage. </w:t>
      </w:r>
    </w:p>
    <w:p w:rsidR="00F8317B" w:rsidP="00177CC8" w:rsidRDefault="00F8317B" w14:paraId="1171DFD3" w14:textId="77777777"/>
    <w:p w:rsidR="00530880" w:rsidP="00177CC8" w:rsidRDefault="00530880" w14:paraId="3C3A191C" w14:textId="77777777">
      <w:r>
        <w:t xml:space="preserve">Gezien de overlap tussen het houdbaarheidsonderzoek </w:t>
      </w:r>
      <w:proofErr w:type="spellStart"/>
      <w:r>
        <w:t>Wmo</w:t>
      </w:r>
      <w:proofErr w:type="spellEnd"/>
      <w:r>
        <w:t xml:space="preserve"> 2015 en de Periodieke rapportage zal de opdrachtgever al het nodige voorwerk doen en ter beschikking stellen aan de onderzoeker. De in het Houdbaarheidsonderzoek </w:t>
      </w:r>
      <w:proofErr w:type="spellStart"/>
      <w:r>
        <w:t>Wmo</w:t>
      </w:r>
      <w:proofErr w:type="spellEnd"/>
      <w:r>
        <w:t xml:space="preserve"> 2015 vergaarde informatie zal de onderzoeker ter beschikking worden gesteld. </w:t>
      </w:r>
    </w:p>
    <w:p w:rsidR="00530880" w:rsidP="00177CC8" w:rsidRDefault="00530880" w14:paraId="1BE210D4" w14:textId="77777777">
      <w:r w:rsidRPr="00853983">
        <w:t xml:space="preserve">De mate waarin uitspraken kunnen worden gedaan op de doeltreffendheid </w:t>
      </w:r>
      <w:r>
        <w:t xml:space="preserve">en </w:t>
      </w:r>
      <w:r w:rsidRPr="00833D67">
        <w:t xml:space="preserve">doelmatigheid </w:t>
      </w:r>
      <w:r w:rsidRPr="00853983">
        <w:t>van het stelsel van maatschappelijke ondersteuning is afhankelijk van de beschikbaarheid van betrouwbare data en de mate van meetbaarheid. Voor algemene voorzieningen is dit niet altijd in dezelfde mate mogelijk</w:t>
      </w:r>
      <w:r>
        <w:t xml:space="preserve"> als voor maatwerkvoorzieningen</w:t>
      </w:r>
      <w:r w:rsidRPr="00853983">
        <w:t>. Indien nodig ver</w:t>
      </w:r>
      <w:r>
        <w:t>wijst</w:t>
      </w:r>
      <w:r w:rsidRPr="00853983">
        <w:t xml:space="preserve"> de onderzoeker </w:t>
      </w:r>
      <w:r>
        <w:t>naar bestaand</w:t>
      </w:r>
      <w:r w:rsidRPr="00853983">
        <w:t xml:space="preserve"> kwalitatief onderzoek ten behoeve van het beantwoorden van de onderzoeksvragen</w:t>
      </w:r>
      <w:r>
        <w:t xml:space="preserve">. </w:t>
      </w:r>
    </w:p>
    <w:p w:rsidR="00F8317B" w:rsidP="00177CC8" w:rsidRDefault="00F8317B" w14:paraId="07386FCD" w14:textId="77777777"/>
    <w:p w:rsidRPr="00E338E1" w:rsidR="00530880" w:rsidP="00177CC8" w:rsidRDefault="00530880" w14:paraId="4AAC5DB2" w14:textId="3F6AB40B">
      <w:r>
        <w:t>Het onderzoek zal begeleid worden door een begeleidingscommissie die wordt voorgezeten door een onafhankelijk voorzitter.</w:t>
      </w:r>
    </w:p>
    <w:bookmarkEnd w:id="1"/>
    <w:p w:rsidRPr="009A31BF" w:rsidR="00CD5856" w:rsidP="00177CC8" w:rsidRDefault="00357316" w14:paraId="5D749851" w14:textId="77777777">
      <w:pPr>
        <w:pStyle w:val="Huisstijl-Slotzin"/>
      </w:pPr>
      <w:r>
        <w:t>Hoogachtend,</w:t>
      </w:r>
    </w:p>
    <w:p w:rsidR="00BC481F" w:rsidP="00177CC8" w:rsidRDefault="00BC481F" w14:paraId="5D043AE2" w14:textId="77777777">
      <w:pPr>
        <w:spacing w:line="240" w:lineRule="auto"/>
        <w:rPr>
          <w:noProof/>
        </w:rPr>
      </w:pPr>
    </w:p>
    <w:p w:rsidR="00177CC8" w:rsidP="00177CC8" w:rsidRDefault="00177CC8" w14:paraId="5E5E18AE" w14:textId="4E0224E8">
      <w:pPr>
        <w:spacing w:line="240" w:lineRule="auto"/>
        <w:rPr>
          <w:noProof/>
        </w:rPr>
      </w:pPr>
      <w:r>
        <w:rPr>
          <w:noProof/>
        </w:rPr>
        <w:t>de minister van Langdurige Zorg,</w:t>
      </w:r>
    </w:p>
    <w:p w:rsidR="00177CC8" w:rsidP="00177CC8" w:rsidRDefault="00177CC8" w14:paraId="791063E5" w14:textId="77C9320C">
      <w:pPr>
        <w:spacing w:line="240" w:lineRule="auto"/>
        <w:rPr>
          <w:noProof/>
        </w:rPr>
      </w:pPr>
      <w:r>
        <w:rPr>
          <w:noProof/>
        </w:rPr>
        <w:t>Jeugd en Sport,</w:t>
      </w:r>
    </w:p>
    <w:p w:rsidR="00177CC8" w:rsidP="00177CC8" w:rsidRDefault="00177CC8" w14:paraId="44EA5254" w14:textId="77777777">
      <w:pPr>
        <w:spacing w:line="240" w:lineRule="auto"/>
        <w:rPr>
          <w:noProof/>
        </w:rPr>
      </w:pPr>
    </w:p>
    <w:p w:rsidR="00177CC8" w:rsidP="00177CC8" w:rsidRDefault="00177CC8" w14:paraId="7984E183" w14:textId="77777777">
      <w:pPr>
        <w:spacing w:line="240" w:lineRule="auto"/>
        <w:rPr>
          <w:noProof/>
        </w:rPr>
      </w:pPr>
    </w:p>
    <w:p w:rsidR="00177CC8" w:rsidP="00177CC8" w:rsidRDefault="00177CC8" w14:paraId="400092F5" w14:textId="77777777">
      <w:pPr>
        <w:spacing w:line="240" w:lineRule="auto"/>
        <w:rPr>
          <w:noProof/>
        </w:rPr>
      </w:pPr>
    </w:p>
    <w:p w:rsidR="00177CC8" w:rsidP="00177CC8" w:rsidRDefault="00177CC8" w14:paraId="78836BA6" w14:textId="77777777">
      <w:pPr>
        <w:spacing w:line="240" w:lineRule="auto"/>
        <w:rPr>
          <w:noProof/>
        </w:rPr>
      </w:pPr>
    </w:p>
    <w:p w:rsidR="00177CC8" w:rsidP="00177CC8" w:rsidRDefault="00177CC8" w14:paraId="1E3B4F3E" w14:textId="77777777">
      <w:pPr>
        <w:spacing w:line="240" w:lineRule="auto"/>
        <w:rPr>
          <w:noProof/>
        </w:rPr>
      </w:pPr>
    </w:p>
    <w:p w:rsidR="00177CC8" w:rsidP="00177CC8" w:rsidRDefault="00177CC8" w14:paraId="123A9EC8" w14:textId="77777777">
      <w:pPr>
        <w:spacing w:line="240" w:lineRule="auto"/>
        <w:rPr>
          <w:noProof/>
        </w:rPr>
      </w:pPr>
    </w:p>
    <w:p w:rsidR="00177CC8" w:rsidP="00177CC8" w:rsidRDefault="00177CC8" w14:paraId="38487D53" w14:textId="6503103F">
      <w:pPr>
        <w:spacing w:line="240" w:lineRule="auto"/>
        <w:rPr>
          <w:noProof/>
        </w:rPr>
      </w:pPr>
      <w:r>
        <w:rPr>
          <w:noProof/>
        </w:rPr>
        <w:t>Mirjam Sterk</w:t>
      </w:r>
    </w:p>
    <w:sectPr w:rsidR="00177CC8"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971C5" w14:textId="77777777" w:rsidR="00367DA6" w:rsidRDefault="00367DA6">
      <w:pPr>
        <w:spacing w:line="240" w:lineRule="auto"/>
      </w:pPr>
      <w:r>
        <w:separator/>
      </w:r>
    </w:p>
  </w:endnote>
  <w:endnote w:type="continuationSeparator" w:id="0">
    <w:p w14:paraId="0EC36F9D" w14:textId="77777777" w:rsidR="00367DA6" w:rsidRDefault="00367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0467" w14:textId="77777777" w:rsidR="00DC7639" w:rsidRDefault="00357316">
    <w:pPr>
      <w:pStyle w:val="Voettekst"/>
    </w:pPr>
    <w:r>
      <w:rPr>
        <w:noProof/>
        <w:lang w:val="en-US" w:eastAsia="en-US" w:bidi="ar-SA"/>
      </w:rPr>
      <w:pict w14:anchorId="7B29A8D2">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3543E18" w14:textId="77777777" w:rsidR="00DC7639" w:rsidRDefault="0035731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6474" w14:textId="77777777" w:rsidR="00367DA6" w:rsidRDefault="00367DA6">
      <w:pPr>
        <w:spacing w:line="240" w:lineRule="auto"/>
      </w:pPr>
      <w:r>
        <w:separator/>
      </w:r>
    </w:p>
  </w:footnote>
  <w:footnote w:type="continuationSeparator" w:id="0">
    <w:p w14:paraId="275E016A" w14:textId="77777777" w:rsidR="00367DA6" w:rsidRDefault="00367DA6">
      <w:pPr>
        <w:spacing w:line="240" w:lineRule="auto"/>
      </w:pPr>
      <w:r>
        <w:continuationSeparator/>
      </w:r>
    </w:p>
  </w:footnote>
  <w:footnote w:id="1">
    <w:p w14:paraId="519356D8" w14:textId="77777777" w:rsidR="00530880" w:rsidRPr="00177CC8" w:rsidRDefault="00530880" w:rsidP="00530880">
      <w:pPr>
        <w:pStyle w:val="Default"/>
        <w:rPr>
          <w:rFonts w:cstheme="minorHAnsi"/>
          <w:sz w:val="16"/>
          <w:szCs w:val="16"/>
        </w:rPr>
      </w:pPr>
      <w:r w:rsidRPr="00177CC8">
        <w:rPr>
          <w:rStyle w:val="Voetnootmarkering"/>
          <w:rFonts w:cstheme="minorHAnsi"/>
          <w:sz w:val="16"/>
          <w:szCs w:val="16"/>
        </w:rPr>
        <w:footnoteRef/>
      </w:r>
      <w:r w:rsidRPr="00177CC8">
        <w:rPr>
          <w:rFonts w:cstheme="minorHAnsi"/>
          <w:sz w:val="16"/>
          <w:szCs w:val="16"/>
        </w:rPr>
        <w:t xml:space="preserve"> Kamerstuk 34 000, nr. 52</w:t>
      </w:r>
    </w:p>
  </w:footnote>
  <w:footnote w:id="2">
    <w:p w14:paraId="1C778CDD" w14:textId="77777777" w:rsidR="00530880" w:rsidRPr="00177CC8" w:rsidRDefault="00530880" w:rsidP="00530880">
      <w:pPr>
        <w:pStyle w:val="Default"/>
        <w:rPr>
          <w:rFonts w:cstheme="minorHAnsi"/>
          <w:sz w:val="16"/>
          <w:szCs w:val="16"/>
        </w:rPr>
      </w:pPr>
      <w:r w:rsidRPr="00177CC8">
        <w:rPr>
          <w:rStyle w:val="Voetnootmarkering"/>
          <w:rFonts w:cstheme="minorHAnsi"/>
          <w:sz w:val="16"/>
          <w:szCs w:val="16"/>
        </w:rPr>
        <w:footnoteRef/>
      </w:r>
      <w:r w:rsidRPr="00177CC8">
        <w:rPr>
          <w:rFonts w:cstheme="minorHAnsi"/>
          <w:sz w:val="16"/>
          <w:szCs w:val="16"/>
        </w:rPr>
        <w:t xml:space="preserve"> Kamerstuk 34 000, nr. 36  </w:t>
      </w:r>
    </w:p>
  </w:footnote>
  <w:footnote w:id="3">
    <w:p w14:paraId="3163BF72" w14:textId="77777777" w:rsidR="00530880" w:rsidRPr="00177CC8" w:rsidRDefault="00530880" w:rsidP="00530880">
      <w:pPr>
        <w:pStyle w:val="Voetnoottekst"/>
        <w:rPr>
          <w:rFonts w:cstheme="minorHAnsi"/>
          <w:sz w:val="16"/>
          <w:szCs w:val="16"/>
          <w:lang w:val="nl-NL"/>
        </w:rPr>
      </w:pPr>
      <w:r w:rsidRPr="00177CC8">
        <w:rPr>
          <w:rStyle w:val="Voetnootmarkering"/>
          <w:rFonts w:cstheme="minorHAnsi"/>
          <w:sz w:val="16"/>
          <w:szCs w:val="16"/>
        </w:rPr>
        <w:footnoteRef/>
      </w:r>
      <w:r w:rsidRPr="00177CC8">
        <w:rPr>
          <w:rFonts w:cstheme="minorHAnsi"/>
          <w:sz w:val="16"/>
          <w:szCs w:val="16"/>
          <w:lang w:val="nl-NL"/>
        </w:rPr>
        <w:t xml:space="preserve"> </w:t>
      </w:r>
      <w:hyperlink r:id="rId1" w:history="1">
        <w:r w:rsidRPr="00177CC8">
          <w:rPr>
            <w:rFonts w:cstheme="minorHAnsi"/>
            <w:color w:val="0000FF"/>
            <w:sz w:val="16"/>
            <w:szCs w:val="16"/>
            <w:u w:val="single"/>
            <w:lang w:val="nl-NL"/>
          </w:rPr>
          <w:t>Eindrapportage - Tijd voor stevige keuzes | Rapport | Rijksoverheid.nl</w:t>
        </w:r>
      </w:hyperlink>
    </w:p>
  </w:footnote>
  <w:footnote w:id="4">
    <w:p w14:paraId="5AB444FD" w14:textId="77777777" w:rsidR="00530880" w:rsidRPr="00177CC8" w:rsidRDefault="00530880" w:rsidP="00530880">
      <w:pPr>
        <w:pStyle w:val="Voetnoottekst"/>
        <w:rPr>
          <w:rFonts w:cstheme="minorHAnsi"/>
          <w:sz w:val="16"/>
          <w:szCs w:val="16"/>
          <w:lang w:val="nl-NL"/>
        </w:rPr>
      </w:pPr>
      <w:r w:rsidRPr="00177CC8">
        <w:rPr>
          <w:rStyle w:val="Voetnootmarkering"/>
          <w:rFonts w:cstheme="minorHAnsi"/>
          <w:sz w:val="16"/>
          <w:szCs w:val="16"/>
        </w:rPr>
        <w:footnoteRef/>
      </w:r>
      <w:r w:rsidRPr="00177CC8">
        <w:rPr>
          <w:rFonts w:cstheme="minorHAnsi"/>
          <w:sz w:val="16"/>
          <w:szCs w:val="16"/>
          <w:lang w:val="nl-NL"/>
        </w:rPr>
        <w:t xml:space="preserve"> Kamerstuk 31 765, </w:t>
      </w:r>
      <w:proofErr w:type="spellStart"/>
      <w:r w:rsidRPr="00177CC8">
        <w:rPr>
          <w:rFonts w:cstheme="minorHAnsi"/>
          <w:sz w:val="16"/>
          <w:szCs w:val="16"/>
          <w:lang w:val="nl-NL"/>
        </w:rPr>
        <w:t>nr</w:t>
      </w:r>
      <w:proofErr w:type="spellEnd"/>
      <w:r w:rsidRPr="00177CC8">
        <w:rPr>
          <w:rFonts w:cstheme="minorHAnsi"/>
          <w:sz w:val="16"/>
          <w:szCs w:val="16"/>
          <w:lang w:val="nl-NL"/>
        </w:rPr>
        <w:t xml:space="preserve"> 655</w:t>
      </w:r>
    </w:p>
  </w:footnote>
  <w:footnote w:id="5">
    <w:p w14:paraId="50C7902D" w14:textId="77777777" w:rsidR="00530880" w:rsidRPr="00177CC8" w:rsidRDefault="00530880" w:rsidP="00530880">
      <w:pPr>
        <w:pStyle w:val="Voetnoottekst"/>
        <w:rPr>
          <w:rFonts w:cstheme="minorHAnsi"/>
          <w:sz w:val="16"/>
          <w:szCs w:val="16"/>
          <w:lang w:val="nl-NL"/>
        </w:rPr>
      </w:pPr>
      <w:r w:rsidRPr="00177CC8">
        <w:rPr>
          <w:rStyle w:val="Voetnootmarkering"/>
          <w:rFonts w:cstheme="minorHAnsi"/>
          <w:sz w:val="16"/>
          <w:szCs w:val="16"/>
        </w:rPr>
        <w:footnoteRef/>
      </w:r>
      <w:r w:rsidRPr="00177CC8">
        <w:rPr>
          <w:rFonts w:cstheme="minorHAnsi"/>
          <w:sz w:val="16"/>
          <w:szCs w:val="16"/>
          <w:lang w:val="nl-NL"/>
        </w:rPr>
        <w:t xml:space="preserve"> Kamerstuk 31 765, </w:t>
      </w:r>
      <w:proofErr w:type="spellStart"/>
      <w:r w:rsidRPr="00177CC8">
        <w:rPr>
          <w:rFonts w:cstheme="minorHAnsi"/>
          <w:sz w:val="16"/>
          <w:szCs w:val="16"/>
          <w:lang w:val="nl-NL"/>
        </w:rPr>
        <w:t>nr</w:t>
      </w:r>
      <w:proofErr w:type="spellEnd"/>
      <w:r w:rsidRPr="00177CC8">
        <w:rPr>
          <w:rFonts w:cstheme="minorHAnsi"/>
          <w:sz w:val="16"/>
          <w:szCs w:val="16"/>
          <w:lang w:val="nl-NL"/>
        </w:rPr>
        <w:t xml:space="preserve"> 940</w:t>
      </w:r>
    </w:p>
  </w:footnote>
  <w:footnote w:id="6">
    <w:p w14:paraId="12F2E844" w14:textId="77777777" w:rsidR="00530880" w:rsidRPr="00177CC8" w:rsidRDefault="00530880" w:rsidP="00530880">
      <w:pPr>
        <w:spacing w:line="240" w:lineRule="auto"/>
        <w:rPr>
          <w:sz w:val="16"/>
          <w:szCs w:val="16"/>
        </w:rPr>
      </w:pPr>
      <w:r w:rsidRPr="00177CC8">
        <w:rPr>
          <w:rStyle w:val="Voetnootmarkering"/>
          <w:rFonts w:cstheme="minorHAnsi"/>
          <w:sz w:val="16"/>
          <w:szCs w:val="16"/>
        </w:rPr>
        <w:footnoteRef/>
      </w:r>
      <w:r w:rsidRPr="00177CC8">
        <w:rPr>
          <w:rFonts w:cstheme="minorHAnsi"/>
          <w:sz w:val="16"/>
          <w:szCs w:val="16"/>
        </w:rPr>
        <w:t xml:space="preserve"> CPB, </w:t>
      </w:r>
      <w:hyperlink r:id="rId2" w:history="1">
        <w:proofErr w:type="spellStart"/>
        <w:r w:rsidRPr="00177CC8">
          <w:rPr>
            <w:rStyle w:val="Hyperlink"/>
            <w:rFonts w:cstheme="minorHAnsi"/>
            <w:sz w:val="16"/>
            <w:szCs w:val="16"/>
          </w:rPr>
          <w:t>Middellangetermijnraming</w:t>
        </w:r>
        <w:proofErr w:type="spellEnd"/>
        <w:r w:rsidRPr="00177CC8">
          <w:rPr>
            <w:rStyle w:val="Hyperlink"/>
            <w:rFonts w:cstheme="minorHAnsi"/>
            <w:sz w:val="16"/>
            <w:szCs w:val="16"/>
          </w:rPr>
          <w:t xml:space="preserve"> zorg 2027 - 2033</w:t>
        </w:r>
      </w:hyperlink>
      <w:r w:rsidRPr="00177CC8">
        <w:rPr>
          <w:rFonts w:cstheme="minorHAnsi"/>
          <w:sz w:val="16"/>
          <w:szCs w:val="16"/>
        </w:rPr>
        <w:t>, 2025</w:t>
      </w:r>
    </w:p>
  </w:footnote>
  <w:footnote w:id="7">
    <w:p w14:paraId="0BC52AFC" w14:textId="77777777" w:rsidR="00530880" w:rsidRPr="00177CC8" w:rsidRDefault="00530880" w:rsidP="00530880">
      <w:pPr>
        <w:pStyle w:val="Voetnoottekst"/>
        <w:rPr>
          <w:rFonts w:cstheme="minorHAnsi"/>
          <w:sz w:val="16"/>
          <w:szCs w:val="16"/>
          <w:lang w:val="nl-NL"/>
        </w:rPr>
      </w:pPr>
      <w:r w:rsidRPr="00177CC8">
        <w:rPr>
          <w:rStyle w:val="Voetnootmarkering"/>
          <w:rFonts w:cstheme="minorHAnsi"/>
          <w:sz w:val="16"/>
          <w:szCs w:val="16"/>
        </w:rPr>
        <w:footnoteRef/>
      </w:r>
      <w:r w:rsidRPr="00177CC8">
        <w:rPr>
          <w:rFonts w:cstheme="minorHAnsi"/>
          <w:sz w:val="16"/>
          <w:szCs w:val="16"/>
          <w:lang w:val="nl-NL"/>
        </w:rPr>
        <w:t xml:space="preserve"> CBS, Jaarrapport 2024 (publicatie 13 februari 2026.) De besparingsvariant hoeft niet (volledig) binnen de maatwerkvoorzieningen te vallen, maar mag binnen de gehele </w:t>
      </w:r>
      <w:proofErr w:type="spellStart"/>
      <w:r w:rsidRPr="00177CC8">
        <w:rPr>
          <w:rFonts w:cstheme="minorHAnsi"/>
          <w:sz w:val="16"/>
          <w:szCs w:val="16"/>
          <w:lang w:val="nl-NL"/>
        </w:rPr>
        <w:t>Wmo</w:t>
      </w:r>
      <w:proofErr w:type="spellEnd"/>
      <w:r w:rsidRPr="00177CC8">
        <w:rPr>
          <w:rFonts w:cstheme="minorHAnsi"/>
          <w:sz w:val="16"/>
          <w:szCs w:val="16"/>
          <w:lang w:val="nl-NL"/>
        </w:rPr>
        <w:t xml:space="preserve"> 2015 vallen</w:t>
      </w:r>
    </w:p>
  </w:footnote>
  <w:footnote w:id="8">
    <w:p w14:paraId="260EB474" w14:textId="77777777" w:rsidR="00530880" w:rsidRPr="00177CC8" w:rsidRDefault="00530880" w:rsidP="00530880">
      <w:pPr>
        <w:pStyle w:val="Voetnoottekst"/>
        <w:rPr>
          <w:rFonts w:cstheme="minorHAnsi"/>
          <w:sz w:val="16"/>
          <w:szCs w:val="16"/>
          <w:lang w:val="nl-NL"/>
        </w:rPr>
      </w:pPr>
      <w:r w:rsidRPr="00177CC8">
        <w:rPr>
          <w:rStyle w:val="Voetnootmarkering"/>
          <w:rFonts w:cstheme="minorHAnsi"/>
          <w:sz w:val="16"/>
          <w:szCs w:val="16"/>
        </w:rPr>
        <w:footnoteRef/>
      </w:r>
      <w:r w:rsidRPr="00177CC8">
        <w:rPr>
          <w:rFonts w:cstheme="minorHAnsi"/>
          <w:sz w:val="16"/>
          <w:szCs w:val="16"/>
          <w:lang w:val="nl-NL"/>
        </w:rPr>
        <w:t xml:space="preserve"> https://wetten.overheid.nl/BWBR0046970/2022-07-27/0</w:t>
      </w:r>
    </w:p>
  </w:footnote>
  <w:footnote w:id="9">
    <w:p w14:paraId="1D2D94BE" w14:textId="18341A1C" w:rsidR="00530880" w:rsidRPr="00177CC8" w:rsidRDefault="00530880" w:rsidP="00530880">
      <w:pPr>
        <w:pStyle w:val="Voetnoottekst"/>
        <w:rPr>
          <w:sz w:val="16"/>
          <w:szCs w:val="16"/>
          <w:lang w:val="nl-NL"/>
        </w:rPr>
      </w:pPr>
      <w:r w:rsidRPr="00177CC8">
        <w:rPr>
          <w:rStyle w:val="Voetnootmarkering"/>
          <w:rFonts w:cstheme="minorHAnsi"/>
          <w:sz w:val="16"/>
          <w:szCs w:val="16"/>
        </w:rPr>
        <w:footnoteRef/>
      </w:r>
      <w:r w:rsidRPr="00177CC8">
        <w:rPr>
          <w:rFonts w:cstheme="minorHAnsi"/>
          <w:sz w:val="16"/>
          <w:szCs w:val="16"/>
          <w:lang w:val="nl-NL"/>
        </w:rPr>
        <w:t xml:space="preserve"> </w:t>
      </w:r>
      <w:r w:rsidR="00177CC8">
        <w:rPr>
          <w:rFonts w:cstheme="minorHAnsi"/>
          <w:sz w:val="16"/>
          <w:szCs w:val="16"/>
          <w:lang w:val="nl-NL"/>
        </w:rPr>
        <w:t xml:space="preserve"> </w:t>
      </w:r>
      <w:r w:rsidRPr="00177CC8">
        <w:rPr>
          <w:rFonts w:cstheme="minorHAnsi"/>
          <w:sz w:val="16"/>
          <w:szCs w:val="16"/>
          <w:lang w:val="nl-NL"/>
        </w:rPr>
        <w:t>https://www.rijksfinancien.nl/sites/default/files/bestanden/Beleidsevaluaties/2024%20Handreiking%20Periodieke%20Rapportage.pdf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8886" w14:textId="77777777" w:rsidR="00CD5856" w:rsidRDefault="00357316">
    <w:pPr>
      <w:pStyle w:val="Koptekst"/>
    </w:pPr>
    <w:r>
      <w:rPr>
        <w:noProof/>
        <w:lang w:eastAsia="nl-NL" w:bidi="ar-SA"/>
      </w:rPr>
      <w:drawing>
        <wp:anchor distT="0" distB="0" distL="114300" distR="114300" simplePos="0" relativeHeight="251652096" behindDoc="1" locked="0" layoutInCell="1" allowOverlap="1" wp14:anchorId="1F5961AF" wp14:editId="430549D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CEDCF90" wp14:editId="0A408BB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93D0BD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7D5F051" w14:textId="77777777" w:rsidR="00CD5856" w:rsidRDefault="00357316">
                <w:pPr>
                  <w:pStyle w:val="Huisstijl-AfzendgegevensW1"/>
                </w:pPr>
                <w:r>
                  <w:t>Bezoekadres</w:t>
                </w:r>
              </w:p>
              <w:p w14:paraId="65714D2F" w14:textId="77777777" w:rsidR="00CD5856" w:rsidRDefault="00357316">
                <w:pPr>
                  <w:pStyle w:val="Huisstijl-Afzendgegevens"/>
                </w:pPr>
                <w:r>
                  <w:t>Parnassusplein 5</w:t>
                </w:r>
              </w:p>
              <w:p w14:paraId="46AAE45B" w14:textId="77777777" w:rsidR="00CD5856" w:rsidRDefault="00357316">
                <w:pPr>
                  <w:pStyle w:val="Huisstijl-Afzendgegevens"/>
                </w:pPr>
                <w:r>
                  <w:t>2511</w:t>
                </w:r>
                <w:r w:rsidR="008D59C5" w:rsidRPr="008D59C5">
                  <w:t xml:space="preserve"> </w:t>
                </w:r>
                <w:r>
                  <w:t>VX</w:t>
                </w:r>
                <w:r w:rsidR="00E1490C">
                  <w:t xml:space="preserve">  </w:t>
                </w:r>
                <w:r w:rsidR="008D59C5" w:rsidRPr="008D59C5">
                  <w:t>Den Haag</w:t>
                </w:r>
              </w:p>
              <w:p w14:paraId="2507608F" w14:textId="77777777" w:rsidR="00CD5856" w:rsidRDefault="00357316">
                <w:pPr>
                  <w:pStyle w:val="Huisstijl-Afzendgegevens"/>
                </w:pPr>
                <w:r w:rsidRPr="008D59C5">
                  <w:t>www.rijksoverheid.nl</w:t>
                </w:r>
              </w:p>
              <w:p w14:paraId="27101E33" w14:textId="77777777" w:rsidR="00CD5856" w:rsidRDefault="00357316">
                <w:pPr>
                  <w:pStyle w:val="Huisstijl-ReferentiegegevenskopW2"/>
                </w:pPr>
                <w:r w:rsidRPr="008D59C5">
                  <w:t>Kenmerk</w:t>
                </w:r>
              </w:p>
              <w:p w14:paraId="3063529C" w14:textId="77777777" w:rsidR="00CD5856" w:rsidRDefault="00357316">
                <w:pPr>
                  <w:pStyle w:val="Huisstijl-Referentiegegevens"/>
                </w:pPr>
                <w:bookmarkStart w:id="0" w:name="_Hlk117784077"/>
                <w:r>
                  <w:t>4420077-1100267-DMO</w:t>
                </w:r>
              </w:p>
              <w:bookmarkEnd w:id="0"/>
              <w:p w14:paraId="6D64FA78" w14:textId="77777777" w:rsidR="00CD5856" w:rsidRPr="002B504F" w:rsidRDefault="00357316">
                <w:pPr>
                  <w:pStyle w:val="Huisstijl-ReferentiegegevenskopW1"/>
                </w:pPr>
                <w:r w:rsidRPr="008D59C5">
                  <w:t>Bijlage(n)</w:t>
                </w:r>
              </w:p>
              <w:p w14:paraId="55E9B897" w14:textId="77777777" w:rsidR="00215CB5" w:rsidRDefault="00215CB5">
                <w:pPr>
                  <w:pStyle w:val="Huisstijl-ReferentiegegevenskopW1"/>
                </w:pPr>
              </w:p>
              <w:p w14:paraId="025B6162" w14:textId="77777777" w:rsidR="00CD5856" w:rsidRDefault="00357316">
                <w:pPr>
                  <w:pStyle w:val="Huisstijl-ReferentiegegevenskopW1"/>
                </w:pPr>
                <w:r>
                  <w:t>Kenmerk afzender</w:t>
                </w:r>
              </w:p>
              <w:p w14:paraId="06B3AEFE" w14:textId="77777777" w:rsidR="00CD5856" w:rsidRDefault="00CD5856">
                <w:pPr>
                  <w:pStyle w:val="Huisstijl-Referentiegegevens"/>
                </w:pPr>
              </w:p>
              <w:p w14:paraId="364CF734" w14:textId="77777777" w:rsidR="00CD5856" w:rsidRDefault="00357316">
                <w:pPr>
                  <w:pStyle w:val="Huisstijl-Algemenevoorwaarden"/>
                </w:pPr>
                <w:r>
                  <w:t xml:space="preserve">Correspondentie uitsluitend richten aan het retouradres met vermelding van de datum en het </w:t>
                </w:r>
                <w:r>
                  <w:t>kenmerk van deze brief.</w:t>
                </w:r>
              </w:p>
              <w:p w14:paraId="41B467D0" w14:textId="77777777" w:rsidR="00CD5856" w:rsidRDefault="00CD5856"/>
            </w:txbxContent>
          </v:textbox>
          <w10:wrap anchorx="page" anchory="page"/>
        </v:shape>
      </w:pict>
    </w:r>
    <w:r>
      <w:rPr>
        <w:lang w:eastAsia="nl-NL" w:bidi="ar-SA"/>
      </w:rPr>
      <w:pict w14:anchorId="65FB92C3">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229090B4" w14:textId="445168DA" w:rsidR="00CD5856" w:rsidRDefault="00357316">
                <w:pPr>
                  <w:pStyle w:val="Huisstijl-Datumenbetreft"/>
                  <w:tabs>
                    <w:tab w:val="clear" w:pos="737"/>
                    <w:tab w:val="left" w:pos="-5954"/>
                    <w:tab w:val="left" w:pos="-5670"/>
                    <w:tab w:val="left" w:pos="1134"/>
                  </w:tabs>
                </w:pPr>
                <w:r>
                  <w:t>Datum</w:t>
                </w:r>
                <w:r w:rsidR="00E1490C">
                  <w:tab/>
                </w:r>
                <w:r w:rsidR="00180580">
                  <w:t>2 juli 2026</w:t>
                </w:r>
              </w:p>
              <w:p w14:paraId="1F0C166B" w14:textId="7B90ED61" w:rsidR="00CD5856" w:rsidRDefault="00357316">
                <w:pPr>
                  <w:pStyle w:val="Huisstijl-Datumenbetreft"/>
                  <w:tabs>
                    <w:tab w:val="clear" w:pos="737"/>
                    <w:tab w:val="left" w:pos="-5954"/>
                    <w:tab w:val="left" w:pos="-5670"/>
                    <w:tab w:val="left" w:pos="1134"/>
                  </w:tabs>
                </w:pPr>
                <w:r>
                  <w:t>Betreft</w:t>
                </w:r>
                <w:r w:rsidR="00E1490C">
                  <w:tab/>
                </w:r>
                <w:r w:rsidR="00530880">
                  <w:t xml:space="preserve">Harbersbrief Periodieke rapportage </w:t>
                </w:r>
                <w:proofErr w:type="spellStart"/>
                <w:r w:rsidR="00530880">
                  <w:t>Wmo</w:t>
                </w:r>
                <w:proofErr w:type="spellEnd"/>
                <w:r w:rsidR="00530880">
                  <w:t xml:space="preserve"> 2015</w:t>
                </w:r>
              </w:p>
              <w:p w14:paraId="2DC4D639"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7F3A3F5E">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06977115" w14:textId="77777777" w:rsidR="00CD5856" w:rsidRDefault="00CD5856">
                <w:pPr>
                  <w:pStyle w:val="Huisstijl-Toezendgegevens"/>
                </w:pPr>
              </w:p>
            </w:txbxContent>
          </v:textbox>
          <w10:wrap anchorx="page" anchory="page"/>
        </v:shape>
      </w:pict>
    </w:r>
    <w:r>
      <w:rPr>
        <w:lang w:eastAsia="nl-NL" w:bidi="ar-SA"/>
      </w:rPr>
      <w:pict w14:anchorId="789DF500">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646157F" w14:textId="77777777" w:rsidR="00CD5856" w:rsidRDefault="00357316">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ECD0AF1">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522149A" w14:textId="77777777" w:rsidR="00CD5856" w:rsidRDefault="0035731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0054" w14:textId="77777777" w:rsidR="00CD5856" w:rsidRDefault="00357316">
    <w:pPr>
      <w:pStyle w:val="Koptekst"/>
    </w:pPr>
    <w:r>
      <w:rPr>
        <w:lang w:eastAsia="nl-NL" w:bidi="ar-SA"/>
      </w:rPr>
      <w:pict w14:anchorId="083E885D">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64BB379F" w14:textId="77777777" w:rsidR="00CD5856" w:rsidRDefault="00357316">
                <w:pPr>
                  <w:pStyle w:val="Huisstijl-ReferentiegegevenskopW2"/>
                </w:pPr>
                <w:r w:rsidRPr="008D59C5">
                  <w:t>Kenmerk</w:t>
                </w:r>
              </w:p>
              <w:p w14:paraId="7D51BCE8" w14:textId="77777777" w:rsidR="00C95CA9" w:rsidRPr="00C95CA9" w:rsidRDefault="00357316" w:rsidP="00C95CA9">
                <w:pPr>
                  <w:pStyle w:val="Huisstijl-Referentiegegevens"/>
                </w:pPr>
                <w:r w:rsidRPr="00C95CA9">
                  <w:t>4420077-1100267-DMO</w:t>
                </w:r>
              </w:p>
              <w:p w14:paraId="43C90193" w14:textId="77777777" w:rsidR="00CD5856" w:rsidRDefault="00CD5856">
                <w:pPr>
                  <w:pStyle w:val="Huisstijl-Referentiegegevens"/>
                </w:pPr>
              </w:p>
            </w:txbxContent>
          </v:textbox>
          <w10:wrap anchorx="page" anchory="page"/>
        </v:shape>
      </w:pict>
    </w:r>
    <w:r>
      <w:rPr>
        <w:lang w:eastAsia="nl-NL" w:bidi="ar-SA"/>
      </w:rPr>
      <w:pict w14:anchorId="620205DD">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FA5B9FD" w14:textId="6AC96192" w:rsidR="00CD5856" w:rsidRDefault="0035731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Pr>
                      <w:noProof/>
                    </w:rPr>
                    <w:t>5</w:t>
                  </w:r>
                </w:fldSimple>
              </w:p>
              <w:p w14:paraId="13DD15AD" w14:textId="77777777" w:rsidR="00CD5856" w:rsidRDefault="00CD5856"/>
              <w:p w14:paraId="23953D94" w14:textId="77777777" w:rsidR="00CD5856" w:rsidRDefault="00CD5856">
                <w:pPr>
                  <w:pStyle w:val="Huisstijl-Paginanummer"/>
                </w:pPr>
              </w:p>
              <w:p w14:paraId="2F68254B"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6B41" w14:textId="77777777" w:rsidR="00CD5856" w:rsidRDefault="00357316">
    <w:pPr>
      <w:pStyle w:val="Koptekst"/>
    </w:pPr>
    <w:r>
      <w:rPr>
        <w:lang w:eastAsia="nl-NL" w:bidi="ar-SA"/>
      </w:rPr>
      <w:pict w14:anchorId="02A7E45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9A1B015" w14:textId="77777777" w:rsidR="00CD5856" w:rsidRDefault="0035731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30880">
                      <w:t>26 juni 2014</w:t>
                    </w:r>
                  </w:sdtContent>
                </w:sdt>
              </w:p>
              <w:p w14:paraId="0AECF803" w14:textId="77777777" w:rsidR="00CD5856" w:rsidRDefault="00357316">
                <w:pPr>
                  <w:pStyle w:val="Huisstijl-Datumenbetreft"/>
                  <w:tabs>
                    <w:tab w:val="left" w:pos="-5954"/>
                    <w:tab w:val="left" w:pos="-5670"/>
                  </w:tabs>
                </w:pPr>
                <w:r>
                  <w:t>Betreft</w:t>
                </w:r>
                <w:r>
                  <w:tab/>
                </w:r>
                <w:proofErr w:type="spellStart"/>
                <w:r w:rsidR="008D59C5">
                  <w:t>BETREFT</w:t>
                </w:r>
                <w:proofErr w:type="spellEnd"/>
              </w:p>
              <w:p w14:paraId="3FF35186"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DEF1359" wp14:editId="57C63D5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B2AF9E8" wp14:editId="6AC21CE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3DCED25">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FC76010" w14:textId="77777777" w:rsidR="00CD5856" w:rsidRDefault="00357316">
                <w:pPr>
                  <w:pStyle w:val="Huisstijl-Afzendgegevens"/>
                </w:pPr>
                <w:r w:rsidRPr="008D59C5">
                  <w:t>Rijnstraat 50</w:t>
                </w:r>
              </w:p>
              <w:p w14:paraId="3EBCFFE2" w14:textId="77777777" w:rsidR="00CD5856" w:rsidRDefault="00357316">
                <w:pPr>
                  <w:pStyle w:val="Huisstijl-Afzendgegevens"/>
                </w:pPr>
                <w:r w:rsidRPr="008D59C5">
                  <w:t>Den Haag</w:t>
                </w:r>
              </w:p>
              <w:p w14:paraId="73B1522C" w14:textId="77777777" w:rsidR="00CD5856" w:rsidRDefault="00357316">
                <w:pPr>
                  <w:pStyle w:val="Huisstijl-Afzendgegevens"/>
                </w:pPr>
                <w:r w:rsidRPr="008D59C5">
                  <w:t>www.rijksoverheid.nl</w:t>
                </w:r>
              </w:p>
              <w:p w14:paraId="74AA505A" w14:textId="77777777" w:rsidR="00CD5856" w:rsidRDefault="00357316">
                <w:pPr>
                  <w:pStyle w:val="Huisstijl-AfzendgegevenskopW1"/>
                </w:pPr>
                <w:r>
                  <w:t>Contactpersoon</w:t>
                </w:r>
              </w:p>
              <w:p w14:paraId="44D97BF7" w14:textId="77777777" w:rsidR="00CD5856" w:rsidRDefault="00357316">
                <w:pPr>
                  <w:pStyle w:val="Huisstijl-Afzendgegevens"/>
                </w:pPr>
                <w:r w:rsidRPr="008D59C5">
                  <w:t>ing. J.A. Ramlal</w:t>
                </w:r>
              </w:p>
              <w:p w14:paraId="66758287" w14:textId="77777777" w:rsidR="00CD5856" w:rsidRDefault="00357316">
                <w:pPr>
                  <w:pStyle w:val="Huisstijl-Afzendgegevens"/>
                </w:pPr>
                <w:r w:rsidRPr="008D59C5">
                  <w:t>ja.ramlal@minvws.nl</w:t>
                </w:r>
              </w:p>
              <w:p w14:paraId="451D600A" w14:textId="77777777" w:rsidR="00CD5856" w:rsidRDefault="00357316">
                <w:pPr>
                  <w:pStyle w:val="Huisstijl-ReferentiegegevenskopW2"/>
                </w:pPr>
                <w:r>
                  <w:t>Ons kenmerk</w:t>
                </w:r>
              </w:p>
              <w:p w14:paraId="12FA4829" w14:textId="77777777" w:rsidR="00CD5856" w:rsidRDefault="00357316">
                <w:pPr>
                  <w:pStyle w:val="Huisstijl-Referentiegegevens"/>
                </w:pPr>
                <w:r>
                  <w:t>KENMERK</w:t>
                </w:r>
              </w:p>
              <w:p w14:paraId="26AF0F48" w14:textId="77777777" w:rsidR="00CD5856" w:rsidRDefault="00357316">
                <w:pPr>
                  <w:pStyle w:val="Huisstijl-ReferentiegegevenskopW1"/>
                </w:pPr>
                <w:r>
                  <w:t xml:space="preserve">Uw </w:t>
                </w:r>
                <w:r>
                  <w:t>kenmerk</w:t>
                </w:r>
              </w:p>
              <w:p w14:paraId="24EA1473" w14:textId="77777777" w:rsidR="00CD5856" w:rsidRDefault="00357316">
                <w:pPr>
                  <w:pStyle w:val="Huisstijl-Referentiegegevens"/>
                </w:pPr>
                <w:r>
                  <w:t>UW BRIEF</w:t>
                </w:r>
              </w:p>
            </w:txbxContent>
          </v:textbox>
          <w10:wrap anchorx="page" anchory="page"/>
        </v:shape>
      </w:pict>
    </w:r>
    <w:r>
      <w:rPr>
        <w:lang w:eastAsia="nl-NL" w:bidi="ar-SA"/>
      </w:rPr>
      <w:pict w14:anchorId="3D8262A2">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281CDCF" w14:textId="77777777" w:rsidR="00CD5856" w:rsidRDefault="0035731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E0EB18C">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8B51356" w14:textId="77777777" w:rsidR="00CD5856" w:rsidRDefault="0035731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w:r>
    <w:r>
      <w:rPr>
        <w:lang w:eastAsia="nl-NL" w:bidi="ar-SA"/>
      </w:rPr>
      <w:pict w14:anchorId="24BE39C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717F1E5" w14:textId="77777777" w:rsidR="00CD5856" w:rsidRDefault="00CD5856">
                <w:pPr>
                  <w:pStyle w:val="Huisstijl-Toezendgegevens"/>
                </w:pPr>
              </w:p>
            </w:txbxContent>
          </v:textbox>
          <w10:wrap anchorx="page" anchory="page"/>
        </v:shape>
      </w:pict>
    </w:r>
    <w:r>
      <w:rPr>
        <w:lang w:eastAsia="nl-NL" w:bidi="ar-SA"/>
      </w:rPr>
      <w:pict w14:anchorId="30BA5830">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BFADDAB" w14:textId="77777777" w:rsidR="00CD5856" w:rsidRDefault="0035731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BCD"/>
    <w:multiLevelType w:val="hybridMultilevel"/>
    <w:tmpl w:val="9CC00C74"/>
    <w:lvl w:ilvl="0" w:tplc="04130003">
      <w:start w:val="1"/>
      <w:numFmt w:val="bullet"/>
      <w:lvlText w:val="o"/>
      <w:lvlJc w:val="left"/>
      <w:pPr>
        <w:ind w:left="717" w:hanging="360"/>
      </w:pPr>
      <w:rPr>
        <w:rFonts w:ascii="Courier New" w:hAnsi="Courier New" w:cs="Courier New" w:hint="default"/>
      </w:rPr>
    </w:lvl>
    <w:lvl w:ilvl="1" w:tplc="04130003">
      <w:start w:val="1"/>
      <w:numFmt w:val="bullet"/>
      <w:lvlText w:val="o"/>
      <w:lvlJc w:val="left"/>
      <w:pPr>
        <w:ind w:left="1437" w:hanging="360"/>
      </w:pPr>
      <w:rPr>
        <w:rFonts w:ascii="Courier New" w:hAnsi="Courier New" w:cs="Courier New" w:hint="default"/>
      </w:rPr>
    </w:lvl>
    <w:lvl w:ilvl="2" w:tplc="04130005">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 w15:restartNumberingAfterBreak="0">
    <w:nsid w:val="3C930E3B"/>
    <w:multiLevelType w:val="hybridMultilevel"/>
    <w:tmpl w:val="E2B4C7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AF327D64">
      <w:numFmt w:val="bullet"/>
      <w:lvlText w:val=""/>
      <w:lvlJc w:val="left"/>
      <w:pPr>
        <w:ind w:left="720" w:hanging="360"/>
      </w:pPr>
      <w:rPr>
        <w:rFonts w:ascii="Wingdings" w:eastAsia="DejaVu Sans" w:hAnsi="Wingdings" w:cs="Lohit Hindi" w:hint="default"/>
      </w:rPr>
    </w:lvl>
    <w:lvl w:ilvl="1" w:tplc="C486FAE2" w:tentative="1">
      <w:start w:val="1"/>
      <w:numFmt w:val="bullet"/>
      <w:lvlText w:val="o"/>
      <w:lvlJc w:val="left"/>
      <w:pPr>
        <w:ind w:left="1440" w:hanging="360"/>
      </w:pPr>
      <w:rPr>
        <w:rFonts w:ascii="Courier New" w:hAnsi="Courier New" w:cs="Courier New" w:hint="default"/>
      </w:rPr>
    </w:lvl>
    <w:lvl w:ilvl="2" w:tplc="73064D7C" w:tentative="1">
      <w:start w:val="1"/>
      <w:numFmt w:val="bullet"/>
      <w:lvlText w:val=""/>
      <w:lvlJc w:val="left"/>
      <w:pPr>
        <w:ind w:left="2160" w:hanging="360"/>
      </w:pPr>
      <w:rPr>
        <w:rFonts w:ascii="Wingdings" w:hAnsi="Wingdings" w:hint="default"/>
      </w:rPr>
    </w:lvl>
    <w:lvl w:ilvl="3" w:tplc="F6A82494" w:tentative="1">
      <w:start w:val="1"/>
      <w:numFmt w:val="bullet"/>
      <w:lvlText w:val=""/>
      <w:lvlJc w:val="left"/>
      <w:pPr>
        <w:ind w:left="2880" w:hanging="360"/>
      </w:pPr>
      <w:rPr>
        <w:rFonts w:ascii="Symbol" w:hAnsi="Symbol" w:hint="default"/>
      </w:rPr>
    </w:lvl>
    <w:lvl w:ilvl="4" w:tplc="99B2E3C0" w:tentative="1">
      <w:start w:val="1"/>
      <w:numFmt w:val="bullet"/>
      <w:lvlText w:val="o"/>
      <w:lvlJc w:val="left"/>
      <w:pPr>
        <w:ind w:left="3600" w:hanging="360"/>
      </w:pPr>
      <w:rPr>
        <w:rFonts w:ascii="Courier New" w:hAnsi="Courier New" w:cs="Courier New" w:hint="default"/>
      </w:rPr>
    </w:lvl>
    <w:lvl w:ilvl="5" w:tplc="029C7AB6" w:tentative="1">
      <w:start w:val="1"/>
      <w:numFmt w:val="bullet"/>
      <w:lvlText w:val=""/>
      <w:lvlJc w:val="left"/>
      <w:pPr>
        <w:ind w:left="4320" w:hanging="360"/>
      </w:pPr>
      <w:rPr>
        <w:rFonts w:ascii="Wingdings" w:hAnsi="Wingdings" w:hint="default"/>
      </w:rPr>
    </w:lvl>
    <w:lvl w:ilvl="6" w:tplc="FE886DF8" w:tentative="1">
      <w:start w:val="1"/>
      <w:numFmt w:val="bullet"/>
      <w:lvlText w:val=""/>
      <w:lvlJc w:val="left"/>
      <w:pPr>
        <w:ind w:left="5040" w:hanging="360"/>
      </w:pPr>
      <w:rPr>
        <w:rFonts w:ascii="Symbol" w:hAnsi="Symbol" w:hint="default"/>
      </w:rPr>
    </w:lvl>
    <w:lvl w:ilvl="7" w:tplc="4436353C" w:tentative="1">
      <w:start w:val="1"/>
      <w:numFmt w:val="bullet"/>
      <w:lvlText w:val="o"/>
      <w:lvlJc w:val="left"/>
      <w:pPr>
        <w:ind w:left="5760" w:hanging="360"/>
      </w:pPr>
      <w:rPr>
        <w:rFonts w:ascii="Courier New" w:hAnsi="Courier New" w:cs="Courier New" w:hint="default"/>
      </w:rPr>
    </w:lvl>
    <w:lvl w:ilvl="8" w:tplc="972E55FA" w:tentative="1">
      <w:start w:val="1"/>
      <w:numFmt w:val="bullet"/>
      <w:lvlText w:val=""/>
      <w:lvlJc w:val="left"/>
      <w:pPr>
        <w:ind w:left="6480" w:hanging="360"/>
      </w:pPr>
      <w:rPr>
        <w:rFonts w:ascii="Wingdings" w:hAnsi="Wingdings" w:hint="default"/>
      </w:rPr>
    </w:lvl>
  </w:abstractNum>
  <w:abstractNum w:abstractNumId="3" w15:restartNumberingAfterBreak="0">
    <w:nsid w:val="66940778"/>
    <w:multiLevelType w:val="hybridMultilevel"/>
    <w:tmpl w:val="53B4B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215174">
    <w:abstractNumId w:val="2"/>
  </w:num>
  <w:num w:numId="2" w16cid:durableId="197859717">
    <w:abstractNumId w:val="1"/>
  </w:num>
  <w:num w:numId="3" w16cid:durableId="1789547435">
    <w:abstractNumId w:val="0"/>
  </w:num>
  <w:num w:numId="4" w16cid:durableId="239950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36C59"/>
    <w:rsid w:val="00050D5B"/>
    <w:rsid w:val="000B1832"/>
    <w:rsid w:val="000B45B1"/>
    <w:rsid w:val="000C29E1"/>
    <w:rsid w:val="000D0CCB"/>
    <w:rsid w:val="000D5B7D"/>
    <w:rsid w:val="000D6D8A"/>
    <w:rsid w:val="000E2F12"/>
    <w:rsid w:val="000E54B6"/>
    <w:rsid w:val="00113778"/>
    <w:rsid w:val="00125BDF"/>
    <w:rsid w:val="00170C9D"/>
    <w:rsid w:val="00172CD9"/>
    <w:rsid w:val="00177CC8"/>
    <w:rsid w:val="00180580"/>
    <w:rsid w:val="001B41E1"/>
    <w:rsid w:val="001B7303"/>
    <w:rsid w:val="001F6568"/>
    <w:rsid w:val="00215CB5"/>
    <w:rsid w:val="00235AED"/>
    <w:rsid w:val="00240606"/>
    <w:rsid w:val="00241BB9"/>
    <w:rsid w:val="00297795"/>
    <w:rsid w:val="002B1D9F"/>
    <w:rsid w:val="002B504F"/>
    <w:rsid w:val="002F4886"/>
    <w:rsid w:val="00334C45"/>
    <w:rsid w:val="003451E2"/>
    <w:rsid w:val="00347F1B"/>
    <w:rsid w:val="00357316"/>
    <w:rsid w:val="00367DA6"/>
    <w:rsid w:val="003A5F22"/>
    <w:rsid w:val="003B287C"/>
    <w:rsid w:val="003B48D4"/>
    <w:rsid w:val="003C472B"/>
    <w:rsid w:val="003C6ED5"/>
    <w:rsid w:val="003C700C"/>
    <w:rsid w:val="003C7185"/>
    <w:rsid w:val="003D27F8"/>
    <w:rsid w:val="003E02BA"/>
    <w:rsid w:val="003F3A47"/>
    <w:rsid w:val="0043480A"/>
    <w:rsid w:val="00437B5F"/>
    <w:rsid w:val="004509BE"/>
    <w:rsid w:val="0045486D"/>
    <w:rsid w:val="00463DBC"/>
    <w:rsid w:val="004934A8"/>
    <w:rsid w:val="004F0B09"/>
    <w:rsid w:val="00516D6A"/>
    <w:rsid w:val="00523C02"/>
    <w:rsid w:val="00530880"/>
    <w:rsid w:val="00544135"/>
    <w:rsid w:val="00554712"/>
    <w:rsid w:val="00556257"/>
    <w:rsid w:val="005600D7"/>
    <w:rsid w:val="005677D6"/>
    <w:rsid w:val="00582E97"/>
    <w:rsid w:val="00587714"/>
    <w:rsid w:val="005B74F7"/>
    <w:rsid w:val="005C23FF"/>
    <w:rsid w:val="005C3CD4"/>
    <w:rsid w:val="005D327A"/>
    <w:rsid w:val="005F2D45"/>
    <w:rsid w:val="0063555A"/>
    <w:rsid w:val="00686885"/>
    <w:rsid w:val="006922AC"/>
    <w:rsid w:val="00697032"/>
    <w:rsid w:val="006B16C1"/>
    <w:rsid w:val="007010C1"/>
    <w:rsid w:val="0074764C"/>
    <w:rsid w:val="00763E81"/>
    <w:rsid w:val="00776965"/>
    <w:rsid w:val="007A4F37"/>
    <w:rsid w:val="007B028B"/>
    <w:rsid w:val="007B6A41"/>
    <w:rsid w:val="007D0F21"/>
    <w:rsid w:val="007D23C6"/>
    <w:rsid w:val="007E36BA"/>
    <w:rsid w:val="007F380D"/>
    <w:rsid w:val="007F3FFA"/>
    <w:rsid w:val="007F4A98"/>
    <w:rsid w:val="0087691C"/>
    <w:rsid w:val="00893C24"/>
    <w:rsid w:val="008A21F4"/>
    <w:rsid w:val="008D59C5"/>
    <w:rsid w:val="008D618A"/>
    <w:rsid w:val="008E210E"/>
    <w:rsid w:val="008E4B89"/>
    <w:rsid w:val="008F33AD"/>
    <w:rsid w:val="009224A4"/>
    <w:rsid w:val="009302BD"/>
    <w:rsid w:val="00960E2B"/>
    <w:rsid w:val="00985A65"/>
    <w:rsid w:val="00994B2A"/>
    <w:rsid w:val="009A31BF"/>
    <w:rsid w:val="009B2459"/>
    <w:rsid w:val="009C4777"/>
    <w:rsid w:val="009D3C77"/>
    <w:rsid w:val="009D7D63"/>
    <w:rsid w:val="009F419D"/>
    <w:rsid w:val="00A52DBE"/>
    <w:rsid w:val="00A83BE3"/>
    <w:rsid w:val="00AA61EA"/>
    <w:rsid w:val="00AF6BEC"/>
    <w:rsid w:val="00B10595"/>
    <w:rsid w:val="00B8296E"/>
    <w:rsid w:val="00B82F43"/>
    <w:rsid w:val="00BA7566"/>
    <w:rsid w:val="00BC481F"/>
    <w:rsid w:val="00BD75C1"/>
    <w:rsid w:val="00C3438D"/>
    <w:rsid w:val="00C37A66"/>
    <w:rsid w:val="00C62B6C"/>
    <w:rsid w:val="00C81260"/>
    <w:rsid w:val="00C95CA9"/>
    <w:rsid w:val="00CA061B"/>
    <w:rsid w:val="00CD4AED"/>
    <w:rsid w:val="00CD5856"/>
    <w:rsid w:val="00CF0F2E"/>
    <w:rsid w:val="00CF3E82"/>
    <w:rsid w:val="00D46B5E"/>
    <w:rsid w:val="00D54679"/>
    <w:rsid w:val="00D67BAF"/>
    <w:rsid w:val="00DA15A1"/>
    <w:rsid w:val="00DC7639"/>
    <w:rsid w:val="00E1490C"/>
    <w:rsid w:val="00E37122"/>
    <w:rsid w:val="00E42259"/>
    <w:rsid w:val="00E60F3C"/>
    <w:rsid w:val="00E85195"/>
    <w:rsid w:val="00EA275E"/>
    <w:rsid w:val="00ED5855"/>
    <w:rsid w:val="00EE23CE"/>
    <w:rsid w:val="00EE2A9D"/>
    <w:rsid w:val="00EF56EA"/>
    <w:rsid w:val="00F32EA9"/>
    <w:rsid w:val="00F56EBE"/>
    <w:rsid w:val="00F72360"/>
    <w:rsid w:val="00F8317B"/>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27FB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530880"/>
    <w:pPr>
      <w:widowControl/>
      <w:suppressAutoHyphens w:val="0"/>
      <w:autoSpaceDN/>
      <w:spacing w:after="160" w:line="259" w:lineRule="auto"/>
      <w:ind w:left="720"/>
      <w:contextualSpacing/>
      <w:textAlignment w:val="auto"/>
    </w:pPr>
    <w:rPr>
      <w:rFonts w:eastAsiaTheme="minorHAnsi" w:cstheme="minorBidi"/>
      <w:kern w:val="2"/>
      <w:szCs w:val="22"/>
      <w:lang w:val="en-US" w:eastAsia="en-US" w:bidi="ar-SA"/>
    </w:rPr>
  </w:style>
  <w:style w:type="paragraph" w:styleId="Voetnoottekst">
    <w:name w:val="footnote text"/>
    <w:basedOn w:val="Standaard"/>
    <w:link w:val="VoetnoottekstChar"/>
    <w:uiPriority w:val="99"/>
    <w:semiHidden/>
    <w:unhideWhenUsed/>
    <w:rsid w:val="00530880"/>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semiHidden/>
    <w:rsid w:val="00530880"/>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semiHidden/>
    <w:unhideWhenUsed/>
    <w:rsid w:val="00530880"/>
    <w:rPr>
      <w:vertAlign w:val="superscript"/>
    </w:rPr>
  </w:style>
  <w:style w:type="character" w:styleId="Hyperlink">
    <w:name w:val="Hyperlink"/>
    <w:basedOn w:val="Standaardalinea-lettertype"/>
    <w:uiPriority w:val="99"/>
    <w:unhideWhenUsed/>
    <w:rsid w:val="00530880"/>
    <w:rPr>
      <w:color w:val="0563C1"/>
      <w:u w:val="single"/>
    </w:rPr>
  </w:style>
  <w:style w:type="paragraph" w:customStyle="1" w:styleId="Default">
    <w:name w:val="Default"/>
    <w:rsid w:val="00530880"/>
    <w:pPr>
      <w:widowControl/>
      <w:suppressAutoHyphens w:val="0"/>
      <w:autoSpaceDE w:val="0"/>
      <w:adjustRightInd w:val="0"/>
      <w:textAlignment w:val="auto"/>
    </w:pPr>
    <w:rPr>
      <w:rFonts w:ascii="Verdana" w:eastAsiaTheme="minorHAnsi" w:hAnsi="Verdana" w:cs="Verdana"/>
      <w:color w:val="000000"/>
      <w:kern w:val="0"/>
      <w:lang w:eastAsia="en-US" w:bidi="ar-SA"/>
    </w:rPr>
  </w:style>
  <w:style w:type="character" w:styleId="Verwijzingopmerking">
    <w:name w:val="annotation reference"/>
    <w:basedOn w:val="Standaardalinea-lettertype"/>
    <w:uiPriority w:val="99"/>
    <w:semiHidden/>
    <w:unhideWhenUsed/>
    <w:rsid w:val="005F2D45"/>
    <w:rPr>
      <w:sz w:val="16"/>
      <w:szCs w:val="16"/>
    </w:rPr>
  </w:style>
  <w:style w:type="paragraph" w:styleId="Tekstopmerking">
    <w:name w:val="annotation text"/>
    <w:basedOn w:val="Standaard"/>
    <w:link w:val="TekstopmerkingChar"/>
    <w:uiPriority w:val="99"/>
    <w:unhideWhenUsed/>
    <w:rsid w:val="005F2D4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F2D4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F2D45"/>
    <w:rPr>
      <w:b/>
      <w:bCs/>
    </w:rPr>
  </w:style>
  <w:style w:type="character" w:customStyle="1" w:styleId="OnderwerpvanopmerkingChar">
    <w:name w:val="Onderwerp van opmerking Char"/>
    <w:basedOn w:val="TekstopmerkingChar"/>
    <w:link w:val="Onderwerpvanopmerking"/>
    <w:uiPriority w:val="99"/>
    <w:semiHidden/>
    <w:rsid w:val="005F2D45"/>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pb.nl/system/files/cpbmedia/omnidownload/CPB-Publicatie-Middellangetermijnraming-zorg-2027-2033.pdf" TargetMode="External"/><Relationship Id="rId1" Type="http://schemas.openxmlformats.org/officeDocument/2006/relationships/hyperlink" Target="https://www.rijksoverheid.nl/documenten/rapporten/2025/10/31/eindrapportage-tijd-voor-stevige-keuz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1766</ap:Words>
  <ap:Characters>9714</ap:Characters>
  <ap:DocSecurity>0</ap:DocSecurity>
  <ap:Lines>80</ap:Lines>
  <ap:Paragraphs>22</ap:Paragraphs>
  <ap:ScaleCrop>false</ap:ScaleCrop>
  <ap:LinksUpToDate>false</ap:LinksUpToDate>
  <ap:CharactersWithSpaces>11458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2026-07-02T09:02:00.0000000Z</dcterms:created>
  <dcterms:modified xsi:type="dcterms:W3CDTF">2026-07-02T09:02:00.0000000Z</dcterms:modified>
  <dc:creator/>
  <dc:description>------------------------</dc:description>
  <dc:subject/>
  <dc:title/>
  <keywords/>
  <version/>
  <category/>
</coreProperties>
</file>