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790" w:rsidR="007C548A" w:rsidRDefault="007C548A" w14:paraId="7DB7B3E1" w14:textId="77777777">
      <w:pPr>
        <w:rPr>
          <w:rFonts w:ascii="Times New Roman" w:hAnsi="Times New Roman" w:cs="Times New Roman"/>
        </w:rPr>
      </w:pPr>
      <w:r>
        <w:rPr>
          <w:rFonts w:ascii="Verdana" w:hAnsi="Verdana"/>
          <w:b/>
          <w:bCs/>
          <w:sz w:val="20"/>
          <w:szCs w:val="20"/>
        </w:rPr>
        <w:t>36 615</w:t>
      </w:r>
      <w:r>
        <w:rPr>
          <w:rFonts w:ascii="Verdana" w:hAnsi="Verdana"/>
          <w:b/>
          <w:bCs/>
          <w:sz w:val="20"/>
          <w:szCs w:val="20"/>
        </w:rPr>
        <w:tab/>
      </w:r>
      <w:r w:rsidRPr="00362790">
        <w:rPr>
          <w:rFonts w:ascii="Times New Roman" w:hAnsi="Times New Roman" w:cs="Times New Roman"/>
        </w:rPr>
        <w:t>Verslagen van de commissie voor de Verzoekschriften en de Burgerinitiatieven</w:t>
      </w:r>
    </w:p>
    <w:p w:rsidRPr="007B156B" w:rsidR="00136C66" w:rsidP="007C548A" w:rsidRDefault="007C548A" w14:paraId="21F00E49" w14:textId="012DA07E">
      <w:pPr>
        <w:ind w:left="1410" w:hanging="1410"/>
        <w:rPr>
          <w:rFonts w:ascii="Verdana" w:hAnsi="Verdana"/>
          <w:sz w:val="20"/>
          <w:szCs w:val="20"/>
        </w:rPr>
      </w:pPr>
      <w:r>
        <w:rPr>
          <w:rFonts w:ascii="Verdana" w:hAnsi="Verdana"/>
          <w:b/>
          <w:bCs/>
          <w:sz w:val="20"/>
          <w:szCs w:val="20"/>
        </w:rPr>
        <w:t>Nr. 18</w:t>
      </w:r>
      <w:r>
        <w:rPr>
          <w:rFonts w:ascii="Verdana" w:hAnsi="Verdana"/>
          <w:b/>
          <w:bCs/>
          <w:sz w:val="20"/>
          <w:szCs w:val="20"/>
        </w:rPr>
        <w:tab/>
      </w:r>
      <w:r>
        <w:rPr>
          <w:rFonts w:ascii="Verdana" w:hAnsi="Verdana"/>
          <w:b/>
          <w:bCs/>
          <w:sz w:val="20"/>
          <w:szCs w:val="20"/>
        </w:rPr>
        <w:tab/>
      </w:r>
      <w:r w:rsidR="00C60F24">
        <w:rPr>
          <w:rFonts w:ascii="Verdana" w:hAnsi="Verdana"/>
          <w:b/>
          <w:bCs/>
          <w:sz w:val="20"/>
          <w:szCs w:val="20"/>
        </w:rPr>
        <w:t xml:space="preserve">Verslag </w:t>
      </w:r>
      <w:r w:rsidRPr="007B156B" w:rsidR="00136C66">
        <w:rPr>
          <w:rFonts w:ascii="Verdana" w:hAnsi="Verdana"/>
          <w:b/>
          <w:bCs/>
          <w:sz w:val="20"/>
          <w:szCs w:val="20"/>
        </w:rPr>
        <w:t>over het burgerinitiatief Stop de Postcode</w:t>
      </w:r>
      <w:r w:rsidR="00875779">
        <w:rPr>
          <w:rFonts w:ascii="Verdana" w:hAnsi="Verdana"/>
          <w:b/>
          <w:bCs/>
          <w:sz w:val="20"/>
          <w:szCs w:val="20"/>
        </w:rPr>
        <w:t xml:space="preserve"> L</w:t>
      </w:r>
      <w:r w:rsidRPr="007B156B" w:rsidR="00136C66">
        <w:rPr>
          <w:rFonts w:ascii="Verdana" w:hAnsi="Verdana"/>
          <w:b/>
          <w:bCs/>
          <w:sz w:val="20"/>
          <w:szCs w:val="20"/>
        </w:rPr>
        <w:t>oterij</w:t>
      </w:r>
    </w:p>
    <w:p w:rsidRPr="007B156B" w:rsidR="00136C66" w:rsidP="007C548A" w:rsidRDefault="007C548A" w14:paraId="1160CDC8" w14:textId="2A8BE54D">
      <w:pPr>
        <w:ind w:left="702" w:firstLine="708"/>
        <w:rPr>
          <w:rFonts w:ascii="Verdana" w:hAnsi="Verdana"/>
          <w:sz w:val="20"/>
          <w:szCs w:val="20"/>
        </w:rPr>
      </w:pPr>
      <w:r>
        <w:rPr>
          <w:rFonts w:ascii="Verdana" w:hAnsi="Verdana"/>
          <w:sz w:val="20"/>
          <w:szCs w:val="20"/>
        </w:rPr>
        <w:t xml:space="preserve">Vastgesteld </w:t>
      </w:r>
      <w:r w:rsidR="005E76ED">
        <w:rPr>
          <w:rFonts w:ascii="Verdana" w:hAnsi="Verdana"/>
          <w:sz w:val="20"/>
          <w:szCs w:val="20"/>
        </w:rPr>
        <w:t>2</w:t>
      </w:r>
      <w:r w:rsidRPr="007B156B" w:rsidR="00136C66">
        <w:rPr>
          <w:rFonts w:ascii="Verdana" w:hAnsi="Verdana"/>
          <w:sz w:val="20"/>
          <w:szCs w:val="20"/>
        </w:rPr>
        <w:t xml:space="preserve"> juli 2026 </w:t>
      </w:r>
    </w:p>
    <w:p w:rsidRPr="007B156B" w:rsidR="00136C66" w:rsidP="00136C66" w:rsidRDefault="00136C66" w14:paraId="49C31B2B" w14:textId="77777777">
      <w:pPr>
        <w:rPr>
          <w:rFonts w:ascii="Verdana" w:hAnsi="Verdana"/>
          <w:sz w:val="20"/>
          <w:szCs w:val="20"/>
        </w:rPr>
      </w:pPr>
      <w:r w:rsidRPr="007B156B">
        <w:rPr>
          <w:rFonts w:ascii="Verdana" w:hAnsi="Verdana"/>
          <w:b/>
          <w:bCs/>
          <w:sz w:val="20"/>
          <w:szCs w:val="20"/>
        </w:rPr>
        <w:t xml:space="preserve">Inleiding </w:t>
      </w:r>
    </w:p>
    <w:p w:rsidRPr="007B156B" w:rsidR="00136C66" w:rsidP="00136C66" w:rsidRDefault="00136C66" w14:paraId="5CF60C39" w14:textId="48474716">
      <w:pPr>
        <w:rPr>
          <w:rFonts w:ascii="Verdana" w:hAnsi="Verdana"/>
          <w:sz w:val="20"/>
          <w:szCs w:val="20"/>
        </w:rPr>
      </w:pPr>
      <w:r w:rsidRPr="007B156B">
        <w:rPr>
          <w:rFonts w:ascii="Verdana" w:hAnsi="Verdana"/>
          <w:sz w:val="20"/>
          <w:szCs w:val="20"/>
        </w:rPr>
        <w:t>Dit verslag bevat de beoordeling van de commissie voor de Verzoekschriften en de Burgerinitiatieven (hierna: de commissie) van de ontvankelijkheid van het burgerinitiatief Stop de Postcode</w:t>
      </w:r>
      <w:r w:rsidR="00FF3284">
        <w:rPr>
          <w:rFonts w:ascii="Verdana" w:hAnsi="Verdana"/>
          <w:sz w:val="20"/>
          <w:szCs w:val="20"/>
        </w:rPr>
        <w:t xml:space="preserve"> Lo</w:t>
      </w:r>
      <w:r w:rsidRPr="007B156B">
        <w:rPr>
          <w:rFonts w:ascii="Verdana" w:hAnsi="Verdana"/>
          <w:sz w:val="20"/>
          <w:szCs w:val="20"/>
        </w:rPr>
        <w:t xml:space="preserve">terij. Achtereenvolgens wordt ingegaan op het burgerinitiatief, de ontvankelijkheid, het oordeel van de commissie en tot slot het voorstel van de commissie aan de Kamer. Het voorstel van het burgerinitiatief is bijgevoegd. </w:t>
      </w:r>
    </w:p>
    <w:p w:rsidRPr="007B156B" w:rsidR="00136C66" w:rsidP="00136C66" w:rsidRDefault="00136C66" w14:paraId="663FCB1C" w14:textId="77777777">
      <w:pPr>
        <w:rPr>
          <w:rFonts w:ascii="Verdana" w:hAnsi="Verdana"/>
          <w:sz w:val="20"/>
          <w:szCs w:val="20"/>
        </w:rPr>
      </w:pPr>
      <w:r w:rsidRPr="007B156B">
        <w:rPr>
          <w:rFonts w:ascii="Verdana" w:hAnsi="Verdana"/>
          <w:b/>
          <w:bCs/>
          <w:sz w:val="20"/>
          <w:szCs w:val="20"/>
        </w:rPr>
        <w:t xml:space="preserve">Het burgerinitiatief </w:t>
      </w:r>
    </w:p>
    <w:p w:rsidR="00B84B91" w:rsidP="007B156B" w:rsidRDefault="00136C66" w14:paraId="5435D5D7" w14:textId="468AC4F2">
      <w:pPr>
        <w:rPr>
          <w:rFonts w:ascii="Verdana" w:hAnsi="Verdana"/>
          <w:sz w:val="20"/>
          <w:szCs w:val="20"/>
        </w:rPr>
      </w:pPr>
      <w:r w:rsidRPr="007B156B">
        <w:rPr>
          <w:rFonts w:ascii="Verdana" w:hAnsi="Verdana"/>
          <w:sz w:val="20"/>
          <w:szCs w:val="20"/>
        </w:rPr>
        <w:t>Het burgerinitiatief Stop de Postcode</w:t>
      </w:r>
      <w:r w:rsidR="00FF3284">
        <w:rPr>
          <w:rFonts w:ascii="Verdana" w:hAnsi="Verdana"/>
          <w:sz w:val="20"/>
          <w:szCs w:val="20"/>
        </w:rPr>
        <w:t xml:space="preserve"> L</w:t>
      </w:r>
      <w:r w:rsidRPr="007B156B">
        <w:rPr>
          <w:rFonts w:ascii="Verdana" w:hAnsi="Verdana"/>
          <w:sz w:val="20"/>
          <w:szCs w:val="20"/>
        </w:rPr>
        <w:t xml:space="preserve">oterij is op </w:t>
      </w:r>
      <w:r w:rsidRPr="007B156B" w:rsidR="00C10636">
        <w:rPr>
          <w:rFonts w:ascii="Verdana" w:hAnsi="Verdana"/>
          <w:sz w:val="20"/>
          <w:szCs w:val="20"/>
        </w:rPr>
        <w:t>12</w:t>
      </w:r>
      <w:r w:rsidRPr="007B156B">
        <w:rPr>
          <w:rFonts w:ascii="Verdana" w:hAnsi="Verdana"/>
          <w:sz w:val="20"/>
          <w:szCs w:val="20"/>
        </w:rPr>
        <w:t xml:space="preserve"> mei 2026</w:t>
      </w:r>
      <w:r w:rsidRPr="007B156B" w:rsidR="002714E3">
        <w:rPr>
          <w:rFonts w:ascii="Verdana" w:hAnsi="Verdana"/>
          <w:sz w:val="20"/>
          <w:szCs w:val="20"/>
        </w:rPr>
        <w:t xml:space="preserve"> door initiatiefnemer Rick Broers</w:t>
      </w:r>
      <w:r w:rsidRPr="007B156B">
        <w:rPr>
          <w:rFonts w:ascii="Verdana" w:hAnsi="Verdana"/>
          <w:sz w:val="20"/>
          <w:szCs w:val="20"/>
        </w:rPr>
        <w:t xml:space="preserve"> aangeboden aan de commissie. </w:t>
      </w:r>
    </w:p>
    <w:p w:rsidRPr="007B156B" w:rsidR="00F11C98" w:rsidP="00F11C98" w:rsidRDefault="00F11C98" w14:paraId="1C12BB00" w14:textId="77777777">
      <w:pPr>
        <w:rPr>
          <w:rFonts w:ascii="Verdana" w:hAnsi="Verdana"/>
          <w:sz w:val="20"/>
          <w:szCs w:val="20"/>
        </w:rPr>
      </w:pPr>
      <w:r w:rsidRPr="007B156B">
        <w:rPr>
          <w:rFonts w:ascii="Verdana" w:hAnsi="Verdana"/>
          <w:sz w:val="20"/>
          <w:szCs w:val="20"/>
        </w:rPr>
        <w:t>De huidige opzet van de Postcode Loterij maakt</w:t>
      </w:r>
      <w:r>
        <w:rPr>
          <w:rFonts w:ascii="Verdana" w:hAnsi="Verdana"/>
          <w:sz w:val="20"/>
          <w:szCs w:val="20"/>
        </w:rPr>
        <w:t xml:space="preserve"> volgens de initiatiefnemer</w:t>
      </w:r>
      <w:r w:rsidRPr="007B156B">
        <w:rPr>
          <w:rFonts w:ascii="Verdana" w:hAnsi="Verdana"/>
          <w:sz w:val="20"/>
          <w:szCs w:val="20"/>
        </w:rPr>
        <w:t xml:space="preserve"> gebruik van mechanismen die inspelen op angst om kansen mis te lopen en andere psychologische prikkels. Deze vormen van gedragsbeïnvloeding zijn momenteel slechts beperkt gereguleerd binnen de bestaande kansspelwetgeving.</w:t>
      </w:r>
    </w:p>
    <w:p w:rsidR="00B84B91" w:rsidP="007B156B" w:rsidRDefault="00485687" w14:paraId="74CA9664" w14:textId="6C912460">
      <w:pPr>
        <w:rPr>
          <w:rFonts w:ascii="Verdana" w:hAnsi="Verdana"/>
          <w:sz w:val="20"/>
          <w:szCs w:val="20"/>
        </w:rPr>
      </w:pPr>
      <w:r>
        <w:rPr>
          <w:rFonts w:ascii="Verdana" w:hAnsi="Verdana"/>
          <w:sz w:val="20"/>
          <w:szCs w:val="20"/>
        </w:rPr>
        <w:t>Volgens de initiatiefnemer moeten</w:t>
      </w:r>
      <w:r w:rsidR="00E0722D">
        <w:rPr>
          <w:rFonts w:ascii="Verdana" w:hAnsi="Verdana"/>
          <w:sz w:val="20"/>
          <w:szCs w:val="20"/>
        </w:rPr>
        <w:t xml:space="preserve"> </w:t>
      </w:r>
      <w:r w:rsidRPr="00E0722D" w:rsidR="00E0722D">
        <w:rPr>
          <w:rFonts w:ascii="Verdana" w:hAnsi="Verdana"/>
          <w:sz w:val="20"/>
          <w:szCs w:val="20"/>
        </w:rPr>
        <w:t xml:space="preserve">binnen de Nederlandse kansspelwetgeving aanvullende regels </w:t>
      </w:r>
      <w:r>
        <w:rPr>
          <w:rFonts w:ascii="Verdana" w:hAnsi="Verdana"/>
          <w:sz w:val="20"/>
          <w:szCs w:val="20"/>
        </w:rPr>
        <w:t>worden opgenomen,</w:t>
      </w:r>
      <w:r w:rsidRPr="00E0722D" w:rsidR="00E0722D">
        <w:rPr>
          <w:rFonts w:ascii="Verdana" w:hAnsi="Verdana"/>
          <w:sz w:val="20"/>
          <w:szCs w:val="20"/>
        </w:rPr>
        <w:t xml:space="preserve"> die consumenten beschermen tegen dergelijke mechanismen. Deze regelgeving dient zich te richten op het beperken van systemen en marketingstrategieën die inspelen op verliesaversie, sociale druk en het gevoel van gemiste kansen</w:t>
      </w:r>
      <w:r w:rsidR="0035714D">
        <w:rPr>
          <w:rFonts w:ascii="Verdana" w:hAnsi="Verdana"/>
          <w:sz w:val="20"/>
          <w:szCs w:val="20"/>
        </w:rPr>
        <w:t>.</w:t>
      </w:r>
    </w:p>
    <w:p w:rsidR="0035714D" w:rsidP="007B156B" w:rsidRDefault="0035714D" w14:paraId="4546D722" w14:textId="42F2D0E9">
      <w:pPr>
        <w:rPr>
          <w:rFonts w:ascii="Verdana" w:hAnsi="Verdana"/>
          <w:sz w:val="20"/>
          <w:szCs w:val="20"/>
        </w:rPr>
      </w:pPr>
      <w:r>
        <w:rPr>
          <w:rFonts w:ascii="Verdana" w:hAnsi="Verdana"/>
          <w:sz w:val="20"/>
          <w:szCs w:val="20"/>
        </w:rPr>
        <w:t xml:space="preserve">De initiatiefnemer stelt </w:t>
      </w:r>
      <w:r w:rsidR="006600CD">
        <w:rPr>
          <w:rFonts w:ascii="Verdana" w:hAnsi="Verdana"/>
          <w:sz w:val="20"/>
          <w:szCs w:val="20"/>
        </w:rPr>
        <w:t>voor om:</w:t>
      </w:r>
    </w:p>
    <w:p w:rsidR="007B156B" w:rsidP="001D1624" w:rsidRDefault="001D1624" w14:paraId="5FC15219" w14:textId="2073F137">
      <w:pPr>
        <w:pStyle w:val="Lijstalinea"/>
        <w:numPr>
          <w:ilvl w:val="0"/>
          <w:numId w:val="2"/>
        </w:numPr>
        <w:rPr>
          <w:rFonts w:ascii="Verdana" w:hAnsi="Verdana"/>
          <w:sz w:val="20"/>
          <w:szCs w:val="20"/>
        </w:rPr>
      </w:pPr>
      <w:r>
        <w:rPr>
          <w:rFonts w:ascii="Verdana" w:hAnsi="Verdana"/>
          <w:sz w:val="20"/>
          <w:szCs w:val="20"/>
        </w:rPr>
        <w:t>d</w:t>
      </w:r>
      <w:r w:rsidRPr="006600CD" w:rsidR="003308E0">
        <w:rPr>
          <w:rFonts w:ascii="Verdana" w:hAnsi="Verdana"/>
          <w:sz w:val="20"/>
          <w:szCs w:val="20"/>
        </w:rPr>
        <w:t>e Wet op de kansspelen aan te passen</w:t>
      </w:r>
      <w:r w:rsidRPr="006600CD" w:rsidR="00456B09">
        <w:rPr>
          <w:rFonts w:ascii="Verdana" w:hAnsi="Verdana"/>
          <w:sz w:val="20"/>
          <w:szCs w:val="20"/>
        </w:rPr>
        <w:t xml:space="preserve"> </w:t>
      </w:r>
      <w:r w:rsidRPr="006600CD" w:rsidR="007B156B">
        <w:rPr>
          <w:rFonts w:ascii="Verdana" w:hAnsi="Verdana"/>
          <w:sz w:val="20"/>
          <w:szCs w:val="20"/>
        </w:rPr>
        <w:t>door het invoeren van een verbod op systemen waarbij niet-deelnemers achteraf kunnen vaststellen dat zij een prijs hebben misgelopen.</w:t>
      </w:r>
      <w:r w:rsidRPr="006600CD" w:rsidR="00843D88">
        <w:rPr>
          <w:rFonts w:ascii="Verdana" w:hAnsi="Verdana"/>
          <w:sz w:val="20"/>
          <w:szCs w:val="20"/>
        </w:rPr>
        <w:t xml:space="preserve"> Volgens de initiatiefnemer mogen k</w:t>
      </w:r>
      <w:r w:rsidRPr="006600CD" w:rsidR="007B156B">
        <w:rPr>
          <w:rFonts w:ascii="Verdana" w:hAnsi="Verdana"/>
          <w:sz w:val="20"/>
          <w:szCs w:val="20"/>
        </w:rPr>
        <w:t>ansspelen</w:t>
      </w:r>
      <w:r w:rsidRPr="006600CD" w:rsidR="00843D88">
        <w:rPr>
          <w:rFonts w:ascii="Verdana" w:hAnsi="Verdana"/>
          <w:sz w:val="20"/>
          <w:szCs w:val="20"/>
        </w:rPr>
        <w:t xml:space="preserve"> </w:t>
      </w:r>
      <w:r w:rsidRPr="006600CD" w:rsidR="007B156B">
        <w:rPr>
          <w:rFonts w:ascii="Verdana" w:hAnsi="Verdana"/>
          <w:sz w:val="20"/>
          <w:szCs w:val="20"/>
        </w:rPr>
        <w:t xml:space="preserve">geen prijzen toekennen op basis van kenmerken die deelnemers delen met niet-deelnemers, zoals postcode, achternaam of andere indirect identificerende gegevens, waardoor achteraf kan worden vastgesteld dat een niet-deelnemer een prijs is misgelopen. </w:t>
      </w:r>
    </w:p>
    <w:p w:rsidR="00690657" w:rsidP="00690657" w:rsidRDefault="00EE2438" w14:paraId="0592E61E" w14:textId="08735579">
      <w:pPr>
        <w:pStyle w:val="Lijstalinea"/>
        <w:numPr>
          <w:ilvl w:val="0"/>
          <w:numId w:val="2"/>
        </w:numPr>
        <w:rPr>
          <w:rFonts w:ascii="Verdana" w:hAnsi="Verdana"/>
          <w:sz w:val="20"/>
          <w:szCs w:val="20"/>
        </w:rPr>
      </w:pPr>
      <w:proofErr w:type="spellStart"/>
      <w:r>
        <w:rPr>
          <w:rFonts w:ascii="Verdana" w:hAnsi="Verdana"/>
          <w:sz w:val="20"/>
          <w:szCs w:val="20"/>
        </w:rPr>
        <w:t>f</w:t>
      </w:r>
      <w:r w:rsidRPr="00F11A2B" w:rsidR="006600CD">
        <w:rPr>
          <w:rFonts w:ascii="Verdana" w:hAnsi="Verdana"/>
          <w:sz w:val="20"/>
          <w:szCs w:val="20"/>
        </w:rPr>
        <w:t>ear</w:t>
      </w:r>
      <w:proofErr w:type="spellEnd"/>
      <w:r w:rsidRPr="00F11A2B" w:rsidR="006600CD">
        <w:rPr>
          <w:rFonts w:ascii="Verdana" w:hAnsi="Verdana"/>
          <w:sz w:val="20"/>
          <w:szCs w:val="20"/>
        </w:rPr>
        <w:t>-of-missing-out</w:t>
      </w:r>
      <w:r w:rsidRPr="00F11A2B" w:rsidR="00690657">
        <w:rPr>
          <w:rFonts w:ascii="Verdana" w:hAnsi="Verdana"/>
          <w:sz w:val="20"/>
          <w:szCs w:val="20"/>
        </w:rPr>
        <w:t>-versterkende communicatie</w:t>
      </w:r>
      <w:r w:rsidRPr="00F11A2B" w:rsidR="00F11A2B">
        <w:rPr>
          <w:rFonts w:ascii="Verdana" w:hAnsi="Verdana"/>
          <w:sz w:val="20"/>
          <w:szCs w:val="20"/>
        </w:rPr>
        <w:t xml:space="preserve"> te beperken</w:t>
      </w:r>
      <w:r w:rsidR="00F11A2B">
        <w:rPr>
          <w:rFonts w:ascii="Verdana" w:hAnsi="Verdana"/>
          <w:sz w:val="20"/>
          <w:szCs w:val="20"/>
        </w:rPr>
        <w:t xml:space="preserve"> door d</w:t>
      </w:r>
      <w:r w:rsidRPr="00F11A2B" w:rsidR="00690657">
        <w:rPr>
          <w:rFonts w:ascii="Verdana" w:hAnsi="Verdana"/>
          <w:sz w:val="20"/>
          <w:szCs w:val="20"/>
        </w:rPr>
        <w:t xml:space="preserve">uidelijke grenzen te stellen aan communicatie die inspeelt op het gevoel van </w:t>
      </w:r>
      <w:r w:rsidR="00A05591">
        <w:rPr>
          <w:rFonts w:ascii="Verdana" w:hAnsi="Verdana"/>
          <w:sz w:val="20"/>
          <w:szCs w:val="20"/>
        </w:rPr>
        <w:t>‘</w:t>
      </w:r>
      <w:r w:rsidRPr="00F11A2B" w:rsidR="00690657">
        <w:rPr>
          <w:rFonts w:ascii="Verdana" w:hAnsi="Verdana"/>
          <w:sz w:val="20"/>
          <w:szCs w:val="20"/>
        </w:rPr>
        <w:t>iets mislopen</w:t>
      </w:r>
      <w:r w:rsidR="00A05591">
        <w:rPr>
          <w:rFonts w:ascii="Verdana" w:hAnsi="Verdana"/>
          <w:sz w:val="20"/>
          <w:szCs w:val="20"/>
        </w:rPr>
        <w:t>’</w:t>
      </w:r>
      <w:r w:rsidRPr="00F11A2B" w:rsidR="00690657">
        <w:rPr>
          <w:rFonts w:ascii="Verdana" w:hAnsi="Verdana"/>
          <w:sz w:val="20"/>
          <w:szCs w:val="20"/>
        </w:rPr>
        <w:t>. Reclame voor kansspelen mag daarom geen nadruk leggen op situaties waarin prijzen vallen in de directe omgeving van consumenten</w:t>
      </w:r>
      <w:r w:rsidR="009829AA">
        <w:rPr>
          <w:rFonts w:ascii="Verdana" w:hAnsi="Verdana"/>
          <w:sz w:val="20"/>
          <w:szCs w:val="20"/>
        </w:rPr>
        <w:t xml:space="preserve"> </w:t>
      </w:r>
      <w:r w:rsidRPr="00F11A2B" w:rsidR="00690657">
        <w:rPr>
          <w:rFonts w:ascii="Verdana" w:hAnsi="Verdana"/>
          <w:sz w:val="20"/>
          <w:szCs w:val="20"/>
        </w:rPr>
        <w:t>of waarin gesuggereerd wordt dat niet-deelnemers concreet een kans hebben gemist. Kansspelen moeten worden gepresenteerd als individuele deelname aan een kansspel en niet als een collectieve gebeurtenis waarbij niet-deelnemers expliciet worden geconfronteerd met gemiste kansen.</w:t>
      </w:r>
      <w:r w:rsidR="00890B10">
        <w:rPr>
          <w:rStyle w:val="Voetnootmarkering"/>
          <w:rFonts w:ascii="Verdana" w:hAnsi="Verdana"/>
          <w:sz w:val="20"/>
          <w:szCs w:val="20"/>
        </w:rPr>
        <w:footnoteReference w:id="1"/>
      </w:r>
      <w:r w:rsidRPr="00F11A2B" w:rsidR="00690657">
        <w:rPr>
          <w:rFonts w:ascii="Verdana" w:hAnsi="Verdana"/>
          <w:sz w:val="20"/>
          <w:szCs w:val="20"/>
        </w:rPr>
        <w:t xml:space="preserve"> </w:t>
      </w:r>
    </w:p>
    <w:p w:rsidRPr="0080398D" w:rsidR="0080398D" w:rsidP="0080398D" w:rsidRDefault="0080398D" w14:paraId="2A2F6D1A" w14:textId="77777777">
      <w:pPr>
        <w:rPr>
          <w:rFonts w:ascii="Verdana" w:hAnsi="Verdana"/>
          <w:sz w:val="20"/>
          <w:szCs w:val="20"/>
        </w:rPr>
      </w:pPr>
      <w:r w:rsidRPr="0080398D">
        <w:rPr>
          <w:rFonts w:ascii="Verdana" w:hAnsi="Verdana"/>
          <w:sz w:val="20"/>
          <w:szCs w:val="20"/>
        </w:rPr>
        <w:t>Dit burgerinitiatief richt zich volgens de initiatiefnemer niet op het beëindigen van de Postcode Loterij als geheel, maar op het hervormen van het huidige systeem en het voorkomen van vergelijkbare constructies bij andere loterijen in de toekomst.</w:t>
      </w:r>
    </w:p>
    <w:p w:rsidR="00052EE1" w:rsidP="00136C66" w:rsidRDefault="00052EE1" w14:paraId="2760D21D" w14:textId="77777777">
      <w:pPr>
        <w:rPr>
          <w:rFonts w:ascii="Verdana" w:hAnsi="Verdana"/>
          <w:b/>
          <w:bCs/>
          <w:sz w:val="20"/>
          <w:szCs w:val="20"/>
        </w:rPr>
      </w:pPr>
    </w:p>
    <w:p w:rsidRPr="007B156B" w:rsidR="00136C66" w:rsidP="00136C66" w:rsidRDefault="00136C66" w14:paraId="50EB4C4C" w14:textId="1DB0EC2A">
      <w:pPr>
        <w:rPr>
          <w:rFonts w:ascii="Verdana" w:hAnsi="Verdana"/>
          <w:sz w:val="20"/>
          <w:szCs w:val="20"/>
        </w:rPr>
      </w:pPr>
      <w:r w:rsidRPr="007B156B">
        <w:rPr>
          <w:rFonts w:ascii="Verdana" w:hAnsi="Verdana"/>
          <w:b/>
          <w:bCs/>
          <w:sz w:val="20"/>
          <w:szCs w:val="20"/>
        </w:rPr>
        <w:lastRenderedPageBreak/>
        <w:t xml:space="preserve">Ontvankelijkheid </w:t>
      </w:r>
    </w:p>
    <w:p w:rsidR="000203A3" w:rsidP="00136C66" w:rsidRDefault="00136C66" w14:paraId="1F0EC644" w14:textId="77777777">
      <w:pPr>
        <w:rPr>
          <w:rFonts w:ascii="Verdana" w:hAnsi="Verdana"/>
          <w:sz w:val="20"/>
          <w:szCs w:val="20"/>
        </w:rPr>
      </w:pPr>
      <w:r w:rsidRPr="007B156B">
        <w:rPr>
          <w:rFonts w:ascii="Verdana" w:hAnsi="Verdana"/>
          <w:sz w:val="20"/>
          <w:szCs w:val="20"/>
        </w:rPr>
        <w:t xml:space="preserve">De commissie heeft onderzocht of het burgerinitiatief voldoet aan de daaraan door de Kamer gestelde procedurele en inhoudelijke vereisten. De vereisten staan vermeld in artikel 4 van </w:t>
      </w:r>
      <w:r w:rsidR="00826452">
        <w:rPr>
          <w:rFonts w:ascii="Verdana" w:hAnsi="Verdana"/>
          <w:sz w:val="20"/>
          <w:szCs w:val="20"/>
        </w:rPr>
        <w:t xml:space="preserve">de </w:t>
      </w:r>
      <w:hyperlink w:history="1" r:id="rId11">
        <w:r w:rsidRPr="00826452" w:rsidR="00826452">
          <w:rPr>
            <w:rStyle w:val="Hyperlink"/>
            <w:rFonts w:ascii="Verdana" w:hAnsi="Verdana"/>
            <w:sz w:val="20"/>
            <w:szCs w:val="20"/>
          </w:rPr>
          <w:t>Regeling van d</w:t>
        </w:r>
        <w:r w:rsidRPr="00826452">
          <w:rPr>
            <w:rStyle w:val="Hyperlink"/>
            <w:rFonts w:ascii="Verdana" w:hAnsi="Verdana"/>
            <w:sz w:val="20"/>
            <w:szCs w:val="20"/>
          </w:rPr>
          <w:t>e commissie</w:t>
        </w:r>
      </w:hyperlink>
      <w:r w:rsidR="00052EE1">
        <w:rPr>
          <w:rFonts w:ascii="Verdana" w:hAnsi="Verdana"/>
          <w:sz w:val="20"/>
          <w:szCs w:val="20"/>
        </w:rPr>
        <w:t xml:space="preserve"> voor de Verzoekschriften en de Burgerinitiatieven (hierna: de Regeling)</w:t>
      </w:r>
      <w:r w:rsidRPr="007B156B">
        <w:rPr>
          <w:rFonts w:ascii="Verdana" w:hAnsi="Verdana"/>
          <w:sz w:val="20"/>
          <w:szCs w:val="20"/>
        </w:rPr>
        <w:t>.</w:t>
      </w:r>
      <w:r w:rsidR="00890B10">
        <w:rPr>
          <w:rStyle w:val="Voetnootmarkering"/>
          <w:rFonts w:ascii="Verdana" w:hAnsi="Verdana"/>
          <w:sz w:val="20"/>
          <w:szCs w:val="20"/>
        </w:rPr>
        <w:footnoteReference w:id="2"/>
      </w:r>
      <w:r w:rsidRPr="007B156B">
        <w:rPr>
          <w:rFonts w:ascii="Verdana" w:hAnsi="Verdana"/>
          <w:sz w:val="20"/>
          <w:szCs w:val="20"/>
        </w:rPr>
        <w:t xml:space="preserve"> </w:t>
      </w:r>
    </w:p>
    <w:p w:rsidRPr="007B156B" w:rsidR="00136C66" w:rsidP="00136C66" w:rsidRDefault="00136C66" w14:paraId="6DDADF97" w14:textId="3C979A7F">
      <w:pPr>
        <w:rPr>
          <w:rFonts w:ascii="Verdana" w:hAnsi="Verdana"/>
          <w:sz w:val="20"/>
          <w:szCs w:val="20"/>
        </w:rPr>
      </w:pPr>
      <w:r w:rsidRPr="007B156B">
        <w:rPr>
          <w:rFonts w:ascii="Verdana" w:hAnsi="Verdana"/>
          <w:sz w:val="20"/>
          <w:szCs w:val="20"/>
        </w:rPr>
        <w:t xml:space="preserve">De belangrijkste procedurele vereisten gaan over de aangeleverde steunbetuigingen. Voor de inhoudelijke beoordeling kijkt de commissie met name naar het zogenaamde </w:t>
      </w:r>
      <w:proofErr w:type="spellStart"/>
      <w:r w:rsidRPr="007B156B">
        <w:rPr>
          <w:rFonts w:ascii="Verdana" w:hAnsi="Verdana"/>
          <w:sz w:val="20"/>
          <w:szCs w:val="20"/>
        </w:rPr>
        <w:t>tweej</w:t>
      </w:r>
      <w:r w:rsidR="00184486">
        <w:rPr>
          <w:rFonts w:ascii="Verdana" w:hAnsi="Verdana"/>
          <w:sz w:val="20"/>
          <w:szCs w:val="20"/>
        </w:rPr>
        <w:t>aars</w:t>
      </w:r>
      <w:r w:rsidRPr="007B156B">
        <w:rPr>
          <w:rFonts w:ascii="Verdana" w:hAnsi="Verdana"/>
          <w:sz w:val="20"/>
          <w:szCs w:val="20"/>
        </w:rPr>
        <w:t>criterium</w:t>
      </w:r>
      <w:proofErr w:type="spellEnd"/>
      <w:r w:rsidRPr="007B156B">
        <w:rPr>
          <w:rFonts w:ascii="Verdana" w:hAnsi="Verdana"/>
          <w:sz w:val="20"/>
          <w:szCs w:val="20"/>
        </w:rPr>
        <w:t xml:space="preserve">. Dit houdt in dat een burgerinitiatief niet betrekking kan hebben op een onderwerp waarover korter dan twee jaar voor de indiening van het burgerinitiatief door de Kamer een besluit is genomen, tenzij er voldoende concrete nieuwe feiten en omstandigheden zijn die de Kamer bij de eerdere besluitvorming niet bekend waren (artikel 4, derde lid, onder c van </w:t>
      </w:r>
      <w:r w:rsidR="00052EE1">
        <w:rPr>
          <w:rFonts w:ascii="Verdana" w:hAnsi="Verdana"/>
          <w:sz w:val="20"/>
          <w:szCs w:val="20"/>
        </w:rPr>
        <w:t>de Regeling</w:t>
      </w:r>
      <w:r w:rsidRPr="007B156B">
        <w:rPr>
          <w:rFonts w:ascii="Verdana" w:hAnsi="Verdana"/>
          <w:sz w:val="20"/>
          <w:szCs w:val="20"/>
        </w:rPr>
        <w:t xml:space="preserve">). </w:t>
      </w:r>
    </w:p>
    <w:p w:rsidRPr="007B156B" w:rsidR="00136C66" w:rsidP="00136C66" w:rsidRDefault="00136C66" w14:paraId="00C097D9" w14:textId="7ACAABCF">
      <w:pPr>
        <w:rPr>
          <w:rFonts w:ascii="Verdana" w:hAnsi="Verdana"/>
          <w:sz w:val="20"/>
          <w:szCs w:val="20"/>
        </w:rPr>
      </w:pPr>
      <w:r w:rsidRPr="007B156B">
        <w:rPr>
          <w:rFonts w:ascii="Verdana" w:hAnsi="Verdana"/>
          <w:sz w:val="20"/>
          <w:szCs w:val="20"/>
        </w:rPr>
        <w:t xml:space="preserve">Ten aanzien van </w:t>
      </w:r>
      <w:r w:rsidR="000203A3">
        <w:rPr>
          <w:rFonts w:ascii="Verdana" w:hAnsi="Verdana"/>
          <w:sz w:val="20"/>
          <w:szCs w:val="20"/>
        </w:rPr>
        <w:t>het aantal</w:t>
      </w:r>
      <w:r w:rsidRPr="007B156B">
        <w:rPr>
          <w:rFonts w:ascii="Verdana" w:hAnsi="Verdana"/>
          <w:sz w:val="20"/>
          <w:szCs w:val="20"/>
        </w:rPr>
        <w:t xml:space="preserve"> steunbetuigingen constateert de commissie dat het burgerinitiatief is voorzien van de minimaal vereiste 40.000 steunbetuigingen: in totaal zijn e</w:t>
      </w:r>
      <w:r w:rsidRPr="00B55DE4">
        <w:rPr>
          <w:rFonts w:ascii="Verdana" w:hAnsi="Verdana"/>
          <w:sz w:val="20"/>
          <w:szCs w:val="20"/>
        </w:rPr>
        <w:t>r 4</w:t>
      </w:r>
      <w:r w:rsidRPr="00B55DE4" w:rsidR="00B55DE4">
        <w:rPr>
          <w:rFonts w:ascii="Verdana" w:hAnsi="Verdana"/>
          <w:sz w:val="20"/>
          <w:szCs w:val="20"/>
        </w:rPr>
        <w:t>3</w:t>
      </w:r>
      <w:r w:rsidRPr="00B55DE4">
        <w:rPr>
          <w:rFonts w:ascii="Verdana" w:hAnsi="Verdana"/>
          <w:sz w:val="20"/>
          <w:szCs w:val="20"/>
        </w:rPr>
        <w:t>.</w:t>
      </w:r>
      <w:r w:rsidRPr="00B55DE4" w:rsidR="00B55DE4">
        <w:rPr>
          <w:rFonts w:ascii="Verdana" w:hAnsi="Verdana"/>
          <w:sz w:val="20"/>
          <w:szCs w:val="20"/>
        </w:rPr>
        <w:t>296</w:t>
      </w:r>
      <w:r w:rsidRPr="007B156B">
        <w:rPr>
          <w:rFonts w:ascii="Verdana" w:hAnsi="Verdana"/>
          <w:sz w:val="20"/>
          <w:szCs w:val="20"/>
        </w:rPr>
        <w:t xml:space="preserve"> steunbetuigingen aangeleverd. De steunbetuigingen zijn door middel van een aselecte steekproef gecontroleerd. </w:t>
      </w:r>
    </w:p>
    <w:p w:rsidR="00645A23" w:rsidP="00904274" w:rsidRDefault="00136C66" w14:paraId="1155F76B" w14:textId="1EB45088">
      <w:pPr>
        <w:rPr>
          <w:rFonts w:ascii="Verdana" w:hAnsi="Verdana"/>
          <w:sz w:val="20"/>
          <w:szCs w:val="20"/>
        </w:rPr>
      </w:pPr>
      <w:r w:rsidRPr="00904274">
        <w:rPr>
          <w:rFonts w:ascii="Verdana" w:hAnsi="Verdana"/>
          <w:sz w:val="20"/>
          <w:szCs w:val="20"/>
        </w:rPr>
        <w:t xml:space="preserve">Ten aanzien van het </w:t>
      </w:r>
      <w:proofErr w:type="spellStart"/>
      <w:r w:rsidRPr="00904274">
        <w:rPr>
          <w:rFonts w:ascii="Verdana" w:hAnsi="Verdana"/>
          <w:sz w:val="20"/>
          <w:szCs w:val="20"/>
        </w:rPr>
        <w:t>tweeja</w:t>
      </w:r>
      <w:r w:rsidRPr="00904274" w:rsidR="00184486">
        <w:rPr>
          <w:rFonts w:ascii="Verdana" w:hAnsi="Verdana"/>
          <w:sz w:val="20"/>
          <w:szCs w:val="20"/>
        </w:rPr>
        <w:t>ars</w:t>
      </w:r>
      <w:r w:rsidRPr="00904274">
        <w:rPr>
          <w:rFonts w:ascii="Verdana" w:hAnsi="Verdana"/>
          <w:sz w:val="20"/>
          <w:szCs w:val="20"/>
        </w:rPr>
        <w:t>criterium</w:t>
      </w:r>
      <w:proofErr w:type="spellEnd"/>
      <w:r w:rsidRPr="00904274">
        <w:rPr>
          <w:rFonts w:ascii="Verdana" w:hAnsi="Verdana"/>
          <w:sz w:val="20"/>
          <w:szCs w:val="20"/>
        </w:rPr>
        <w:t xml:space="preserve"> </w:t>
      </w:r>
      <w:r w:rsidR="001D1624">
        <w:rPr>
          <w:rFonts w:ascii="Verdana" w:hAnsi="Verdana"/>
          <w:sz w:val="20"/>
          <w:szCs w:val="20"/>
        </w:rPr>
        <w:t xml:space="preserve">wat betreft </w:t>
      </w:r>
      <w:r w:rsidR="00154BFC">
        <w:rPr>
          <w:rFonts w:ascii="Verdana" w:hAnsi="Verdana"/>
          <w:sz w:val="20"/>
          <w:szCs w:val="20"/>
        </w:rPr>
        <w:t xml:space="preserve">het eerste </w:t>
      </w:r>
      <w:r w:rsidR="00E309D3">
        <w:rPr>
          <w:rFonts w:ascii="Verdana" w:hAnsi="Verdana"/>
          <w:sz w:val="20"/>
          <w:szCs w:val="20"/>
        </w:rPr>
        <w:t>voorstel</w:t>
      </w:r>
      <w:r w:rsidR="001D1624">
        <w:rPr>
          <w:rFonts w:ascii="Verdana" w:hAnsi="Verdana"/>
          <w:sz w:val="20"/>
          <w:szCs w:val="20"/>
        </w:rPr>
        <w:t xml:space="preserve"> van het burgerinitiatief </w:t>
      </w:r>
      <w:r w:rsidRPr="00904274">
        <w:rPr>
          <w:rFonts w:ascii="Verdana" w:hAnsi="Verdana"/>
          <w:sz w:val="20"/>
          <w:szCs w:val="20"/>
        </w:rPr>
        <w:t xml:space="preserve">constateert de commissie dat </w:t>
      </w:r>
      <w:r w:rsidRPr="00904274" w:rsidR="00A039F2">
        <w:rPr>
          <w:rFonts w:ascii="Verdana" w:hAnsi="Verdana"/>
          <w:sz w:val="20"/>
          <w:szCs w:val="20"/>
        </w:rPr>
        <w:t>onderwerpen</w:t>
      </w:r>
      <w:r w:rsidR="00E309D3">
        <w:rPr>
          <w:rFonts w:ascii="Verdana" w:hAnsi="Verdana"/>
          <w:sz w:val="20"/>
          <w:szCs w:val="20"/>
        </w:rPr>
        <w:t>,</w:t>
      </w:r>
      <w:r w:rsidRPr="00904274" w:rsidR="00A039F2">
        <w:rPr>
          <w:rFonts w:ascii="Verdana" w:hAnsi="Verdana"/>
          <w:sz w:val="20"/>
          <w:szCs w:val="20"/>
        </w:rPr>
        <w:t xml:space="preserve"> die de Wet op de kansspelen raken, diverse ker</w:t>
      </w:r>
      <w:r w:rsidR="0030682D">
        <w:rPr>
          <w:rFonts w:ascii="Verdana" w:hAnsi="Verdana"/>
          <w:sz w:val="20"/>
          <w:szCs w:val="20"/>
        </w:rPr>
        <w:t>e</w:t>
      </w:r>
      <w:r w:rsidRPr="00904274" w:rsidR="00A039F2">
        <w:rPr>
          <w:rFonts w:ascii="Verdana" w:hAnsi="Verdana"/>
          <w:sz w:val="20"/>
          <w:szCs w:val="20"/>
        </w:rPr>
        <w:t xml:space="preserve">n </w:t>
      </w:r>
      <w:r w:rsidR="0030682D">
        <w:rPr>
          <w:rFonts w:ascii="Verdana" w:hAnsi="Verdana"/>
          <w:sz w:val="20"/>
          <w:szCs w:val="20"/>
        </w:rPr>
        <w:t xml:space="preserve">in algemene zin </w:t>
      </w:r>
      <w:r w:rsidR="000566B2">
        <w:rPr>
          <w:rFonts w:ascii="Verdana" w:hAnsi="Verdana"/>
          <w:sz w:val="20"/>
          <w:szCs w:val="20"/>
        </w:rPr>
        <w:t>aan de orde zijn gesteld</w:t>
      </w:r>
      <w:r w:rsidRPr="00904274" w:rsidR="00A039F2">
        <w:rPr>
          <w:rFonts w:ascii="Verdana" w:hAnsi="Verdana"/>
          <w:sz w:val="20"/>
          <w:szCs w:val="20"/>
        </w:rPr>
        <w:t xml:space="preserve"> in de Kamer</w:t>
      </w:r>
      <w:r w:rsidR="003E4682">
        <w:rPr>
          <w:rFonts w:ascii="Verdana" w:hAnsi="Verdana"/>
          <w:sz w:val="20"/>
          <w:szCs w:val="20"/>
        </w:rPr>
        <w:t xml:space="preserve">. Dit betreft vooral </w:t>
      </w:r>
      <w:r w:rsidR="00486325">
        <w:rPr>
          <w:rFonts w:ascii="Verdana" w:hAnsi="Verdana"/>
          <w:sz w:val="20"/>
          <w:szCs w:val="20"/>
        </w:rPr>
        <w:t>het onderwerp</w:t>
      </w:r>
      <w:r w:rsidR="003E4682">
        <w:rPr>
          <w:rFonts w:ascii="Verdana" w:hAnsi="Verdana"/>
          <w:sz w:val="20"/>
          <w:szCs w:val="20"/>
        </w:rPr>
        <w:t xml:space="preserve"> </w:t>
      </w:r>
      <w:r w:rsidR="001A2969">
        <w:rPr>
          <w:rFonts w:ascii="Verdana" w:hAnsi="Verdana"/>
          <w:sz w:val="20"/>
          <w:szCs w:val="20"/>
        </w:rPr>
        <w:t>‘</w:t>
      </w:r>
      <w:r w:rsidR="003E4682">
        <w:rPr>
          <w:rFonts w:ascii="Verdana" w:hAnsi="Verdana"/>
          <w:sz w:val="20"/>
          <w:szCs w:val="20"/>
        </w:rPr>
        <w:t>online</w:t>
      </w:r>
      <w:r w:rsidR="00C30A2D">
        <w:rPr>
          <w:rFonts w:ascii="Verdana" w:hAnsi="Verdana"/>
          <w:sz w:val="20"/>
          <w:szCs w:val="20"/>
        </w:rPr>
        <w:t xml:space="preserve"> </w:t>
      </w:r>
      <w:r w:rsidR="003E4682">
        <w:rPr>
          <w:rFonts w:ascii="Verdana" w:hAnsi="Verdana"/>
          <w:sz w:val="20"/>
          <w:szCs w:val="20"/>
        </w:rPr>
        <w:t>kansspelen</w:t>
      </w:r>
      <w:r w:rsidR="001A2969">
        <w:rPr>
          <w:rFonts w:ascii="Verdana" w:hAnsi="Verdana"/>
          <w:sz w:val="20"/>
          <w:szCs w:val="20"/>
        </w:rPr>
        <w:t>’</w:t>
      </w:r>
      <w:r w:rsidR="00092E66">
        <w:rPr>
          <w:rFonts w:ascii="Verdana" w:hAnsi="Verdana"/>
          <w:sz w:val="20"/>
          <w:szCs w:val="20"/>
        </w:rPr>
        <w:t>, dat onder meer tijdens</w:t>
      </w:r>
      <w:r w:rsidR="00C30A2D">
        <w:rPr>
          <w:rFonts w:ascii="Verdana" w:hAnsi="Verdana"/>
          <w:sz w:val="20"/>
          <w:szCs w:val="20"/>
        </w:rPr>
        <w:t xml:space="preserve"> </w:t>
      </w:r>
      <w:r w:rsidR="00092E66">
        <w:rPr>
          <w:rFonts w:ascii="Verdana" w:hAnsi="Verdana"/>
          <w:sz w:val="20"/>
          <w:szCs w:val="20"/>
        </w:rPr>
        <w:t xml:space="preserve">een commissiedebat over kansspelen op 27 maart 2025 </w:t>
      </w:r>
      <w:r w:rsidR="007D7BC7">
        <w:rPr>
          <w:rFonts w:ascii="Verdana" w:hAnsi="Verdana"/>
          <w:sz w:val="20"/>
          <w:szCs w:val="20"/>
        </w:rPr>
        <w:t>is besproken</w:t>
      </w:r>
      <w:r w:rsidR="00486325">
        <w:rPr>
          <w:rFonts w:ascii="Verdana" w:hAnsi="Verdana"/>
          <w:sz w:val="20"/>
          <w:szCs w:val="20"/>
        </w:rPr>
        <w:t>.</w:t>
      </w:r>
      <w:r w:rsidR="007D7BC7">
        <w:rPr>
          <w:rStyle w:val="Voetnootmarkering"/>
          <w:rFonts w:ascii="Verdana" w:hAnsi="Verdana"/>
          <w:sz w:val="20"/>
          <w:szCs w:val="20"/>
        </w:rPr>
        <w:footnoteReference w:id="3"/>
      </w:r>
      <w:r w:rsidR="00486325">
        <w:rPr>
          <w:rFonts w:ascii="Verdana" w:hAnsi="Verdana"/>
          <w:sz w:val="20"/>
          <w:szCs w:val="20"/>
        </w:rPr>
        <w:t xml:space="preserve"> </w:t>
      </w:r>
      <w:r w:rsidR="0090612B">
        <w:rPr>
          <w:rFonts w:ascii="Verdana" w:hAnsi="Verdana"/>
          <w:sz w:val="20"/>
          <w:szCs w:val="20"/>
        </w:rPr>
        <w:t>In de periode december 2025 tot en met april 2026</w:t>
      </w:r>
      <w:r w:rsidR="00C16383">
        <w:rPr>
          <w:rFonts w:ascii="Verdana" w:hAnsi="Verdana"/>
          <w:sz w:val="20"/>
          <w:szCs w:val="20"/>
        </w:rPr>
        <w:t xml:space="preserve"> </w:t>
      </w:r>
      <w:r w:rsidR="00E309D3">
        <w:rPr>
          <w:rFonts w:ascii="Verdana" w:hAnsi="Verdana"/>
          <w:sz w:val="20"/>
          <w:szCs w:val="20"/>
        </w:rPr>
        <w:t>is</w:t>
      </w:r>
      <w:r w:rsidR="00C16383">
        <w:rPr>
          <w:rFonts w:ascii="Verdana" w:hAnsi="Verdana"/>
          <w:sz w:val="20"/>
          <w:szCs w:val="20"/>
        </w:rPr>
        <w:t xml:space="preserve"> een tweetal brieven van de staatssecretaris van </w:t>
      </w:r>
      <w:r w:rsidR="00AE2E50">
        <w:rPr>
          <w:rFonts w:ascii="Verdana" w:hAnsi="Verdana"/>
          <w:sz w:val="20"/>
          <w:szCs w:val="20"/>
        </w:rPr>
        <w:t>Justitie</w:t>
      </w:r>
      <w:r w:rsidR="00C16383">
        <w:rPr>
          <w:rFonts w:ascii="Verdana" w:hAnsi="Verdana"/>
          <w:sz w:val="20"/>
          <w:szCs w:val="20"/>
        </w:rPr>
        <w:t xml:space="preserve"> en Veiligheid naar de Kamer gestuurd over online</w:t>
      </w:r>
      <w:r w:rsidR="00C30A2D">
        <w:rPr>
          <w:rFonts w:ascii="Verdana" w:hAnsi="Verdana"/>
          <w:sz w:val="20"/>
          <w:szCs w:val="20"/>
        </w:rPr>
        <w:t xml:space="preserve"> </w:t>
      </w:r>
      <w:r w:rsidR="00C16383">
        <w:rPr>
          <w:rFonts w:ascii="Verdana" w:hAnsi="Verdana"/>
          <w:sz w:val="20"/>
          <w:szCs w:val="20"/>
        </w:rPr>
        <w:t>kansspelen</w:t>
      </w:r>
      <w:r w:rsidR="00465074">
        <w:rPr>
          <w:rFonts w:ascii="Verdana" w:hAnsi="Verdana"/>
          <w:sz w:val="20"/>
          <w:szCs w:val="20"/>
        </w:rPr>
        <w:t>, risico’s op gokschade en onderzoeken over kansspelen.</w:t>
      </w:r>
      <w:r w:rsidR="00465074">
        <w:rPr>
          <w:rStyle w:val="Voetnootmarkering"/>
          <w:rFonts w:ascii="Verdana" w:hAnsi="Verdana"/>
          <w:sz w:val="20"/>
          <w:szCs w:val="20"/>
        </w:rPr>
        <w:footnoteReference w:id="4"/>
      </w:r>
      <w:r w:rsidR="00AE2E50">
        <w:rPr>
          <w:rFonts w:ascii="Verdana" w:hAnsi="Verdana"/>
          <w:sz w:val="20"/>
          <w:szCs w:val="20"/>
        </w:rPr>
        <w:t xml:space="preserve"> De vaste commissie voor Justitie en Veiligheid h</w:t>
      </w:r>
      <w:r w:rsidR="002B7612">
        <w:rPr>
          <w:rFonts w:ascii="Verdana" w:hAnsi="Verdana"/>
          <w:sz w:val="20"/>
          <w:szCs w:val="20"/>
        </w:rPr>
        <w:t xml:space="preserve">eeft besloten beide brieven te agenderen voor het commissiedebat Kansspelen </w:t>
      </w:r>
      <w:r w:rsidRPr="00C30A2D" w:rsidR="002B7612">
        <w:rPr>
          <w:rFonts w:ascii="Verdana" w:hAnsi="Verdana"/>
          <w:sz w:val="20"/>
          <w:szCs w:val="20"/>
        </w:rPr>
        <w:t>d.d.</w:t>
      </w:r>
      <w:r w:rsidRPr="00C30A2D" w:rsidR="00986A9A">
        <w:rPr>
          <w:rFonts w:ascii="Verdana" w:hAnsi="Verdana"/>
          <w:sz w:val="20"/>
          <w:szCs w:val="20"/>
        </w:rPr>
        <w:t xml:space="preserve"> 3 september </w:t>
      </w:r>
      <w:r w:rsidRPr="00C30A2D" w:rsidR="00644BC3">
        <w:rPr>
          <w:rFonts w:ascii="Verdana" w:hAnsi="Verdana"/>
          <w:sz w:val="20"/>
          <w:szCs w:val="20"/>
        </w:rPr>
        <w:t>2026.</w:t>
      </w:r>
    </w:p>
    <w:p w:rsidR="00176B8E" w:rsidP="00904274" w:rsidRDefault="00176B8E" w14:paraId="2C9CD440" w14:textId="77777777">
      <w:pPr>
        <w:rPr>
          <w:rFonts w:ascii="Verdana" w:hAnsi="Verdana"/>
          <w:sz w:val="20"/>
          <w:szCs w:val="20"/>
        </w:rPr>
      </w:pPr>
    </w:p>
    <w:p w:rsidR="00176B8E" w:rsidP="00904274" w:rsidRDefault="00176B8E" w14:paraId="3ED550DF" w14:textId="77777777">
      <w:pPr>
        <w:rPr>
          <w:rFonts w:ascii="Verdana" w:hAnsi="Verdana"/>
          <w:sz w:val="20"/>
          <w:szCs w:val="20"/>
        </w:rPr>
      </w:pPr>
    </w:p>
    <w:p w:rsidR="008F394F" w:rsidP="00904274" w:rsidRDefault="00054107" w14:paraId="4989088C" w14:textId="6929F017">
      <w:pPr>
        <w:rPr>
          <w:rFonts w:ascii="Verdana" w:hAnsi="Verdana"/>
          <w:sz w:val="20"/>
          <w:szCs w:val="20"/>
        </w:rPr>
      </w:pPr>
      <w:r>
        <w:rPr>
          <w:rFonts w:ascii="Verdana" w:hAnsi="Verdana"/>
          <w:sz w:val="20"/>
          <w:szCs w:val="20"/>
        </w:rPr>
        <w:lastRenderedPageBreak/>
        <w:t xml:space="preserve">Wat betreft </w:t>
      </w:r>
      <w:r w:rsidR="00154BFC">
        <w:rPr>
          <w:rFonts w:ascii="Verdana" w:hAnsi="Verdana"/>
          <w:sz w:val="20"/>
          <w:szCs w:val="20"/>
        </w:rPr>
        <w:t xml:space="preserve">het tweede </w:t>
      </w:r>
      <w:r w:rsidR="00E309D3">
        <w:rPr>
          <w:rFonts w:ascii="Verdana" w:hAnsi="Verdana"/>
          <w:sz w:val="20"/>
          <w:szCs w:val="20"/>
        </w:rPr>
        <w:t>voorstel</w:t>
      </w:r>
      <w:r>
        <w:rPr>
          <w:rFonts w:ascii="Verdana" w:hAnsi="Verdana"/>
          <w:sz w:val="20"/>
          <w:szCs w:val="20"/>
        </w:rPr>
        <w:t xml:space="preserve"> van het burgerinitiatief is </w:t>
      </w:r>
      <w:r w:rsidR="000C4FC4">
        <w:rPr>
          <w:rFonts w:ascii="Verdana" w:hAnsi="Verdana"/>
          <w:sz w:val="20"/>
          <w:szCs w:val="20"/>
        </w:rPr>
        <w:t>tijdens</w:t>
      </w:r>
      <w:r w:rsidR="007D7BC7">
        <w:rPr>
          <w:rFonts w:ascii="Verdana" w:hAnsi="Verdana"/>
          <w:sz w:val="20"/>
          <w:szCs w:val="20"/>
        </w:rPr>
        <w:t xml:space="preserve"> voornoemd</w:t>
      </w:r>
      <w:r w:rsidR="000C4FC4">
        <w:rPr>
          <w:rFonts w:ascii="Verdana" w:hAnsi="Verdana"/>
          <w:sz w:val="20"/>
          <w:szCs w:val="20"/>
        </w:rPr>
        <w:t xml:space="preserve"> commissiedebat over kansspelen op 27 maart 2025</w:t>
      </w:r>
      <w:r w:rsidR="00A15FE9">
        <w:rPr>
          <w:rFonts w:ascii="Verdana" w:hAnsi="Verdana"/>
          <w:sz w:val="20"/>
          <w:szCs w:val="20"/>
        </w:rPr>
        <w:t xml:space="preserve"> </w:t>
      </w:r>
      <w:r w:rsidR="007D7BC7">
        <w:rPr>
          <w:rFonts w:ascii="Verdana" w:hAnsi="Verdana"/>
          <w:sz w:val="20"/>
          <w:szCs w:val="20"/>
        </w:rPr>
        <w:t xml:space="preserve">ook </w:t>
      </w:r>
      <w:r w:rsidR="00A15FE9">
        <w:rPr>
          <w:rFonts w:ascii="Verdana" w:hAnsi="Verdana"/>
          <w:sz w:val="20"/>
          <w:szCs w:val="20"/>
        </w:rPr>
        <w:t>gesproken over kansspelreclame en de effecten daarvan</w:t>
      </w:r>
      <w:r w:rsidR="00533369">
        <w:rPr>
          <w:rFonts w:ascii="Verdana" w:hAnsi="Verdana"/>
          <w:sz w:val="20"/>
          <w:szCs w:val="20"/>
        </w:rPr>
        <w:t>.</w:t>
      </w:r>
      <w:r w:rsidR="001F06D5">
        <w:rPr>
          <w:rStyle w:val="Voetnootmarkering"/>
          <w:rFonts w:ascii="Verdana" w:hAnsi="Verdana"/>
          <w:sz w:val="20"/>
          <w:szCs w:val="20"/>
        </w:rPr>
        <w:footnoteReference w:id="5"/>
      </w:r>
      <w:r w:rsidR="00A779A0">
        <w:rPr>
          <w:rFonts w:ascii="Verdana" w:hAnsi="Verdana"/>
          <w:sz w:val="20"/>
          <w:szCs w:val="20"/>
        </w:rPr>
        <w:t xml:space="preserve"> </w:t>
      </w:r>
    </w:p>
    <w:p w:rsidR="00533369" w:rsidP="00904274" w:rsidRDefault="00A779A0" w14:paraId="464E2FC2" w14:textId="32048A24">
      <w:pPr>
        <w:rPr>
          <w:rFonts w:ascii="Verdana" w:hAnsi="Verdana"/>
          <w:sz w:val="20"/>
          <w:szCs w:val="20"/>
        </w:rPr>
      </w:pPr>
      <w:r>
        <w:rPr>
          <w:rFonts w:ascii="Verdana" w:hAnsi="Verdana"/>
          <w:sz w:val="20"/>
          <w:szCs w:val="20"/>
        </w:rPr>
        <w:t>Tijdens een tweeminu</w:t>
      </w:r>
      <w:r w:rsidR="00EC0D39">
        <w:rPr>
          <w:rFonts w:ascii="Verdana" w:hAnsi="Verdana"/>
          <w:sz w:val="20"/>
          <w:szCs w:val="20"/>
        </w:rPr>
        <w:t>tendebat</w:t>
      </w:r>
      <w:r w:rsidR="008F394F">
        <w:rPr>
          <w:rFonts w:ascii="Verdana" w:hAnsi="Verdana"/>
          <w:sz w:val="20"/>
          <w:szCs w:val="20"/>
        </w:rPr>
        <w:t xml:space="preserve"> Kansspelen</w:t>
      </w:r>
      <w:r w:rsidR="00EC0D39">
        <w:rPr>
          <w:rFonts w:ascii="Verdana" w:hAnsi="Verdana"/>
          <w:sz w:val="20"/>
          <w:szCs w:val="20"/>
        </w:rPr>
        <w:t xml:space="preserve"> op 8 april 2025 zijn enkele moties ingediend door Kamerleden.</w:t>
      </w:r>
      <w:r w:rsidR="00E25D4B">
        <w:rPr>
          <w:rStyle w:val="Voetnootmarkering"/>
          <w:rFonts w:ascii="Verdana" w:hAnsi="Verdana"/>
          <w:sz w:val="20"/>
          <w:szCs w:val="20"/>
        </w:rPr>
        <w:footnoteReference w:id="6"/>
      </w:r>
      <w:r w:rsidR="00EC0D39">
        <w:rPr>
          <w:rFonts w:ascii="Verdana" w:hAnsi="Verdana"/>
          <w:sz w:val="20"/>
          <w:szCs w:val="20"/>
        </w:rPr>
        <w:t xml:space="preserve"> Deze moties </w:t>
      </w:r>
      <w:r w:rsidR="00D939C3">
        <w:rPr>
          <w:rFonts w:ascii="Verdana" w:hAnsi="Verdana"/>
          <w:sz w:val="20"/>
          <w:szCs w:val="20"/>
        </w:rPr>
        <w:t xml:space="preserve">gaan voornamelijk over </w:t>
      </w:r>
      <w:r w:rsidR="008F394F">
        <w:rPr>
          <w:rFonts w:ascii="Verdana" w:hAnsi="Verdana"/>
          <w:sz w:val="20"/>
          <w:szCs w:val="20"/>
        </w:rPr>
        <w:t>online</w:t>
      </w:r>
      <w:r w:rsidR="00C30A2D">
        <w:rPr>
          <w:rFonts w:ascii="Verdana" w:hAnsi="Verdana"/>
          <w:sz w:val="20"/>
          <w:szCs w:val="20"/>
        </w:rPr>
        <w:t xml:space="preserve"> </w:t>
      </w:r>
      <w:r w:rsidR="00D81C8F">
        <w:rPr>
          <w:rFonts w:ascii="Verdana" w:hAnsi="Verdana"/>
          <w:sz w:val="20"/>
          <w:szCs w:val="20"/>
        </w:rPr>
        <w:t xml:space="preserve">kansspelen, </w:t>
      </w:r>
      <w:r w:rsidR="00E43E6A">
        <w:rPr>
          <w:rFonts w:ascii="Verdana" w:hAnsi="Verdana"/>
          <w:sz w:val="20"/>
          <w:szCs w:val="20"/>
        </w:rPr>
        <w:t xml:space="preserve">illegale </w:t>
      </w:r>
      <w:proofErr w:type="spellStart"/>
      <w:r w:rsidR="00E43E6A">
        <w:rPr>
          <w:rFonts w:ascii="Verdana" w:hAnsi="Verdana"/>
          <w:sz w:val="20"/>
          <w:szCs w:val="20"/>
        </w:rPr>
        <w:t>gokapps</w:t>
      </w:r>
      <w:proofErr w:type="spellEnd"/>
      <w:r w:rsidR="00E43E6A">
        <w:rPr>
          <w:rFonts w:ascii="Verdana" w:hAnsi="Verdana"/>
          <w:sz w:val="20"/>
          <w:szCs w:val="20"/>
        </w:rPr>
        <w:t xml:space="preserve">, </w:t>
      </w:r>
      <w:r w:rsidR="00911E0A">
        <w:rPr>
          <w:rFonts w:ascii="Verdana" w:hAnsi="Verdana"/>
          <w:sz w:val="20"/>
          <w:szCs w:val="20"/>
        </w:rPr>
        <w:t>gokschade</w:t>
      </w:r>
      <w:r w:rsidR="00AA5D3D">
        <w:rPr>
          <w:rFonts w:ascii="Verdana" w:hAnsi="Verdana"/>
          <w:sz w:val="20"/>
          <w:szCs w:val="20"/>
        </w:rPr>
        <w:t>,</w:t>
      </w:r>
      <w:r w:rsidR="00EB550D">
        <w:rPr>
          <w:rFonts w:ascii="Verdana" w:hAnsi="Verdana"/>
          <w:sz w:val="20"/>
          <w:szCs w:val="20"/>
        </w:rPr>
        <w:t xml:space="preserve"> het verbod op gokken met geleend geld</w:t>
      </w:r>
      <w:r w:rsidR="009C4296">
        <w:rPr>
          <w:rFonts w:ascii="Verdana" w:hAnsi="Verdana"/>
          <w:sz w:val="20"/>
          <w:szCs w:val="20"/>
        </w:rPr>
        <w:t xml:space="preserve"> alsmede het </w:t>
      </w:r>
      <w:r w:rsidRPr="00B6740B" w:rsidR="00B6740B">
        <w:rPr>
          <w:rFonts w:ascii="Verdana" w:hAnsi="Verdana"/>
          <w:sz w:val="20"/>
          <w:szCs w:val="20"/>
        </w:rPr>
        <w:t>bestrijden en onderdrukken van reclame voor illegale kansspelen</w:t>
      </w:r>
      <w:r w:rsidR="009C4296">
        <w:rPr>
          <w:rFonts w:ascii="Verdana" w:hAnsi="Verdana"/>
          <w:sz w:val="20"/>
          <w:szCs w:val="20"/>
        </w:rPr>
        <w:t>.</w:t>
      </w:r>
    </w:p>
    <w:p w:rsidR="00DA67D5" w:rsidP="00984A2A" w:rsidRDefault="0030682D" w14:paraId="3ABAB393" w14:textId="3CC7603E">
      <w:pPr>
        <w:rPr>
          <w:rFonts w:ascii="Verdana" w:hAnsi="Verdana"/>
          <w:sz w:val="20"/>
          <w:szCs w:val="20"/>
        </w:rPr>
      </w:pPr>
      <w:r>
        <w:rPr>
          <w:rFonts w:ascii="Verdana" w:hAnsi="Verdana"/>
          <w:sz w:val="20"/>
          <w:szCs w:val="20"/>
        </w:rPr>
        <w:t>In besluitvormende zin</w:t>
      </w:r>
      <w:r w:rsidR="00244172">
        <w:rPr>
          <w:rFonts w:ascii="Verdana" w:hAnsi="Verdana"/>
          <w:sz w:val="20"/>
          <w:szCs w:val="20"/>
        </w:rPr>
        <w:t xml:space="preserve"> zijn </w:t>
      </w:r>
      <w:r w:rsidR="004F3771">
        <w:rPr>
          <w:rFonts w:ascii="Verdana" w:hAnsi="Verdana"/>
          <w:sz w:val="20"/>
          <w:szCs w:val="20"/>
        </w:rPr>
        <w:t>moties</w:t>
      </w:r>
      <w:r w:rsidR="00D40034">
        <w:rPr>
          <w:rFonts w:ascii="Verdana" w:hAnsi="Verdana"/>
          <w:sz w:val="20"/>
          <w:szCs w:val="20"/>
        </w:rPr>
        <w:t xml:space="preserve"> door de Kamer</w:t>
      </w:r>
      <w:r w:rsidR="004F3771">
        <w:rPr>
          <w:rFonts w:ascii="Verdana" w:hAnsi="Verdana"/>
          <w:sz w:val="20"/>
          <w:szCs w:val="20"/>
        </w:rPr>
        <w:t xml:space="preserve"> aangenomen die zijn ingediend tijdens het</w:t>
      </w:r>
      <w:r w:rsidR="00DE3269">
        <w:rPr>
          <w:rFonts w:ascii="Verdana" w:hAnsi="Verdana"/>
          <w:sz w:val="20"/>
          <w:szCs w:val="20"/>
        </w:rPr>
        <w:t xml:space="preserve"> voornoemde</w:t>
      </w:r>
      <w:r w:rsidR="004F3771">
        <w:rPr>
          <w:rFonts w:ascii="Verdana" w:hAnsi="Verdana"/>
          <w:sz w:val="20"/>
          <w:szCs w:val="20"/>
        </w:rPr>
        <w:t xml:space="preserve"> tweeminutendebat Kansspelen</w:t>
      </w:r>
      <w:r w:rsidR="00DE3269">
        <w:rPr>
          <w:rFonts w:ascii="Verdana" w:hAnsi="Verdana"/>
          <w:sz w:val="20"/>
          <w:szCs w:val="20"/>
        </w:rPr>
        <w:t>. Dit zijn voornamelijk de moties op het gebied van online</w:t>
      </w:r>
      <w:r w:rsidR="00C30A2D">
        <w:rPr>
          <w:rFonts w:ascii="Verdana" w:hAnsi="Verdana"/>
          <w:sz w:val="20"/>
          <w:szCs w:val="20"/>
        </w:rPr>
        <w:t xml:space="preserve"> </w:t>
      </w:r>
      <w:r w:rsidR="00DE3269">
        <w:rPr>
          <w:rFonts w:ascii="Verdana" w:hAnsi="Verdana"/>
          <w:sz w:val="20"/>
          <w:szCs w:val="20"/>
        </w:rPr>
        <w:t>kansspelen</w:t>
      </w:r>
      <w:r w:rsidR="00945227">
        <w:rPr>
          <w:rFonts w:ascii="Verdana" w:hAnsi="Verdana"/>
          <w:sz w:val="20"/>
          <w:szCs w:val="20"/>
        </w:rPr>
        <w:t xml:space="preserve"> en raken niet of onvoldoende aan het onderwerp van het burgerinitiatief</w:t>
      </w:r>
      <w:r w:rsidR="00DE3269">
        <w:rPr>
          <w:rFonts w:ascii="Verdana" w:hAnsi="Verdana"/>
          <w:sz w:val="20"/>
          <w:szCs w:val="20"/>
        </w:rPr>
        <w:t>. Daarnaast</w:t>
      </w:r>
      <w:r w:rsidR="008570C5">
        <w:rPr>
          <w:rFonts w:ascii="Verdana" w:hAnsi="Verdana"/>
          <w:sz w:val="20"/>
          <w:szCs w:val="20"/>
        </w:rPr>
        <w:t xml:space="preserve"> is </w:t>
      </w:r>
      <w:r w:rsidR="00533369">
        <w:rPr>
          <w:rFonts w:ascii="Verdana" w:hAnsi="Verdana"/>
          <w:sz w:val="20"/>
          <w:szCs w:val="20"/>
        </w:rPr>
        <w:t>door</w:t>
      </w:r>
      <w:r w:rsidR="00993D0F">
        <w:rPr>
          <w:rFonts w:ascii="Verdana" w:hAnsi="Verdana"/>
          <w:sz w:val="20"/>
          <w:szCs w:val="20"/>
        </w:rPr>
        <w:t xml:space="preserve"> de Kamer </w:t>
      </w:r>
      <w:r w:rsidR="00B9440E">
        <w:rPr>
          <w:rFonts w:ascii="Verdana" w:hAnsi="Verdana"/>
          <w:sz w:val="20"/>
          <w:szCs w:val="20"/>
        </w:rPr>
        <w:t xml:space="preserve">op 18 juni 2024 </w:t>
      </w:r>
      <w:r w:rsidR="00993D0F">
        <w:rPr>
          <w:rFonts w:ascii="Verdana" w:hAnsi="Verdana"/>
          <w:sz w:val="20"/>
          <w:szCs w:val="20"/>
        </w:rPr>
        <w:t>een g</w:t>
      </w:r>
      <w:r w:rsidRPr="00984A2A" w:rsidR="00984A2A">
        <w:rPr>
          <w:rFonts w:ascii="Verdana" w:hAnsi="Verdana"/>
          <w:sz w:val="20"/>
          <w:szCs w:val="20"/>
        </w:rPr>
        <w:t>ewijzigde motie</w:t>
      </w:r>
      <w:r w:rsidR="00993D0F">
        <w:rPr>
          <w:rFonts w:ascii="Verdana" w:hAnsi="Verdana"/>
          <w:sz w:val="20"/>
          <w:szCs w:val="20"/>
        </w:rPr>
        <w:t xml:space="preserve"> aangenomen</w:t>
      </w:r>
      <w:r w:rsidRPr="00984A2A" w:rsidR="00984A2A">
        <w:rPr>
          <w:rFonts w:ascii="Verdana" w:hAnsi="Verdana"/>
          <w:sz w:val="20"/>
          <w:szCs w:val="20"/>
        </w:rPr>
        <w:t xml:space="preserve"> van het lid Zeedijk c.s. over</w:t>
      </w:r>
      <w:r w:rsidR="00031FC8">
        <w:rPr>
          <w:rFonts w:ascii="Verdana" w:hAnsi="Verdana"/>
          <w:sz w:val="20"/>
          <w:szCs w:val="20"/>
        </w:rPr>
        <w:t xml:space="preserve"> het uitzonderen van een verplichte bedenktijd bij verkoop aan de deur</w:t>
      </w:r>
      <w:r w:rsidR="00E05360">
        <w:rPr>
          <w:rFonts w:ascii="Verdana" w:hAnsi="Verdana"/>
          <w:sz w:val="20"/>
          <w:szCs w:val="20"/>
        </w:rPr>
        <w:t xml:space="preserve"> en </w:t>
      </w:r>
      <w:proofErr w:type="spellStart"/>
      <w:r w:rsidR="00E05360">
        <w:rPr>
          <w:rFonts w:ascii="Verdana" w:hAnsi="Verdana"/>
          <w:sz w:val="20"/>
          <w:szCs w:val="20"/>
        </w:rPr>
        <w:t>donateurverwerving</w:t>
      </w:r>
      <w:proofErr w:type="spellEnd"/>
      <w:r w:rsidR="00E05360">
        <w:rPr>
          <w:rFonts w:ascii="Verdana" w:hAnsi="Verdana"/>
          <w:sz w:val="20"/>
          <w:szCs w:val="20"/>
        </w:rPr>
        <w:t xml:space="preserve"> voor</w:t>
      </w:r>
      <w:r w:rsidRPr="00984A2A" w:rsidR="00984A2A">
        <w:rPr>
          <w:rFonts w:ascii="Verdana" w:hAnsi="Verdana"/>
          <w:sz w:val="20"/>
          <w:szCs w:val="20"/>
        </w:rPr>
        <w:t xml:space="preserve"> ideële of charitatieve instellingen en loterijen</w:t>
      </w:r>
      <w:r w:rsidR="00031FC8">
        <w:rPr>
          <w:rFonts w:ascii="Verdana" w:hAnsi="Verdana"/>
          <w:sz w:val="20"/>
          <w:szCs w:val="20"/>
        </w:rPr>
        <w:t>,</w:t>
      </w:r>
      <w:r w:rsidRPr="00984A2A" w:rsidR="00984A2A">
        <w:rPr>
          <w:rFonts w:ascii="Verdana" w:hAnsi="Verdana"/>
          <w:sz w:val="20"/>
          <w:szCs w:val="20"/>
        </w:rPr>
        <w:t xml:space="preserve"> die afdragen aan goede doelen</w:t>
      </w:r>
      <w:r w:rsidR="00BF1596">
        <w:rPr>
          <w:rFonts w:ascii="Verdana" w:hAnsi="Verdana"/>
          <w:sz w:val="20"/>
          <w:szCs w:val="20"/>
        </w:rPr>
        <w:t>.</w:t>
      </w:r>
      <w:r w:rsidR="00367C46">
        <w:rPr>
          <w:rStyle w:val="Voetnootmarkering"/>
          <w:rFonts w:ascii="Verdana" w:hAnsi="Verdana"/>
          <w:sz w:val="20"/>
          <w:szCs w:val="20"/>
        </w:rPr>
        <w:footnoteReference w:id="7"/>
      </w:r>
      <w:r w:rsidR="00B9440E">
        <w:rPr>
          <w:rFonts w:ascii="Verdana" w:hAnsi="Verdana"/>
          <w:sz w:val="20"/>
          <w:szCs w:val="20"/>
        </w:rPr>
        <w:t xml:space="preserve"> </w:t>
      </w:r>
      <w:r w:rsidR="00367C46">
        <w:rPr>
          <w:rFonts w:ascii="Verdana" w:hAnsi="Verdana"/>
          <w:sz w:val="20"/>
          <w:szCs w:val="20"/>
        </w:rPr>
        <w:t xml:space="preserve">Ook is </w:t>
      </w:r>
      <w:r w:rsidR="002C1578">
        <w:rPr>
          <w:rFonts w:ascii="Verdana" w:hAnsi="Verdana"/>
          <w:sz w:val="20"/>
          <w:szCs w:val="20"/>
        </w:rPr>
        <w:t xml:space="preserve">op 4 juni 2024 </w:t>
      </w:r>
      <w:r w:rsidR="00367C46">
        <w:rPr>
          <w:rFonts w:ascii="Verdana" w:hAnsi="Verdana"/>
          <w:sz w:val="20"/>
          <w:szCs w:val="20"/>
        </w:rPr>
        <w:t xml:space="preserve">een </w:t>
      </w:r>
      <w:r w:rsidR="00D14BC3">
        <w:rPr>
          <w:rFonts w:ascii="Verdana" w:hAnsi="Verdana"/>
          <w:sz w:val="20"/>
          <w:szCs w:val="20"/>
        </w:rPr>
        <w:t>s</w:t>
      </w:r>
      <w:r w:rsidRPr="00984A2A" w:rsidR="00984A2A">
        <w:rPr>
          <w:rFonts w:ascii="Verdana" w:hAnsi="Verdana"/>
          <w:sz w:val="20"/>
          <w:szCs w:val="20"/>
        </w:rPr>
        <w:t>ubamendement van het lid Postma</w:t>
      </w:r>
      <w:r w:rsidR="00D14BC3">
        <w:rPr>
          <w:rFonts w:ascii="Verdana" w:hAnsi="Verdana"/>
          <w:sz w:val="20"/>
          <w:szCs w:val="20"/>
        </w:rPr>
        <w:t xml:space="preserve"> aangenomen</w:t>
      </w:r>
      <w:r w:rsidRPr="00984A2A" w:rsidR="00984A2A">
        <w:rPr>
          <w:rFonts w:ascii="Verdana" w:hAnsi="Verdana"/>
          <w:sz w:val="20"/>
          <w:szCs w:val="20"/>
        </w:rPr>
        <w:t xml:space="preserve"> op het amendement van het lid</w:t>
      </w:r>
      <w:r w:rsidR="00E05360">
        <w:rPr>
          <w:rFonts w:ascii="Verdana" w:hAnsi="Verdana"/>
          <w:sz w:val="20"/>
          <w:szCs w:val="20"/>
        </w:rPr>
        <w:t xml:space="preserve"> </w:t>
      </w:r>
      <w:proofErr w:type="spellStart"/>
      <w:r w:rsidRPr="00984A2A" w:rsidR="00984A2A">
        <w:rPr>
          <w:rFonts w:ascii="Verdana" w:hAnsi="Verdana"/>
          <w:sz w:val="20"/>
          <w:szCs w:val="20"/>
        </w:rPr>
        <w:t>Flach</w:t>
      </w:r>
      <w:proofErr w:type="spellEnd"/>
      <w:r w:rsidRPr="00984A2A" w:rsidR="00984A2A">
        <w:rPr>
          <w:rFonts w:ascii="Verdana" w:hAnsi="Verdana"/>
          <w:sz w:val="20"/>
          <w:szCs w:val="20"/>
        </w:rPr>
        <w:t xml:space="preserve"> over het uitzonderen van loterijen en uitgevers van kranten en tijdschriften van het verbod om contact op te nemen</w:t>
      </w:r>
      <w:r w:rsidR="00D14BC3">
        <w:rPr>
          <w:rFonts w:ascii="Verdana" w:hAnsi="Verdana"/>
          <w:sz w:val="20"/>
          <w:szCs w:val="20"/>
        </w:rPr>
        <w:t>.</w:t>
      </w:r>
      <w:r w:rsidR="00D14BC3">
        <w:rPr>
          <w:rStyle w:val="Voetnootmarkering"/>
          <w:rFonts w:ascii="Verdana" w:hAnsi="Verdana"/>
          <w:sz w:val="20"/>
          <w:szCs w:val="20"/>
        </w:rPr>
        <w:footnoteReference w:id="8"/>
      </w:r>
      <w:r w:rsidRPr="00984A2A" w:rsidR="00984A2A">
        <w:rPr>
          <w:rFonts w:ascii="Verdana" w:hAnsi="Verdana"/>
          <w:sz w:val="20"/>
          <w:szCs w:val="20"/>
        </w:rPr>
        <w:t xml:space="preserve"> </w:t>
      </w:r>
      <w:r w:rsidR="00945227">
        <w:rPr>
          <w:rFonts w:ascii="Verdana" w:hAnsi="Verdana"/>
          <w:sz w:val="20"/>
          <w:szCs w:val="20"/>
        </w:rPr>
        <w:t>Deze</w:t>
      </w:r>
      <w:r w:rsidR="00DE6ED0">
        <w:rPr>
          <w:rFonts w:ascii="Verdana" w:hAnsi="Verdana"/>
          <w:sz w:val="20"/>
          <w:szCs w:val="20"/>
        </w:rPr>
        <w:t xml:space="preserve"> onderwerpen betreffen de</w:t>
      </w:r>
      <w:r w:rsidR="00232B81">
        <w:rPr>
          <w:rFonts w:ascii="Verdana" w:hAnsi="Verdana"/>
          <w:sz w:val="20"/>
          <w:szCs w:val="20"/>
        </w:rPr>
        <w:t xml:space="preserve"> wijze van</w:t>
      </w:r>
      <w:r w:rsidR="00464249">
        <w:rPr>
          <w:rFonts w:ascii="Verdana" w:hAnsi="Verdana"/>
          <w:sz w:val="20"/>
          <w:szCs w:val="20"/>
        </w:rPr>
        <w:t xml:space="preserve"> en procedures rondom</w:t>
      </w:r>
      <w:r w:rsidR="00DE6ED0">
        <w:rPr>
          <w:rFonts w:ascii="Verdana" w:hAnsi="Verdana"/>
          <w:sz w:val="20"/>
          <w:szCs w:val="20"/>
        </w:rPr>
        <w:t xml:space="preserve"> werving van</w:t>
      </w:r>
      <w:r w:rsidR="005C39B9">
        <w:rPr>
          <w:rFonts w:ascii="Verdana" w:hAnsi="Verdana"/>
          <w:sz w:val="20"/>
          <w:szCs w:val="20"/>
        </w:rPr>
        <w:t xml:space="preserve"> nieuwe leden van onder meer loterijen.</w:t>
      </w:r>
    </w:p>
    <w:p w:rsidRPr="007B156B" w:rsidR="00136C66" w:rsidP="00136C66" w:rsidRDefault="00136C66" w14:paraId="2CE22262" w14:textId="4AC01CA6">
      <w:pPr>
        <w:rPr>
          <w:rFonts w:ascii="Verdana" w:hAnsi="Verdana"/>
          <w:sz w:val="20"/>
          <w:szCs w:val="20"/>
        </w:rPr>
      </w:pPr>
      <w:r w:rsidRPr="007B156B">
        <w:rPr>
          <w:rFonts w:ascii="Verdana" w:hAnsi="Verdana"/>
          <w:sz w:val="20"/>
          <w:szCs w:val="20"/>
        </w:rPr>
        <w:t>Over de andere in artikel 4, derde lid</w:t>
      </w:r>
      <w:r w:rsidR="00E54B9B">
        <w:rPr>
          <w:rFonts w:ascii="Verdana" w:hAnsi="Verdana"/>
          <w:sz w:val="20"/>
          <w:szCs w:val="20"/>
        </w:rPr>
        <w:t xml:space="preserve">, </w:t>
      </w:r>
      <w:r w:rsidRPr="007B156B">
        <w:rPr>
          <w:rFonts w:ascii="Verdana" w:hAnsi="Verdana"/>
          <w:sz w:val="20"/>
          <w:szCs w:val="20"/>
        </w:rPr>
        <w:t xml:space="preserve">van </w:t>
      </w:r>
      <w:r w:rsidR="00E54B9B">
        <w:rPr>
          <w:rFonts w:ascii="Verdana" w:hAnsi="Verdana"/>
          <w:sz w:val="20"/>
          <w:szCs w:val="20"/>
        </w:rPr>
        <w:t xml:space="preserve">de Regeling </w:t>
      </w:r>
      <w:r w:rsidRPr="007B156B">
        <w:rPr>
          <w:rFonts w:ascii="Verdana" w:hAnsi="Verdana"/>
          <w:sz w:val="20"/>
          <w:szCs w:val="20"/>
        </w:rPr>
        <w:t xml:space="preserve">vermelde inhoudelijke vereisten (onderdelen a, b, d en e) heeft de commissie geen opmerkingen. </w:t>
      </w:r>
    </w:p>
    <w:p w:rsidRPr="007B156B" w:rsidR="00136C66" w:rsidP="00136C66" w:rsidRDefault="00136C66" w14:paraId="7A4DD2E1" w14:textId="77777777">
      <w:pPr>
        <w:rPr>
          <w:rFonts w:ascii="Verdana" w:hAnsi="Verdana"/>
          <w:sz w:val="20"/>
          <w:szCs w:val="20"/>
        </w:rPr>
      </w:pPr>
      <w:r w:rsidRPr="007B156B">
        <w:rPr>
          <w:rFonts w:ascii="Verdana" w:hAnsi="Verdana"/>
          <w:b/>
          <w:bCs/>
          <w:sz w:val="20"/>
          <w:szCs w:val="20"/>
        </w:rPr>
        <w:t xml:space="preserve">Oordeel van de commissie </w:t>
      </w:r>
    </w:p>
    <w:p w:rsidR="00201AC4" w:rsidP="00201AC4" w:rsidRDefault="00136C66" w14:paraId="59CAA997" w14:textId="2E7ABFF8">
      <w:pPr>
        <w:rPr>
          <w:rFonts w:ascii="Verdana" w:hAnsi="Verdana"/>
          <w:sz w:val="20"/>
          <w:szCs w:val="20"/>
        </w:rPr>
      </w:pPr>
      <w:r w:rsidRPr="007B156B">
        <w:rPr>
          <w:rFonts w:ascii="Verdana" w:hAnsi="Verdana"/>
          <w:sz w:val="20"/>
          <w:szCs w:val="20"/>
        </w:rPr>
        <w:t xml:space="preserve">Op basis van haar onderzoek is de commissie van oordeel dat wordt voldaan aan de procedurele en inhoudelijke vereisten voor een burgerinitiatief. </w:t>
      </w:r>
    </w:p>
    <w:p w:rsidRPr="007B156B" w:rsidR="00136C66" w:rsidP="00136C66" w:rsidRDefault="00201AC4" w14:paraId="169FF44E" w14:textId="5B8951BB">
      <w:pPr>
        <w:rPr>
          <w:rFonts w:ascii="Verdana" w:hAnsi="Verdana"/>
          <w:sz w:val="20"/>
          <w:szCs w:val="20"/>
        </w:rPr>
      </w:pPr>
      <w:r w:rsidRPr="007B156B">
        <w:rPr>
          <w:rFonts w:ascii="Verdana" w:hAnsi="Verdana"/>
          <w:sz w:val="20"/>
          <w:szCs w:val="20"/>
        </w:rPr>
        <w:t xml:space="preserve">Over het </w:t>
      </w:r>
      <w:r>
        <w:rPr>
          <w:rFonts w:ascii="Verdana" w:hAnsi="Verdana"/>
          <w:sz w:val="20"/>
          <w:szCs w:val="20"/>
        </w:rPr>
        <w:t xml:space="preserve">eerste </w:t>
      </w:r>
      <w:r w:rsidRPr="007B156B">
        <w:rPr>
          <w:rFonts w:ascii="Verdana" w:hAnsi="Verdana"/>
          <w:sz w:val="20"/>
          <w:szCs w:val="20"/>
        </w:rPr>
        <w:t xml:space="preserve">voorstel van het burgerinitiatief </w:t>
      </w:r>
      <w:r w:rsidR="00BA3347">
        <w:rPr>
          <w:rFonts w:ascii="Verdana" w:hAnsi="Verdana"/>
          <w:sz w:val="20"/>
          <w:szCs w:val="20"/>
        </w:rPr>
        <w:t>zijn de afgelopen twee jaar</w:t>
      </w:r>
      <w:r w:rsidRPr="007B156B">
        <w:rPr>
          <w:rFonts w:ascii="Verdana" w:hAnsi="Verdana"/>
          <w:sz w:val="20"/>
          <w:szCs w:val="20"/>
        </w:rPr>
        <w:t xml:space="preserve"> geen</w:t>
      </w:r>
      <w:r>
        <w:rPr>
          <w:rFonts w:ascii="Verdana" w:hAnsi="Verdana"/>
          <w:sz w:val="20"/>
          <w:szCs w:val="20"/>
        </w:rPr>
        <w:t xml:space="preserve"> besluit</w:t>
      </w:r>
      <w:r w:rsidR="00BA3347">
        <w:rPr>
          <w:rFonts w:ascii="Verdana" w:hAnsi="Verdana"/>
          <w:sz w:val="20"/>
          <w:szCs w:val="20"/>
        </w:rPr>
        <w:t>en</w:t>
      </w:r>
      <w:r>
        <w:rPr>
          <w:rFonts w:ascii="Verdana" w:hAnsi="Verdana"/>
          <w:sz w:val="20"/>
          <w:szCs w:val="20"/>
        </w:rPr>
        <w:t xml:space="preserve"> genomen door de Kamer</w:t>
      </w:r>
      <w:r w:rsidR="00BA3347">
        <w:rPr>
          <w:rFonts w:ascii="Verdana" w:hAnsi="Verdana"/>
          <w:sz w:val="20"/>
          <w:szCs w:val="20"/>
        </w:rPr>
        <w:t xml:space="preserve">. </w:t>
      </w:r>
      <w:r>
        <w:rPr>
          <w:rFonts w:ascii="Verdana" w:hAnsi="Verdana"/>
          <w:sz w:val="20"/>
          <w:szCs w:val="20"/>
        </w:rPr>
        <w:t>Wat betreft het tweede voorstel van het burgerinitiatief wijst d</w:t>
      </w:r>
      <w:r w:rsidRPr="007B156B" w:rsidR="00136C66">
        <w:rPr>
          <w:rFonts w:ascii="Verdana" w:hAnsi="Verdana"/>
          <w:sz w:val="20"/>
          <w:szCs w:val="20"/>
        </w:rPr>
        <w:t xml:space="preserve">e commissie de Kamer erop dat </w:t>
      </w:r>
      <w:r w:rsidR="00BA3347">
        <w:rPr>
          <w:rFonts w:ascii="Verdana" w:hAnsi="Verdana"/>
          <w:sz w:val="20"/>
          <w:szCs w:val="20"/>
        </w:rPr>
        <w:t xml:space="preserve">in de afgelopen twee jaar </w:t>
      </w:r>
      <w:r w:rsidRPr="007B156B" w:rsidR="00136C66">
        <w:rPr>
          <w:rFonts w:ascii="Verdana" w:hAnsi="Verdana"/>
          <w:sz w:val="20"/>
          <w:szCs w:val="20"/>
        </w:rPr>
        <w:t xml:space="preserve">een motie </w:t>
      </w:r>
      <w:r w:rsidR="005B286F">
        <w:rPr>
          <w:rFonts w:ascii="Verdana" w:hAnsi="Verdana"/>
          <w:sz w:val="20"/>
          <w:szCs w:val="20"/>
        </w:rPr>
        <w:t>en een subamendement door de Kamer zijn aangenomen</w:t>
      </w:r>
      <w:r w:rsidR="00154BFC">
        <w:rPr>
          <w:rFonts w:ascii="Verdana" w:hAnsi="Verdana"/>
          <w:sz w:val="20"/>
          <w:szCs w:val="20"/>
        </w:rPr>
        <w:t xml:space="preserve"> die raken aan </w:t>
      </w:r>
      <w:r>
        <w:rPr>
          <w:rFonts w:ascii="Verdana" w:hAnsi="Verdana"/>
          <w:sz w:val="20"/>
          <w:szCs w:val="20"/>
        </w:rPr>
        <w:t>dit</w:t>
      </w:r>
      <w:r w:rsidR="00154BFC">
        <w:rPr>
          <w:rFonts w:ascii="Verdana" w:hAnsi="Verdana"/>
          <w:sz w:val="20"/>
          <w:szCs w:val="20"/>
        </w:rPr>
        <w:t xml:space="preserve"> tweede </w:t>
      </w:r>
      <w:r w:rsidR="00C56BE3">
        <w:rPr>
          <w:rFonts w:ascii="Verdana" w:hAnsi="Verdana"/>
          <w:sz w:val="20"/>
          <w:szCs w:val="20"/>
        </w:rPr>
        <w:t>voorstel</w:t>
      </w:r>
      <w:r w:rsidR="00154BFC">
        <w:rPr>
          <w:rFonts w:ascii="Verdana" w:hAnsi="Verdana"/>
          <w:sz w:val="20"/>
          <w:szCs w:val="20"/>
        </w:rPr>
        <w:t xml:space="preserve">. </w:t>
      </w:r>
      <w:r w:rsidR="000F534F">
        <w:rPr>
          <w:rFonts w:ascii="Verdana" w:hAnsi="Verdana"/>
          <w:sz w:val="20"/>
          <w:szCs w:val="20"/>
        </w:rPr>
        <w:t xml:space="preserve">De commissie meent </w:t>
      </w:r>
      <w:r>
        <w:rPr>
          <w:rFonts w:ascii="Verdana" w:hAnsi="Verdana"/>
          <w:sz w:val="20"/>
          <w:szCs w:val="20"/>
        </w:rPr>
        <w:t xml:space="preserve">echter </w:t>
      </w:r>
      <w:r w:rsidR="000F534F">
        <w:rPr>
          <w:rFonts w:ascii="Verdana" w:hAnsi="Verdana"/>
          <w:sz w:val="20"/>
          <w:szCs w:val="20"/>
        </w:rPr>
        <w:t xml:space="preserve">dat de strekking van </w:t>
      </w:r>
      <w:r w:rsidR="00111712">
        <w:rPr>
          <w:rFonts w:ascii="Verdana" w:hAnsi="Verdana"/>
          <w:sz w:val="20"/>
          <w:szCs w:val="20"/>
        </w:rPr>
        <w:t>het</w:t>
      </w:r>
      <w:r w:rsidR="00C56BE3">
        <w:rPr>
          <w:rFonts w:ascii="Verdana" w:hAnsi="Verdana"/>
          <w:sz w:val="20"/>
          <w:szCs w:val="20"/>
        </w:rPr>
        <w:t xml:space="preserve"> tweede voorstel</w:t>
      </w:r>
      <w:r w:rsidR="000F534F">
        <w:rPr>
          <w:rFonts w:ascii="Verdana" w:hAnsi="Verdana"/>
          <w:sz w:val="20"/>
          <w:szCs w:val="20"/>
        </w:rPr>
        <w:t xml:space="preserve"> van het burgerinitiatief </w:t>
      </w:r>
      <w:r w:rsidR="00B64F6A">
        <w:rPr>
          <w:rFonts w:ascii="Verdana" w:hAnsi="Verdana"/>
          <w:sz w:val="20"/>
          <w:szCs w:val="20"/>
        </w:rPr>
        <w:t xml:space="preserve">veel ruimer is dan </w:t>
      </w:r>
      <w:r w:rsidR="00D72264">
        <w:rPr>
          <w:rFonts w:ascii="Verdana" w:hAnsi="Verdana"/>
          <w:sz w:val="20"/>
          <w:szCs w:val="20"/>
        </w:rPr>
        <w:t xml:space="preserve">wat in de motie en het subamendement aan de orde is gesteld. In </w:t>
      </w:r>
      <w:r w:rsidRPr="007B156B" w:rsidR="00136C66">
        <w:rPr>
          <w:rFonts w:ascii="Verdana" w:hAnsi="Verdana"/>
          <w:sz w:val="20"/>
          <w:szCs w:val="20"/>
        </w:rPr>
        <w:t xml:space="preserve">de weging </w:t>
      </w:r>
      <w:r w:rsidR="00586582">
        <w:rPr>
          <w:rFonts w:ascii="Verdana" w:hAnsi="Verdana"/>
          <w:sz w:val="20"/>
          <w:szCs w:val="20"/>
        </w:rPr>
        <w:t>van</w:t>
      </w:r>
      <w:r w:rsidRPr="007B156B" w:rsidR="00136C66">
        <w:rPr>
          <w:rFonts w:ascii="Verdana" w:hAnsi="Verdana"/>
          <w:sz w:val="20"/>
          <w:szCs w:val="20"/>
        </w:rPr>
        <w:t xml:space="preserve"> deze motie </w:t>
      </w:r>
      <w:r w:rsidR="00C56BE3">
        <w:rPr>
          <w:rFonts w:ascii="Verdana" w:hAnsi="Verdana"/>
          <w:sz w:val="20"/>
          <w:szCs w:val="20"/>
        </w:rPr>
        <w:t xml:space="preserve">en het subamendement </w:t>
      </w:r>
      <w:r w:rsidRPr="007B156B" w:rsidR="00136C66">
        <w:rPr>
          <w:rFonts w:ascii="Verdana" w:hAnsi="Verdana"/>
          <w:sz w:val="20"/>
          <w:szCs w:val="20"/>
        </w:rPr>
        <w:t xml:space="preserve">heeft de commissie het gegeven dat de strekking van het </w:t>
      </w:r>
      <w:r w:rsidR="00C56BE3">
        <w:rPr>
          <w:rFonts w:ascii="Verdana" w:hAnsi="Verdana"/>
          <w:sz w:val="20"/>
          <w:szCs w:val="20"/>
        </w:rPr>
        <w:t xml:space="preserve">tweede </w:t>
      </w:r>
      <w:r w:rsidRPr="007B156B" w:rsidR="00136C66">
        <w:rPr>
          <w:rFonts w:ascii="Verdana" w:hAnsi="Verdana"/>
          <w:sz w:val="20"/>
          <w:szCs w:val="20"/>
        </w:rPr>
        <w:t xml:space="preserve">voorstel in het burgerinitiatief </w:t>
      </w:r>
      <w:r w:rsidR="00111712">
        <w:rPr>
          <w:rFonts w:ascii="Verdana" w:hAnsi="Verdana"/>
          <w:sz w:val="20"/>
          <w:szCs w:val="20"/>
        </w:rPr>
        <w:t xml:space="preserve">ruimer </w:t>
      </w:r>
      <w:r w:rsidRPr="007B156B" w:rsidR="00136C66">
        <w:rPr>
          <w:rFonts w:ascii="Verdana" w:hAnsi="Verdana"/>
          <w:sz w:val="20"/>
          <w:szCs w:val="20"/>
        </w:rPr>
        <w:t>is dan de strekking van de motie</w:t>
      </w:r>
      <w:r w:rsidR="00111712">
        <w:rPr>
          <w:rFonts w:ascii="Verdana" w:hAnsi="Verdana"/>
          <w:sz w:val="20"/>
          <w:szCs w:val="20"/>
        </w:rPr>
        <w:t xml:space="preserve"> en het subamendement</w:t>
      </w:r>
      <w:r w:rsidR="00BA3347">
        <w:rPr>
          <w:rFonts w:ascii="Verdana" w:hAnsi="Verdana"/>
          <w:sz w:val="20"/>
          <w:szCs w:val="20"/>
        </w:rPr>
        <w:t>,</w:t>
      </w:r>
      <w:r w:rsidRPr="007B156B" w:rsidR="00136C66">
        <w:rPr>
          <w:rFonts w:ascii="Verdana" w:hAnsi="Verdana"/>
          <w:sz w:val="20"/>
          <w:szCs w:val="20"/>
        </w:rPr>
        <w:t xml:space="preserve"> de doorslag laten geven. </w:t>
      </w:r>
    </w:p>
    <w:p w:rsidRPr="007B156B" w:rsidR="00136C66" w:rsidP="00136C66" w:rsidRDefault="00136C66" w14:paraId="116C23D7" w14:textId="7FA7E147">
      <w:pPr>
        <w:rPr>
          <w:rFonts w:ascii="Verdana" w:hAnsi="Verdana"/>
          <w:sz w:val="20"/>
          <w:szCs w:val="20"/>
        </w:rPr>
      </w:pPr>
      <w:r w:rsidRPr="007B156B">
        <w:rPr>
          <w:rFonts w:ascii="Verdana" w:hAnsi="Verdana"/>
          <w:sz w:val="20"/>
          <w:szCs w:val="20"/>
        </w:rPr>
        <w:t xml:space="preserve">De commissie is daarom van oordeel dat het burgerinitiatief </w:t>
      </w:r>
      <w:r w:rsidR="00B55566">
        <w:rPr>
          <w:rFonts w:ascii="Verdana" w:hAnsi="Verdana"/>
          <w:sz w:val="20"/>
          <w:szCs w:val="20"/>
        </w:rPr>
        <w:t>Stop de Postcode Loterij</w:t>
      </w:r>
      <w:r w:rsidRPr="007B156B">
        <w:rPr>
          <w:rFonts w:ascii="Verdana" w:hAnsi="Verdana"/>
          <w:sz w:val="20"/>
          <w:szCs w:val="20"/>
        </w:rPr>
        <w:t xml:space="preserve"> ontvankelijk kan worden verklaard. </w:t>
      </w:r>
    </w:p>
    <w:p w:rsidR="00176B8E" w:rsidRDefault="00176B8E" w14:paraId="1F33DC29" w14:textId="77777777">
      <w:pPr>
        <w:rPr>
          <w:rFonts w:ascii="Verdana" w:hAnsi="Verdana"/>
          <w:b/>
          <w:bCs/>
          <w:sz w:val="20"/>
          <w:szCs w:val="20"/>
        </w:rPr>
      </w:pPr>
      <w:r>
        <w:rPr>
          <w:rFonts w:ascii="Verdana" w:hAnsi="Verdana"/>
          <w:b/>
          <w:bCs/>
          <w:sz w:val="20"/>
          <w:szCs w:val="20"/>
        </w:rPr>
        <w:br w:type="page"/>
      </w:r>
    </w:p>
    <w:p w:rsidR="00176B8E" w:rsidP="00136C66" w:rsidRDefault="00176B8E" w14:paraId="5733484F" w14:textId="77777777">
      <w:pPr>
        <w:rPr>
          <w:rFonts w:ascii="Verdana" w:hAnsi="Verdana"/>
          <w:b/>
          <w:bCs/>
          <w:sz w:val="20"/>
          <w:szCs w:val="20"/>
        </w:rPr>
      </w:pPr>
    </w:p>
    <w:p w:rsidRPr="007B156B" w:rsidR="00136C66" w:rsidP="00136C66" w:rsidRDefault="00136C66" w14:paraId="7CA797DD" w14:textId="188C3E00">
      <w:pPr>
        <w:rPr>
          <w:rFonts w:ascii="Verdana" w:hAnsi="Verdana"/>
          <w:sz w:val="20"/>
          <w:szCs w:val="20"/>
        </w:rPr>
      </w:pPr>
      <w:r w:rsidRPr="007B156B">
        <w:rPr>
          <w:rFonts w:ascii="Verdana" w:hAnsi="Verdana"/>
          <w:b/>
          <w:bCs/>
          <w:sz w:val="20"/>
          <w:szCs w:val="20"/>
        </w:rPr>
        <w:t xml:space="preserve">Voorstel aan de Kamer </w:t>
      </w:r>
    </w:p>
    <w:p w:rsidRPr="007B156B" w:rsidR="00B8285B" w:rsidP="00136C66" w:rsidRDefault="00136C66" w14:paraId="629C0B4C" w14:textId="06429F84">
      <w:pPr>
        <w:rPr>
          <w:rFonts w:ascii="Verdana" w:hAnsi="Verdana"/>
          <w:sz w:val="20"/>
          <w:szCs w:val="20"/>
        </w:rPr>
      </w:pPr>
      <w:r w:rsidRPr="007B156B">
        <w:rPr>
          <w:rFonts w:ascii="Verdana" w:hAnsi="Verdana"/>
          <w:sz w:val="20"/>
          <w:szCs w:val="20"/>
        </w:rPr>
        <w:t xml:space="preserve">De commissie stelt de Kamer voor het burgerinitiatief </w:t>
      </w:r>
      <w:r w:rsidR="00B55566">
        <w:rPr>
          <w:rFonts w:ascii="Verdana" w:hAnsi="Verdana"/>
          <w:sz w:val="20"/>
          <w:szCs w:val="20"/>
        </w:rPr>
        <w:t>Stop de Postcode Loterij</w:t>
      </w:r>
      <w:r w:rsidRPr="007B156B">
        <w:rPr>
          <w:rFonts w:ascii="Verdana" w:hAnsi="Verdana"/>
          <w:sz w:val="20"/>
          <w:szCs w:val="20"/>
        </w:rPr>
        <w:t xml:space="preserve"> in behandeling te nemen en in handen te stellen van de vaste commissie voor </w:t>
      </w:r>
      <w:r w:rsidR="00B55566">
        <w:rPr>
          <w:rFonts w:ascii="Verdana" w:hAnsi="Verdana"/>
          <w:sz w:val="20"/>
          <w:szCs w:val="20"/>
        </w:rPr>
        <w:t>Justitie en Veiligheid</w:t>
      </w:r>
      <w:r w:rsidRPr="007B156B">
        <w:rPr>
          <w:rFonts w:ascii="Verdana" w:hAnsi="Verdana"/>
          <w:sz w:val="20"/>
          <w:szCs w:val="20"/>
        </w:rPr>
        <w:t xml:space="preserve">. </w:t>
      </w:r>
      <w:r w:rsidR="007C46E8">
        <w:rPr>
          <w:rFonts w:ascii="Verdana" w:hAnsi="Verdana"/>
          <w:sz w:val="20"/>
          <w:szCs w:val="20"/>
        </w:rPr>
        <w:br/>
      </w:r>
      <w:r w:rsidR="007C46E8">
        <w:rPr>
          <w:rFonts w:ascii="Verdana" w:hAnsi="Verdana"/>
          <w:sz w:val="20"/>
          <w:szCs w:val="20"/>
        </w:rPr>
        <w:br/>
      </w:r>
      <w:r w:rsidRPr="007B156B">
        <w:rPr>
          <w:rFonts w:ascii="Verdana" w:hAnsi="Verdana"/>
          <w:sz w:val="20"/>
          <w:szCs w:val="20"/>
        </w:rPr>
        <w:t xml:space="preserve">De voorzitter van de commissie, </w:t>
      </w:r>
      <w:r w:rsidR="007C46E8">
        <w:rPr>
          <w:rFonts w:ascii="Verdana" w:hAnsi="Verdana"/>
          <w:sz w:val="20"/>
          <w:szCs w:val="20"/>
        </w:rPr>
        <w:br/>
      </w:r>
      <w:r w:rsidRPr="007B156B">
        <w:rPr>
          <w:rFonts w:ascii="Verdana" w:hAnsi="Verdana"/>
          <w:sz w:val="20"/>
          <w:szCs w:val="20"/>
        </w:rPr>
        <w:t xml:space="preserve">Huidekooper </w:t>
      </w:r>
      <w:r w:rsidR="007C46E8">
        <w:rPr>
          <w:rFonts w:ascii="Verdana" w:hAnsi="Verdana"/>
          <w:sz w:val="20"/>
          <w:szCs w:val="20"/>
        </w:rPr>
        <w:br/>
      </w:r>
      <w:r w:rsidR="007C46E8">
        <w:rPr>
          <w:rFonts w:ascii="Verdana" w:hAnsi="Verdana"/>
          <w:sz w:val="20"/>
          <w:szCs w:val="20"/>
        </w:rPr>
        <w:br/>
      </w:r>
      <w:r w:rsidRPr="007B156B">
        <w:rPr>
          <w:rFonts w:ascii="Verdana" w:hAnsi="Verdana"/>
          <w:sz w:val="20"/>
          <w:szCs w:val="20"/>
        </w:rPr>
        <w:t xml:space="preserve">De griffier van de commissie, </w:t>
      </w:r>
      <w:r w:rsidR="007C46E8">
        <w:rPr>
          <w:rFonts w:ascii="Verdana" w:hAnsi="Verdana"/>
          <w:sz w:val="20"/>
          <w:szCs w:val="20"/>
        </w:rPr>
        <w:br/>
      </w:r>
      <w:r w:rsidRPr="007B156B">
        <w:rPr>
          <w:rFonts w:ascii="Verdana" w:hAnsi="Verdana"/>
          <w:sz w:val="20"/>
          <w:szCs w:val="20"/>
        </w:rPr>
        <w:t>Huls</w:t>
      </w:r>
    </w:p>
    <w:sectPr w:rsidRPr="007B156B" w:rsidR="00B8285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ACA5" w14:textId="77777777" w:rsidR="000E5FF5" w:rsidRDefault="000E5FF5" w:rsidP="00826452">
      <w:pPr>
        <w:spacing w:after="0" w:line="240" w:lineRule="auto"/>
      </w:pPr>
      <w:r>
        <w:separator/>
      </w:r>
    </w:p>
  </w:endnote>
  <w:endnote w:type="continuationSeparator" w:id="0">
    <w:p w14:paraId="2CE741A8" w14:textId="77777777" w:rsidR="000E5FF5" w:rsidRDefault="000E5FF5" w:rsidP="0082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3E6C" w14:textId="77777777" w:rsidR="000E5FF5" w:rsidRDefault="000E5FF5" w:rsidP="00826452">
      <w:pPr>
        <w:spacing w:after="0" w:line="240" w:lineRule="auto"/>
      </w:pPr>
      <w:r>
        <w:separator/>
      </w:r>
    </w:p>
  </w:footnote>
  <w:footnote w:type="continuationSeparator" w:id="0">
    <w:p w14:paraId="05D79216" w14:textId="77777777" w:rsidR="000E5FF5" w:rsidRDefault="000E5FF5" w:rsidP="00826452">
      <w:pPr>
        <w:spacing w:after="0" w:line="240" w:lineRule="auto"/>
      </w:pPr>
      <w:r>
        <w:continuationSeparator/>
      </w:r>
    </w:p>
  </w:footnote>
  <w:footnote w:id="1">
    <w:p w14:paraId="6129C4AE" w14:textId="0B9365F1" w:rsidR="00890B10" w:rsidRPr="00300DE2" w:rsidRDefault="00890B10">
      <w:pPr>
        <w:pStyle w:val="Voetnoottekst"/>
        <w:rPr>
          <w:rFonts w:ascii="Verdana" w:hAnsi="Verdana"/>
          <w:sz w:val="16"/>
          <w:szCs w:val="16"/>
        </w:rPr>
      </w:pPr>
      <w:r w:rsidRPr="00300DE2">
        <w:rPr>
          <w:rStyle w:val="Voetnootmarkering"/>
          <w:rFonts w:ascii="Verdana" w:hAnsi="Verdana"/>
          <w:sz w:val="16"/>
          <w:szCs w:val="16"/>
        </w:rPr>
        <w:footnoteRef/>
      </w:r>
      <w:r w:rsidR="00901BA8" w:rsidRPr="00300DE2">
        <w:rPr>
          <w:rFonts w:ascii="Verdana" w:hAnsi="Verdana"/>
          <w:sz w:val="16"/>
          <w:szCs w:val="16"/>
        </w:rPr>
        <w:t xml:space="preserve"> Zie het </w:t>
      </w:r>
      <w:hyperlink r:id="rId1" w:history="1">
        <w:r w:rsidR="00901BA8" w:rsidRPr="00300DE2">
          <w:rPr>
            <w:rStyle w:val="Hyperlink"/>
            <w:rFonts w:ascii="Verdana" w:hAnsi="Verdana"/>
            <w:sz w:val="16"/>
            <w:szCs w:val="16"/>
          </w:rPr>
          <w:t>burgerinitiatief Stop de Postcode Loterij</w:t>
        </w:r>
      </w:hyperlink>
      <w:r w:rsidR="0026130D" w:rsidRPr="00C30A2D">
        <w:rPr>
          <w:rFonts w:ascii="Verdana" w:hAnsi="Verdana"/>
          <w:sz w:val="16"/>
          <w:szCs w:val="16"/>
        </w:rPr>
        <w:t>.</w:t>
      </w:r>
    </w:p>
  </w:footnote>
  <w:footnote w:id="2">
    <w:p w14:paraId="1D85A878" w14:textId="77777777" w:rsidR="00A66D96" w:rsidRDefault="00890B10">
      <w:pPr>
        <w:pStyle w:val="Voetnoottekst"/>
        <w:rPr>
          <w:rFonts w:ascii="Verdana" w:hAnsi="Verdana"/>
          <w:sz w:val="16"/>
          <w:szCs w:val="16"/>
        </w:rPr>
      </w:pPr>
      <w:r w:rsidRPr="008F5421">
        <w:rPr>
          <w:rStyle w:val="Voetnootmarkering"/>
          <w:rFonts w:ascii="Verdana" w:hAnsi="Verdana"/>
          <w:sz w:val="16"/>
          <w:szCs w:val="16"/>
        </w:rPr>
        <w:footnoteRef/>
      </w:r>
      <w:r w:rsidRPr="008F5421">
        <w:rPr>
          <w:rFonts w:ascii="Verdana" w:hAnsi="Verdana"/>
          <w:sz w:val="16"/>
          <w:szCs w:val="16"/>
        </w:rPr>
        <w:t xml:space="preserve"> </w:t>
      </w:r>
      <w:r w:rsidR="008F5421" w:rsidRPr="008F5421">
        <w:rPr>
          <w:rFonts w:ascii="Verdana" w:hAnsi="Verdana"/>
          <w:sz w:val="16"/>
          <w:szCs w:val="16"/>
        </w:rPr>
        <w:t>Artikel 4. Vereisten burgerinitiatief</w:t>
      </w:r>
    </w:p>
    <w:p w14:paraId="2150D088" w14:textId="77777777" w:rsidR="00A66D96" w:rsidRDefault="008F5421" w:rsidP="00A66D96">
      <w:pPr>
        <w:pStyle w:val="Voetnoottekst"/>
        <w:numPr>
          <w:ilvl w:val="0"/>
          <w:numId w:val="3"/>
        </w:numPr>
        <w:rPr>
          <w:rFonts w:ascii="Verdana" w:hAnsi="Verdana"/>
          <w:sz w:val="16"/>
          <w:szCs w:val="16"/>
        </w:rPr>
      </w:pPr>
      <w:r w:rsidRPr="008F5421">
        <w:rPr>
          <w:rFonts w:ascii="Verdana" w:hAnsi="Verdana"/>
          <w:sz w:val="16"/>
          <w:szCs w:val="16"/>
        </w:rPr>
        <w:t xml:space="preserve">Een burgerinitiatief kan slechts worden ingediend of ondersteund door natuurlijke personen die gerechtigd zijn tot verkiezing van de leden van de Tweede Kamer. </w:t>
      </w:r>
    </w:p>
    <w:p w14:paraId="7120CF0D" w14:textId="77777777" w:rsidR="0012408E" w:rsidRDefault="008F5421" w:rsidP="00A66D96">
      <w:pPr>
        <w:pStyle w:val="Voetnoottekst"/>
        <w:numPr>
          <w:ilvl w:val="0"/>
          <w:numId w:val="3"/>
        </w:numPr>
        <w:rPr>
          <w:rFonts w:ascii="Verdana" w:hAnsi="Verdana"/>
          <w:sz w:val="16"/>
          <w:szCs w:val="16"/>
        </w:rPr>
      </w:pPr>
      <w:r w:rsidRPr="008F5421">
        <w:rPr>
          <w:rFonts w:ascii="Verdana" w:hAnsi="Verdana"/>
          <w:sz w:val="16"/>
          <w:szCs w:val="16"/>
        </w:rPr>
        <w:t>Een burgerinitiatief dient te zijn ondertekend door de initiatiefnemers, en ten minste te bevatten:</w:t>
      </w:r>
    </w:p>
    <w:p w14:paraId="48C538CA" w14:textId="77777777" w:rsidR="0012408E" w:rsidRDefault="008F5421" w:rsidP="0012408E">
      <w:pPr>
        <w:pStyle w:val="Voetnoottekst"/>
        <w:ind w:left="720"/>
        <w:rPr>
          <w:rFonts w:ascii="Verdana" w:hAnsi="Verdana"/>
          <w:sz w:val="16"/>
          <w:szCs w:val="16"/>
        </w:rPr>
      </w:pPr>
      <w:r w:rsidRPr="008F5421">
        <w:rPr>
          <w:rFonts w:ascii="Verdana" w:hAnsi="Verdana"/>
          <w:sz w:val="16"/>
          <w:szCs w:val="16"/>
        </w:rPr>
        <w:t xml:space="preserve">a. de naam, geboortedatum en nationaliteit, en het adres van de initiatiefnemers; </w:t>
      </w:r>
    </w:p>
    <w:p w14:paraId="64E6BEC0" w14:textId="77777777" w:rsidR="0012408E" w:rsidRDefault="008F5421" w:rsidP="0012408E">
      <w:pPr>
        <w:pStyle w:val="Voetnoottekst"/>
        <w:ind w:left="720"/>
        <w:rPr>
          <w:rFonts w:ascii="Verdana" w:hAnsi="Verdana"/>
          <w:sz w:val="16"/>
          <w:szCs w:val="16"/>
        </w:rPr>
      </w:pPr>
      <w:r w:rsidRPr="008F5421">
        <w:rPr>
          <w:rFonts w:ascii="Verdana" w:hAnsi="Verdana"/>
          <w:sz w:val="16"/>
          <w:szCs w:val="16"/>
        </w:rPr>
        <w:t xml:space="preserve">b. een bijlage waaruit blijkt dat ten minste 40.000 andere personen in het jaar voorafgaand aan de datum waarop het burgerinitiatief door de commissie ontvangen is hun steun aan het voorstel hebben gegeven onder vermelding van hun naam, adres, geboortedatum en nationaliteit, alsmede de datum waarop zij hun steun hebben gegeven; en </w:t>
      </w:r>
    </w:p>
    <w:p w14:paraId="607695F7" w14:textId="77777777" w:rsidR="00883D73" w:rsidRDefault="008F5421" w:rsidP="0012408E">
      <w:pPr>
        <w:pStyle w:val="Voetnoottekst"/>
        <w:ind w:left="720"/>
        <w:rPr>
          <w:rFonts w:ascii="Verdana" w:hAnsi="Verdana"/>
          <w:sz w:val="16"/>
          <w:szCs w:val="16"/>
        </w:rPr>
      </w:pPr>
      <w:r w:rsidRPr="008F5421">
        <w:rPr>
          <w:rFonts w:ascii="Verdana" w:hAnsi="Verdana"/>
          <w:sz w:val="16"/>
          <w:szCs w:val="16"/>
        </w:rPr>
        <w:t xml:space="preserve">c. een nauwkeurige omschrijving en motivering van het voorstel aan de Kamer om een onderwerp te behandelen. </w:t>
      </w:r>
    </w:p>
    <w:p w14:paraId="088841F2" w14:textId="77777777" w:rsidR="00883D73" w:rsidRDefault="008F5421" w:rsidP="00883D73">
      <w:pPr>
        <w:pStyle w:val="Voetnoottekst"/>
        <w:numPr>
          <w:ilvl w:val="0"/>
          <w:numId w:val="3"/>
        </w:numPr>
        <w:rPr>
          <w:rFonts w:ascii="Verdana" w:hAnsi="Verdana"/>
          <w:sz w:val="16"/>
          <w:szCs w:val="16"/>
        </w:rPr>
      </w:pPr>
      <w:r w:rsidRPr="008F5421">
        <w:rPr>
          <w:rFonts w:ascii="Verdana" w:hAnsi="Verdana"/>
          <w:sz w:val="16"/>
          <w:szCs w:val="16"/>
        </w:rPr>
        <w:t xml:space="preserve">Een burgerinitiatief kan niet betrekking hebben op: </w:t>
      </w:r>
    </w:p>
    <w:p w14:paraId="0AC9AF07" w14:textId="77777777" w:rsidR="00883D73" w:rsidRDefault="008F5421" w:rsidP="00883D73">
      <w:pPr>
        <w:pStyle w:val="Voetnoottekst"/>
        <w:ind w:left="720"/>
        <w:rPr>
          <w:rFonts w:ascii="Verdana" w:hAnsi="Verdana"/>
          <w:sz w:val="16"/>
          <w:szCs w:val="16"/>
        </w:rPr>
      </w:pPr>
      <w:r w:rsidRPr="008F5421">
        <w:rPr>
          <w:rFonts w:ascii="Verdana" w:hAnsi="Verdana"/>
          <w:sz w:val="16"/>
          <w:szCs w:val="16"/>
        </w:rPr>
        <w:t>a. een aangelegenheid van een decentrale overheid;</w:t>
      </w:r>
    </w:p>
    <w:p w14:paraId="5CF118B5" w14:textId="77777777" w:rsidR="00883D73" w:rsidRDefault="008F5421" w:rsidP="00883D73">
      <w:pPr>
        <w:pStyle w:val="Voetnoottekst"/>
        <w:ind w:left="720"/>
        <w:rPr>
          <w:rFonts w:ascii="Verdana" w:hAnsi="Verdana"/>
          <w:sz w:val="16"/>
          <w:szCs w:val="16"/>
        </w:rPr>
      </w:pPr>
      <w:r w:rsidRPr="008F5421">
        <w:rPr>
          <w:rFonts w:ascii="Verdana" w:hAnsi="Verdana"/>
          <w:sz w:val="16"/>
          <w:szCs w:val="16"/>
        </w:rPr>
        <w:t xml:space="preserve">b. een vraag over, klacht over, of bezwaar tegen het regeringsbeleid; </w:t>
      </w:r>
    </w:p>
    <w:p w14:paraId="49EA6BA3" w14:textId="77777777" w:rsidR="00883D73" w:rsidRDefault="008F5421" w:rsidP="00883D73">
      <w:pPr>
        <w:pStyle w:val="Voetnoottekst"/>
        <w:ind w:left="720"/>
        <w:rPr>
          <w:rFonts w:ascii="Verdana" w:hAnsi="Verdana"/>
          <w:sz w:val="16"/>
          <w:szCs w:val="16"/>
        </w:rPr>
      </w:pPr>
      <w:r w:rsidRPr="008F5421">
        <w:rPr>
          <w:rFonts w:ascii="Verdana" w:hAnsi="Verdana"/>
          <w:sz w:val="16"/>
          <w:szCs w:val="16"/>
        </w:rPr>
        <w:t xml:space="preserve">c. een onderwerp waarover korter dan twee jaar voor de indiening van het burgerinitiatief door de Kamer een besluit is genomen, tenzij er voldoende concrete nieuwe feiten en omstandigheden zijn die de Kamer bij de eerdere besluitvorming niet bekend waren; </w:t>
      </w:r>
    </w:p>
    <w:p w14:paraId="703C0CBA" w14:textId="77777777" w:rsidR="00883D73" w:rsidRDefault="008F5421" w:rsidP="00883D73">
      <w:pPr>
        <w:pStyle w:val="Voetnoottekst"/>
        <w:ind w:left="720"/>
        <w:rPr>
          <w:rFonts w:ascii="Verdana" w:hAnsi="Verdana"/>
          <w:sz w:val="16"/>
          <w:szCs w:val="16"/>
        </w:rPr>
      </w:pPr>
      <w:r w:rsidRPr="008F5421">
        <w:rPr>
          <w:rFonts w:ascii="Verdana" w:hAnsi="Verdana"/>
          <w:sz w:val="16"/>
          <w:szCs w:val="16"/>
        </w:rPr>
        <w:t xml:space="preserve">d. belastingen en begrotingen; </w:t>
      </w:r>
    </w:p>
    <w:p w14:paraId="1619C410" w14:textId="41302D06" w:rsidR="00890B10" w:rsidRPr="008F5421" w:rsidRDefault="008F5421" w:rsidP="00883D73">
      <w:pPr>
        <w:pStyle w:val="Voetnoottekst"/>
        <w:ind w:left="720"/>
        <w:rPr>
          <w:rFonts w:ascii="Verdana" w:hAnsi="Verdana"/>
          <w:sz w:val="16"/>
          <w:szCs w:val="16"/>
        </w:rPr>
      </w:pPr>
      <w:r w:rsidRPr="008F5421">
        <w:rPr>
          <w:rFonts w:ascii="Verdana" w:hAnsi="Verdana"/>
          <w:sz w:val="16"/>
          <w:szCs w:val="16"/>
        </w:rPr>
        <w:t>e. zaken die in strijd zijn met de Grondwet of de goede zeden.</w:t>
      </w:r>
    </w:p>
  </w:footnote>
  <w:footnote w:id="3">
    <w:p w14:paraId="7755AC1C" w14:textId="0183CBC8" w:rsidR="007D7BC7" w:rsidRDefault="007D7BC7">
      <w:pPr>
        <w:pStyle w:val="Voetnoottekst"/>
      </w:pPr>
      <w:r>
        <w:rPr>
          <w:rStyle w:val="Voetnootmarkering"/>
        </w:rPr>
        <w:footnoteRef/>
      </w:r>
      <w:r>
        <w:t xml:space="preserve"> </w:t>
      </w:r>
      <w:r w:rsidRPr="0046213F">
        <w:rPr>
          <w:rFonts w:ascii="Verdana" w:hAnsi="Verdana"/>
          <w:sz w:val="16"/>
          <w:szCs w:val="16"/>
        </w:rPr>
        <w:t>Kamerstuk 24557</w:t>
      </w:r>
      <w:r w:rsidR="001A2969">
        <w:rPr>
          <w:rFonts w:ascii="Verdana" w:hAnsi="Verdana"/>
          <w:sz w:val="16"/>
          <w:szCs w:val="16"/>
        </w:rPr>
        <w:t xml:space="preserve">, nr. </w:t>
      </w:r>
      <w:r w:rsidRPr="0046213F">
        <w:rPr>
          <w:rFonts w:ascii="Verdana" w:hAnsi="Verdana"/>
          <w:sz w:val="16"/>
          <w:szCs w:val="16"/>
        </w:rPr>
        <w:t>271.</w:t>
      </w:r>
    </w:p>
  </w:footnote>
  <w:footnote w:id="4">
    <w:p w14:paraId="77D96FDF" w14:textId="17460DC7" w:rsidR="00465074" w:rsidRPr="00465074" w:rsidRDefault="00465074" w:rsidP="00465074">
      <w:pPr>
        <w:pStyle w:val="Voetnoottekst"/>
        <w:rPr>
          <w:rFonts w:ascii="Verdana" w:hAnsi="Verdana"/>
          <w:sz w:val="16"/>
          <w:szCs w:val="16"/>
        </w:rPr>
      </w:pPr>
      <w:r>
        <w:rPr>
          <w:rStyle w:val="Voetnootmarkering"/>
        </w:rPr>
        <w:footnoteRef/>
      </w:r>
      <w:r>
        <w:t xml:space="preserve"> </w:t>
      </w:r>
      <w:r w:rsidR="0090612B">
        <w:t xml:space="preserve"> </w:t>
      </w:r>
      <w:r w:rsidRPr="00465074">
        <w:rPr>
          <w:rFonts w:ascii="Verdana" w:hAnsi="Verdana"/>
          <w:sz w:val="16"/>
          <w:szCs w:val="16"/>
        </w:rPr>
        <w:t>Brief staatssecretaris van Justitie en Veiligheid d.d. 17 april 2026 over ‘Monitoringsrapportage online kansspelen voorjaar 2026’ en onderzoek ‘Risico’s op gokschade: een rangorde van gokproducten’ (Kamerstuk 24557</w:t>
      </w:r>
      <w:r w:rsidR="00A77761">
        <w:rPr>
          <w:rFonts w:ascii="Verdana" w:hAnsi="Verdana"/>
          <w:sz w:val="16"/>
          <w:szCs w:val="16"/>
        </w:rPr>
        <w:t xml:space="preserve">, nr. </w:t>
      </w:r>
      <w:r w:rsidRPr="00465074">
        <w:rPr>
          <w:rFonts w:ascii="Verdana" w:hAnsi="Verdana"/>
          <w:sz w:val="16"/>
          <w:szCs w:val="16"/>
        </w:rPr>
        <w:t>281);</w:t>
      </w:r>
      <w:r w:rsidR="0090612B">
        <w:rPr>
          <w:rFonts w:ascii="Verdana" w:hAnsi="Verdana"/>
          <w:sz w:val="16"/>
          <w:szCs w:val="16"/>
        </w:rPr>
        <w:t xml:space="preserve"> </w:t>
      </w:r>
      <w:r w:rsidRPr="00465074">
        <w:rPr>
          <w:rFonts w:ascii="Verdana" w:hAnsi="Verdana"/>
          <w:sz w:val="16"/>
          <w:szCs w:val="16"/>
        </w:rPr>
        <w:t>Brief staatssecretaris van Justitie en Veiligheid d.d. 17 december 2025 over onderzoeken kansspelen (Kamerstuk 24557</w:t>
      </w:r>
      <w:r w:rsidR="00A77761">
        <w:rPr>
          <w:rFonts w:ascii="Verdana" w:hAnsi="Verdana"/>
          <w:sz w:val="16"/>
          <w:szCs w:val="16"/>
        </w:rPr>
        <w:t xml:space="preserve">, nr. </w:t>
      </w:r>
      <w:r w:rsidRPr="00465074">
        <w:rPr>
          <w:rFonts w:ascii="Verdana" w:hAnsi="Verdana"/>
          <w:sz w:val="16"/>
          <w:szCs w:val="16"/>
        </w:rPr>
        <w:t>278)</w:t>
      </w:r>
      <w:r w:rsidR="0090612B">
        <w:rPr>
          <w:rFonts w:ascii="Verdana" w:hAnsi="Verdana"/>
          <w:sz w:val="16"/>
          <w:szCs w:val="16"/>
        </w:rPr>
        <w:t>.</w:t>
      </w:r>
    </w:p>
  </w:footnote>
  <w:footnote w:id="5">
    <w:p w14:paraId="5A0B2177" w14:textId="0A9A22AE" w:rsidR="001F06D5" w:rsidRPr="0046213F" w:rsidRDefault="001F06D5">
      <w:pPr>
        <w:pStyle w:val="Voetnoottekst"/>
        <w:rPr>
          <w:rFonts w:ascii="Verdana" w:hAnsi="Verdana"/>
          <w:sz w:val="16"/>
          <w:szCs w:val="16"/>
        </w:rPr>
      </w:pPr>
      <w:r w:rsidRPr="0046213F">
        <w:rPr>
          <w:rStyle w:val="Voetnootmarkering"/>
          <w:rFonts w:ascii="Verdana" w:hAnsi="Verdana"/>
          <w:sz w:val="16"/>
          <w:szCs w:val="16"/>
        </w:rPr>
        <w:footnoteRef/>
      </w:r>
      <w:r w:rsidRPr="0046213F">
        <w:rPr>
          <w:rFonts w:ascii="Verdana" w:hAnsi="Verdana"/>
          <w:sz w:val="16"/>
          <w:szCs w:val="16"/>
        </w:rPr>
        <w:t xml:space="preserve"> </w:t>
      </w:r>
      <w:r w:rsidR="008A5430" w:rsidRPr="0046213F">
        <w:rPr>
          <w:rFonts w:ascii="Verdana" w:hAnsi="Verdana"/>
          <w:sz w:val="16"/>
          <w:szCs w:val="16"/>
        </w:rPr>
        <w:t>Kamerstuk 24557</w:t>
      </w:r>
      <w:r w:rsidR="00ED58B7">
        <w:rPr>
          <w:rFonts w:ascii="Verdana" w:hAnsi="Verdana"/>
          <w:sz w:val="16"/>
          <w:szCs w:val="16"/>
        </w:rPr>
        <w:t xml:space="preserve">, nr. </w:t>
      </w:r>
      <w:r w:rsidR="008A5430" w:rsidRPr="0046213F">
        <w:rPr>
          <w:rFonts w:ascii="Verdana" w:hAnsi="Verdana"/>
          <w:sz w:val="16"/>
          <w:szCs w:val="16"/>
        </w:rPr>
        <w:t>271.</w:t>
      </w:r>
    </w:p>
  </w:footnote>
  <w:footnote w:id="6">
    <w:p w14:paraId="63D51AE5" w14:textId="58D59E05" w:rsidR="00E25D4B" w:rsidRDefault="00E25D4B">
      <w:pPr>
        <w:pStyle w:val="Voetnoottekst"/>
      </w:pPr>
      <w:r>
        <w:rPr>
          <w:rStyle w:val="Voetnootmarkering"/>
        </w:rPr>
        <w:footnoteRef/>
      </w:r>
      <w:r>
        <w:t xml:space="preserve"> </w:t>
      </w:r>
      <w:r w:rsidRPr="00E25D4B">
        <w:rPr>
          <w:rFonts w:ascii="Verdana" w:hAnsi="Verdana" w:cs="Arial"/>
          <w:color w:val="202122"/>
          <w:sz w:val="16"/>
          <w:szCs w:val="16"/>
          <w:shd w:val="clear" w:color="auto" w:fill="FFFFFF"/>
        </w:rPr>
        <w:t>Handelingen II, vergaderjaar 20</w:t>
      </w:r>
      <w:r w:rsidR="004317A8">
        <w:rPr>
          <w:rFonts w:ascii="Verdana" w:hAnsi="Verdana" w:cs="Arial"/>
          <w:color w:val="202122"/>
          <w:sz w:val="16"/>
          <w:szCs w:val="16"/>
          <w:shd w:val="clear" w:color="auto" w:fill="FFFFFF"/>
        </w:rPr>
        <w:t>24-2025</w:t>
      </w:r>
      <w:r w:rsidRPr="00E25D4B">
        <w:rPr>
          <w:rFonts w:ascii="Verdana" w:hAnsi="Verdana" w:cs="Arial"/>
          <w:color w:val="202122"/>
          <w:sz w:val="16"/>
          <w:szCs w:val="16"/>
          <w:shd w:val="clear" w:color="auto" w:fill="FFFFFF"/>
        </w:rPr>
        <w:t xml:space="preserve">, nr. </w:t>
      </w:r>
      <w:r w:rsidR="004317A8">
        <w:rPr>
          <w:rFonts w:ascii="Verdana" w:hAnsi="Verdana" w:cs="Arial"/>
          <w:color w:val="202122"/>
          <w:sz w:val="16"/>
          <w:szCs w:val="16"/>
          <w:shd w:val="clear" w:color="auto" w:fill="FFFFFF"/>
        </w:rPr>
        <w:t>73</w:t>
      </w:r>
      <w:r w:rsidRPr="00E25D4B">
        <w:rPr>
          <w:rFonts w:ascii="Verdana" w:hAnsi="Verdana" w:cs="Arial"/>
          <w:color w:val="202122"/>
          <w:sz w:val="16"/>
          <w:szCs w:val="16"/>
          <w:shd w:val="clear" w:color="auto" w:fill="FFFFFF"/>
        </w:rPr>
        <w:t xml:space="preserve">, item </w:t>
      </w:r>
      <w:r w:rsidR="004317A8">
        <w:rPr>
          <w:rFonts w:ascii="Verdana" w:hAnsi="Verdana" w:cs="Arial"/>
          <w:color w:val="202122"/>
          <w:sz w:val="16"/>
          <w:szCs w:val="16"/>
          <w:shd w:val="clear" w:color="auto" w:fill="FFFFFF"/>
        </w:rPr>
        <w:t>25.</w:t>
      </w:r>
    </w:p>
  </w:footnote>
  <w:footnote w:id="7">
    <w:p w14:paraId="172648EB" w14:textId="56311C7D" w:rsidR="00367C46" w:rsidRPr="0046213F" w:rsidRDefault="00367C46">
      <w:pPr>
        <w:pStyle w:val="Voetnoottekst"/>
        <w:rPr>
          <w:rFonts w:ascii="Verdana" w:hAnsi="Verdana"/>
          <w:sz w:val="16"/>
          <w:szCs w:val="16"/>
        </w:rPr>
      </w:pPr>
      <w:r w:rsidRPr="0046213F">
        <w:rPr>
          <w:rStyle w:val="Voetnootmarkering"/>
          <w:rFonts w:ascii="Verdana" w:hAnsi="Verdana"/>
          <w:sz w:val="16"/>
          <w:szCs w:val="16"/>
        </w:rPr>
        <w:footnoteRef/>
      </w:r>
      <w:r w:rsidRPr="0046213F">
        <w:rPr>
          <w:rFonts w:ascii="Verdana" w:hAnsi="Verdana"/>
          <w:sz w:val="16"/>
          <w:szCs w:val="16"/>
        </w:rPr>
        <w:t xml:space="preserve"> </w:t>
      </w:r>
      <w:r w:rsidR="00F8271C" w:rsidRPr="0046213F">
        <w:rPr>
          <w:rFonts w:ascii="Verdana" w:hAnsi="Verdana"/>
          <w:sz w:val="16"/>
          <w:szCs w:val="16"/>
        </w:rPr>
        <w:t xml:space="preserve">Kamerstuk </w:t>
      </w:r>
      <w:r w:rsidRPr="0046213F">
        <w:rPr>
          <w:rFonts w:ascii="Verdana" w:hAnsi="Verdana"/>
          <w:sz w:val="16"/>
          <w:szCs w:val="16"/>
        </w:rPr>
        <w:t>27879</w:t>
      </w:r>
      <w:r w:rsidR="00622364">
        <w:rPr>
          <w:rFonts w:ascii="Verdana" w:hAnsi="Verdana"/>
          <w:sz w:val="16"/>
          <w:szCs w:val="16"/>
        </w:rPr>
        <w:t xml:space="preserve">, nr. </w:t>
      </w:r>
      <w:r w:rsidRPr="0046213F">
        <w:rPr>
          <w:rFonts w:ascii="Verdana" w:hAnsi="Verdana"/>
          <w:sz w:val="16"/>
          <w:szCs w:val="16"/>
        </w:rPr>
        <w:t>100</w:t>
      </w:r>
      <w:r w:rsidR="00F8271C" w:rsidRPr="0046213F">
        <w:rPr>
          <w:rFonts w:ascii="Verdana" w:hAnsi="Verdana"/>
          <w:sz w:val="16"/>
          <w:szCs w:val="16"/>
        </w:rPr>
        <w:t>.</w:t>
      </w:r>
    </w:p>
  </w:footnote>
  <w:footnote w:id="8">
    <w:p w14:paraId="555D92C7" w14:textId="351ED8DA" w:rsidR="00D14BC3" w:rsidRPr="0046213F" w:rsidRDefault="00D14BC3" w:rsidP="00D14BC3">
      <w:pPr>
        <w:rPr>
          <w:rFonts w:ascii="Verdana" w:hAnsi="Verdana"/>
          <w:sz w:val="16"/>
          <w:szCs w:val="16"/>
        </w:rPr>
      </w:pPr>
      <w:r w:rsidRPr="0046213F">
        <w:rPr>
          <w:rStyle w:val="Voetnootmarkering"/>
          <w:rFonts w:ascii="Verdana" w:hAnsi="Verdana"/>
          <w:sz w:val="16"/>
          <w:szCs w:val="16"/>
        </w:rPr>
        <w:footnoteRef/>
      </w:r>
      <w:r w:rsidRPr="0046213F">
        <w:rPr>
          <w:rFonts w:ascii="Verdana" w:hAnsi="Verdana"/>
          <w:sz w:val="16"/>
          <w:szCs w:val="16"/>
        </w:rPr>
        <w:t xml:space="preserve"> Kamerstuk 36378</w:t>
      </w:r>
      <w:r w:rsidR="00622364">
        <w:rPr>
          <w:rFonts w:ascii="Verdana" w:hAnsi="Verdana"/>
          <w:sz w:val="16"/>
          <w:szCs w:val="16"/>
        </w:rPr>
        <w:t xml:space="preserve">, nr. </w:t>
      </w:r>
      <w:r w:rsidRPr="0046213F">
        <w:rPr>
          <w:rFonts w:ascii="Verdana" w:hAnsi="Verdana"/>
          <w:sz w:val="16"/>
          <w:szCs w:val="16"/>
        </w:rPr>
        <w:t>86.</w:t>
      </w:r>
    </w:p>
    <w:p w14:paraId="0EDF5AF1" w14:textId="01D4C306" w:rsidR="00D14BC3" w:rsidRPr="00D14BC3" w:rsidRDefault="00D14BC3">
      <w:pPr>
        <w:pStyle w:val="Voetnoottekst"/>
        <w:rPr>
          <w:rFonts w:ascii="Verdana" w:hAnsi="Verdan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4CAD"/>
    <w:multiLevelType w:val="hybridMultilevel"/>
    <w:tmpl w:val="EB1C2B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9D19B8"/>
    <w:multiLevelType w:val="hybridMultilevel"/>
    <w:tmpl w:val="E13E81AA"/>
    <w:lvl w:ilvl="0" w:tplc="DFD69208">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1460EF"/>
    <w:multiLevelType w:val="hybridMultilevel"/>
    <w:tmpl w:val="1DFEE02A"/>
    <w:lvl w:ilvl="0" w:tplc="39FA7D58">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030B7C"/>
    <w:multiLevelType w:val="hybridMultilevel"/>
    <w:tmpl w:val="C8224F50"/>
    <w:lvl w:ilvl="0" w:tplc="628C0ED0">
      <w:start w:val="5"/>
      <w:numFmt w:val="bullet"/>
      <w:lvlText w:val=""/>
      <w:lvlJc w:val="left"/>
      <w:pPr>
        <w:ind w:left="1068" w:hanging="360"/>
      </w:pPr>
      <w:rPr>
        <w:rFonts w:ascii="Symbol" w:eastAsiaTheme="minorHAnsi" w:hAnsi="Symbol"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69C33398"/>
    <w:multiLevelType w:val="hybridMultilevel"/>
    <w:tmpl w:val="BF744080"/>
    <w:lvl w:ilvl="0" w:tplc="4CACF60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2537382">
    <w:abstractNumId w:val="4"/>
  </w:num>
  <w:num w:numId="2" w16cid:durableId="829979823">
    <w:abstractNumId w:val="1"/>
  </w:num>
  <w:num w:numId="3" w16cid:durableId="1404913572">
    <w:abstractNumId w:val="0"/>
  </w:num>
  <w:num w:numId="4" w16cid:durableId="1963219314">
    <w:abstractNumId w:val="3"/>
  </w:num>
  <w:num w:numId="5" w16cid:durableId="11522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66"/>
    <w:rsid w:val="000203A3"/>
    <w:rsid w:val="00031FC8"/>
    <w:rsid w:val="00052EE1"/>
    <w:rsid w:val="00054107"/>
    <w:rsid w:val="000566B2"/>
    <w:rsid w:val="0009150D"/>
    <w:rsid w:val="00092E66"/>
    <w:rsid w:val="000951F1"/>
    <w:rsid w:val="000C4FC4"/>
    <w:rsid w:val="000E5FF5"/>
    <w:rsid w:val="000F534F"/>
    <w:rsid w:val="00111712"/>
    <w:rsid w:val="0012408E"/>
    <w:rsid w:val="00136C66"/>
    <w:rsid w:val="00143A2E"/>
    <w:rsid w:val="0014501B"/>
    <w:rsid w:val="00154BFC"/>
    <w:rsid w:val="00157106"/>
    <w:rsid w:val="00163D5D"/>
    <w:rsid w:val="00176B8E"/>
    <w:rsid w:val="00180536"/>
    <w:rsid w:val="00184486"/>
    <w:rsid w:val="001A2969"/>
    <w:rsid w:val="001A5B3B"/>
    <w:rsid w:val="001D027F"/>
    <w:rsid w:val="001D1624"/>
    <w:rsid w:val="001E0EAD"/>
    <w:rsid w:val="001E7B78"/>
    <w:rsid w:val="001F06D5"/>
    <w:rsid w:val="00201AC4"/>
    <w:rsid w:val="002315BC"/>
    <w:rsid w:val="00232B81"/>
    <w:rsid w:val="00244172"/>
    <w:rsid w:val="0026130D"/>
    <w:rsid w:val="002714E3"/>
    <w:rsid w:val="002B7612"/>
    <w:rsid w:val="002B7F94"/>
    <w:rsid w:val="002C1578"/>
    <w:rsid w:val="002C4F75"/>
    <w:rsid w:val="00300DE2"/>
    <w:rsid w:val="0030682D"/>
    <w:rsid w:val="003112B4"/>
    <w:rsid w:val="00324FBF"/>
    <w:rsid w:val="003308E0"/>
    <w:rsid w:val="00350BA1"/>
    <w:rsid w:val="003560FC"/>
    <w:rsid w:val="0035714D"/>
    <w:rsid w:val="00367C46"/>
    <w:rsid w:val="00396362"/>
    <w:rsid w:val="003C5EBA"/>
    <w:rsid w:val="003E42E8"/>
    <w:rsid w:val="003E4682"/>
    <w:rsid w:val="00402E39"/>
    <w:rsid w:val="004317A8"/>
    <w:rsid w:val="00433B37"/>
    <w:rsid w:val="00446A02"/>
    <w:rsid w:val="00456B09"/>
    <w:rsid w:val="0046213F"/>
    <w:rsid w:val="00464249"/>
    <w:rsid w:val="00465074"/>
    <w:rsid w:val="00465150"/>
    <w:rsid w:val="0046605F"/>
    <w:rsid w:val="00471D37"/>
    <w:rsid w:val="0047544E"/>
    <w:rsid w:val="004807F6"/>
    <w:rsid w:val="00485687"/>
    <w:rsid w:val="00486325"/>
    <w:rsid w:val="004A41B3"/>
    <w:rsid w:val="004E6091"/>
    <w:rsid w:val="004F3771"/>
    <w:rsid w:val="00502689"/>
    <w:rsid w:val="00520888"/>
    <w:rsid w:val="00533369"/>
    <w:rsid w:val="00564448"/>
    <w:rsid w:val="00586582"/>
    <w:rsid w:val="005B286F"/>
    <w:rsid w:val="005C39B9"/>
    <w:rsid w:val="005D6683"/>
    <w:rsid w:val="005E76ED"/>
    <w:rsid w:val="00622364"/>
    <w:rsid w:val="00644BC3"/>
    <w:rsid w:val="00645A23"/>
    <w:rsid w:val="006600CD"/>
    <w:rsid w:val="00675B1D"/>
    <w:rsid w:val="00690657"/>
    <w:rsid w:val="00690D02"/>
    <w:rsid w:val="006E653C"/>
    <w:rsid w:val="007536DB"/>
    <w:rsid w:val="007650F3"/>
    <w:rsid w:val="00772FC4"/>
    <w:rsid w:val="00775533"/>
    <w:rsid w:val="007A5EB1"/>
    <w:rsid w:val="007B156B"/>
    <w:rsid w:val="007B763A"/>
    <w:rsid w:val="007C211A"/>
    <w:rsid w:val="007C2777"/>
    <w:rsid w:val="007C46E8"/>
    <w:rsid w:val="007C548A"/>
    <w:rsid w:val="007D7BC7"/>
    <w:rsid w:val="0080398D"/>
    <w:rsid w:val="008047C1"/>
    <w:rsid w:val="00826452"/>
    <w:rsid w:val="00830429"/>
    <w:rsid w:val="00843D88"/>
    <w:rsid w:val="008515B1"/>
    <w:rsid w:val="008570C5"/>
    <w:rsid w:val="00875779"/>
    <w:rsid w:val="00883D73"/>
    <w:rsid w:val="00890B10"/>
    <w:rsid w:val="00890F33"/>
    <w:rsid w:val="008A5430"/>
    <w:rsid w:val="008D4D3C"/>
    <w:rsid w:val="008E2B88"/>
    <w:rsid w:val="008F394F"/>
    <w:rsid w:val="008F5421"/>
    <w:rsid w:val="00901BA8"/>
    <w:rsid w:val="00901D42"/>
    <w:rsid w:val="00904274"/>
    <w:rsid w:val="0090612B"/>
    <w:rsid w:val="00911E0A"/>
    <w:rsid w:val="00945227"/>
    <w:rsid w:val="00976ED9"/>
    <w:rsid w:val="009829AA"/>
    <w:rsid w:val="00984A2A"/>
    <w:rsid w:val="00986A9A"/>
    <w:rsid w:val="00993D0F"/>
    <w:rsid w:val="009C4296"/>
    <w:rsid w:val="00A039F2"/>
    <w:rsid w:val="00A05591"/>
    <w:rsid w:val="00A15FE9"/>
    <w:rsid w:val="00A66D96"/>
    <w:rsid w:val="00A77761"/>
    <w:rsid w:val="00A779A0"/>
    <w:rsid w:val="00A9577C"/>
    <w:rsid w:val="00AA5D3D"/>
    <w:rsid w:val="00AE2E50"/>
    <w:rsid w:val="00B00D24"/>
    <w:rsid w:val="00B1161B"/>
    <w:rsid w:val="00B55566"/>
    <w:rsid w:val="00B55DE4"/>
    <w:rsid w:val="00B62666"/>
    <w:rsid w:val="00B63628"/>
    <w:rsid w:val="00B64F6A"/>
    <w:rsid w:val="00B66567"/>
    <w:rsid w:val="00B6740B"/>
    <w:rsid w:val="00B8189C"/>
    <w:rsid w:val="00B8285B"/>
    <w:rsid w:val="00B84B91"/>
    <w:rsid w:val="00B9440E"/>
    <w:rsid w:val="00BA3347"/>
    <w:rsid w:val="00BA39DB"/>
    <w:rsid w:val="00BB340C"/>
    <w:rsid w:val="00BB5653"/>
    <w:rsid w:val="00BC5188"/>
    <w:rsid w:val="00BD1CC6"/>
    <w:rsid w:val="00BE1050"/>
    <w:rsid w:val="00BF1596"/>
    <w:rsid w:val="00BF46AD"/>
    <w:rsid w:val="00C10636"/>
    <w:rsid w:val="00C13974"/>
    <w:rsid w:val="00C16383"/>
    <w:rsid w:val="00C30A2D"/>
    <w:rsid w:val="00C450DE"/>
    <w:rsid w:val="00C50F99"/>
    <w:rsid w:val="00C56BE3"/>
    <w:rsid w:val="00C60F24"/>
    <w:rsid w:val="00CB2CBD"/>
    <w:rsid w:val="00CC1F23"/>
    <w:rsid w:val="00CC3712"/>
    <w:rsid w:val="00CF6A00"/>
    <w:rsid w:val="00D14BC3"/>
    <w:rsid w:val="00D355B2"/>
    <w:rsid w:val="00D40034"/>
    <w:rsid w:val="00D65F78"/>
    <w:rsid w:val="00D72264"/>
    <w:rsid w:val="00D739BF"/>
    <w:rsid w:val="00D76B63"/>
    <w:rsid w:val="00D801A0"/>
    <w:rsid w:val="00D81C8F"/>
    <w:rsid w:val="00D939C3"/>
    <w:rsid w:val="00DA67D5"/>
    <w:rsid w:val="00DE3269"/>
    <w:rsid w:val="00DE6ED0"/>
    <w:rsid w:val="00E00709"/>
    <w:rsid w:val="00E05360"/>
    <w:rsid w:val="00E0722D"/>
    <w:rsid w:val="00E25D4B"/>
    <w:rsid w:val="00E309D3"/>
    <w:rsid w:val="00E43E6A"/>
    <w:rsid w:val="00E54B9B"/>
    <w:rsid w:val="00E550B3"/>
    <w:rsid w:val="00E643FC"/>
    <w:rsid w:val="00E65309"/>
    <w:rsid w:val="00E97D73"/>
    <w:rsid w:val="00EA3E3C"/>
    <w:rsid w:val="00EB550D"/>
    <w:rsid w:val="00EB75ED"/>
    <w:rsid w:val="00EC0D39"/>
    <w:rsid w:val="00ED58B7"/>
    <w:rsid w:val="00EE2438"/>
    <w:rsid w:val="00F11A2B"/>
    <w:rsid w:val="00F11C98"/>
    <w:rsid w:val="00F16FE2"/>
    <w:rsid w:val="00F2534E"/>
    <w:rsid w:val="00F25CF2"/>
    <w:rsid w:val="00F54A79"/>
    <w:rsid w:val="00F8271C"/>
    <w:rsid w:val="00F84B43"/>
    <w:rsid w:val="00F8529A"/>
    <w:rsid w:val="00F931FC"/>
    <w:rsid w:val="00F94FB3"/>
    <w:rsid w:val="00F956F4"/>
    <w:rsid w:val="00FC349F"/>
    <w:rsid w:val="00FD6247"/>
    <w:rsid w:val="00FF3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0AD8"/>
  <w15:chartTrackingRefBased/>
  <w15:docId w15:val="{DB009474-597B-4391-8757-5D464E75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6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6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6C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6C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6C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6C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6C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6C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6C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C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6C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6C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6C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6C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6C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6C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6C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6C66"/>
    <w:rPr>
      <w:rFonts w:eastAsiaTheme="majorEastAsia" w:cstheme="majorBidi"/>
      <w:color w:val="272727" w:themeColor="text1" w:themeTint="D8"/>
    </w:rPr>
  </w:style>
  <w:style w:type="paragraph" w:styleId="Titel">
    <w:name w:val="Title"/>
    <w:basedOn w:val="Standaard"/>
    <w:next w:val="Standaard"/>
    <w:link w:val="TitelChar"/>
    <w:uiPriority w:val="10"/>
    <w:qFormat/>
    <w:rsid w:val="00136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6C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6C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6C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6C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6C66"/>
    <w:rPr>
      <w:i/>
      <w:iCs/>
      <w:color w:val="404040" w:themeColor="text1" w:themeTint="BF"/>
    </w:rPr>
  </w:style>
  <w:style w:type="paragraph" w:styleId="Lijstalinea">
    <w:name w:val="List Paragraph"/>
    <w:basedOn w:val="Standaard"/>
    <w:uiPriority w:val="34"/>
    <w:qFormat/>
    <w:rsid w:val="00136C66"/>
    <w:pPr>
      <w:ind w:left="720"/>
      <w:contextualSpacing/>
    </w:pPr>
  </w:style>
  <w:style w:type="character" w:styleId="Intensievebenadrukking">
    <w:name w:val="Intense Emphasis"/>
    <w:basedOn w:val="Standaardalinea-lettertype"/>
    <w:uiPriority w:val="21"/>
    <w:qFormat/>
    <w:rsid w:val="00136C66"/>
    <w:rPr>
      <w:i/>
      <w:iCs/>
      <w:color w:val="0F4761" w:themeColor="accent1" w:themeShade="BF"/>
    </w:rPr>
  </w:style>
  <w:style w:type="paragraph" w:styleId="Duidelijkcitaat">
    <w:name w:val="Intense Quote"/>
    <w:basedOn w:val="Standaard"/>
    <w:next w:val="Standaard"/>
    <w:link w:val="DuidelijkcitaatChar"/>
    <w:uiPriority w:val="30"/>
    <w:qFormat/>
    <w:rsid w:val="00136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6C66"/>
    <w:rPr>
      <w:i/>
      <w:iCs/>
      <w:color w:val="0F4761" w:themeColor="accent1" w:themeShade="BF"/>
    </w:rPr>
  </w:style>
  <w:style w:type="character" w:styleId="Intensieveverwijzing">
    <w:name w:val="Intense Reference"/>
    <w:basedOn w:val="Standaardalinea-lettertype"/>
    <w:uiPriority w:val="32"/>
    <w:qFormat/>
    <w:rsid w:val="00136C66"/>
    <w:rPr>
      <w:b/>
      <w:bCs/>
      <w:smallCaps/>
      <w:color w:val="0F4761" w:themeColor="accent1" w:themeShade="BF"/>
      <w:spacing w:val="5"/>
    </w:rPr>
  </w:style>
  <w:style w:type="paragraph" w:styleId="Koptekst">
    <w:name w:val="header"/>
    <w:basedOn w:val="Standaard"/>
    <w:link w:val="KoptekstChar"/>
    <w:uiPriority w:val="99"/>
    <w:unhideWhenUsed/>
    <w:rsid w:val="008264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6452"/>
  </w:style>
  <w:style w:type="paragraph" w:styleId="Voettekst">
    <w:name w:val="footer"/>
    <w:basedOn w:val="Standaard"/>
    <w:link w:val="VoettekstChar"/>
    <w:uiPriority w:val="99"/>
    <w:unhideWhenUsed/>
    <w:rsid w:val="008264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6452"/>
  </w:style>
  <w:style w:type="character" w:styleId="Hyperlink">
    <w:name w:val="Hyperlink"/>
    <w:basedOn w:val="Standaardalinea-lettertype"/>
    <w:uiPriority w:val="99"/>
    <w:unhideWhenUsed/>
    <w:rsid w:val="00826452"/>
    <w:rPr>
      <w:color w:val="467886" w:themeColor="hyperlink"/>
      <w:u w:val="single"/>
    </w:rPr>
  </w:style>
  <w:style w:type="character" w:styleId="Onopgelostemelding">
    <w:name w:val="Unresolved Mention"/>
    <w:basedOn w:val="Standaardalinea-lettertype"/>
    <w:uiPriority w:val="99"/>
    <w:semiHidden/>
    <w:unhideWhenUsed/>
    <w:rsid w:val="00826452"/>
    <w:rPr>
      <w:color w:val="605E5C"/>
      <w:shd w:val="clear" w:color="auto" w:fill="E1DFDD"/>
    </w:rPr>
  </w:style>
  <w:style w:type="paragraph" w:styleId="Voetnoottekst">
    <w:name w:val="footnote text"/>
    <w:basedOn w:val="Standaard"/>
    <w:link w:val="VoetnoottekstChar"/>
    <w:uiPriority w:val="99"/>
    <w:semiHidden/>
    <w:unhideWhenUsed/>
    <w:rsid w:val="00890B1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0B10"/>
    <w:rPr>
      <w:sz w:val="20"/>
      <w:szCs w:val="20"/>
    </w:rPr>
  </w:style>
  <w:style w:type="character" w:styleId="Voetnootmarkering">
    <w:name w:val="footnote reference"/>
    <w:basedOn w:val="Standaardalinea-lettertype"/>
    <w:uiPriority w:val="99"/>
    <w:semiHidden/>
    <w:unhideWhenUsed/>
    <w:rsid w:val="00890B10"/>
    <w:rPr>
      <w:vertAlign w:val="superscript"/>
    </w:rPr>
  </w:style>
  <w:style w:type="character" w:styleId="Verwijzingopmerking">
    <w:name w:val="annotation reference"/>
    <w:basedOn w:val="Standaardalinea-lettertype"/>
    <w:uiPriority w:val="99"/>
    <w:semiHidden/>
    <w:unhideWhenUsed/>
    <w:rsid w:val="00645A23"/>
    <w:rPr>
      <w:sz w:val="16"/>
      <w:szCs w:val="16"/>
    </w:rPr>
  </w:style>
  <w:style w:type="paragraph" w:styleId="Tekstopmerking">
    <w:name w:val="annotation text"/>
    <w:basedOn w:val="Standaard"/>
    <w:link w:val="TekstopmerkingChar"/>
    <w:uiPriority w:val="99"/>
    <w:unhideWhenUsed/>
    <w:rsid w:val="00645A23"/>
    <w:pPr>
      <w:spacing w:line="240" w:lineRule="auto"/>
    </w:pPr>
    <w:rPr>
      <w:sz w:val="20"/>
      <w:szCs w:val="20"/>
    </w:rPr>
  </w:style>
  <w:style w:type="character" w:customStyle="1" w:styleId="TekstopmerkingChar">
    <w:name w:val="Tekst opmerking Char"/>
    <w:basedOn w:val="Standaardalinea-lettertype"/>
    <w:link w:val="Tekstopmerking"/>
    <w:uiPriority w:val="99"/>
    <w:rsid w:val="00645A23"/>
    <w:rPr>
      <w:sz w:val="20"/>
      <w:szCs w:val="20"/>
    </w:rPr>
  </w:style>
  <w:style w:type="paragraph" w:styleId="Onderwerpvanopmerking">
    <w:name w:val="annotation subject"/>
    <w:basedOn w:val="Tekstopmerking"/>
    <w:next w:val="Tekstopmerking"/>
    <w:link w:val="OnderwerpvanopmerkingChar"/>
    <w:uiPriority w:val="99"/>
    <w:semiHidden/>
    <w:unhideWhenUsed/>
    <w:rsid w:val="00645A23"/>
    <w:rPr>
      <w:b/>
      <w:bCs/>
    </w:rPr>
  </w:style>
  <w:style w:type="character" w:customStyle="1" w:styleId="OnderwerpvanopmerkingChar">
    <w:name w:val="Onderwerp van opmerking Char"/>
    <w:basedOn w:val="TekstopmerkingChar"/>
    <w:link w:val="Onderwerpvanopmerking"/>
    <w:uiPriority w:val="99"/>
    <w:semiHidden/>
    <w:rsid w:val="00645A23"/>
    <w:rPr>
      <w:b/>
      <w:bCs/>
      <w:sz w:val="20"/>
      <w:szCs w:val="20"/>
    </w:rPr>
  </w:style>
  <w:style w:type="paragraph" w:styleId="Revisie">
    <w:name w:val="Revision"/>
    <w:hidden/>
    <w:uiPriority w:val="99"/>
    <w:semiHidden/>
    <w:rsid w:val="00875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yperlink" Target="https://www.tweedekamer.nl/sites/default/files/atoms/files/35713-2_nieuwe_regeling_van_de_commissie_voor_de_verzoekschriften_en_de_burgerinitiatieven.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urgerinitiatieven/stop-de-postcodeloteri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1174</ap:Words>
  <ap:Characters>6461</ap:Characters>
  <ap:DocSecurity>0</ap:DocSecurity>
  <ap:Lines>53</ap:Lines>
  <ap:Paragraphs>15</ap:Paragraphs>
  <ap:ScaleCrop>false</ap:ScaleCrop>
  <ap:LinksUpToDate>false</ap:LinksUpToDate>
  <ap:CharactersWithSpaces>7620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2026-07-02T08:54:00.0000000Z</dcterms:created>
  <dcterms:modified xsi:type="dcterms:W3CDTF">2026-07-02T08:54:00.0000000Z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0x01010061A247A6B315FB4CBB763965BBD62638</vt:lpwstr>
  </property>
</Properties>
</file>