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5856" w:rsidP="004C2289" w:rsidRDefault="00CD5856" w14:paraId="589BDF61" w14:textId="77777777">
      <w:pPr>
        <w:spacing w:line="240" w:lineRule="atLeast"/>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1E7CFB" w:rsidP="004C2289" w:rsidRDefault="001E7CFB" w14:paraId="55EBC38A" w14:textId="77777777">
      <w:pPr>
        <w:pStyle w:val="Huisstijl-Aanhef"/>
        <w:spacing w:line="240" w:lineRule="atLeast"/>
        <w:contextualSpacing/>
      </w:pPr>
    </w:p>
    <w:p w:rsidR="00CD5856" w:rsidP="004C2289" w:rsidRDefault="009734E9" w14:paraId="6ED57549" w14:textId="27F0A4B7">
      <w:pPr>
        <w:pStyle w:val="Huisstijl-Aanhef"/>
        <w:spacing w:line="240" w:lineRule="atLeast"/>
        <w:contextualSpacing/>
      </w:pPr>
      <w:r>
        <w:t xml:space="preserve">Geachte </w:t>
      </w:r>
      <w:r w:rsidR="001E7CFB">
        <w:t>v</w:t>
      </w:r>
      <w:r>
        <w:t>oorzitter,</w:t>
      </w:r>
    </w:p>
    <w:p w:rsidRPr="00877887" w:rsidR="00270C54" w:rsidP="004C2289" w:rsidRDefault="009734E9" w14:paraId="0E0164B0" w14:textId="183ACF39">
      <w:pPr>
        <w:spacing w:line="240" w:lineRule="atLeast"/>
        <w:rPr>
          <w:rFonts w:eastAsia="Times New Roman" w:cs="Times New Roman"/>
          <w:bCs/>
          <w:color w:val="000000" w:themeColor="text1"/>
        </w:rPr>
      </w:pPr>
      <w:r w:rsidRPr="00877887">
        <w:rPr>
          <w:rFonts w:eastAsia="Times New Roman" w:cs="Times New Roman"/>
          <w:bCs/>
          <w:color w:val="000000" w:themeColor="text1"/>
        </w:rPr>
        <w:t>I</w:t>
      </w:r>
      <w:r>
        <w:rPr>
          <w:rFonts w:eastAsia="Times New Roman" w:cs="Times New Roman"/>
          <w:bCs/>
          <w:color w:val="000000" w:themeColor="text1"/>
        </w:rPr>
        <w:t xml:space="preserve">n </w:t>
      </w:r>
      <w:r w:rsidRPr="00877887">
        <w:rPr>
          <w:rFonts w:eastAsia="Times New Roman" w:cs="Times New Roman"/>
          <w:bCs/>
          <w:color w:val="000000" w:themeColor="text1"/>
        </w:rPr>
        <w:t xml:space="preserve">het commissiedebat Zorgverzekeringsstelsel van 10 juni jl. </w:t>
      </w:r>
      <w:r>
        <w:rPr>
          <w:rFonts w:eastAsia="Times New Roman" w:cs="Times New Roman"/>
          <w:bCs/>
          <w:color w:val="000000" w:themeColor="text1"/>
        </w:rPr>
        <w:t xml:space="preserve">is door het lid Claassen (Groep Markuszower) </w:t>
      </w:r>
      <w:r w:rsidR="00F43B5E">
        <w:rPr>
          <w:rFonts w:eastAsia="Times New Roman" w:cs="Times New Roman"/>
          <w:bCs/>
          <w:color w:val="000000" w:themeColor="text1"/>
        </w:rPr>
        <w:t>gevraagd of</w:t>
      </w:r>
      <w:r>
        <w:rPr>
          <w:rFonts w:eastAsia="Times New Roman" w:cs="Times New Roman"/>
          <w:bCs/>
          <w:color w:val="000000" w:themeColor="text1"/>
        </w:rPr>
        <w:t xml:space="preserve"> “een expliciet moreel afwegingskader, naast de kille QALY’s” </w:t>
      </w:r>
      <w:r w:rsidR="00F43B5E">
        <w:rPr>
          <w:rFonts w:eastAsia="Times New Roman" w:cs="Times New Roman"/>
          <w:bCs/>
          <w:color w:val="000000" w:themeColor="text1"/>
        </w:rPr>
        <w:t xml:space="preserve">nodig is </w:t>
      </w:r>
      <w:r>
        <w:rPr>
          <w:rFonts w:eastAsia="Times New Roman" w:cs="Times New Roman"/>
          <w:bCs/>
          <w:color w:val="000000" w:themeColor="text1"/>
        </w:rPr>
        <w:t>bij het pakketbeheer van dure geneesmiddelen. In reactie op het antwoord bleek er behoefte aan toelichting op d</w:t>
      </w:r>
      <w:r w:rsidRPr="00877887">
        <w:rPr>
          <w:rFonts w:eastAsia="Times New Roman" w:cs="Times New Roman"/>
          <w:bCs/>
          <w:color w:val="000000" w:themeColor="text1"/>
        </w:rPr>
        <w:t xml:space="preserve">e ethische of morele </w:t>
      </w:r>
      <w:r>
        <w:rPr>
          <w:rFonts w:eastAsia="Times New Roman" w:cs="Times New Roman"/>
          <w:bCs/>
          <w:color w:val="000000" w:themeColor="text1"/>
        </w:rPr>
        <w:t>aspecten</w:t>
      </w:r>
      <w:r w:rsidRPr="00877887">
        <w:rPr>
          <w:rFonts w:eastAsia="Times New Roman" w:cs="Times New Roman"/>
          <w:bCs/>
          <w:color w:val="000000" w:themeColor="text1"/>
        </w:rPr>
        <w:t xml:space="preserve"> van het beleid rond dure geneesmiddelen</w:t>
      </w:r>
      <w:r>
        <w:rPr>
          <w:rFonts w:eastAsia="Times New Roman" w:cs="Times New Roman"/>
          <w:bCs/>
          <w:color w:val="000000" w:themeColor="text1"/>
        </w:rPr>
        <w:t>, specifiek de zogenoemde geneesmiddelensluis</w:t>
      </w:r>
      <w:r w:rsidRPr="00877887">
        <w:rPr>
          <w:rFonts w:eastAsia="Times New Roman" w:cs="Times New Roman"/>
          <w:bCs/>
          <w:color w:val="000000" w:themeColor="text1"/>
        </w:rPr>
        <w:t>. D</w:t>
      </w:r>
      <w:r>
        <w:rPr>
          <w:rFonts w:eastAsia="Times New Roman" w:cs="Times New Roman"/>
          <w:bCs/>
          <w:color w:val="000000" w:themeColor="text1"/>
        </w:rPr>
        <w:t>ie toelichting geeft</w:t>
      </w:r>
      <w:r w:rsidRPr="00877887">
        <w:rPr>
          <w:rFonts w:eastAsia="Times New Roman" w:cs="Times New Roman"/>
          <w:bCs/>
          <w:color w:val="000000" w:themeColor="text1"/>
        </w:rPr>
        <w:t xml:space="preserve"> het kabinet graag bij deze. </w:t>
      </w:r>
    </w:p>
    <w:p w:rsidRPr="00877887" w:rsidR="00270C54" w:rsidP="004C2289" w:rsidRDefault="00270C54" w14:paraId="66806E74" w14:textId="77777777">
      <w:pPr>
        <w:spacing w:line="240" w:lineRule="atLeast"/>
        <w:rPr>
          <w:rFonts w:eastAsia="Times New Roman" w:cs="Times New Roman"/>
          <w:bCs/>
          <w:color w:val="000000" w:themeColor="text1"/>
        </w:rPr>
      </w:pPr>
    </w:p>
    <w:p w:rsidRPr="00877887" w:rsidR="00270C54" w:rsidP="004C2289" w:rsidRDefault="009734E9" w14:paraId="681A5305" w14:textId="636D9E7D">
      <w:pPr>
        <w:spacing w:line="240" w:lineRule="atLeast"/>
        <w:rPr>
          <w:rFonts w:eastAsia="Times New Roman" w:cs="Times New Roman"/>
          <w:bCs/>
          <w:color w:val="000000" w:themeColor="text1"/>
        </w:rPr>
      </w:pPr>
      <w:r w:rsidRPr="00877887">
        <w:rPr>
          <w:rFonts w:eastAsia="Times New Roman" w:cs="Times New Roman"/>
          <w:bCs/>
          <w:color w:val="000000" w:themeColor="text1"/>
        </w:rPr>
        <w:t>Het kabinet wil beginnen met het erkennen van het belang van ethische reflectie. Als het pakketbeleid leidt tot situaties waarin patiënten een voor hen effectieve behandeling wordt ontzegd, zoals het afgelopen jaar helaas een aantal keer is gebeurd bij enkele sluisgeneesmiddelen, is het heel belangrijk om uit te leggen welke waarden aan dit beleid ten grondslag liggen. Openheid draagt bij aan het draagvlak, maar ook aan de verantwoording die de politiek moet afleggen over de gemaakte keuzes. Politiek gaat i</w:t>
      </w:r>
      <w:r w:rsidRPr="00877887">
        <w:rPr>
          <w:rFonts w:eastAsia="Times New Roman" w:cs="Times New Roman"/>
          <w:bCs/>
          <w:color w:val="000000" w:themeColor="text1"/>
        </w:rPr>
        <w:t>n de kern immers over de vraag hoe we de beperkte collectieve middelen, zowel in financiële zin als in termen van arbeidsinzet, verdelen. En er is politiek debat over die verdeling doordat, in een vrije samenleving als de Nederlandse, waardenpluraliteit</w:t>
      </w:r>
      <w:r w:rsidR="00F43B5E">
        <w:rPr>
          <w:rStyle w:val="Voetnootmarkering"/>
          <w:rFonts w:eastAsia="Times New Roman" w:cs="Times New Roman"/>
          <w:bCs/>
          <w:color w:val="000000" w:themeColor="text1"/>
        </w:rPr>
        <w:footnoteReference w:id="1"/>
      </w:r>
      <w:r w:rsidRPr="00877887">
        <w:rPr>
          <w:rFonts w:eastAsia="Times New Roman" w:cs="Times New Roman"/>
          <w:bCs/>
          <w:color w:val="000000" w:themeColor="text1"/>
        </w:rPr>
        <w:t xml:space="preserve"> bestaat. </w:t>
      </w:r>
    </w:p>
    <w:p w:rsidRPr="00877887" w:rsidR="00270C54" w:rsidP="004C2289" w:rsidRDefault="00270C54" w14:paraId="54EFE2D2" w14:textId="77777777">
      <w:pPr>
        <w:spacing w:line="240" w:lineRule="atLeast"/>
        <w:rPr>
          <w:rFonts w:eastAsia="Times New Roman" w:cs="Times New Roman"/>
          <w:bCs/>
          <w:color w:val="000000" w:themeColor="text1"/>
        </w:rPr>
      </w:pPr>
    </w:p>
    <w:p w:rsidRPr="00877887" w:rsidR="00270C54" w:rsidP="004C2289" w:rsidRDefault="009734E9" w14:paraId="11DD83BC" w14:textId="77777777">
      <w:pPr>
        <w:pStyle w:val="Voetnoottekst"/>
        <w:suppressAutoHyphens/>
        <w:spacing w:line="240" w:lineRule="atLeast"/>
        <w:rPr>
          <w:sz w:val="18"/>
          <w:szCs w:val="18"/>
        </w:rPr>
      </w:pPr>
      <w:r w:rsidRPr="005A5F6E">
        <w:rPr>
          <w:rFonts w:eastAsia="Times New Roman" w:cs="Times New Roman"/>
          <w:bCs/>
          <w:color w:val="000000" w:themeColor="text1"/>
          <w:sz w:val="18"/>
          <w:szCs w:val="18"/>
        </w:rPr>
        <w:t xml:space="preserve">Duidelijke communicatie en </w:t>
      </w:r>
      <w:r w:rsidRPr="00877887">
        <w:rPr>
          <w:rFonts w:eastAsia="Times New Roman" w:cs="Times New Roman"/>
          <w:bCs/>
          <w:color w:val="000000" w:themeColor="text1"/>
          <w:sz w:val="18"/>
          <w:szCs w:val="18"/>
        </w:rPr>
        <w:t xml:space="preserve">transparantie over hoe keuzes tot stand komen draagt ook bij aan wat de procedurele rechtvaardigheid wordt genoemd. </w:t>
      </w:r>
      <w:r w:rsidRPr="005A5F6E">
        <w:rPr>
          <w:sz w:val="18"/>
          <w:szCs w:val="18"/>
        </w:rPr>
        <w:t>In de medisch-ethische literatuur wordt erop gewezen dat bij de verdeling van schaarse middelen er vaak moeilijk overeenstemming te bereiken is over de verdelende rechtvaardigheid (wie krijgt wat).</w:t>
      </w:r>
      <w:r w:rsidRPr="005A5F6E">
        <w:rPr>
          <w:rFonts w:eastAsia="Times New Roman" w:cs="Times New Roman"/>
          <w:bCs/>
          <w:color w:val="000000" w:themeColor="text1"/>
          <w:sz w:val="18"/>
          <w:szCs w:val="18"/>
        </w:rPr>
        <w:t xml:space="preserve"> </w:t>
      </w:r>
      <w:r w:rsidRPr="005A5F6E">
        <w:rPr>
          <w:sz w:val="18"/>
          <w:szCs w:val="18"/>
        </w:rPr>
        <w:t xml:space="preserve">Maar als de procedurele rechtvaardigheid goed geregeld is, </w:t>
      </w:r>
      <w:r w:rsidRPr="00877887">
        <w:rPr>
          <w:sz w:val="18"/>
          <w:szCs w:val="18"/>
        </w:rPr>
        <w:t xml:space="preserve">dat wil zeggen als </w:t>
      </w:r>
      <w:r w:rsidRPr="005A5F6E">
        <w:rPr>
          <w:i/>
          <w:iCs/>
          <w:sz w:val="18"/>
          <w:szCs w:val="18"/>
        </w:rPr>
        <w:t>de manier waarop</w:t>
      </w:r>
      <w:r w:rsidRPr="00877887">
        <w:rPr>
          <w:sz w:val="18"/>
          <w:szCs w:val="18"/>
        </w:rPr>
        <w:t xml:space="preserve"> een besluit over de verdeling tot stand komt eerlijk is, </w:t>
      </w:r>
      <w:r w:rsidRPr="005A5F6E">
        <w:rPr>
          <w:sz w:val="18"/>
          <w:szCs w:val="18"/>
        </w:rPr>
        <w:t>blijken mensen zich toch (meer of makkelijker)</w:t>
      </w:r>
      <w:r w:rsidRPr="005A5F6E">
        <w:rPr>
          <w:sz w:val="18"/>
          <w:szCs w:val="18"/>
        </w:rPr>
        <w:t xml:space="preserve"> neer te kunnen leggen bij een besluit in hun nadeel</w:t>
      </w:r>
      <w:r>
        <w:rPr>
          <w:rStyle w:val="Voetnootmarkering"/>
          <w:sz w:val="18"/>
          <w:szCs w:val="18"/>
        </w:rPr>
        <w:footnoteReference w:id="2"/>
      </w:r>
      <w:r w:rsidRPr="005A5F6E">
        <w:rPr>
          <w:sz w:val="18"/>
          <w:szCs w:val="18"/>
        </w:rPr>
        <w:t xml:space="preserve">. </w:t>
      </w:r>
    </w:p>
    <w:p w:rsidRPr="005A5F6E" w:rsidR="00270C54" w:rsidP="004C2289" w:rsidRDefault="00270C54" w14:paraId="7A1376EB" w14:textId="77777777">
      <w:pPr>
        <w:pStyle w:val="Voetnoottekst"/>
        <w:suppressAutoHyphens/>
        <w:spacing w:line="240" w:lineRule="atLeast"/>
        <w:rPr>
          <w:sz w:val="18"/>
          <w:szCs w:val="18"/>
        </w:rPr>
      </w:pPr>
    </w:p>
    <w:p w:rsidRPr="00877887" w:rsidR="00270C54" w:rsidP="004C2289" w:rsidRDefault="009734E9" w14:paraId="57C61B57" w14:textId="660F1868">
      <w:pPr>
        <w:spacing w:line="240" w:lineRule="atLeast"/>
        <w:rPr>
          <w:rFonts w:eastAsia="Times New Roman" w:cs="Times New Roman"/>
          <w:bCs/>
          <w:color w:val="000000" w:themeColor="text1"/>
        </w:rPr>
      </w:pPr>
      <w:r w:rsidRPr="00877887">
        <w:rPr>
          <w:rFonts w:eastAsia="Times New Roman" w:cs="Times New Roman"/>
          <w:bCs/>
          <w:color w:val="000000" w:themeColor="text1"/>
        </w:rPr>
        <w:t xml:space="preserve">De procedurele rechtvaardigheid van de vergoeding van dure geneesmiddelen is in Nederland goed geborgd. Zo gelden er vaste sluiscriteria voor het plaatsen van een geneesmiddel in de sluis, en vaste pakketcriteria om een geneesmiddel uit de sluis te halen en toe te laten tot het basispakket. Het Zorginstituut heeft </w:t>
      </w:r>
      <w:r>
        <w:rPr>
          <w:rFonts w:eastAsia="Times New Roman" w:cs="Times New Roman"/>
          <w:bCs/>
          <w:color w:val="000000" w:themeColor="text1"/>
        </w:rPr>
        <w:t>voor zijn adviezen over het in en uit de sluis plaatsen van geneesmiddelen</w:t>
      </w:r>
      <w:r w:rsidRPr="00877887">
        <w:rPr>
          <w:rFonts w:eastAsia="Times New Roman" w:cs="Times New Roman"/>
          <w:bCs/>
          <w:color w:val="000000" w:themeColor="text1"/>
        </w:rPr>
        <w:t xml:space="preserve"> richtlijnen en kaders gepubliceerd op zijn website. </w:t>
      </w:r>
      <w:r>
        <w:rPr>
          <w:rFonts w:eastAsia="Times New Roman" w:cs="Times New Roman"/>
          <w:bCs/>
          <w:color w:val="000000" w:themeColor="text1"/>
        </w:rPr>
        <w:t>Deze houden kortweg in dat</w:t>
      </w:r>
      <w:r w:rsidRPr="00877887">
        <w:rPr>
          <w:rFonts w:eastAsia="Times New Roman" w:cs="Times New Roman"/>
          <w:bCs/>
          <w:color w:val="000000" w:themeColor="text1"/>
        </w:rPr>
        <w:t xml:space="preserve"> het beschikbare bewijs objectief en volgens de internationale standaard (GRADE) </w:t>
      </w:r>
      <w:r>
        <w:rPr>
          <w:rFonts w:eastAsia="Times New Roman" w:cs="Times New Roman"/>
          <w:bCs/>
          <w:color w:val="000000" w:themeColor="text1"/>
        </w:rPr>
        <w:t xml:space="preserve">wordt </w:t>
      </w:r>
      <w:r w:rsidRPr="00877887">
        <w:rPr>
          <w:rFonts w:eastAsia="Times New Roman" w:cs="Times New Roman"/>
          <w:bCs/>
          <w:color w:val="000000" w:themeColor="text1"/>
        </w:rPr>
        <w:t>beoordeeld door experts, en (deels) in openbaarheid gewogen</w:t>
      </w:r>
      <w:r w:rsidR="00C47232">
        <w:rPr>
          <w:rFonts w:eastAsia="Times New Roman" w:cs="Times New Roman"/>
          <w:bCs/>
          <w:color w:val="000000" w:themeColor="text1"/>
        </w:rPr>
        <w:t xml:space="preserve">, waarbij verschillende perspectieven </w:t>
      </w:r>
      <w:r w:rsidR="00CE4933">
        <w:rPr>
          <w:rFonts w:eastAsia="Times New Roman" w:cs="Times New Roman"/>
          <w:bCs/>
          <w:color w:val="000000" w:themeColor="text1"/>
        </w:rPr>
        <w:t>worden betrokken</w:t>
      </w:r>
      <w:r w:rsidR="00C47232">
        <w:rPr>
          <w:rFonts w:eastAsia="Times New Roman" w:cs="Times New Roman"/>
          <w:bCs/>
          <w:color w:val="000000" w:themeColor="text1"/>
        </w:rPr>
        <w:t>, waaronder ook ethische</w:t>
      </w:r>
      <w:r w:rsidRPr="00877887">
        <w:rPr>
          <w:rFonts w:eastAsia="Times New Roman" w:cs="Times New Roman"/>
          <w:bCs/>
          <w:color w:val="000000" w:themeColor="text1"/>
        </w:rPr>
        <w:t xml:space="preserve">, </w:t>
      </w:r>
      <w:r w:rsidR="00C47232">
        <w:rPr>
          <w:rFonts w:eastAsia="Times New Roman" w:cs="Times New Roman"/>
          <w:bCs/>
          <w:color w:val="000000" w:themeColor="text1"/>
        </w:rPr>
        <w:t xml:space="preserve">en </w:t>
      </w:r>
      <w:r w:rsidRPr="00877887">
        <w:rPr>
          <w:rFonts w:eastAsia="Times New Roman" w:cs="Times New Roman"/>
          <w:bCs/>
          <w:color w:val="000000" w:themeColor="text1"/>
        </w:rPr>
        <w:t>waarbij ook</w:t>
      </w:r>
      <w:r w:rsidR="00C47232">
        <w:rPr>
          <w:rFonts w:eastAsia="Times New Roman" w:cs="Times New Roman"/>
          <w:bCs/>
          <w:color w:val="000000" w:themeColor="text1"/>
        </w:rPr>
        <w:t xml:space="preserve"> de</w:t>
      </w:r>
      <w:r w:rsidRPr="00877887">
        <w:rPr>
          <w:rFonts w:eastAsia="Times New Roman" w:cs="Times New Roman"/>
          <w:bCs/>
          <w:color w:val="000000" w:themeColor="text1"/>
        </w:rPr>
        <w:t xml:space="preserve"> mogelijkheid is tot inspraak </w:t>
      </w:r>
      <w:r>
        <w:rPr>
          <w:rFonts w:eastAsia="Times New Roman" w:cs="Times New Roman"/>
          <w:bCs/>
          <w:color w:val="000000" w:themeColor="text1"/>
        </w:rPr>
        <w:t>door</w:t>
      </w:r>
      <w:r w:rsidRPr="00877887">
        <w:rPr>
          <w:rFonts w:eastAsia="Times New Roman" w:cs="Times New Roman"/>
          <w:bCs/>
          <w:color w:val="000000" w:themeColor="text1"/>
        </w:rPr>
        <w:t xml:space="preserve"> belanghebbenden. De adviezen van het Zorginstituut zijn </w:t>
      </w:r>
      <w:r>
        <w:rPr>
          <w:rFonts w:eastAsia="Times New Roman" w:cs="Times New Roman"/>
          <w:bCs/>
          <w:color w:val="000000" w:themeColor="text1"/>
        </w:rPr>
        <w:t xml:space="preserve">daarbij </w:t>
      </w:r>
      <w:r w:rsidRPr="00877887">
        <w:rPr>
          <w:rFonts w:eastAsia="Times New Roman" w:cs="Times New Roman"/>
          <w:bCs/>
          <w:color w:val="000000" w:themeColor="text1"/>
        </w:rPr>
        <w:t>openbaar, en slui</w:t>
      </w:r>
      <w:r w:rsidRPr="00877887">
        <w:rPr>
          <w:rFonts w:eastAsia="Times New Roman" w:cs="Times New Roman"/>
          <w:bCs/>
          <w:color w:val="000000" w:themeColor="text1"/>
        </w:rPr>
        <w:t xml:space="preserve">splaatsingen en pakketopnames </w:t>
      </w:r>
      <w:r>
        <w:rPr>
          <w:rFonts w:eastAsia="Times New Roman" w:cs="Times New Roman"/>
          <w:bCs/>
          <w:color w:val="000000" w:themeColor="text1"/>
        </w:rPr>
        <w:t xml:space="preserve">van sluisgeneesmiddelen </w:t>
      </w:r>
      <w:r w:rsidRPr="00877887">
        <w:rPr>
          <w:rFonts w:eastAsia="Times New Roman" w:cs="Times New Roman"/>
          <w:bCs/>
          <w:color w:val="000000" w:themeColor="text1"/>
        </w:rPr>
        <w:t xml:space="preserve">worden gepubliceerd in de Staatscourant. </w:t>
      </w:r>
      <w:r w:rsidR="003C0E2F">
        <w:rPr>
          <w:rFonts w:eastAsia="Times New Roman" w:cs="Times New Roman"/>
          <w:bCs/>
          <w:color w:val="000000" w:themeColor="text1"/>
        </w:rPr>
        <w:t>Namens het kabinet heeft d</w:t>
      </w:r>
      <w:r w:rsidRPr="00877887">
        <w:rPr>
          <w:rFonts w:eastAsia="Times New Roman" w:cs="Times New Roman"/>
          <w:bCs/>
          <w:color w:val="000000" w:themeColor="text1"/>
        </w:rPr>
        <w:t xml:space="preserve">e minister van VWS </w:t>
      </w:r>
      <w:r>
        <w:rPr>
          <w:rFonts w:eastAsia="Times New Roman" w:cs="Times New Roman"/>
          <w:bCs/>
          <w:color w:val="000000" w:themeColor="text1"/>
        </w:rPr>
        <w:t xml:space="preserve">daarnaast </w:t>
      </w:r>
      <w:r w:rsidRPr="00877887">
        <w:rPr>
          <w:rFonts w:eastAsia="Times New Roman" w:cs="Times New Roman"/>
          <w:bCs/>
          <w:color w:val="000000" w:themeColor="text1"/>
        </w:rPr>
        <w:t xml:space="preserve">een vergewisplicht </w:t>
      </w:r>
      <w:r>
        <w:rPr>
          <w:rFonts w:eastAsia="Times New Roman" w:cs="Times New Roman"/>
          <w:bCs/>
          <w:color w:val="000000" w:themeColor="text1"/>
        </w:rPr>
        <w:t>om, v</w:t>
      </w:r>
      <w:r w:rsidR="00CE4933">
        <w:rPr>
          <w:rFonts w:eastAsia="Times New Roman" w:cs="Times New Roman"/>
          <w:bCs/>
          <w:color w:val="000000" w:themeColor="text1"/>
        </w:rPr>
        <w:t>óó</w:t>
      </w:r>
      <w:r>
        <w:rPr>
          <w:rFonts w:eastAsia="Times New Roman" w:cs="Times New Roman"/>
          <w:bCs/>
          <w:color w:val="000000" w:themeColor="text1"/>
        </w:rPr>
        <w:t>r zij een beslissing neemt op een advies van het Zorginstituut,</w:t>
      </w:r>
      <w:r w:rsidRPr="00877887">
        <w:rPr>
          <w:rFonts w:eastAsia="Times New Roman" w:cs="Times New Roman"/>
          <w:bCs/>
          <w:color w:val="000000" w:themeColor="text1"/>
        </w:rPr>
        <w:t xml:space="preserve"> te bekijken of </w:t>
      </w:r>
      <w:r>
        <w:rPr>
          <w:rFonts w:eastAsia="Times New Roman" w:cs="Times New Roman"/>
          <w:bCs/>
          <w:color w:val="000000" w:themeColor="text1"/>
        </w:rPr>
        <w:t>h</w:t>
      </w:r>
      <w:r w:rsidRPr="00877887">
        <w:rPr>
          <w:rFonts w:eastAsia="Times New Roman" w:cs="Times New Roman"/>
          <w:bCs/>
          <w:color w:val="000000" w:themeColor="text1"/>
        </w:rPr>
        <w:t>e</w:t>
      </w:r>
      <w:r>
        <w:rPr>
          <w:rFonts w:eastAsia="Times New Roman" w:cs="Times New Roman"/>
          <w:bCs/>
          <w:color w:val="000000" w:themeColor="text1"/>
        </w:rPr>
        <w:t>t</w:t>
      </w:r>
      <w:r w:rsidRPr="00877887">
        <w:rPr>
          <w:rFonts w:eastAsia="Times New Roman" w:cs="Times New Roman"/>
          <w:bCs/>
          <w:color w:val="000000" w:themeColor="text1"/>
        </w:rPr>
        <w:t xml:space="preserve"> advi</w:t>
      </w:r>
      <w:r>
        <w:rPr>
          <w:rFonts w:eastAsia="Times New Roman" w:cs="Times New Roman"/>
          <w:bCs/>
          <w:color w:val="000000" w:themeColor="text1"/>
        </w:rPr>
        <w:t>es</w:t>
      </w:r>
      <w:r w:rsidRPr="00877887">
        <w:rPr>
          <w:rFonts w:eastAsia="Times New Roman" w:cs="Times New Roman"/>
          <w:bCs/>
          <w:color w:val="000000" w:themeColor="text1"/>
        </w:rPr>
        <w:t xml:space="preserve"> inhoudelijk </w:t>
      </w:r>
      <w:r>
        <w:rPr>
          <w:rFonts w:eastAsia="Times New Roman" w:cs="Times New Roman"/>
          <w:bCs/>
          <w:color w:val="000000" w:themeColor="text1"/>
        </w:rPr>
        <w:t xml:space="preserve">concludent is, </w:t>
      </w:r>
      <w:r w:rsidRPr="00877887">
        <w:rPr>
          <w:rFonts w:eastAsia="Times New Roman" w:cs="Times New Roman"/>
          <w:bCs/>
          <w:color w:val="000000" w:themeColor="text1"/>
        </w:rPr>
        <w:t xml:space="preserve">consistent </w:t>
      </w:r>
      <w:r>
        <w:rPr>
          <w:rFonts w:eastAsia="Times New Roman" w:cs="Times New Roman"/>
          <w:bCs/>
          <w:color w:val="000000" w:themeColor="text1"/>
        </w:rPr>
        <w:t xml:space="preserve">met eerdere adviezen (gelijkheidsbeginsel en tegengaan van willekeur) </w:t>
      </w:r>
      <w:r w:rsidRPr="00877887">
        <w:rPr>
          <w:rFonts w:eastAsia="Times New Roman" w:cs="Times New Roman"/>
          <w:bCs/>
          <w:color w:val="000000" w:themeColor="text1"/>
        </w:rPr>
        <w:t xml:space="preserve">en </w:t>
      </w:r>
      <w:r>
        <w:rPr>
          <w:rFonts w:eastAsia="Times New Roman" w:cs="Times New Roman"/>
          <w:bCs/>
          <w:color w:val="000000" w:themeColor="text1"/>
        </w:rPr>
        <w:t xml:space="preserve">of </w:t>
      </w:r>
      <w:r w:rsidRPr="00877887">
        <w:rPr>
          <w:rFonts w:eastAsia="Times New Roman" w:cs="Times New Roman"/>
          <w:bCs/>
          <w:color w:val="000000" w:themeColor="text1"/>
        </w:rPr>
        <w:t xml:space="preserve">de eigen procedures </w:t>
      </w:r>
      <w:r w:rsidR="00CE4933">
        <w:rPr>
          <w:rFonts w:eastAsia="Times New Roman" w:cs="Times New Roman"/>
          <w:bCs/>
          <w:color w:val="000000" w:themeColor="text1"/>
        </w:rPr>
        <w:t xml:space="preserve">van het Zorginstituut </w:t>
      </w:r>
      <w:r w:rsidRPr="00877887">
        <w:rPr>
          <w:rFonts w:eastAsia="Times New Roman" w:cs="Times New Roman"/>
          <w:bCs/>
          <w:color w:val="000000" w:themeColor="text1"/>
        </w:rPr>
        <w:t xml:space="preserve">zijn gevolgd. </w:t>
      </w:r>
      <w:r>
        <w:rPr>
          <w:rFonts w:eastAsia="Times New Roman" w:cs="Times New Roman"/>
          <w:bCs/>
          <w:color w:val="000000" w:themeColor="text1"/>
        </w:rPr>
        <w:t>Ook</w:t>
      </w:r>
      <w:r w:rsidRPr="00877887">
        <w:rPr>
          <w:rFonts w:eastAsia="Times New Roman" w:cs="Times New Roman"/>
          <w:bCs/>
          <w:color w:val="000000" w:themeColor="text1"/>
        </w:rPr>
        <w:t xml:space="preserve"> legt </w:t>
      </w:r>
      <w:r w:rsidR="003C0E2F">
        <w:rPr>
          <w:rFonts w:eastAsia="Times New Roman" w:cs="Times New Roman"/>
          <w:bCs/>
          <w:color w:val="000000" w:themeColor="text1"/>
        </w:rPr>
        <w:t>het kabinet</w:t>
      </w:r>
      <w:r w:rsidRPr="00877887">
        <w:rPr>
          <w:rFonts w:eastAsia="Times New Roman" w:cs="Times New Roman"/>
          <w:bCs/>
          <w:color w:val="000000" w:themeColor="text1"/>
        </w:rPr>
        <w:t xml:space="preserve"> verantwoording af aan de Kamer, onder meer via </w:t>
      </w:r>
      <w:r>
        <w:rPr>
          <w:rFonts w:eastAsia="Times New Roman" w:cs="Times New Roman"/>
          <w:bCs/>
          <w:color w:val="000000" w:themeColor="text1"/>
        </w:rPr>
        <w:t>een</w:t>
      </w:r>
      <w:r w:rsidRPr="00877887">
        <w:rPr>
          <w:rFonts w:eastAsia="Times New Roman" w:cs="Times New Roman"/>
          <w:bCs/>
          <w:color w:val="000000" w:themeColor="text1"/>
        </w:rPr>
        <w:t xml:space="preserve"> jaarlijkse voortgangsbrief, waarbij de Kamer uiteraard de ruimte heeft om aanpassingen </w:t>
      </w:r>
      <w:r>
        <w:rPr>
          <w:rFonts w:eastAsia="Times New Roman" w:cs="Times New Roman"/>
          <w:bCs/>
          <w:color w:val="000000" w:themeColor="text1"/>
        </w:rPr>
        <w:t xml:space="preserve">aan het beleid </w:t>
      </w:r>
      <w:r w:rsidRPr="00877887">
        <w:rPr>
          <w:rFonts w:eastAsia="Times New Roman" w:cs="Times New Roman"/>
          <w:bCs/>
          <w:color w:val="000000" w:themeColor="text1"/>
        </w:rPr>
        <w:t>voor te stellen</w:t>
      </w:r>
      <w:r>
        <w:rPr>
          <w:rFonts w:eastAsia="Times New Roman" w:cs="Times New Roman"/>
          <w:bCs/>
          <w:color w:val="000000" w:themeColor="text1"/>
        </w:rPr>
        <w:t xml:space="preserve">, en de </w:t>
      </w:r>
      <w:r>
        <w:rPr>
          <w:rFonts w:eastAsia="Times New Roman" w:cs="Times New Roman"/>
          <w:bCs/>
          <w:color w:val="000000" w:themeColor="text1"/>
        </w:rPr>
        <w:t>burger om daarop via verkiezingen en petities invloed uit te oefenen</w:t>
      </w:r>
      <w:r w:rsidRPr="00877887">
        <w:rPr>
          <w:rFonts w:eastAsia="Times New Roman" w:cs="Times New Roman"/>
          <w:bCs/>
          <w:color w:val="000000" w:themeColor="text1"/>
        </w:rPr>
        <w:t xml:space="preserve">. </w:t>
      </w:r>
      <w:r>
        <w:rPr>
          <w:rFonts w:eastAsia="Times New Roman" w:cs="Times New Roman"/>
          <w:bCs/>
          <w:color w:val="000000" w:themeColor="text1"/>
        </w:rPr>
        <w:t>Tenslotte worden de uitgangspunten van het beleid met enige regelmaat herijkt, zoals vorig jaar via het burgerpanel van het adviestraject Maatschappelijk Aanvaardbare Uitgaven Geneesmiddelen (MAUG).</w:t>
      </w:r>
      <w:r>
        <w:rPr>
          <w:rStyle w:val="Voetnootmarkering"/>
          <w:rFonts w:eastAsia="Times New Roman" w:cs="Times New Roman"/>
          <w:bCs/>
          <w:color w:val="000000" w:themeColor="text1"/>
        </w:rPr>
        <w:footnoteReference w:id="3"/>
      </w:r>
    </w:p>
    <w:p w:rsidRPr="00877887" w:rsidR="00270C54" w:rsidP="004C2289" w:rsidRDefault="00270C54" w14:paraId="6613D01D" w14:textId="77777777">
      <w:pPr>
        <w:spacing w:line="240" w:lineRule="atLeast"/>
        <w:rPr>
          <w:rFonts w:eastAsia="Times New Roman" w:cs="Times New Roman"/>
          <w:bCs/>
          <w:color w:val="000000" w:themeColor="text1"/>
        </w:rPr>
      </w:pPr>
    </w:p>
    <w:p w:rsidR="00270C54" w:rsidP="004C2289" w:rsidRDefault="009734E9" w14:paraId="2123DDE0" w14:textId="77777777">
      <w:pPr>
        <w:spacing w:line="240" w:lineRule="atLeast"/>
        <w:rPr>
          <w:rFonts w:eastAsia="Times New Roman" w:cs="Times New Roman"/>
          <w:bCs/>
          <w:color w:val="000000" w:themeColor="text1"/>
        </w:rPr>
      </w:pPr>
      <w:r w:rsidRPr="00877887">
        <w:rPr>
          <w:rFonts w:eastAsia="Times New Roman" w:cs="Times New Roman"/>
          <w:bCs/>
          <w:color w:val="000000" w:themeColor="text1"/>
        </w:rPr>
        <w:t>Dan de verdelende rechtvaardigheid.</w:t>
      </w:r>
      <w:r>
        <w:rPr>
          <w:rFonts w:eastAsia="Times New Roman" w:cs="Times New Roman"/>
          <w:bCs/>
          <w:color w:val="000000" w:themeColor="text1"/>
        </w:rPr>
        <w:t xml:space="preserve"> Hiervoor worden in de literatuur </w:t>
      </w:r>
      <w:r w:rsidRPr="00877887">
        <w:rPr>
          <w:rFonts w:eastAsia="Times New Roman" w:cs="Times New Roman"/>
          <w:bCs/>
          <w:color w:val="000000" w:themeColor="text1"/>
        </w:rPr>
        <w:t>verschillende ethische benaderingen</w:t>
      </w:r>
      <w:r>
        <w:rPr>
          <w:rFonts w:eastAsia="Times New Roman" w:cs="Times New Roman"/>
          <w:bCs/>
          <w:color w:val="000000" w:themeColor="text1"/>
        </w:rPr>
        <w:t xml:space="preserve"> genoemd</w:t>
      </w:r>
      <w:r>
        <w:rPr>
          <w:rStyle w:val="Voetnootmarkering"/>
          <w:rFonts w:eastAsia="Times New Roman" w:cs="Times New Roman"/>
          <w:bCs/>
          <w:color w:val="000000" w:themeColor="text1"/>
        </w:rPr>
        <w:footnoteReference w:id="4"/>
      </w:r>
      <w:r>
        <w:rPr>
          <w:rFonts w:eastAsia="Times New Roman" w:cs="Times New Roman"/>
          <w:bCs/>
          <w:color w:val="000000" w:themeColor="text1"/>
        </w:rPr>
        <w:t>, zoals</w:t>
      </w:r>
      <w:r w:rsidRPr="00877887">
        <w:rPr>
          <w:rFonts w:eastAsia="Times New Roman" w:cs="Times New Roman"/>
          <w:bCs/>
          <w:color w:val="000000" w:themeColor="text1"/>
        </w:rPr>
        <w:t xml:space="preserve"> het utilitarisme (meest efficiënte inzet ten behoeve van grootste gezondheidswinst), het egalitarisme (gelijk behandelen van mensen), en het prioritarisme (voorrang geven aan bepaalde personen, bijvoorbeeld zij die er het slechtste aan toe zijn). Het C</w:t>
      </w:r>
      <w:r>
        <w:rPr>
          <w:rFonts w:eastAsia="Times New Roman" w:cs="Times New Roman"/>
          <w:bCs/>
          <w:color w:val="000000" w:themeColor="text1"/>
        </w:rPr>
        <w:t>entrum voor Ethiek en Gezondheid</w:t>
      </w:r>
      <w:r w:rsidRPr="00877887">
        <w:rPr>
          <w:rFonts w:eastAsia="Times New Roman" w:cs="Times New Roman"/>
          <w:bCs/>
          <w:color w:val="000000" w:themeColor="text1"/>
        </w:rPr>
        <w:t xml:space="preserve"> </w:t>
      </w:r>
      <w:r>
        <w:rPr>
          <w:rFonts w:eastAsia="Times New Roman" w:cs="Times New Roman"/>
          <w:bCs/>
          <w:color w:val="000000" w:themeColor="text1"/>
        </w:rPr>
        <w:t xml:space="preserve">(CEG) </w:t>
      </w:r>
      <w:r w:rsidRPr="00877887">
        <w:rPr>
          <w:rFonts w:eastAsia="Times New Roman" w:cs="Times New Roman"/>
          <w:bCs/>
          <w:color w:val="000000" w:themeColor="text1"/>
        </w:rPr>
        <w:t xml:space="preserve">wijst erop dat een eenzijdige focus op één van de benaderingen ten koste gaat van de andere en dat voor een eerlijke verdeling samenhang nodig is. </w:t>
      </w:r>
      <w:r>
        <w:rPr>
          <w:rFonts w:eastAsia="Times New Roman" w:cs="Times New Roman"/>
          <w:bCs/>
          <w:color w:val="000000" w:themeColor="text1"/>
        </w:rPr>
        <w:t>Het kabinet</w:t>
      </w:r>
      <w:r w:rsidRPr="00877887">
        <w:rPr>
          <w:rFonts w:eastAsia="Times New Roman" w:cs="Times New Roman"/>
          <w:bCs/>
          <w:color w:val="000000" w:themeColor="text1"/>
        </w:rPr>
        <w:t xml:space="preserve"> stel</w:t>
      </w:r>
      <w:r>
        <w:rPr>
          <w:rFonts w:eastAsia="Times New Roman" w:cs="Times New Roman"/>
          <w:bCs/>
          <w:color w:val="000000" w:themeColor="text1"/>
        </w:rPr>
        <w:t>t</w:t>
      </w:r>
      <w:r w:rsidRPr="00877887">
        <w:rPr>
          <w:rFonts w:eastAsia="Times New Roman" w:cs="Times New Roman"/>
          <w:bCs/>
          <w:color w:val="000000" w:themeColor="text1"/>
        </w:rPr>
        <w:t xml:space="preserve"> gelukkig vast dat dit bij de vergoeding van dure</w:t>
      </w:r>
      <w:r w:rsidRPr="00877887">
        <w:rPr>
          <w:rFonts w:eastAsia="Times New Roman" w:cs="Times New Roman"/>
          <w:bCs/>
          <w:color w:val="000000" w:themeColor="text1"/>
        </w:rPr>
        <w:t xml:space="preserve"> geneesmiddelen ook gebeurt. Zo worden in beginsel patiënten gelijk behandeld: iedere patiënt die daaraan behoefte heeft, zou toegang moeten hebben tot een (bewezen) effectieve behandeling. </w:t>
      </w:r>
      <w:r>
        <w:rPr>
          <w:rFonts w:eastAsia="Times New Roman" w:cs="Times New Roman"/>
          <w:bCs/>
          <w:color w:val="000000" w:themeColor="text1"/>
        </w:rPr>
        <w:t>Daarvoor is immers het basispakket van de zorgverzekering. En dat betreft</w:t>
      </w:r>
      <w:r w:rsidRPr="00877887">
        <w:rPr>
          <w:rFonts w:eastAsia="Times New Roman" w:cs="Times New Roman"/>
          <w:bCs/>
          <w:color w:val="000000" w:themeColor="text1"/>
        </w:rPr>
        <w:t xml:space="preserve"> niet alleen de te identificeren patiënt(en) van nu, maar ook de ongeïdentificeerde patiënten van de toekomst. </w:t>
      </w:r>
    </w:p>
    <w:p w:rsidR="00270C54" w:rsidP="004C2289" w:rsidRDefault="00270C54" w14:paraId="78039F15" w14:textId="77777777">
      <w:pPr>
        <w:spacing w:line="240" w:lineRule="atLeast"/>
        <w:rPr>
          <w:rFonts w:eastAsia="Times New Roman" w:cs="Times New Roman"/>
          <w:bCs/>
          <w:color w:val="000000" w:themeColor="text1"/>
        </w:rPr>
      </w:pPr>
    </w:p>
    <w:p w:rsidR="004C2289" w:rsidP="004C2289" w:rsidRDefault="009734E9" w14:paraId="3001487F" w14:textId="0CB194EA">
      <w:pPr>
        <w:spacing w:line="240" w:lineRule="atLeast"/>
        <w:rPr>
          <w:rFonts w:eastAsia="Times New Roman" w:cs="Times New Roman"/>
          <w:bCs/>
          <w:color w:val="000000" w:themeColor="text1"/>
        </w:rPr>
      </w:pPr>
      <w:r>
        <w:rPr>
          <w:rFonts w:eastAsia="Times New Roman" w:cs="Times New Roman"/>
          <w:bCs/>
          <w:color w:val="000000" w:themeColor="text1"/>
        </w:rPr>
        <w:t xml:space="preserve">Met </w:t>
      </w:r>
      <w:r>
        <w:rPr>
          <w:rFonts w:eastAsia="Times New Roman" w:cs="Times New Roman"/>
          <w:bCs/>
          <w:color w:val="000000" w:themeColor="text1"/>
        </w:rPr>
        <w:t>het oog op de houdbaarheid van de zorg op lange(re) termijn, en het feit dat ook andere zaken dan de zorg met publieke middelen moeten worden bekostigd (waardoor het dus niet zomaar een optie is om de budgetten te verhogen)</w:t>
      </w:r>
      <w:r w:rsidRPr="00877887">
        <w:rPr>
          <w:rFonts w:eastAsia="Times New Roman" w:cs="Times New Roman"/>
          <w:bCs/>
          <w:color w:val="000000" w:themeColor="text1"/>
        </w:rPr>
        <w:t>, moeten er intussen</w:t>
      </w:r>
      <w:r w:rsidR="00F43B5E">
        <w:rPr>
          <w:rFonts w:eastAsia="Times New Roman" w:cs="Times New Roman"/>
          <w:bCs/>
          <w:color w:val="000000" w:themeColor="text1"/>
        </w:rPr>
        <w:t>,</w:t>
      </w:r>
      <w:r w:rsidRPr="00877887">
        <w:rPr>
          <w:rFonts w:eastAsia="Times New Roman" w:cs="Times New Roman"/>
          <w:bCs/>
          <w:color w:val="000000" w:themeColor="text1"/>
        </w:rPr>
        <w:t xml:space="preserve"> </w:t>
      </w:r>
      <w:r w:rsidR="00F43B5E">
        <w:rPr>
          <w:rFonts w:eastAsia="Times New Roman" w:cs="Times New Roman"/>
          <w:bCs/>
          <w:color w:val="000000" w:themeColor="text1"/>
        </w:rPr>
        <w:t xml:space="preserve">dus </w:t>
      </w:r>
      <w:r>
        <w:rPr>
          <w:rFonts w:eastAsia="Times New Roman" w:cs="Times New Roman"/>
          <w:bCs/>
          <w:color w:val="000000" w:themeColor="text1"/>
        </w:rPr>
        <w:t>nu</w:t>
      </w:r>
      <w:r w:rsidR="00F43B5E">
        <w:rPr>
          <w:rFonts w:eastAsia="Times New Roman" w:cs="Times New Roman"/>
          <w:bCs/>
          <w:color w:val="000000" w:themeColor="text1"/>
        </w:rPr>
        <w:t>,</w:t>
      </w:r>
      <w:r>
        <w:rPr>
          <w:rFonts w:eastAsia="Times New Roman" w:cs="Times New Roman"/>
          <w:bCs/>
          <w:color w:val="000000" w:themeColor="text1"/>
        </w:rPr>
        <w:t xml:space="preserve"> </w:t>
      </w:r>
      <w:r w:rsidRPr="00877887">
        <w:rPr>
          <w:rFonts w:eastAsia="Times New Roman" w:cs="Times New Roman"/>
          <w:bCs/>
          <w:color w:val="000000" w:themeColor="text1"/>
        </w:rPr>
        <w:t>keuzes worden gemaakt</w:t>
      </w:r>
      <w:r>
        <w:rPr>
          <w:rFonts w:eastAsia="Times New Roman" w:cs="Times New Roman"/>
          <w:bCs/>
          <w:color w:val="000000" w:themeColor="text1"/>
        </w:rPr>
        <w:t>. Dat doen we in het pakketbeheer van de zorgverzekering, maar bij dure geneesmiddelen het meest expliciet, door te kijken naar de verhouding tussen gezondheidswinst en kosten, via het criterium kosteneffectiviteit. Door de kosteneffectiv</w:t>
      </w:r>
      <w:r>
        <w:rPr>
          <w:rFonts w:eastAsia="Times New Roman" w:cs="Times New Roman"/>
          <w:bCs/>
          <w:color w:val="000000" w:themeColor="text1"/>
        </w:rPr>
        <w:t xml:space="preserve">iteit van dure geneesmiddelen mee te wegen wordt voorkomen dat zorg die op het geheel </w:t>
      </w:r>
    </w:p>
    <w:p w:rsidR="004C2289" w:rsidP="004C2289" w:rsidRDefault="004C2289" w14:paraId="773BD53B" w14:textId="77777777">
      <w:pPr>
        <w:spacing w:line="240" w:lineRule="atLeast"/>
        <w:rPr>
          <w:rFonts w:eastAsia="Times New Roman" w:cs="Times New Roman"/>
          <w:bCs/>
          <w:color w:val="000000" w:themeColor="text1"/>
        </w:rPr>
      </w:pPr>
    </w:p>
    <w:p w:rsidR="004C2289" w:rsidP="004C2289" w:rsidRDefault="004C2289" w14:paraId="770B903F" w14:textId="77777777">
      <w:pPr>
        <w:spacing w:line="240" w:lineRule="atLeast"/>
        <w:rPr>
          <w:rFonts w:eastAsia="Times New Roman" w:cs="Times New Roman"/>
          <w:bCs/>
          <w:color w:val="000000" w:themeColor="text1"/>
        </w:rPr>
      </w:pPr>
    </w:p>
    <w:p w:rsidR="00292B49" w:rsidP="004C2289" w:rsidRDefault="009734E9" w14:paraId="3DFAD81F" w14:textId="0912D899">
      <w:pPr>
        <w:spacing w:line="240" w:lineRule="atLeast"/>
        <w:rPr>
          <w:rFonts w:eastAsia="Times New Roman" w:cs="Times New Roman"/>
          <w:bCs/>
          <w:color w:val="000000" w:themeColor="text1"/>
        </w:rPr>
      </w:pPr>
      <w:r>
        <w:rPr>
          <w:rFonts w:eastAsia="Times New Roman" w:cs="Times New Roman"/>
          <w:bCs/>
          <w:color w:val="000000" w:themeColor="text1"/>
        </w:rPr>
        <w:t>bezien meer gezondheidswinst oplevert verdrongen zal worden door zorg die dat minder doet</w:t>
      </w:r>
      <w:r w:rsidRPr="00877887">
        <w:rPr>
          <w:rFonts w:eastAsia="Times New Roman" w:cs="Times New Roman"/>
          <w:bCs/>
          <w:color w:val="000000" w:themeColor="text1"/>
        </w:rPr>
        <w:t>. D</w:t>
      </w:r>
      <w:r>
        <w:rPr>
          <w:rFonts w:eastAsia="Times New Roman" w:cs="Times New Roman"/>
          <w:bCs/>
          <w:color w:val="000000" w:themeColor="text1"/>
        </w:rPr>
        <w:t>at is, zoals in het commissiedebat toegelicht,</w:t>
      </w:r>
      <w:r w:rsidRPr="00877887">
        <w:rPr>
          <w:rFonts w:eastAsia="Times New Roman" w:cs="Times New Roman"/>
          <w:bCs/>
          <w:color w:val="000000" w:themeColor="text1"/>
        </w:rPr>
        <w:t xml:space="preserve"> </w:t>
      </w:r>
      <w:r>
        <w:rPr>
          <w:rFonts w:eastAsia="Times New Roman" w:cs="Times New Roman"/>
          <w:bCs/>
          <w:color w:val="000000" w:themeColor="text1"/>
        </w:rPr>
        <w:t xml:space="preserve">een toepassing van </w:t>
      </w:r>
      <w:r w:rsidRPr="00877887">
        <w:rPr>
          <w:rFonts w:eastAsia="Times New Roman" w:cs="Times New Roman"/>
          <w:bCs/>
          <w:color w:val="000000" w:themeColor="text1"/>
        </w:rPr>
        <w:t>het utilitaris</w:t>
      </w:r>
      <w:r>
        <w:rPr>
          <w:rFonts w:eastAsia="Times New Roman" w:cs="Times New Roman"/>
          <w:bCs/>
          <w:color w:val="000000" w:themeColor="text1"/>
        </w:rPr>
        <w:t>me: het streven om in ruil voor de uitgaven zoveel mogelijk gezondheidswinst te behalen</w:t>
      </w:r>
      <w:r w:rsidRPr="003052CC">
        <w:rPr>
          <w:rFonts w:eastAsia="Times New Roman" w:cs="Times New Roman"/>
          <w:bCs/>
          <w:color w:val="000000" w:themeColor="text1"/>
        </w:rPr>
        <w:t xml:space="preserve"> </w:t>
      </w:r>
      <w:r>
        <w:rPr>
          <w:rFonts w:eastAsia="Times New Roman" w:cs="Times New Roman"/>
          <w:bCs/>
          <w:color w:val="000000" w:themeColor="text1"/>
        </w:rPr>
        <w:t xml:space="preserve">voor de bevolking als geheel. </w:t>
      </w:r>
    </w:p>
    <w:p w:rsidR="003C0E2F" w:rsidP="004C2289" w:rsidRDefault="003C0E2F" w14:paraId="5B4201E4" w14:textId="77777777">
      <w:pPr>
        <w:spacing w:line="240" w:lineRule="atLeast"/>
        <w:rPr>
          <w:rFonts w:eastAsia="Times New Roman" w:cs="Times New Roman"/>
          <w:bCs/>
          <w:color w:val="000000" w:themeColor="text1"/>
        </w:rPr>
      </w:pPr>
    </w:p>
    <w:p w:rsidR="00270C54" w:rsidP="004C2289" w:rsidRDefault="009734E9" w14:paraId="0E4F5F7F" w14:textId="77777777">
      <w:pPr>
        <w:spacing w:line="240" w:lineRule="atLeast"/>
        <w:rPr>
          <w:rFonts w:eastAsia="Times New Roman" w:cs="Times New Roman"/>
          <w:bCs/>
          <w:color w:val="000000" w:themeColor="text1"/>
        </w:rPr>
      </w:pPr>
      <w:r>
        <w:rPr>
          <w:rFonts w:eastAsia="Times New Roman" w:cs="Times New Roman"/>
          <w:bCs/>
          <w:color w:val="000000" w:themeColor="text1"/>
        </w:rPr>
        <w:t>Binnen</w:t>
      </w:r>
      <w:r w:rsidRPr="00877887">
        <w:rPr>
          <w:rFonts w:eastAsia="Times New Roman" w:cs="Times New Roman"/>
          <w:bCs/>
          <w:color w:val="000000" w:themeColor="text1"/>
        </w:rPr>
        <w:t xml:space="preserve"> de</w:t>
      </w:r>
      <w:r>
        <w:rPr>
          <w:rFonts w:eastAsia="Times New Roman" w:cs="Times New Roman"/>
          <w:bCs/>
          <w:color w:val="000000" w:themeColor="text1"/>
        </w:rPr>
        <w:t xml:space="preserve"> toepassing van</w:t>
      </w:r>
      <w:r w:rsidRPr="00877887">
        <w:rPr>
          <w:rFonts w:eastAsia="Times New Roman" w:cs="Times New Roman"/>
          <w:bCs/>
          <w:color w:val="000000" w:themeColor="text1"/>
        </w:rPr>
        <w:t xml:space="preserve"> kosteneffectiviteit, tenslotte, wordt dan weer geprioriteerd naar ziektelast: we zijn bereid meer te betalen voor de behandeling van een ernstige aandoening</w:t>
      </w:r>
      <w:r>
        <w:rPr>
          <w:rFonts w:eastAsia="Times New Roman" w:cs="Times New Roman"/>
          <w:bCs/>
          <w:color w:val="000000" w:themeColor="text1"/>
        </w:rPr>
        <w:t>, dan voor een minder ernstige</w:t>
      </w:r>
      <w:r w:rsidRPr="00877887">
        <w:rPr>
          <w:rFonts w:eastAsia="Times New Roman" w:cs="Times New Roman"/>
          <w:bCs/>
          <w:color w:val="000000" w:themeColor="text1"/>
        </w:rPr>
        <w:t xml:space="preserve">. </w:t>
      </w:r>
      <w:r>
        <w:rPr>
          <w:rFonts w:eastAsia="Times New Roman" w:cs="Times New Roman"/>
          <w:bCs/>
          <w:color w:val="000000" w:themeColor="text1"/>
        </w:rPr>
        <w:t>Bij een zeer ernstige ziekte maximaal 80.000 euro per gewonnen levensjaar in goede gezondheid (QALY). Het toepassen van kosteneffectiviteit en de QALY daarbinnen als generieke uitkomstmaat is dus niet, zoals gesteld in het hierboven genoemde debat een voorbeeld van een kille of onethische benadering omda</w:t>
      </w:r>
      <w:r>
        <w:rPr>
          <w:rFonts w:eastAsia="Times New Roman" w:cs="Times New Roman"/>
          <w:bCs/>
          <w:color w:val="000000" w:themeColor="text1"/>
        </w:rPr>
        <w:t xml:space="preserve">t daarmee euro’s tegenover patiënten worden gesteld, maar een manier om de beperkte middelen zo rechtvaardig mogelijk te verdelen tussen </w:t>
      </w:r>
      <w:r w:rsidRPr="005A5F6E">
        <w:rPr>
          <w:rFonts w:eastAsia="Times New Roman" w:cs="Times New Roman"/>
          <w:bCs/>
          <w:i/>
          <w:iCs/>
          <w:color w:val="000000" w:themeColor="text1"/>
        </w:rPr>
        <w:t>alle</w:t>
      </w:r>
      <w:r>
        <w:rPr>
          <w:rFonts w:eastAsia="Times New Roman" w:cs="Times New Roman"/>
          <w:bCs/>
          <w:color w:val="000000" w:themeColor="text1"/>
        </w:rPr>
        <w:t xml:space="preserve"> huidige en toekomstige patiënten, die ook premiebetalers zijn en daarmee bijdragen aan ons solidaire stelsel. </w:t>
      </w:r>
      <w:r w:rsidR="00A04D20">
        <w:rPr>
          <w:rFonts w:eastAsia="Times New Roman" w:cs="Times New Roman"/>
          <w:bCs/>
          <w:color w:val="000000" w:themeColor="text1"/>
        </w:rPr>
        <w:t xml:space="preserve">Daarbij is het van belang om te benadrukken dat kosteneffectiviteit geen alles of niets criterium is, en er ruimte </w:t>
      </w:r>
      <w:r w:rsidR="00F71EEA">
        <w:rPr>
          <w:rFonts w:eastAsia="Times New Roman" w:cs="Times New Roman"/>
          <w:bCs/>
          <w:color w:val="000000" w:themeColor="text1"/>
        </w:rPr>
        <w:t>is</w:t>
      </w:r>
      <w:r w:rsidR="00CE4933">
        <w:rPr>
          <w:rFonts w:eastAsia="Times New Roman" w:cs="Times New Roman"/>
          <w:bCs/>
          <w:color w:val="000000" w:themeColor="text1"/>
        </w:rPr>
        <w:t>,</w:t>
      </w:r>
      <w:r w:rsidR="00F71EEA">
        <w:rPr>
          <w:rFonts w:eastAsia="Times New Roman" w:cs="Times New Roman"/>
          <w:bCs/>
          <w:color w:val="000000" w:themeColor="text1"/>
        </w:rPr>
        <w:t xml:space="preserve"> in de integrale weging van alle pakketcriteria</w:t>
      </w:r>
      <w:r w:rsidR="00CE4933">
        <w:rPr>
          <w:rFonts w:eastAsia="Times New Roman" w:cs="Times New Roman"/>
          <w:bCs/>
          <w:color w:val="000000" w:themeColor="text1"/>
        </w:rPr>
        <w:t>,</w:t>
      </w:r>
      <w:r w:rsidR="00A04D20">
        <w:rPr>
          <w:rFonts w:eastAsia="Times New Roman" w:cs="Times New Roman"/>
          <w:bCs/>
          <w:color w:val="000000" w:themeColor="text1"/>
        </w:rPr>
        <w:t xml:space="preserve"> voor argumenten om geneesmiddelen te vergoeden tegen een niet</w:t>
      </w:r>
      <w:r w:rsidR="00CE4933">
        <w:rPr>
          <w:rFonts w:eastAsia="Times New Roman" w:cs="Times New Roman"/>
          <w:bCs/>
          <w:color w:val="000000" w:themeColor="text1"/>
        </w:rPr>
        <w:t>-</w:t>
      </w:r>
      <w:r w:rsidR="00A04D20">
        <w:rPr>
          <w:rFonts w:eastAsia="Times New Roman" w:cs="Times New Roman"/>
          <w:bCs/>
          <w:color w:val="000000" w:themeColor="text1"/>
        </w:rPr>
        <w:t>kosteneffectieve prijs, denk bijvoorbeeld aan beloftevolle geneesmiddelen voor een zeldzame aandoening waarvoor geen andere behandeling bestaat</w:t>
      </w:r>
      <w:r w:rsidR="00811DC0">
        <w:rPr>
          <w:rFonts w:eastAsia="Times New Roman" w:cs="Times New Roman"/>
          <w:bCs/>
          <w:color w:val="000000" w:themeColor="text1"/>
        </w:rPr>
        <w:t xml:space="preserve"> (weesgeneesmiddelen)</w:t>
      </w:r>
      <w:r w:rsidR="00A04D20">
        <w:rPr>
          <w:rFonts w:eastAsia="Times New Roman" w:cs="Times New Roman"/>
          <w:bCs/>
          <w:color w:val="000000" w:themeColor="text1"/>
        </w:rPr>
        <w:t xml:space="preserve">. </w:t>
      </w:r>
    </w:p>
    <w:p w:rsidR="00270C54" w:rsidP="004C2289" w:rsidRDefault="00270C54" w14:paraId="160F528C" w14:textId="77777777">
      <w:pPr>
        <w:spacing w:line="240" w:lineRule="atLeast"/>
        <w:rPr>
          <w:rFonts w:eastAsia="Times New Roman" w:cs="Times New Roman"/>
          <w:bCs/>
          <w:color w:val="000000" w:themeColor="text1"/>
        </w:rPr>
      </w:pPr>
    </w:p>
    <w:p w:rsidR="00F71EEA" w:rsidP="004C2289" w:rsidRDefault="009734E9" w14:paraId="64DE7C4E" w14:textId="77777777">
      <w:pPr>
        <w:spacing w:line="240" w:lineRule="atLeast"/>
        <w:rPr>
          <w:rFonts w:eastAsia="Times New Roman" w:cs="Times New Roman"/>
          <w:bCs/>
          <w:color w:val="000000" w:themeColor="text1"/>
        </w:rPr>
      </w:pPr>
      <w:r w:rsidRPr="00877887">
        <w:rPr>
          <w:rFonts w:eastAsia="Times New Roman" w:cs="Times New Roman"/>
          <w:bCs/>
          <w:color w:val="000000" w:themeColor="text1"/>
        </w:rPr>
        <w:t xml:space="preserve">Natuurlijk, over de balans tussen de benaderingen valt te twisten, reden waarom </w:t>
      </w:r>
      <w:r>
        <w:rPr>
          <w:rFonts w:eastAsia="Times New Roman" w:cs="Times New Roman"/>
          <w:bCs/>
          <w:color w:val="000000" w:themeColor="text1"/>
        </w:rPr>
        <w:t>het kabinet</w:t>
      </w:r>
      <w:r w:rsidRPr="00877887">
        <w:rPr>
          <w:rFonts w:eastAsia="Times New Roman" w:cs="Times New Roman"/>
          <w:bCs/>
          <w:color w:val="000000" w:themeColor="text1"/>
        </w:rPr>
        <w:t xml:space="preserve"> hierover graag publieke verantwoording afleg</w:t>
      </w:r>
      <w:r>
        <w:rPr>
          <w:rFonts w:eastAsia="Times New Roman" w:cs="Times New Roman"/>
          <w:bCs/>
          <w:color w:val="000000" w:themeColor="text1"/>
        </w:rPr>
        <w:t>t</w:t>
      </w:r>
      <w:r w:rsidRPr="00877887">
        <w:rPr>
          <w:rFonts w:eastAsia="Times New Roman" w:cs="Times New Roman"/>
          <w:bCs/>
          <w:color w:val="000000" w:themeColor="text1"/>
        </w:rPr>
        <w:t xml:space="preserve">. Als het juiste midden voor iedereen niet exact te bepalen is, moet immers op zijn minst de procedurele rechtvaardigheid zijn geborgd. </w:t>
      </w:r>
      <w:r>
        <w:rPr>
          <w:rFonts w:eastAsia="Times New Roman" w:cs="Times New Roman"/>
          <w:bCs/>
          <w:color w:val="000000" w:themeColor="text1"/>
        </w:rPr>
        <w:t>Het kabinet</w:t>
      </w:r>
      <w:r w:rsidRPr="00877887">
        <w:rPr>
          <w:rFonts w:eastAsia="Times New Roman" w:cs="Times New Roman"/>
          <w:bCs/>
          <w:color w:val="000000" w:themeColor="text1"/>
        </w:rPr>
        <w:t xml:space="preserve"> erken</w:t>
      </w:r>
      <w:r>
        <w:rPr>
          <w:rFonts w:eastAsia="Times New Roman" w:cs="Times New Roman"/>
          <w:bCs/>
          <w:color w:val="000000" w:themeColor="text1"/>
        </w:rPr>
        <w:t>t</w:t>
      </w:r>
      <w:r w:rsidRPr="00877887">
        <w:rPr>
          <w:rFonts w:eastAsia="Times New Roman" w:cs="Times New Roman"/>
          <w:bCs/>
          <w:color w:val="000000" w:themeColor="text1"/>
        </w:rPr>
        <w:t xml:space="preserve"> ook dat keuzes soms zeer moeilijk te maken zijn, </w:t>
      </w:r>
      <w:r>
        <w:rPr>
          <w:rFonts w:eastAsia="Times New Roman" w:cs="Times New Roman"/>
          <w:bCs/>
          <w:color w:val="000000" w:themeColor="text1"/>
        </w:rPr>
        <w:t>zo</w:t>
      </w:r>
      <w:r w:rsidRPr="00877887">
        <w:rPr>
          <w:rFonts w:eastAsia="Times New Roman" w:cs="Times New Roman"/>
          <w:bCs/>
          <w:color w:val="000000" w:themeColor="text1"/>
        </w:rPr>
        <w:t xml:space="preserve">als </w:t>
      </w:r>
      <w:r>
        <w:rPr>
          <w:rFonts w:eastAsia="Times New Roman" w:cs="Times New Roman"/>
          <w:bCs/>
          <w:color w:val="000000" w:themeColor="text1"/>
        </w:rPr>
        <w:t xml:space="preserve">in het eerdergenoemde voorbeeld waarbij patiënten </w:t>
      </w:r>
      <w:r w:rsidRPr="00877887">
        <w:rPr>
          <w:rFonts w:eastAsia="Times New Roman" w:cs="Times New Roman"/>
          <w:bCs/>
          <w:color w:val="000000" w:themeColor="text1"/>
        </w:rPr>
        <w:t xml:space="preserve">de toegang tot een op zich effectief middel wordt ontzegd. </w:t>
      </w:r>
      <w:r>
        <w:rPr>
          <w:rFonts w:eastAsia="Times New Roman" w:cs="Times New Roman"/>
          <w:bCs/>
          <w:color w:val="000000" w:themeColor="text1"/>
        </w:rPr>
        <w:t>Het kabinet heeft begrip voor</w:t>
      </w:r>
      <w:r w:rsidRPr="00877887">
        <w:rPr>
          <w:rFonts w:eastAsia="Times New Roman" w:cs="Times New Roman"/>
          <w:bCs/>
          <w:color w:val="000000" w:themeColor="text1"/>
        </w:rPr>
        <w:t xml:space="preserve"> de maatschappelijke en politieke roep om deze identificeerbare patiënten te helpen </w:t>
      </w:r>
      <w:r>
        <w:rPr>
          <w:rFonts w:eastAsia="Times New Roman" w:cs="Times New Roman"/>
          <w:bCs/>
          <w:color w:val="000000" w:themeColor="text1"/>
        </w:rPr>
        <w:t xml:space="preserve">en een uitzondering te </w:t>
      </w:r>
      <w:r>
        <w:rPr>
          <w:rFonts w:eastAsia="Times New Roman" w:cs="Times New Roman"/>
          <w:bCs/>
          <w:color w:val="000000" w:themeColor="text1"/>
        </w:rPr>
        <w:t xml:space="preserve">maken </w:t>
      </w:r>
      <w:r w:rsidRPr="00877887">
        <w:rPr>
          <w:rFonts w:eastAsia="Times New Roman" w:cs="Times New Roman"/>
          <w:bCs/>
          <w:color w:val="000000" w:themeColor="text1"/>
        </w:rPr>
        <w:t xml:space="preserve">(ook het CEG wijst op deze menselijke neiging – de zogenoemde </w:t>
      </w:r>
      <w:r w:rsidRPr="005A5F6E">
        <w:rPr>
          <w:rFonts w:eastAsia="Times New Roman" w:cs="Times New Roman"/>
          <w:bCs/>
          <w:i/>
          <w:iCs/>
          <w:color w:val="000000" w:themeColor="text1"/>
        </w:rPr>
        <w:t>rule of rescue</w:t>
      </w:r>
      <w:r w:rsidRPr="00877887">
        <w:rPr>
          <w:rFonts w:eastAsia="Times New Roman" w:cs="Times New Roman"/>
          <w:bCs/>
          <w:color w:val="000000" w:themeColor="text1"/>
        </w:rPr>
        <w:t>).</w:t>
      </w:r>
      <w:r>
        <w:rPr>
          <w:rStyle w:val="Voetnootmarkering"/>
          <w:rFonts w:eastAsia="Times New Roman" w:cs="Times New Roman"/>
          <w:bCs/>
          <w:color w:val="000000" w:themeColor="text1"/>
        </w:rPr>
        <w:footnoteReference w:id="5"/>
      </w:r>
      <w:r>
        <w:rPr>
          <w:rFonts w:eastAsia="Times New Roman" w:cs="Times New Roman"/>
          <w:bCs/>
          <w:color w:val="000000" w:themeColor="text1"/>
        </w:rPr>
        <w:t xml:space="preserve"> Ervaringen van deze patiënten laten </w:t>
      </w:r>
      <w:r w:rsidR="00CE4933">
        <w:rPr>
          <w:rFonts w:eastAsia="Times New Roman" w:cs="Times New Roman"/>
          <w:bCs/>
          <w:color w:val="000000" w:themeColor="text1"/>
        </w:rPr>
        <w:t xml:space="preserve">natuurlijk </w:t>
      </w:r>
      <w:r>
        <w:rPr>
          <w:rFonts w:eastAsia="Times New Roman" w:cs="Times New Roman"/>
          <w:bCs/>
          <w:color w:val="000000" w:themeColor="text1"/>
        </w:rPr>
        <w:t>niemand koud.</w:t>
      </w:r>
      <w:r w:rsidRPr="00877887">
        <w:rPr>
          <w:rFonts w:eastAsia="Times New Roman" w:cs="Times New Roman"/>
          <w:bCs/>
          <w:color w:val="000000" w:themeColor="text1"/>
        </w:rPr>
        <w:t xml:space="preserve"> </w:t>
      </w:r>
      <w:r>
        <w:rPr>
          <w:rFonts w:eastAsia="Times New Roman" w:cs="Times New Roman"/>
          <w:bCs/>
          <w:color w:val="000000" w:themeColor="text1"/>
        </w:rPr>
        <w:t>En het kabinet snapt ook dat dergelijke keuzes kil kunnen overkomen omdat deze patiënten instrumenteel lijken te worden ingezet (namelijk ten behoeve van andere, toekomstige patiënten</w:t>
      </w:r>
      <w:r w:rsidR="00CE4933">
        <w:rPr>
          <w:rFonts w:eastAsia="Times New Roman" w:cs="Times New Roman"/>
          <w:bCs/>
          <w:color w:val="000000" w:themeColor="text1"/>
        </w:rPr>
        <w:t xml:space="preserve"> of, erger nog, ter bescherming van iets abstracts als “het stelsel”</w:t>
      </w:r>
      <w:r>
        <w:rPr>
          <w:rFonts w:eastAsia="Times New Roman" w:cs="Times New Roman"/>
          <w:bCs/>
          <w:color w:val="000000" w:themeColor="text1"/>
        </w:rPr>
        <w:t>). Het kabinet wijst er in reactie op dat het stelsel</w:t>
      </w:r>
      <w:r w:rsidR="00E273FC">
        <w:rPr>
          <w:rFonts w:eastAsia="Times New Roman" w:cs="Times New Roman"/>
          <w:bCs/>
          <w:color w:val="000000" w:themeColor="text1"/>
        </w:rPr>
        <w:t xml:space="preserve"> </w:t>
      </w:r>
      <w:r>
        <w:rPr>
          <w:rFonts w:eastAsia="Times New Roman" w:cs="Times New Roman"/>
          <w:bCs/>
          <w:color w:val="000000" w:themeColor="text1"/>
        </w:rPr>
        <w:t xml:space="preserve">uiteindelijk </w:t>
      </w:r>
      <w:r w:rsidRPr="007650CA">
        <w:rPr>
          <w:rFonts w:eastAsia="Times New Roman" w:cs="Times New Roman"/>
          <w:bCs/>
          <w:i/>
          <w:iCs/>
          <w:color w:val="000000" w:themeColor="text1"/>
        </w:rPr>
        <w:t>iedereen</w:t>
      </w:r>
      <w:r w:rsidR="00E273FC">
        <w:rPr>
          <w:rFonts w:eastAsia="Times New Roman" w:cs="Times New Roman"/>
          <w:bCs/>
          <w:i/>
          <w:iCs/>
          <w:color w:val="000000" w:themeColor="text1"/>
        </w:rPr>
        <w:t xml:space="preserve"> </w:t>
      </w:r>
      <w:r w:rsidR="00E273FC">
        <w:rPr>
          <w:rFonts w:eastAsia="Times New Roman" w:cs="Times New Roman"/>
          <w:bCs/>
          <w:color w:val="000000" w:themeColor="text1"/>
        </w:rPr>
        <w:t>(</w:t>
      </w:r>
      <w:r w:rsidRPr="00E273FC" w:rsidR="00E273FC">
        <w:rPr>
          <w:rFonts w:eastAsia="Times New Roman" w:cs="Times New Roman"/>
          <w:bCs/>
          <w:color w:val="000000" w:themeColor="text1"/>
        </w:rPr>
        <w:t>als onderdeel van de maatschappij als geheel</w:t>
      </w:r>
      <w:r w:rsidR="00E273FC">
        <w:rPr>
          <w:rFonts w:eastAsia="Times New Roman" w:cs="Times New Roman"/>
          <w:bCs/>
          <w:color w:val="000000" w:themeColor="text1"/>
        </w:rPr>
        <w:t>)</w:t>
      </w:r>
      <w:r>
        <w:rPr>
          <w:rFonts w:eastAsia="Times New Roman" w:cs="Times New Roman"/>
          <w:bCs/>
          <w:color w:val="000000" w:themeColor="text1"/>
        </w:rPr>
        <w:t xml:space="preserve"> ten goede komt: het is niet zo dat de ene patiëntengroep meer waard wordt geacht dan de andere, maar wel dat de ene behandeling meer waard is dan de andere – afhankelijk van de gezondheidswinst die de behandeling biedt in verhouding tot de kosten. En als die behandeling veel gezondheidswinst oplevert, dus veel QALY’s, dan is het kabinet bereid honderdduizenden euro’s, soms zelfs meer dan een miljoen, per patiënt uit te geven. </w:t>
      </w:r>
    </w:p>
    <w:p w:rsidR="00F71EEA" w:rsidP="004C2289" w:rsidRDefault="00F71EEA" w14:paraId="4653A60F" w14:textId="77777777">
      <w:pPr>
        <w:spacing w:line="240" w:lineRule="atLeast"/>
        <w:rPr>
          <w:rFonts w:eastAsia="Times New Roman" w:cs="Times New Roman"/>
          <w:bCs/>
          <w:color w:val="000000" w:themeColor="text1"/>
        </w:rPr>
      </w:pPr>
    </w:p>
    <w:p w:rsidR="00270C54" w:rsidP="004C2289" w:rsidRDefault="009734E9" w14:paraId="1216729B" w14:textId="77777777">
      <w:pPr>
        <w:spacing w:line="240" w:lineRule="atLeast"/>
        <w:rPr>
          <w:rFonts w:eastAsia="Times New Roman" w:cs="Times New Roman"/>
          <w:bCs/>
          <w:color w:val="000000" w:themeColor="text1"/>
        </w:rPr>
      </w:pPr>
      <w:r>
        <w:rPr>
          <w:rFonts w:eastAsia="Times New Roman" w:cs="Times New Roman"/>
          <w:bCs/>
          <w:color w:val="000000" w:themeColor="text1"/>
        </w:rPr>
        <w:t>Kortom, voor het kabinet weegt het</w:t>
      </w:r>
      <w:r w:rsidRPr="00877887">
        <w:rPr>
          <w:rFonts w:eastAsia="Times New Roman" w:cs="Times New Roman"/>
          <w:bCs/>
          <w:color w:val="000000" w:themeColor="text1"/>
        </w:rPr>
        <w:t xml:space="preserve"> uitgangspunt van gelijke toegang </w:t>
      </w:r>
      <w:r>
        <w:rPr>
          <w:rFonts w:eastAsia="Times New Roman" w:cs="Times New Roman"/>
          <w:bCs/>
          <w:color w:val="000000" w:themeColor="text1"/>
        </w:rPr>
        <w:t>en gelijke behandeling het zwaarst</w:t>
      </w:r>
      <w:r w:rsidRPr="00877887">
        <w:rPr>
          <w:rFonts w:eastAsia="Times New Roman" w:cs="Times New Roman"/>
          <w:bCs/>
          <w:color w:val="000000" w:themeColor="text1"/>
        </w:rPr>
        <w:t xml:space="preserve">. </w:t>
      </w:r>
      <w:r>
        <w:rPr>
          <w:rFonts w:eastAsia="Times New Roman" w:cs="Times New Roman"/>
          <w:bCs/>
          <w:color w:val="000000" w:themeColor="text1"/>
        </w:rPr>
        <w:t xml:space="preserve">Het kabinet </w:t>
      </w:r>
      <w:r w:rsidRPr="00877887">
        <w:rPr>
          <w:rFonts w:eastAsia="Times New Roman" w:cs="Times New Roman"/>
          <w:bCs/>
          <w:color w:val="000000" w:themeColor="text1"/>
        </w:rPr>
        <w:t>vind</w:t>
      </w:r>
      <w:r>
        <w:rPr>
          <w:rFonts w:eastAsia="Times New Roman" w:cs="Times New Roman"/>
          <w:bCs/>
          <w:color w:val="000000" w:themeColor="text1"/>
        </w:rPr>
        <w:t>t</w:t>
      </w:r>
      <w:r w:rsidRPr="00877887">
        <w:rPr>
          <w:rFonts w:eastAsia="Times New Roman" w:cs="Times New Roman"/>
          <w:bCs/>
          <w:color w:val="000000" w:themeColor="text1"/>
        </w:rPr>
        <w:t xml:space="preserve"> het niet uit te leggen aan </w:t>
      </w:r>
      <w:r w:rsidRPr="005A5F6E">
        <w:rPr>
          <w:rFonts w:eastAsia="Times New Roman" w:cs="Times New Roman"/>
          <w:bCs/>
          <w:i/>
          <w:iCs/>
          <w:color w:val="000000" w:themeColor="text1"/>
        </w:rPr>
        <w:t>alle</w:t>
      </w:r>
      <w:r w:rsidRPr="00877887">
        <w:rPr>
          <w:rFonts w:eastAsia="Times New Roman" w:cs="Times New Roman"/>
          <w:bCs/>
          <w:color w:val="000000" w:themeColor="text1"/>
        </w:rPr>
        <w:t xml:space="preserve"> huidige en toekomstige patiënten, die ook premiebetalers zijn, als </w:t>
      </w:r>
      <w:r>
        <w:rPr>
          <w:rFonts w:eastAsia="Times New Roman" w:cs="Times New Roman"/>
          <w:bCs/>
          <w:color w:val="000000" w:themeColor="text1"/>
        </w:rPr>
        <w:t>het</w:t>
      </w:r>
      <w:r w:rsidRPr="00877887">
        <w:rPr>
          <w:rFonts w:eastAsia="Times New Roman" w:cs="Times New Roman"/>
          <w:bCs/>
          <w:color w:val="000000" w:themeColor="text1"/>
        </w:rPr>
        <w:t xml:space="preserve"> besluit een duur middel met een beperkte of zeer onzekere kosteneffectiviteit zonder meer te vergoeden</w:t>
      </w:r>
      <w:r>
        <w:rPr>
          <w:rFonts w:eastAsia="Times New Roman" w:cs="Times New Roman"/>
          <w:bCs/>
          <w:color w:val="000000" w:themeColor="text1"/>
        </w:rPr>
        <w:t xml:space="preserve">, of uitzonderingen te maken die </w:t>
      </w:r>
      <w:r w:rsidR="00CE4933">
        <w:rPr>
          <w:rFonts w:eastAsia="Times New Roman" w:cs="Times New Roman"/>
          <w:bCs/>
          <w:color w:val="000000" w:themeColor="text1"/>
        </w:rPr>
        <w:t>de juridische houdbaarheid van het hele stelsel</w:t>
      </w:r>
      <w:r>
        <w:rPr>
          <w:rFonts w:eastAsia="Times New Roman" w:cs="Times New Roman"/>
          <w:bCs/>
          <w:color w:val="000000" w:themeColor="text1"/>
        </w:rPr>
        <w:t xml:space="preserve"> op de tocht zetten.</w:t>
      </w:r>
      <w:r w:rsidRPr="00F71EEA">
        <w:rPr>
          <w:rFonts w:eastAsia="Times New Roman" w:cs="Times New Roman"/>
          <w:bCs/>
          <w:color w:val="000000" w:themeColor="text1"/>
        </w:rPr>
        <w:t xml:space="preserve"> </w:t>
      </w:r>
      <w:r w:rsidR="00CE4933">
        <w:rPr>
          <w:rFonts w:eastAsia="Times New Roman" w:cs="Times New Roman"/>
          <w:bCs/>
          <w:color w:val="000000" w:themeColor="text1"/>
        </w:rPr>
        <w:t xml:space="preserve">Dan riskeren we dat de we de solidariteit uithollen die het fundament vormt van het basispakket van de zorgverzekering. </w:t>
      </w:r>
      <w:r w:rsidRPr="00877887">
        <w:rPr>
          <w:rFonts w:eastAsia="Times New Roman" w:cs="Times New Roman"/>
          <w:bCs/>
          <w:color w:val="000000" w:themeColor="text1"/>
        </w:rPr>
        <w:t>Deze aanpak sluit ook aan bij de doelstelling van het kabinet om passende zorg de norm te maken en scherpere eisen te stellen aan de pakketwaardigheid van zorg</w:t>
      </w:r>
      <w:r>
        <w:rPr>
          <w:rStyle w:val="Voetnootmarkering"/>
          <w:rFonts w:eastAsia="Times New Roman" w:cs="Times New Roman"/>
          <w:bCs/>
          <w:color w:val="000000" w:themeColor="text1"/>
        </w:rPr>
        <w:footnoteReference w:id="6"/>
      </w:r>
      <w:r w:rsidRPr="00877887">
        <w:rPr>
          <w:rFonts w:eastAsia="Times New Roman" w:cs="Times New Roman"/>
          <w:bCs/>
          <w:color w:val="000000" w:themeColor="text1"/>
        </w:rPr>
        <w:t>. Eén van de principes van passende zorg is namelijk zorg die werkt tegen een redelijke prijs</w:t>
      </w:r>
      <w:r>
        <w:rPr>
          <w:rStyle w:val="Voetnootmarkering"/>
          <w:rFonts w:eastAsia="Times New Roman" w:cs="Times New Roman"/>
          <w:bCs/>
          <w:color w:val="000000" w:themeColor="text1"/>
        </w:rPr>
        <w:footnoteReference w:id="7"/>
      </w:r>
      <w:r w:rsidRPr="00877887">
        <w:rPr>
          <w:rFonts w:eastAsia="Times New Roman" w:cs="Times New Roman"/>
          <w:bCs/>
          <w:color w:val="000000" w:themeColor="text1"/>
        </w:rPr>
        <w:t>.</w:t>
      </w:r>
      <w:r>
        <w:rPr>
          <w:rFonts w:eastAsia="Times New Roman" w:cs="Times New Roman"/>
          <w:bCs/>
          <w:color w:val="000000" w:themeColor="text1"/>
        </w:rPr>
        <w:t xml:space="preserve"> </w:t>
      </w:r>
    </w:p>
    <w:p w:rsidRPr="00877887" w:rsidR="00270C54" w:rsidP="004C2289" w:rsidRDefault="00270C54" w14:paraId="02376008" w14:textId="77777777">
      <w:pPr>
        <w:spacing w:line="240" w:lineRule="atLeast"/>
        <w:rPr>
          <w:rFonts w:eastAsia="Times New Roman" w:cs="Times New Roman"/>
          <w:bCs/>
          <w:color w:val="000000" w:themeColor="text1"/>
        </w:rPr>
      </w:pPr>
    </w:p>
    <w:p w:rsidR="00270C54" w:rsidP="004C2289" w:rsidRDefault="009734E9" w14:paraId="216BBD78" w14:textId="43D6172F">
      <w:pPr>
        <w:spacing w:line="240" w:lineRule="atLeast"/>
        <w:rPr>
          <w:rFonts w:eastAsia="Times New Roman" w:cs="Times New Roman"/>
          <w:bCs/>
          <w:color w:val="000000" w:themeColor="text1"/>
        </w:rPr>
      </w:pPr>
      <w:r>
        <w:rPr>
          <w:rFonts w:eastAsia="Times New Roman" w:cs="Times New Roman"/>
          <w:bCs/>
          <w:color w:val="000000" w:themeColor="text1"/>
        </w:rPr>
        <w:t>Het kabinet</w:t>
      </w:r>
      <w:r w:rsidRPr="00877887">
        <w:rPr>
          <w:rFonts w:eastAsia="Times New Roman" w:cs="Times New Roman"/>
          <w:bCs/>
          <w:color w:val="000000" w:themeColor="text1"/>
        </w:rPr>
        <w:t xml:space="preserve"> wijs</w:t>
      </w:r>
      <w:r>
        <w:rPr>
          <w:rFonts w:eastAsia="Times New Roman" w:cs="Times New Roman"/>
          <w:bCs/>
          <w:color w:val="000000" w:themeColor="text1"/>
        </w:rPr>
        <w:t>t</w:t>
      </w:r>
      <w:r w:rsidRPr="00877887">
        <w:rPr>
          <w:rFonts w:eastAsia="Times New Roman" w:cs="Times New Roman"/>
          <w:bCs/>
          <w:color w:val="000000" w:themeColor="text1"/>
        </w:rPr>
        <w:t xml:space="preserve"> er ten slotte op dat ook fabrikanten een maatschappelijke verantwoordelijkheid dragen</w:t>
      </w:r>
      <w:r>
        <w:rPr>
          <w:rFonts w:eastAsia="Times New Roman" w:cs="Times New Roman"/>
          <w:bCs/>
          <w:color w:val="000000" w:themeColor="text1"/>
        </w:rPr>
        <w:t>, ook al zijn zij als bedrijf natuurlijk (ook) gericht op winstmaximalisatie</w:t>
      </w:r>
      <w:r w:rsidRPr="00877887">
        <w:rPr>
          <w:rFonts w:eastAsia="Times New Roman" w:cs="Times New Roman"/>
          <w:bCs/>
          <w:color w:val="000000" w:themeColor="text1"/>
        </w:rPr>
        <w:t>. Als zij in alle gevallen verantwoorde prijzen zouden vragen</w:t>
      </w:r>
      <w:r>
        <w:rPr>
          <w:rFonts w:eastAsia="Times New Roman" w:cs="Times New Roman"/>
          <w:bCs/>
          <w:color w:val="000000" w:themeColor="text1"/>
        </w:rPr>
        <w:t xml:space="preserve">, dus </w:t>
      </w:r>
      <w:r>
        <w:rPr>
          <w:rFonts w:eastAsia="Times New Roman" w:cs="Times New Roman"/>
          <w:bCs/>
          <w:color w:val="000000" w:themeColor="text1"/>
        </w:rPr>
        <w:t>prijzen die in verhouding staan tot de gezondheidswinst</w:t>
      </w:r>
      <w:r w:rsidRPr="00877887">
        <w:rPr>
          <w:rFonts w:eastAsia="Times New Roman" w:cs="Times New Roman"/>
          <w:bCs/>
          <w:color w:val="000000" w:themeColor="text1"/>
        </w:rPr>
        <w:t>, zou het een stuk makkelijker zijn om de juiste balans te vinden tussen de door het CEG onderscheiden morele benaderingen.</w:t>
      </w:r>
      <w:r>
        <w:rPr>
          <w:rFonts w:eastAsia="Times New Roman" w:cs="Times New Roman"/>
          <w:bCs/>
          <w:color w:val="000000" w:themeColor="text1"/>
        </w:rPr>
        <w:t xml:space="preserve"> </w:t>
      </w:r>
      <w:r w:rsidR="00F43B5E">
        <w:rPr>
          <w:rFonts w:eastAsia="Times New Roman" w:cs="Times New Roman"/>
          <w:bCs/>
          <w:color w:val="000000" w:themeColor="text1"/>
        </w:rPr>
        <w:t>En daarmee de patiënt toegang te geven tot effectieve en (voor het collectief) betaalbare geneesmiddelen; daar is het beleid van het kabinet immers uiteindelijk op gericht.</w:t>
      </w:r>
    </w:p>
    <w:p w:rsidR="004C2289" w:rsidP="004C2289" w:rsidRDefault="004C2289" w14:paraId="7AA10194" w14:textId="77777777">
      <w:pPr>
        <w:spacing w:line="240" w:lineRule="atLeast"/>
        <w:contextualSpacing/>
        <w:rPr>
          <w:rFonts w:eastAsia="Times New Roman" w:cs="Times New Roman"/>
          <w:szCs w:val="20"/>
          <w:lang w:eastAsia="nl-NL"/>
        </w:rPr>
      </w:pPr>
    </w:p>
    <w:p w:rsidRPr="007A681B" w:rsidR="004C2289" w:rsidP="004C2289" w:rsidRDefault="004C2289" w14:paraId="7BA04182" w14:textId="262F2B68">
      <w:pPr>
        <w:spacing w:line="240" w:lineRule="atLeast"/>
        <w:contextualSpacing/>
        <w:rPr>
          <w:rFonts w:eastAsia="Times New Roman" w:cs="Times New Roman"/>
          <w:szCs w:val="20"/>
          <w:lang w:eastAsia="nl-NL"/>
        </w:rPr>
      </w:pPr>
      <w:r w:rsidRPr="007A681B">
        <w:rPr>
          <w:rFonts w:eastAsia="Times New Roman" w:cs="Times New Roman"/>
          <w:szCs w:val="20"/>
          <w:lang w:eastAsia="nl-NL"/>
        </w:rPr>
        <w:t>Hoogachtend,</w:t>
      </w:r>
    </w:p>
    <w:p w:rsidRPr="004C2289" w:rsidR="004C2289" w:rsidP="004C2289" w:rsidRDefault="004C2289" w14:paraId="4DFE1176" w14:textId="77777777">
      <w:pPr>
        <w:spacing w:line="276" w:lineRule="auto"/>
        <w:contextualSpacing/>
        <w:rPr>
          <w:kern w:val="2"/>
        </w:rPr>
      </w:pPr>
    </w:p>
    <w:p w:rsidRPr="004C2289" w:rsidR="004C2289" w:rsidP="004C2289" w:rsidRDefault="004C2289" w14:paraId="26F0B1D0" w14:textId="77777777">
      <w:pPr>
        <w:spacing w:line="276" w:lineRule="auto"/>
        <w:contextualSpacing/>
        <w:rPr>
          <w:kern w:val="2"/>
        </w:rPr>
      </w:pPr>
      <w:r w:rsidRPr="004C2289">
        <w:rPr>
          <w:kern w:val="2"/>
        </w:rPr>
        <w:t>de minister van Volksgezondheid,</w:t>
      </w:r>
    </w:p>
    <w:p w:rsidRPr="004C2289" w:rsidR="004C2289" w:rsidP="004C2289" w:rsidRDefault="004C2289" w14:paraId="7AE23926" w14:textId="77777777">
      <w:pPr>
        <w:spacing w:line="276" w:lineRule="auto"/>
        <w:contextualSpacing/>
        <w:rPr>
          <w:kern w:val="2"/>
        </w:rPr>
      </w:pPr>
      <w:r w:rsidRPr="004C2289">
        <w:rPr>
          <w:kern w:val="2"/>
        </w:rPr>
        <w:t>Welzijn en Sport,</w:t>
      </w:r>
    </w:p>
    <w:p w:rsidRPr="004C2289" w:rsidR="004C2289" w:rsidP="004C2289" w:rsidRDefault="004C2289" w14:paraId="53B756AC" w14:textId="77777777">
      <w:pPr>
        <w:spacing w:line="276" w:lineRule="auto"/>
        <w:contextualSpacing/>
        <w:rPr>
          <w:kern w:val="2"/>
        </w:rPr>
      </w:pPr>
    </w:p>
    <w:p w:rsidRPr="004C2289" w:rsidR="004C2289" w:rsidP="004C2289" w:rsidRDefault="004C2289" w14:paraId="3B84E5AB" w14:textId="77777777">
      <w:pPr>
        <w:spacing w:line="276" w:lineRule="auto"/>
        <w:contextualSpacing/>
        <w:rPr>
          <w:kern w:val="2"/>
        </w:rPr>
      </w:pPr>
    </w:p>
    <w:p w:rsidRPr="004C2289" w:rsidR="004C2289" w:rsidP="004C2289" w:rsidRDefault="004C2289" w14:paraId="746B9B26" w14:textId="77777777">
      <w:pPr>
        <w:spacing w:line="276" w:lineRule="auto"/>
        <w:contextualSpacing/>
        <w:rPr>
          <w:kern w:val="2"/>
        </w:rPr>
      </w:pPr>
    </w:p>
    <w:p w:rsidRPr="004C2289" w:rsidR="004C2289" w:rsidP="004C2289" w:rsidRDefault="004C2289" w14:paraId="5F2BEC53" w14:textId="77777777">
      <w:pPr>
        <w:spacing w:line="276" w:lineRule="auto"/>
        <w:contextualSpacing/>
        <w:rPr>
          <w:kern w:val="2"/>
        </w:rPr>
      </w:pPr>
    </w:p>
    <w:p w:rsidRPr="004C2289" w:rsidR="004C2289" w:rsidP="004C2289" w:rsidRDefault="004C2289" w14:paraId="33161F2B" w14:textId="77777777">
      <w:pPr>
        <w:spacing w:line="276" w:lineRule="auto"/>
        <w:contextualSpacing/>
        <w:rPr>
          <w:kern w:val="2"/>
        </w:rPr>
      </w:pPr>
    </w:p>
    <w:p w:rsidRPr="004C2289" w:rsidR="004C2289" w:rsidP="004C2289" w:rsidRDefault="004C2289" w14:paraId="72B6877D" w14:textId="77777777">
      <w:pPr>
        <w:spacing w:line="276" w:lineRule="auto"/>
        <w:contextualSpacing/>
        <w:rPr>
          <w:kern w:val="2"/>
        </w:rPr>
      </w:pPr>
    </w:p>
    <w:p w:rsidRPr="004C2289" w:rsidR="004C2289" w:rsidP="004C2289" w:rsidRDefault="004C2289" w14:paraId="5F78C291" w14:textId="77777777">
      <w:pPr>
        <w:spacing w:line="276" w:lineRule="auto"/>
        <w:contextualSpacing/>
        <w:rPr>
          <w:kern w:val="2"/>
        </w:rPr>
      </w:pPr>
      <w:r w:rsidRPr="004C2289">
        <w:rPr>
          <w:kern w:val="2"/>
        </w:rPr>
        <w:t>Sophie Hermans</w:t>
      </w:r>
    </w:p>
    <w:p w:rsidR="00C95CA9" w:rsidP="004C2289" w:rsidRDefault="00C95CA9" w14:paraId="7EFDB567" w14:textId="77777777">
      <w:pPr>
        <w:spacing w:line="240" w:lineRule="atLeast"/>
        <w:rPr>
          <w:noProof/>
        </w:rPr>
      </w:pPr>
    </w:p>
    <w:p w:rsidR="00235AED" w:rsidP="004C2289" w:rsidRDefault="00235AED" w14:paraId="66251F3C" w14:textId="77777777">
      <w:pPr>
        <w:spacing w:line="240" w:lineRule="atLeast"/>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74BA0" w14:textId="77777777" w:rsidR="0096347A" w:rsidRDefault="0096347A">
      <w:pPr>
        <w:spacing w:line="240" w:lineRule="auto"/>
      </w:pPr>
      <w:r>
        <w:separator/>
      </w:r>
    </w:p>
  </w:endnote>
  <w:endnote w:type="continuationSeparator" w:id="0">
    <w:p w14:paraId="31879983" w14:textId="77777777" w:rsidR="0096347A" w:rsidRDefault="009634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D39BE" w14:textId="6E9FA15D" w:rsidR="00DC7639" w:rsidRDefault="009734E9">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61DE5577" wp14:editId="2206816B">
              <wp:simplePos x="0" y="0"/>
              <wp:positionH relativeFrom="page">
                <wp:posOffset>5922645</wp:posOffset>
              </wp:positionH>
              <wp:positionV relativeFrom="page">
                <wp:posOffset>10225405</wp:posOffset>
              </wp:positionV>
              <wp:extent cx="1259840" cy="185420"/>
              <wp:effectExtent l="7620" t="5080" r="8890" b="9525"/>
              <wp:wrapNone/>
              <wp:docPr id="88382177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296EBC4B" w14:textId="77777777" w:rsidR="00DC7639" w:rsidRDefault="009734E9"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DE5577"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296EBC4B" w14:textId="77777777" w:rsidR="00DC7639" w:rsidRDefault="009734E9"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395C2" w14:textId="77777777" w:rsidR="0096347A" w:rsidRDefault="0096347A">
      <w:pPr>
        <w:spacing w:line="240" w:lineRule="auto"/>
      </w:pPr>
      <w:r>
        <w:separator/>
      </w:r>
    </w:p>
  </w:footnote>
  <w:footnote w:type="continuationSeparator" w:id="0">
    <w:p w14:paraId="15CCB7AA" w14:textId="77777777" w:rsidR="0096347A" w:rsidRDefault="0096347A">
      <w:pPr>
        <w:spacing w:line="240" w:lineRule="auto"/>
      </w:pPr>
      <w:r>
        <w:continuationSeparator/>
      </w:r>
    </w:p>
  </w:footnote>
  <w:footnote w:id="1">
    <w:p w14:paraId="7F661E3D" w14:textId="397069B8" w:rsidR="00F43B5E" w:rsidRDefault="00F43B5E">
      <w:pPr>
        <w:pStyle w:val="Voetnoottekst"/>
      </w:pPr>
      <w:r>
        <w:rPr>
          <w:rStyle w:val="Voetnootmarkering"/>
        </w:rPr>
        <w:footnoteRef/>
      </w:r>
      <w:r>
        <w:t xml:space="preserve"> </w:t>
      </w:r>
      <w:r w:rsidRPr="000A26BF">
        <w:rPr>
          <w:sz w:val="16"/>
          <w:szCs w:val="16"/>
        </w:rPr>
        <w:t xml:space="preserve">Waardenpluralisme </w:t>
      </w:r>
      <w:r>
        <w:rPr>
          <w:sz w:val="16"/>
          <w:szCs w:val="16"/>
        </w:rPr>
        <w:t>houd</w:t>
      </w:r>
      <w:r w:rsidRPr="000A26BF">
        <w:rPr>
          <w:sz w:val="16"/>
          <w:szCs w:val="16"/>
        </w:rPr>
        <w:t xml:space="preserve">t </w:t>
      </w:r>
      <w:r>
        <w:rPr>
          <w:sz w:val="16"/>
          <w:szCs w:val="16"/>
        </w:rPr>
        <w:t xml:space="preserve">in </w:t>
      </w:r>
      <w:r w:rsidRPr="000A26BF">
        <w:rPr>
          <w:sz w:val="16"/>
          <w:szCs w:val="16"/>
        </w:rPr>
        <w:t>dat</w:t>
      </w:r>
      <w:r w:rsidRPr="000A26BF">
        <w:rPr>
          <w:color w:val="auto"/>
          <w:kern w:val="3"/>
          <w:sz w:val="16"/>
          <w:szCs w:val="16"/>
          <w:lang w:eastAsia="zh-CN" w:bidi="hi-IN"/>
        </w:rPr>
        <w:t xml:space="preserve"> </w:t>
      </w:r>
      <w:r w:rsidRPr="000A26BF">
        <w:rPr>
          <w:sz w:val="16"/>
          <w:szCs w:val="16"/>
        </w:rPr>
        <w:t xml:space="preserve">dat er meerdere waarden naast elkaar </w:t>
      </w:r>
      <w:r>
        <w:rPr>
          <w:sz w:val="16"/>
          <w:szCs w:val="16"/>
        </w:rPr>
        <w:t xml:space="preserve">(kunnen) </w:t>
      </w:r>
      <w:r w:rsidRPr="000A26BF">
        <w:rPr>
          <w:sz w:val="16"/>
          <w:szCs w:val="16"/>
        </w:rPr>
        <w:t xml:space="preserve">bestaan die even waardevol en objectief juist zijn, maar onderling onverenigbaar en soms in conflict met elkaar komen. Een bekende uitwerking </w:t>
      </w:r>
      <w:r>
        <w:rPr>
          <w:sz w:val="16"/>
          <w:szCs w:val="16"/>
        </w:rPr>
        <w:t>kom</w:t>
      </w:r>
      <w:r w:rsidRPr="000A26BF">
        <w:rPr>
          <w:sz w:val="16"/>
          <w:szCs w:val="16"/>
        </w:rPr>
        <w:t xml:space="preserve">t </w:t>
      </w:r>
      <w:r>
        <w:rPr>
          <w:sz w:val="16"/>
          <w:szCs w:val="16"/>
        </w:rPr>
        <w:t>va</w:t>
      </w:r>
      <w:r w:rsidRPr="000A26BF">
        <w:rPr>
          <w:sz w:val="16"/>
          <w:szCs w:val="16"/>
        </w:rPr>
        <w:t xml:space="preserve">n Isaiah Berlin, </w:t>
      </w:r>
      <w:r w:rsidRPr="000A26BF">
        <w:rPr>
          <w:i/>
          <w:iCs/>
          <w:sz w:val="16"/>
          <w:szCs w:val="16"/>
        </w:rPr>
        <w:t>Twee opvattingen van vrijheid</w:t>
      </w:r>
      <w:r w:rsidRPr="000A26BF">
        <w:rPr>
          <w:sz w:val="16"/>
          <w:szCs w:val="16"/>
        </w:rPr>
        <w:t xml:space="preserve"> (1958). </w:t>
      </w:r>
      <w:r>
        <w:rPr>
          <w:sz w:val="16"/>
          <w:szCs w:val="16"/>
        </w:rPr>
        <w:t>In het geval van pakketbeheer kan het bijvoorbeeld gaan om de soms botsende waarden betaalbaarheid en toegankelijkheid.</w:t>
      </w:r>
    </w:p>
  </w:footnote>
  <w:footnote w:id="2">
    <w:p w14:paraId="31491013" w14:textId="77777777" w:rsidR="00270C54" w:rsidRPr="004C2289" w:rsidRDefault="009734E9" w:rsidP="00270C54">
      <w:pPr>
        <w:pStyle w:val="Voetnoottekst"/>
        <w:rPr>
          <w:sz w:val="16"/>
          <w:szCs w:val="16"/>
          <w:lang w:val="en-US"/>
        </w:rPr>
      </w:pPr>
      <w:r w:rsidRPr="004C2289">
        <w:rPr>
          <w:rStyle w:val="Voetnootmarkering"/>
          <w:sz w:val="16"/>
          <w:szCs w:val="16"/>
        </w:rPr>
        <w:footnoteRef/>
      </w:r>
      <w:r w:rsidRPr="004C2289">
        <w:rPr>
          <w:sz w:val="16"/>
          <w:szCs w:val="16"/>
        </w:rPr>
        <w:t xml:space="preserve"> Zie bijvoorbeeld Norman Daniels en James E. Sabin, </w:t>
      </w:r>
      <w:r w:rsidRPr="004C2289">
        <w:rPr>
          <w:i/>
          <w:iCs/>
          <w:sz w:val="16"/>
          <w:szCs w:val="16"/>
        </w:rPr>
        <w:t xml:space="preserve">Setting limits fairly. </w:t>
      </w:r>
      <w:r w:rsidRPr="004C2289">
        <w:rPr>
          <w:i/>
          <w:iCs/>
          <w:sz w:val="16"/>
          <w:szCs w:val="16"/>
          <w:lang w:val="en-US"/>
        </w:rPr>
        <w:t>Can we learn to share medical resources?</w:t>
      </w:r>
      <w:r w:rsidRPr="004C2289">
        <w:rPr>
          <w:sz w:val="16"/>
          <w:szCs w:val="16"/>
          <w:lang w:val="en-US"/>
        </w:rPr>
        <w:t xml:space="preserve"> (Oxford: 2002). </w:t>
      </w:r>
    </w:p>
  </w:footnote>
  <w:footnote w:id="3">
    <w:p w14:paraId="5AFA879C" w14:textId="77777777" w:rsidR="00270C54" w:rsidRPr="004C2289" w:rsidRDefault="009734E9" w:rsidP="00270C54">
      <w:pPr>
        <w:pStyle w:val="Voetnoottekst"/>
        <w:rPr>
          <w:sz w:val="16"/>
          <w:szCs w:val="16"/>
        </w:rPr>
      </w:pPr>
      <w:r w:rsidRPr="004C2289">
        <w:rPr>
          <w:rStyle w:val="Voetnootmarkering"/>
          <w:sz w:val="16"/>
          <w:szCs w:val="16"/>
        </w:rPr>
        <w:footnoteRef/>
      </w:r>
      <w:r w:rsidRPr="004C2289">
        <w:rPr>
          <w:sz w:val="16"/>
          <w:szCs w:val="16"/>
          <w:lang w:val="en-US"/>
        </w:rPr>
        <w:t xml:space="preserve"> Zie </w:t>
      </w:r>
      <w:hyperlink r:id="rId1" w:history="1">
        <w:r w:rsidR="00270C54" w:rsidRPr="004C2289">
          <w:rPr>
            <w:rStyle w:val="Hyperlink"/>
            <w:sz w:val="16"/>
            <w:szCs w:val="16"/>
            <w:lang w:val="en-US"/>
          </w:rPr>
          <w:t>https://www.maug.nl/maug/burgeronderzoek/</w:t>
        </w:r>
      </w:hyperlink>
      <w:r w:rsidRPr="004C2289">
        <w:rPr>
          <w:sz w:val="16"/>
          <w:szCs w:val="16"/>
          <w:lang w:val="en-US"/>
        </w:rPr>
        <w:t xml:space="preserve">. </w:t>
      </w:r>
      <w:r w:rsidRPr="004C2289">
        <w:rPr>
          <w:sz w:val="16"/>
          <w:szCs w:val="16"/>
        </w:rPr>
        <w:t>Uit dit onderzoek bleek dat burgers de principes van het beleid onderschrijven.</w:t>
      </w:r>
    </w:p>
  </w:footnote>
  <w:footnote w:id="4">
    <w:p w14:paraId="58315C4A" w14:textId="77777777" w:rsidR="00270C54" w:rsidRPr="004C2289" w:rsidRDefault="009734E9" w:rsidP="00270C54">
      <w:pPr>
        <w:pStyle w:val="Voetnoottekst"/>
        <w:rPr>
          <w:sz w:val="16"/>
          <w:szCs w:val="16"/>
        </w:rPr>
      </w:pPr>
      <w:r w:rsidRPr="004C2289">
        <w:rPr>
          <w:rStyle w:val="Voetnootmarkering"/>
          <w:sz w:val="16"/>
          <w:szCs w:val="16"/>
        </w:rPr>
        <w:footnoteRef/>
      </w:r>
      <w:r w:rsidRPr="004C2289">
        <w:rPr>
          <w:sz w:val="16"/>
          <w:szCs w:val="16"/>
        </w:rPr>
        <w:t xml:space="preserve"> Zie bijvoorbeeld </w:t>
      </w:r>
      <w:hyperlink r:id="rId2" w:history="1">
        <w:r w:rsidR="00270C54" w:rsidRPr="004C2289">
          <w:rPr>
            <w:rStyle w:val="Hyperlink"/>
            <w:sz w:val="16"/>
            <w:szCs w:val="16"/>
          </w:rPr>
          <w:t>https://www.ceg.nl/ethische-dossiers/c/code-rood.-verkenning-van-morele-uitgangspunten-bij-langdurige-schaarste-in-de-zorg</w:t>
        </w:r>
      </w:hyperlink>
      <w:r w:rsidRPr="004C2289">
        <w:rPr>
          <w:sz w:val="16"/>
          <w:szCs w:val="16"/>
        </w:rPr>
        <w:t xml:space="preserve">. </w:t>
      </w:r>
    </w:p>
  </w:footnote>
  <w:footnote w:id="5">
    <w:p w14:paraId="78AE5CF2" w14:textId="77777777" w:rsidR="00270C54" w:rsidRPr="004C2289" w:rsidRDefault="009734E9" w:rsidP="00270C54">
      <w:pPr>
        <w:pStyle w:val="Voetnoottekst"/>
        <w:rPr>
          <w:sz w:val="16"/>
          <w:szCs w:val="16"/>
        </w:rPr>
      </w:pPr>
      <w:r w:rsidRPr="004C2289">
        <w:rPr>
          <w:rStyle w:val="Voetnootmarkering"/>
          <w:sz w:val="16"/>
          <w:szCs w:val="16"/>
        </w:rPr>
        <w:footnoteRef/>
      </w:r>
      <w:r w:rsidRPr="004C2289">
        <w:rPr>
          <w:sz w:val="16"/>
          <w:szCs w:val="16"/>
        </w:rPr>
        <w:t xml:space="preserve"> </w:t>
      </w:r>
      <w:r w:rsidRPr="004C2289">
        <w:rPr>
          <w:rFonts w:eastAsia="Times New Roman" w:cs="Times New Roman"/>
          <w:bCs/>
          <w:color w:val="000000" w:themeColor="text1"/>
          <w:sz w:val="16"/>
          <w:szCs w:val="16"/>
        </w:rPr>
        <w:t>Het CEG merkt overigens op dat het identificatiecriterium omstreden is als rechtvaardiging, in ieder geval op macroniveau.</w:t>
      </w:r>
    </w:p>
  </w:footnote>
  <w:footnote w:id="6">
    <w:p w14:paraId="5430967D" w14:textId="77777777" w:rsidR="00F71EEA" w:rsidRPr="004C2289" w:rsidRDefault="009734E9" w:rsidP="00F71EEA">
      <w:pPr>
        <w:pStyle w:val="Voetnoottekst"/>
        <w:rPr>
          <w:sz w:val="16"/>
          <w:szCs w:val="16"/>
        </w:rPr>
      </w:pPr>
      <w:r w:rsidRPr="004C2289">
        <w:rPr>
          <w:rStyle w:val="Voetnootmarkering"/>
          <w:sz w:val="16"/>
          <w:szCs w:val="16"/>
        </w:rPr>
        <w:footnoteRef/>
      </w:r>
      <w:r w:rsidRPr="004C2289">
        <w:rPr>
          <w:sz w:val="16"/>
          <w:szCs w:val="16"/>
        </w:rPr>
        <w:t xml:space="preserve"> Tweede Kamer, vergaderjaar 2025-2026, 29 477, 36800 XVI, nr. 191</w:t>
      </w:r>
    </w:p>
  </w:footnote>
  <w:footnote w:id="7">
    <w:p w14:paraId="670A2CDF" w14:textId="77777777" w:rsidR="00F71EEA" w:rsidRPr="004C2289" w:rsidRDefault="009734E9" w:rsidP="00F71EEA">
      <w:pPr>
        <w:pStyle w:val="Voetnoottekst"/>
        <w:rPr>
          <w:sz w:val="16"/>
          <w:szCs w:val="16"/>
        </w:rPr>
      </w:pPr>
      <w:r w:rsidRPr="004C2289">
        <w:rPr>
          <w:rStyle w:val="Voetnootmarkering"/>
          <w:sz w:val="16"/>
          <w:szCs w:val="16"/>
        </w:rPr>
        <w:footnoteRef/>
      </w:r>
      <w:r w:rsidRPr="004C2289">
        <w:rPr>
          <w:sz w:val="16"/>
          <w:szCs w:val="16"/>
        </w:rPr>
        <w:t xml:space="preserve"> Tweede Kamer, vergaderjaar 2025-2026, 29 477, nr. 971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ABFFD" w14:textId="29874117" w:rsidR="00CD5856" w:rsidRDefault="009734E9">
    <w:pPr>
      <w:pStyle w:val="Koptekst"/>
    </w:pPr>
    <w:r>
      <w:rPr>
        <w:noProof/>
        <w:lang w:eastAsia="nl-NL" w:bidi="ar-SA"/>
      </w:rPr>
      <w:drawing>
        <wp:anchor distT="0" distB="0" distL="114300" distR="114300" simplePos="0" relativeHeight="251652096" behindDoc="1" locked="0" layoutInCell="1" allowOverlap="1" wp14:anchorId="655CB2C5" wp14:editId="30431ADD">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196A6E53" wp14:editId="2317180F">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58240" behindDoc="0" locked="0" layoutInCell="1" allowOverlap="1" wp14:anchorId="4802A9E0" wp14:editId="36E27AA1">
              <wp:simplePos x="0" y="0"/>
              <wp:positionH relativeFrom="page">
                <wp:posOffset>5922645</wp:posOffset>
              </wp:positionH>
              <wp:positionV relativeFrom="page">
                <wp:posOffset>1965960</wp:posOffset>
              </wp:positionV>
              <wp:extent cx="1259840" cy="8009890"/>
              <wp:effectExtent l="7620" t="13335" r="8890" b="6350"/>
              <wp:wrapNone/>
              <wp:docPr id="88951293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BC560BC" w14:textId="77777777" w:rsidR="00CD5856" w:rsidRDefault="009734E9">
                          <w:pPr>
                            <w:pStyle w:val="Huisstijl-AfzendgegevensW1"/>
                          </w:pPr>
                          <w:r>
                            <w:t>Bezoekadres</w:t>
                          </w:r>
                        </w:p>
                        <w:p w14:paraId="7E1CC131" w14:textId="77777777" w:rsidR="00CD5856" w:rsidRDefault="009734E9">
                          <w:pPr>
                            <w:pStyle w:val="Huisstijl-Afzendgegevens"/>
                          </w:pPr>
                          <w:r>
                            <w:t>Parnassusplein 5</w:t>
                          </w:r>
                        </w:p>
                        <w:p w14:paraId="302C7E25" w14:textId="77777777" w:rsidR="00CD5856" w:rsidRDefault="009734E9">
                          <w:pPr>
                            <w:pStyle w:val="Huisstijl-Afzendgegevens"/>
                          </w:pPr>
                          <w:r>
                            <w:t>2511</w:t>
                          </w:r>
                          <w:r w:rsidR="008D59C5" w:rsidRPr="008D59C5">
                            <w:t xml:space="preserve"> </w:t>
                          </w:r>
                          <w:r>
                            <w:t>VX</w:t>
                          </w:r>
                          <w:r w:rsidR="00E1490C">
                            <w:t xml:space="preserve">  </w:t>
                          </w:r>
                          <w:r w:rsidR="008D59C5" w:rsidRPr="008D59C5">
                            <w:t>Den Haag</w:t>
                          </w:r>
                        </w:p>
                        <w:p w14:paraId="35F02955" w14:textId="77777777" w:rsidR="00CD5856" w:rsidRDefault="009734E9">
                          <w:pPr>
                            <w:pStyle w:val="Huisstijl-Afzendgegevens"/>
                          </w:pPr>
                          <w:r w:rsidRPr="008D59C5">
                            <w:t>www.rijksoverheid.nl</w:t>
                          </w:r>
                        </w:p>
                        <w:p w14:paraId="596E7E30" w14:textId="77777777" w:rsidR="00CD5856" w:rsidRDefault="009734E9">
                          <w:pPr>
                            <w:pStyle w:val="Huisstijl-ReferentiegegevenskopW2"/>
                          </w:pPr>
                          <w:r w:rsidRPr="008D59C5">
                            <w:t>Kenmerk</w:t>
                          </w:r>
                        </w:p>
                        <w:p w14:paraId="7EEBEF3F" w14:textId="77777777" w:rsidR="00CD5856" w:rsidRDefault="009734E9" w:rsidP="0056314E">
                          <w:pPr>
                            <w:pStyle w:val="Huisstijl-Referentiegegevens"/>
                          </w:pPr>
                          <w:bookmarkStart w:id="0" w:name="_Hlk117784077"/>
                          <w:r>
                            <w:t>4420091-1100246-GMT</w:t>
                          </w:r>
                          <w:bookmarkEnd w:id="0"/>
                        </w:p>
                        <w:p w14:paraId="0FBFA785" w14:textId="77777777" w:rsidR="00EC5485" w:rsidRDefault="00EC5485" w:rsidP="0056314E">
                          <w:pPr>
                            <w:pStyle w:val="Huisstijl-Referentiegegevens"/>
                          </w:pPr>
                        </w:p>
                        <w:p w14:paraId="0CA640EF" w14:textId="77777777" w:rsidR="00EC5485" w:rsidRPr="001E7B11" w:rsidRDefault="00EC5485" w:rsidP="00EC5485">
                          <w:pPr>
                            <w:pStyle w:val="Afzendgegevens"/>
                            <w:rPr>
                              <w:b/>
                            </w:rPr>
                          </w:pPr>
                          <w:r w:rsidRPr="001E7B11">
                            <w:rPr>
                              <w:b/>
                            </w:rPr>
                            <w:t>Bijlage</w:t>
                          </w:r>
                          <w:r>
                            <w:rPr>
                              <w:b/>
                            </w:rPr>
                            <w:t>(n)</w:t>
                          </w:r>
                        </w:p>
                        <w:p w14:paraId="6115C0DA" w14:textId="77777777" w:rsidR="00EC5485" w:rsidRDefault="00EC5485" w:rsidP="00EC5485">
                          <w:pPr>
                            <w:pStyle w:val="Afzendgegevens"/>
                          </w:pPr>
                          <w:r>
                            <w:t>-</w:t>
                          </w:r>
                        </w:p>
                        <w:p w14:paraId="3C462EBC" w14:textId="77777777" w:rsidR="00215CB5" w:rsidRDefault="00215CB5">
                          <w:pPr>
                            <w:pStyle w:val="Huisstijl-ReferentiegegevenskopW1"/>
                          </w:pPr>
                        </w:p>
                        <w:p w14:paraId="6B7BBD08" w14:textId="77777777" w:rsidR="00CD5856" w:rsidRDefault="00CD5856">
                          <w:pPr>
                            <w:pStyle w:val="Huisstijl-Referentiegegevens"/>
                          </w:pPr>
                        </w:p>
                        <w:p w14:paraId="4DB195F2" w14:textId="77777777" w:rsidR="00EC5485" w:rsidRDefault="00EC5485">
                          <w:pPr>
                            <w:pStyle w:val="Huisstijl-Referentiegegevens"/>
                          </w:pPr>
                        </w:p>
                        <w:p w14:paraId="050FDAD7" w14:textId="24E5242E" w:rsidR="00CD5856" w:rsidRDefault="009734E9">
                          <w:pPr>
                            <w:pStyle w:val="Huisstijl-Algemenevoorwaarden"/>
                          </w:pPr>
                          <w:r>
                            <w:t xml:space="preserve">Correspondentie uitsluitend richten aan het retouradres met vermelding van de datum en het kenmerk van deze </w:t>
                          </w:r>
                          <w:r>
                            <w:t>brief.</w:t>
                          </w:r>
                        </w:p>
                        <w:p w14:paraId="4C4B1231"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02A9E0"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1BC560BC" w14:textId="77777777" w:rsidR="00CD5856" w:rsidRDefault="009734E9">
                    <w:pPr>
                      <w:pStyle w:val="Huisstijl-AfzendgegevensW1"/>
                    </w:pPr>
                    <w:r>
                      <w:t>Bezoekadres</w:t>
                    </w:r>
                  </w:p>
                  <w:p w14:paraId="7E1CC131" w14:textId="77777777" w:rsidR="00CD5856" w:rsidRDefault="009734E9">
                    <w:pPr>
                      <w:pStyle w:val="Huisstijl-Afzendgegevens"/>
                    </w:pPr>
                    <w:r>
                      <w:t>Parnassusplein 5</w:t>
                    </w:r>
                  </w:p>
                  <w:p w14:paraId="302C7E25" w14:textId="77777777" w:rsidR="00CD5856" w:rsidRDefault="009734E9">
                    <w:pPr>
                      <w:pStyle w:val="Huisstijl-Afzendgegevens"/>
                    </w:pPr>
                    <w:r>
                      <w:t>2511</w:t>
                    </w:r>
                    <w:r w:rsidR="008D59C5" w:rsidRPr="008D59C5">
                      <w:t xml:space="preserve"> </w:t>
                    </w:r>
                    <w:r>
                      <w:t>VX</w:t>
                    </w:r>
                    <w:r w:rsidR="00E1490C">
                      <w:t xml:space="preserve">  </w:t>
                    </w:r>
                    <w:r w:rsidR="008D59C5" w:rsidRPr="008D59C5">
                      <w:t>Den Haag</w:t>
                    </w:r>
                  </w:p>
                  <w:p w14:paraId="35F02955" w14:textId="77777777" w:rsidR="00CD5856" w:rsidRDefault="009734E9">
                    <w:pPr>
                      <w:pStyle w:val="Huisstijl-Afzendgegevens"/>
                    </w:pPr>
                    <w:r w:rsidRPr="008D59C5">
                      <w:t>www.rijksoverheid.nl</w:t>
                    </w:r>
                  </w:p>
                  <w:p w14:paraId="596E7E30" w14:textId="77777777" w:rsidR="00CD5856" w:rsidRDefault="009734E9">
                    <w:pPr>
                      <w:pStyle w:val="Huisstijl-ReferentiegegevenskopW2"/>
                    </w:pPr>
                    <w:r w:rsidRPr="008D59C5">
                      <w:t>Kenmerk</w:t>
                    </w:r>
                  </w:p>
                  <w:p w14:paraId="7EEBEF3F" w14:textId="77777777" w:rsidR="00CD5856" w:rsidRDefault="009734E9" w:rsidP="0056314E">
                    <w:pPr>
                      <w:pStyle w:val="Huisstijl-Referentiegegevens"/>
                    </w:pPr>
                    <w:bookmarkStart w:id="1" w:name="_Hlk117784077"/>
                    <w:r>
                      <w:t>4420091-1100246-GMT</w:t>
                    </w:r>
                    <w:bookmarkEnd w:id="1"/>
                  </w:p>
                  <w:p w14:paraId="0FBFA785" w14:textId="77777777" w:rsidR="00EC5485" w:rsidRDefault="00EC5485" w:rsidP="0056314E">
                    <w:pPr>
                      <w:pStyle w:val="Huisstijl-Referentiegegevens"/>
                    </w:pPr>
                  </w:p>
                  <w:p w14:paraId="0CA640EF" w14:textId="77777777" w:rsidR="00EC5485" w:rsidRPr="001E7B11" w:rsidRDefault="00EC5485" w:rsidP="00EC5485">
                    <w:pPr>
                      <w:pStyle w:val="Afzendgegevens"/>
                      <w:rPr>
                        <w:b/>
                      </w:rPr>
                    </w:pPr>
                    <w:r w:rsidRPr="001E7B11">
                      <w:rPr>
                        <w:b/>
                      </w:rPr>
                      <w:t>Bijlage</w:t>
                    </w:r>
                    <w:r>
                      <w:rPr>
                        <w:b/>
                      </w:rPr>
                      <w:t>(n)</w:t>
                    </w:r>
                  </w:p>
                  <w:p w14:paraId="6115C0DA" w14:textId="77777777" w:rsidR="00EC5485" w:rsidRDefault="00EC5485" w:rsidP="00EC5485">
                    <w:pPr>
                      <w:pStyle w:val="Afzendgegevens"/>
                    </w:pPr>
                    <w:r>
                      <w:t>-</w:t>
                    </w:r>
                  </w:p>
                  <w:p w14:paraId="3C462EBC" w14:textId="77777777" w:rsidR="00215CB5" w:rsidRDefault="00215CB5">
                    <w:pPr>
                      <w:pStyle w:val="Huisstijl-ReferentiegegevenskopW1"/>
                    </w:pPr>
                  </w:p>
                  <w:p w14:paraId="6B7BBD08" w14:textId="77777777" w:rsidR="00CD5856" w:rsidRDefault="00CD5856">
                    <w:pPr>
                      <w:pStyle w:val="Huisstijl-Referentiegegevens"/>
                    </w:pPr>
                  </w:p>
                  <w:p w14:paraId="4DB195F2" w14:textId="77777777" w:rsidR="00EC5485" w:rsidRDefault="00EC5485">
                    <w:pPr>
                      <w:pStyle w:val="Huisstijl-Referentiegegevens"/>
                    </w:pPr>
                  </w:p>
                  <w:p w14:paraId="050FDAD7" w14:textId="24E5242E" w:rsidR="00CD5856" w:rsidRDefault="009734E9">
                    <w:pPr>
                      <w:pStyle w:val="Huisstijl-Algemenevoorwaarden"/>
                    </w:pPr>
                    <w:r>
                      <w:t xml:space="preserve">Correspondentie uitsluitend richten aan het retouradres met vermelding van de datum en het kenmerk van deze </w:t>
                    </w:r>
                    <w:r>
                      <w:t>brief.</w:t>
                    </w:r>
                  </w:p>
                  <w:p w14:paraId="4C4B1231" w14:textId="77777777" w:rsidR="00CD5856" w:rsidRDefault="00CD5856"/>
                </w:txbxContent>
              </v:textbox>
              <w10:wrap anchorx="page" anchory="page"/>
            </v:shape>
          </w:pict>
        </mc:Fallback>
      </mc:AlternateContent>
    </w:r>
    <w:r>
      <w:rPr>
        <w:noProof/>
        <w:lang w:eastAsia="nl-NL" w:bidi="ar-SA"/>
      </w:rPr>
      <mc:AlternateContent>
        <mc:Choice Requires="wps">
          <w:drawing>
            <wp:anchor distT="0" distB="0" distL="114300" distR="114300" simplePos="0" relativeHeight="251657216" behindDoc="0" locked="0" layoutInCell="1" allowOverlap="1" wp14:anchorId="293BD995" wp14:editId="0FC505B3">
              <wp:simplePos x="0" y="0"/>
              <wp:positionH relativeFrom="page">
                <wp:posOffset>1011555</wp:posOffset>
              </wp:positionH>
              <wp:positionV relativeFrom="page">
                <wp:posOffset>3769995</wp:posOffset>
              </wp:positionV>
              <wp:extent cx="4103370" cy="466725"/>
              <wp:effectExtent l="11430" t="7620" r="9525" b="11430"/>
              <wp:wrapNone/>
              <wp:docPr id="73529884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3301E87C" w14:textId="426F8B6C" w:rsidR="00CD5856" w:rsidRDefault="009734E9">
                          <w:pPr>
                            <w:pStyle w:val="Huisstijl-Datumenbetreft"/>
                            <w:tabs>
                              <w:tab w:val="clear" w:pos="737"/>
                              <w:tab w:val="left" w:pos="-5954"/>
                              <w:tab w:val="left" w:pos="-5670"/>
                              <w:tab w:val="left" w:pos="1134"/>
                            </w:tabs>
                          </w:pPr>
                          <w:r>
                            <w:t>Datum</w:t>
                          </w:r>
                          <w:r w:rsidR="00E1490C">
                            <w:tab/>
                          </w:r>
                          <w:r w:rsidR="007A650B">
                            <w:t>2 juli 2026</w:t>
                          </w:r>
                        </w:p>
                        <w:p w14:paraId="6B4098C3" w14:textId="77777777" w:rsidR="00CD5856" w:rsidRDefault="009734E9">
                          <w:pPr>
                            <w:pStyle w:val="Huisstijl-Datumenbetreft"/>
                            <w:tabs>
                              <w:tab w:val="clear" w:pos="737"/>
                              <w:tab w:val="left" w:pos="-5954"/>
                              <w:tab w:val="left" w:pos="-5670"/>
                              <w:tab w:val="left" w:pos="1134"/>
                            </w:tabs>
                          </w:pPr>
                          <w:r>
                            <w:t>Betreft</w:t>
                          </w:r>
                          <w:r w:rsidR="00E1490C">
                            <w:tab/>
                          </w:r>
                          <w:r w:rsidR="0056314E">
                            <w:t>M</w:t>
                          </w:r>
                          <w:r w:rsidR="00270C54">
                            <w:t>oreel afwegingskader beleid dure geneesmiddelen</w:t>
                          </w:r>
                        </w:p>
                        <w:p w14:paraId="28316821"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93BD995"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3301E87C" w14:textId="426F8B6C" w:rsidR="00CD5856" w:rsidRDefault="009734E9">
                    <w:pPr>
                      <w:pStyle w:val="Huisstijl-Datumenbetreft"/>
                      <w:tabs>
                        <w:tab w:val="clear" w:pos="737"/>
                        <w:tab w:val="left" w:pos="-5954"/>
                        <w:tab w:val="left" w:pos="-5670"/>
                        <w:tab w:val="left" w:pos="1134"/>
                      </w:tabs>
                    </w:pPr>
                    <w:r>
                      <w:t>Datum</w:t>
                    </w:r>
                    <w:r w:rsidR="00E1490C">
                      <w:tab/>
                    </w:r>
                    <w:r w:rsidR="007A650B">
                      <w:t>2 juli 2026</w:t>
                    </w:r>
                  </w:p>
                  <w:p w14:paraId="6B4098C3" w14:textId="77777777" w:rsidR="00CD5856" w:rsidRDefault="009734E9">
                    <w:pPr>
                      <w:pStyle w:val="Huisstijl-Datumenbetreft"/>
                      <w:tabs>
                        <w:tab w:val="clear" w:pos="737"/>
                        <w:tab w:val="left" w:pos="-5954"/>
                        <w:tab w:val="left" w:pos="-5670"/>
                        <w:tab w:val="left" w:pos="1134"/>
                      </w:tabs>
                    </w:pPr>
                    <w:r>
                      <w:t>Betreft</w:t>
                    </w:r>
                    <w:r w:rsidR="00E1490C">
                      <w:tab/>
                    </w:r>
                    <w:r w:rsidR="0056314E">
                      <w:t>M</w:t>
                    </w:r>
                    <w:r w:rsidR="00270C54">
                      <w:t>oreel afwegingskader beleid dure geneesmiddelen</w:t>
                    </w:r>
                  </w:p>
                  <w:p w14:paraId="28316821" w14:textId="77777777" w:rsidR="00CD5856" w:rsidRDefault="00CD5856">
                    <w:pPr>
                      <w:pStyle w:val="Huisstijl-Datumenbetreft"/>
                      <w:tabs>
                        <w:tab w:val="left" w:pos="-5954"/>
                        <w:tab w:val="left" w:pos="-5670"/>
                      </w:tab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6192" behindDoc="0" locked="0" layoutInCell="1" allowOverlap="1" wp14:anchorId="7816EF7C" wp14:editId="37D1EDF0">
              <wp:simplePos x="0" y="0"/>
              <wp:positionH relativeFrom="page">
                <wp:posOffset>1008380</wp:posOffset>
              </wp:positionH>
              <wp:positionV relativeFrom="page">
                <wp:posOffset>3384550</wp:posOffset>
              </wp:positionV>
              <wp:extent cx="4104005" cy="179705"/>
              <wp:effectExtent l="8255" t="12700" r="12065" b="7620"/>
              <wp:wrapNone/>
              <wp:docPr id="73419263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0953486"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16EF7C"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30953486"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5168" behindDoc="0" locked="0" layoutInCell="1" allowOverlap="1" wp14:anchorId="22EE5764" wp14:editId="22AEF115">
              <wp:simplePos x="0" y="0"/>
              <wp:positionH relativeFrom="page">
                <wp:posOffset>1008380</wp:posOffset>
              </wp:positionH>
              <wp:positionV relativeFrom="page">
                <wp:posOffset>1944370</wp:posOffset>
              </wp:positionV>
              <wp:extent cx="3347720" cy="1080135"/>
              <wp:effectExtent l="8255" t="10795" r="6350" b="13970"/>
              <wp:wrapNone/>
              <wp:docPr id="148814093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6F48E8C4" w14:textId="77777777" w:rsidR="00CD5856" w:rsidRDefault="009734E9">
                          <w:pPr>
                            <w:pStyle w:val="Huisstijl-Toezendgegevens"/>
                          </w:pPr>
                          <w:r>
                            <w:t>De Voorzitter van de Tweede Kamer</w:t>
                          </w:r>
                          <w:r>
                            <w:br/>
                            <w:t>der Staten-Generaal</w:t>
                          </w:r>
                          <w:r>
                            <w:br/>
                            <w:t>Postbus 20018</w:t>
                          </w:r>
                          <w:r>
                            <w:br/>
                            <w:t>2500 EA</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EE5764"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6F48E8C4" w14:textId="77777777" w:rsidR="00CD5856" w:rsidRDefault="009734E9">
                    <w:pPr>
                      <w:pStyle w:val="Huisstijl-Toezendgegevens"/>
                    </w:pPr>
                    <w:r>
                      <w:t>De Voorzitter van de Tweede Kamer</w:t>
                    </w:r>
                    <w:r>
                      <w:br/>
                      <w:t>der Staten-Generaal</w:t>
                    </w:r>
                    <w:r>
                      <w:br/>
                      <w:t>Postbus 20018</w:t>
                    </w:r>
                    <w:r>
                      <w:br/>
                      <w:t>2500 EA</w:t>
                    </w:r>
                    <w:r w:rsidR="00FC776C">
                      <w:t xml:space="preserve"> </w:t>
                    </w:r>
                    <w:r>
                      <w:t>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4144" behindDoc="0" locked="1" layoutInCell="1" allowOverlap="1" wp14:anchorId="2C9B6E2C" wp14:editId="0A769D9B">
              <wp:simplePos x="0" y="0"/>
              <wp:positionH relativeFrom="page">
                <wp:posOffset>1008380</wp:posOffset>
              </wp:positionH>
              <wp:positionV relativeFrom="page">
                <wp:posOffset>1713865</wp:posOffset>
              </wp:positionV>
              <wp:extent cx="3590925" cy="144145"/>
              <wp:effectExtent l="8255" t="8890" r="10795" b="8890"/>
              <wp:wrapNone/>
              <wp:docPr id="1023478277"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0C91B005" w14:textId="77777777" w:rsidR="00CD5856" w:rsidRDefault="009734E9">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9B6E2C"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0C91B005" w14:textId="77777777" w:rsidR="00CD5856" w:rsidRDefault="009734E9">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BB926" w14:textId="48F25F72" w:rsidR="00CD5856" w:rsidRDefault="009734E9">
    <w:pPr>
      <w:pStyle w:val="Koptekst"/>
    </w:pPr>
    <w:r>
      <w:rPr>
        <w:noProof/>
        <w:lang w:eastAsia="nl-NL" w:bidi="ar-SA"/>
      </w:rPr>
      <mc:AlternateContent>
        <mc:Choice Requires="wps">
          <w:drawing>
            <wp:anchor distT="0" distB="0" distL="114300" distR="114300" simplePos="0" relativeHeight="251659264" behindDoc="0" locked="0" layoutInCell="1" allowOverlap="1" wp14:anchorId="29819B03" wp14:editId="11F040CB">
              <wp:simplePos x="0" y="0"/>
              <wp:positionH relativeFrom="page">
                <wp:posOffset>5922645</wp:posOffset>
              </wp:positionH>
              <wp:positionV relativeFrom="page">
                <wp:posOffset>1936750</wp:posOffset>
              </wp:positionV>
              <wp:extent cx="1259840" cy="8009890"/>
              <wp:effectExtent l="7620" t="12700" r="8890" b="6985"/>
              <wp:wrapNone/>
              <wp:docPr id="1371722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08290FD" w14:textId="77777777" w:rsidR="00CD5856" w:rsidRDefault="009734E9">
                          <w:pPr>
                            <w:pStyle w:val="Huisstijl-ReferentiegegevenskopW2"/>
                          </w:pPr>
                          <w:r w:rsidRPr="008D59C5">
                            <w:t>Kenmerk</w:t>
                          </w:r>
                        </w:p>
                        <w:p w14:paraId="7C010117" w14:textId="77777777" w:rsidR="00C95CA9" w:rsidRPr="00C95CA9" w:rsidRDefault="009734E9" w:rsidP="00C95CA9">
                          <w:pPr>
                            <w:pStyle w:val="Huisstijl-Referentiegegevens"/>
                          </w:pPr>
                          <w:r w:rsidRPr="00C95CA9">
                            <w:t>4420091-1100246-GMT</w:t>
                          </w:r>
                        </w:p>
                        <w:p w14:paraId="4D93BEA0"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819B03"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108290FD" w14:textId="77777777" w:rsidR="00CD5856" w:rsidRDefault="009734E9">
                    <w:pPr>
                      <w:pStyle w:val="Huisstijl-ReferentiegegevenskopW2"/>
                    </w:pPr>
                    <w:r w:rsidRPr="008D59C5">
                      <w:t>Kenmerk</w:t>
                    </w:r>
                  </w:p>
                  <w:p w14:paraId="7C010117" w14:textId="77777777" w:rsidR="00C95CA9" w:rsidRPr="00C95CA9" w:rsidRDefault="009734E9" w:rsidP="00C95CA9">
                    <w:pPr>
                      <w:pStyle w:val="Huisstijl-Referentiegegevens"/>
                    </w:pPr>
                    <w:r w:rsidRPr="00C95CA9">
                      <w:t>4420091-1100246-GMT</w:t>
                    </w:r>
                  </w:p>
                  <w:p w14:paraId="4D93BEA0"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6C248154" wp14:editId="2D47AF24">
              <wp:simplePos x="0" y="0"/>
              <wp:positionH relativeFrom="page">
                <wp:posOffset>5922645</wp:posOffset>
              </wp:positionH>
              <wp:positionV relativeFrom="page">
                <wp:posOffset>10225405</wp:posOffset>
              </wp:positionV>
              <wp:extent cx="1259840" cy="213995"/>
              <wp:effectExtent l="7620" t="5080" r="8890" b="9525"/>
              <wp:wrapNone/>
              <wp:docPr id="133518576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2BA97BBC" w14:textId="1DF843A7" w:rsidR="00CD5856" w:rsidRDefault="009734E9">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103771">
                            <w:fldChar w:fldCharType="begin"/>
                          </w:r>
                          <w:r>
                            <w:instrText xml:space="preserve"> SECTIONPAGES  \* Arabic  \* MERGEFORMAT </w:instrText>
                          </w:r>
                          <w:r w:rsidR="00103771">
                            <w:fldChar w:fldCharType="separate"/>
                          </w:r>
                          <w:r>
                            <w:rPr>
                              <w:noProof/>
                            </w:rPr>
                            <w:t>4</w:t>
                          </w:r>
                          <w:r w:rsidR="00103771">
                            <w:rPr>
                              <w:noProof/>
                            </w:rPr>
                            <w:fldChar w:fldCharType="end"/>
                          </w:r>
                        </w:p>
                        <w:p w14:paraId="1FFC9D76" w14:textId="77777777" w:rsidR="00CD5856" w:rsidRDefault="00CD5856"/>
                        <w:p w14:paraId="39317A41" w14:textId="77777777" w:rsidR="00CD5856" w:rsidRDefault="00CD5856">
                          <w:pPr>
                            <w:pStyle w:val="Huisstijl-Paginanummer"/>
                          </w:pPr>
                        </w:p>
                        <w:p w14:paraId="3A2BE6E8"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248154"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2BA97BBC" w14:textId="1DF843A7" w:rsidR="00CD5856" w:rsidRDefault="009734E9">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103771">
                      <w:fldChar w:fldCharType="begin"/>
                    </w:r>
                    <w:r>
                      <w:instrText xml:space="preserve"> SECTIONPAGES  \* Arabic  \* MERGEFORMAT </w:instrText>
                    </w:r>
                    <w:r w:rsidR="00103771">
                      <w:fldChar w:fldCharType="separate"/>
                    </w:r>
                    <w:r>
                      <w:rPr>
                        <w:noProof/>
                      </w:rPr>
                      <w:t>4</w:t>
                    </w:r>
                    <w:r w:rsidR="00103771">
                      <w:rPr>
                        <w:noProof/>
                      </w:rPr>
                      <w:fldChar w:fldCharType="end"/>
                    </w:r>
                  </w:p>
                  <w:p w14:paraId="1FFC9D76" w14:textId="77777777" w:rsidR="00CD5856" w:rsidRDefault="00CD5856"/>
                  <w:p w14:paraId="39317A41" w14:textId="77777777" w:rsidR="00CD5856" w:rsidRDefault="00CD5856">
                    <w:pPr>
                      <w:pStyle w:val="Huisstijl-Paginanummer"/>
                    </w:pPr>
                  </w:p>
                  <w:p w14:paraId="3A2BE6E8"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66DC1" w14:textId="1D603272" w:rsidR="00CD5856" w:rsidRDefault="009734E9">
    <w:pPr>
      <w:pStyle w:val="Koptekst"/>
    </w:pPr>
    <w:r>
      <w:rPr>
        <w:noProof/>
        <w:lang w:eastAsia="nl-NL" w:bidi="ar-SA"/>
      </w:rPr>
      <mc:AlternateContent>
        <mc:Choice Requires="wps">
          <w:drawing>
            <wp:anchor distT="0" distB="0" distL="114300" distR="114300" simplePos="0" relativeHeight="251664384" behindDoc="0" locked="0" layoutInCell="1" allowOverlap="1" wp14:anchorId="4F82590B" wp14:editId="762C525A">
              <wp:simplePos x="0" y="0"/>
              <wp:positionH relativeFrom="page">
                <wp:posOffset>1009650</wp:posOffset>
              </wp:positionH>
              <wp:positionV relativeFrom="page">
                <wp:posOffset>3768725</wp:posOffset>
              </wp:positionV>
              <wp:extent cx="4103370" cy="457200"/>
              <wp:effectExtent l="9525" t="6350" r="11430" b="12700"/>
              <wp:wrapTopAndBottom/>
              <wp:docPr id="71732014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39DB6CAC" w14:textId="77777777" w:rsidR="00CD5856" w:rsidRDefault="009734E9">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4C2289">
                                <w:t>26 juni 2014</w:t>
                              </w:r>
                            </w:sdtContent>
                          </w:sdt>
                        </w:p>
                        <w:p w14:paraId="31E4C3F9" w14:textId="77777777" w:rsidR="00CD5856" w:rsidRDefault="009734E9">
                          <w:pPr>
                            <w:pStyle w:val="Huisstijl-Datumenbetreft"/>
                            <w:tabs>
                              <w:tab w:val="left" w:pos="-5954"/>
                              <w:tab w:val="left" w:pos="-5670"/>
                            </w:tabs>
                          </w:pPr>
                          <w:r>
                            <w:t>Betreft</w:t>
                          </w:r>
                          <w:r>
                            <w:tab/>
                          </w:r>
                          <w:r w:rsidR="008D59C5">
                            <w:t>BETREFT</w:t>
                          </w:r>
                        </w:p>
                        <w:p w14:paraId="303EF7DB"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F82590B"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39DB6CAC" w14:textId="77777777" w:rsidR="00CD5856" w:rsidRDefault="009734E9">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4C2289">
                          <w:t>26 juni 2014</w:t>
                        </w:r>
                      </w:sdtContent>
                    </w:sdt>
                  </w:p>
                  <w:p w14:paraId="31E4C3F9" w14:textId="77777777" w:rsidR="00CD5856" w:rsidRDefault="009734E9">
                    <w:pPr>
                      <w:pStyle w:val="Huisstijl-Datumenbetreft"/>
                      <w:tabs>
                        <w:tab w:val="left" w:pos="-5954"/>
                        <w:tab w:val="left" w:pos="-5670"/>
                      </w:tabs>
                    </w:pPr>
                    <w:r>
                      <w:t>Betreft</w:t>
                    </w:r>
                    <w:r>
                      <w:tab/>
                    </w:r>
                    <w:r w:rsidR="008D59C5">
                      <w:t>BETREFT</w:t>
                    </w:r>
                  </w:p>
                  <w:p w14:paraId="303EF7DB"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569ED9A1" wp14:editId="270FDF24">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26F01FE7" wp14:editId="6504A0C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7D980305" wp14:editId="1EB211B6">
              <wp:simplePos x="0" y="0"/>
              <wp:positionH relativeFrom="page">
                <wp:posOffset>5922645</wp:posOffset>
              </wp:positionH>
              <wp:positionV relativeFrom="page">
                <wp:posOffset>1964690</wp:posOffset>
              </wp:positionV>
              <wp:extent cx="1259840" cy="8009890"/>
              <wp:effectExtent l="7620" t="12065" r="8890" b="7620"/>
              <wp:wrapNone/>
              <wp:docPr id="1150691733"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84D8F52" w14:textId="77777777" w:rsidR="00CD5856" w:rsidRDefault="009734E9">
                          <w:pPr>
                            <w:pStyle w:val="Huisstijl-Afzendgegevens"/>
                          </w:pPr>
                          <w:r w:rsidRPr="008D59C5">
                            <w:t>Rijnstraat 50</w:t>
                          </w:r>
                        </w:p>
                        <w:p w14:paraId="0280289D" w14:textId="77777777" w:rsidR="00CD5856" w:rsidRDefault="009734E9">
                          <w:pPr>
                            <w:pStyle w:val="Huisstijl-Afzendgegevens"/>
                          </w:pPr>
                          <w:r w:rsidRPr="008D59C5">
                            <w:t>Den Haag</w:t>
                          </w:r>
                        </w:p>
                        <w:p w14:paraId="09A2D120" w14:textId="77777777" w:rsidR="00CD5856" w:rsidRDefault="009734E9">
                          <w:pPr>
                            <w:pStyle w:val="Huisstijl-Afzendgegevens"/>
                          </w:pPr>
                          <w:r w:rsidRPr="008D59C5">
                            <w:t>www.rijksoverheid.nl</w:t>
                          </w:r>
                        </w:p>
                        <w:p w14:paraId="463D740C" w14:textId="77777777" w:rsidR="00CD5856" w:rsidRDefault="009734E9">
                          <w:pPr>
                            <w:pStyle w:val="Huisstijl-AfzendgegevenskopW1"/>
                          </w:pPr>
                          <w:r>
                            <w:t>Contactpersoon</w:t>
                          </w:r>
                        </w:p>
                        <w:p w14:paraId="3E99BC67" w14:textId="77777777" w:rsidR="00CD5856" w:rsidRDefault="009734E9">
                          <w:pPr>
                            <w:pStyle w:val="Huisstijl-Afzendgegevens"/>
                          </w:pPr>
                          <w:r w:rsidRPr="008D59C5">
                            <w:t>ing. J.A. Ramlal</w:t>
                          </w:r>
                        </w:p>
                        <w:p w14:paraId="2ADD93FC" w14:textId="77777777" w:rsidR="00CD5856" w:rsidRDefault="009734E9">
                          <w:pPr>
                            <w:pStyle w:val="Huisstijl-Afzendgegevens"/>
                          </w:pPr>
                          <w:r w:rsidRPr="008D59C5">
                            <w:t>ja.ramlal@minvws.nl</w:t>
                          </w:r>
                        </w:p>
                        <w:p w14:paraId="1182F8DA" w14:textId="77777777" w:rsidR="00CD5856" w:rsidRDefault="009734E9">
                          <w:pPr>
                            <w:pStyle w:val="Huisstijl-ReferentiegegevenskopW2"/>
                          </w:pPr>
                          <w:r>
                            <w:t>Ons kenmerk</w:t>
                          </w:r>
                        </w:p>
                        <w:p w14:paraId="68916F8D" w14:textId="77777777" w:rsidR="00CD5856" w:rsidRDefault="009734E9">
                          <w:pPr>
                            <w:pStyle w:val="Huisstijl-Referentiegegevens"/>
                          </w:pPr>
                          <w:r>
                            <w:t>KENMERK</w:t>
                          </w:r>
                        </w:p>
                        <w:p w14:paraId="2E716272" w14:textId="77777777" w:rsidR="00CD5856" w:rsidRDefault="009734E9">
                          <w:pPr>
                            <w:pStyle w:val="Huisstijl-ReferentiegegevenskopW1"/>
                          </w:pPr>
                          <w:r>
                            <w:t>Uw kenmerk</w:t>
                          </w:r>
                        </w:p>
                        <w:p w14:paraId="4EDA6A4F" w14:textId="77777777" w:rsidR="00CD5856" w:rsidRDefault="009734E9">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980305"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684D8F52" w14:textId="77777777" w:rsidR="00CD5856" w:rsidRDefault="009734E9">
                    <w:pPr>
                      <w:pStyle w:val="Huisstijl-Afzendgegevens"/>
                    </w:pPr>
                    <w:r w:rsidRPr="008D59C5">
                      <w:t>Rijnstraat 50</w:t>
                    </w:r>
                  </w:p>
                  <w:p w14:paraId="0280289D" w14:textId="77777777" w:rsidR="00CD5856" w:rsidRDefault="009734E9">
                    <w:pPr>
                      <w:pStyle w:val="Huisstijl-Afzendgegevens"/>
                    </w:pPr>
                    <w:r w:rsidRPr="008D59C5">
                      <w:t>Den Haag</w:t>
                    </w:r>
                  </w:p>
                  <w:p w14:paraId="09A2D120" w14:textId="77777777" w:rsidR="00CD5856" w:rsidRDefault="009734E9">
                    <w:pPr>
                      <w:pStyle w:val="Huisstijl-Afzendgegevens"/>
                    </w:pPr>
                    <w:r w:rsidRPr="008D59C5">
                      <w:t>www.rijksoverheid.nl</w:t>
                    </w:r>
                  </w:p>
                  <w:p w14:paraId="463D740C" w14:textId="77777777" w:rsidR="00CD5856" w:rsidRDefault="009734E9">
                    <w:pPr>
                      <w:pStyle w:val="Huisstijl-AfzendgegevenskopW1"/>
                    </w:pPr>
                    <w:r>
                      <w:t>Contactpersoon</w:t>
                    </w:r>
                  </w:p>
                  <w:p w14:paraId="3E99BC67" w14:textId="77777777" w:rsidR="00CD5856" w:rsidRDefault="009734E9">
                    <w:pPr>
                      <w:pStyle w:val="Huisstijl-Afzendgegevens"/>
                    </w:pPr>
                    <w:r w:rsidRPr="008D59C5">
                      <w:t>ing. J.A. Ramlal</w:t>
                    </w:r>
                  </w:p>
                  <w:p w14:paraId="2ADD93FC" w14:textId="77777777" w:rsidR="00CD5856" w:rsidRDefault="009734E9">
                    <w:pPr>
                      <w:pStyle w:val="Huisstijl-Afzendgegevens"/>
                    </w:pPr>
                    <w:r w:rsidRPr="008D59C5">
                      <w:t>ja.ramlal@minvws.nl</w:t>
                    </w:r>
                  </w:p>
                  <w:p w14:paraId="1182F8DA" w14:textId="77777777" w:rsidR="00CD5856" w:rsidRDefault="009734E9">
                    <w:pPr>
                      <w:pStyle w:val="Huisstijl-ReferentiegegevenskopW2"/>
                    </w:pPr>
                    <w:r>
                      <w:t>Ons kenmerk</w:t>
                    </w:r>
                  </w:p>
                  <w:p w14:paraId="68916F8D" w14:textId="77777777" w:rsidR="00CD5856" w:rsidRDefault="009734E9">
                    <w:pPr>
                      <w:pStyle w:val="Huisstijl-Referentiegegevens"/>
                    </w:pPr>
                    <w:r>
                      <w:t>KENMERK</w:t>
                    </w:r>
                  </w:p>
                  <w:p w14:paraId="2E716272" w14:textId="77777777" w:rsidR="00CD5856" w:rsidRDefault="009734E9">
                    <w:pPr>
                      <w:pStyle w:val="Huisstijl-ReferentiegegevenskopW1"/>
                    </w:pPr>
                    <w:r>
                      <w:t>Uw kenmerk</w:t>
                    </w:r>
                  </w:p>
                  <w:p w14:paraId="4EDA6A4F" w14:textId="77777777" w:rsidR="00CD5856" w:rsidRDefault="009734E9">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4BB8E122" wp14:editId="3B79E364">
              <wp:simplePos x="0" y="0"/>
              <wp:positionH relativeFrom="page">
                <wp:posOffset>1008380</wp:posOffset>
              </wp:positionH>
              <wp:positionV relativeFrom="page">
                <wp:posOffset>1942465</wp:posOffset>
              </wp:positionV>
              <wp:extent cx="2988310" cy="1080135"/>
              <wp:effectExtent l="8255" t="8890" r="13335" b="6350"/>
              <wp:wrapNone/>
              <wp:docPr id="1183491198"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5BA57910" w14:textId="77777777" w:rsidR="00CD5856" w:rsidRDefault="009734E9">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B8E122"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5BA57910" w14:textId="77777777" w:rsidR="00CD5856" w:rsidRDefault="009734E9">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0EA1BB2F" wp14:editId="76625A7C">
              <wp:simplePos x="0" y="0"/>
              <wp:positionH relativeFrom="page">
                <wp:posOffset>5922645</wp:posOffset>
              </wp:positionH>
              <wp:positionV relativeFrom="page">
                <wp:posOffset>10224770</wp:posOffset>
              </wp:positionV>
              <wp:extent cx="730885" cy="107950"/>
              <wp:effectExtent l="7620" t="13970" r="13970" b="11430"/>
              <wp:wrapNone/>
              <wp:docPr id="2094278827"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1D1C105F" w14:textId="77777777" w:rsidR="00CD5856" w:rsidRDefault="009734E9">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A1BB2F"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1D1C105F" w14:textId="77777777" w:rsidR="00CD5856" w:rsidRDefault="009734E9">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6D96A7C7" wp14:editId="54085E2F">
              <wp:simplePos x="0" y="0"/>
              <wp:positionH relativeFrom="page">
                <wp:posOffset>1008380</wp:posOffset>
              </wp:positionH>
              <wp:positionV relativeFrom="page">
                <wp:posOffset>3384550</wp:posOffset>
              </wp:positionV>
              <wp:extent cx="4104005" cy="179705"/>
              <wp:effectExtent l="8255" t="12700" r="12065" b="7620"/>
              <wp:wrapNone/>
              <wp:docPr id="1038237060"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78FFFF8A"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96A7C7"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78FFFF8A"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47AF75DA" wp14:editId="170E364E">
              <wp:simplePos x="0" y="0"/>
              <wp:positionH relativeFrom="page">
                <wp:posOffset>1008380</wp:posOffset>
              </wp:positionH>
              <wp:positionV relativeFrom="page">
                <wp:posOffset>1715135</wp:posOffset>
              </wp:positionV>
              <wp:extent cx="3590925" cy="144145"/>
              <wp:effectExtent l="8255" t="10160" r="10795" b="7620"/>
              <wp:wrapNone/>
              <wp:docPr id="336703777"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89CD448" w14:textId="77777777" w:rsidR="00CD5856" w:rsidRDefault="009734E9">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AF75DA"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389CD448" w14:textId="77777777" w:rsidR="00CD5856" w:rsidRDefault="009734E9">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6CAA2498">
      <w:numFmt w:val="bullet"/>
      <w:lvlText w:val=""/>
      <w:lvlJc w:val="left"/>
      <w:pPr>
        <w:ind w:left="720" w:hanging="360"/>
      </w:pPr>
      <w:rPr>
        <w:rFonts w:ascii="Wingdings" w:eastAsia="DejaVu Sans" w:hAnsi="Wingdings" w:cs="Lohit Hindi" w:hint="default"/>
      </w:rPr>
    </w:lvl>
    <w:lvl w:ilvl="1" w:tplc="4E381232" w:tentative="1">
      <w:start w:val="1"/>
      <w:numFmt w:val="bullet"/>
      <w:lvlText w:val="o"/>
      <w:lvlJc w:val="left"/>
      <w:pPr>
        <w:ind w:left="1440" w:hanging="360"/>
      </w:pPr>
      <w:rPr>
        <w:rFonts w:ascii="Courier New" w:hAnsi="Courier New" w:cs="Courier New" w:hint="default"/>
      </w:rPr>
    </w:lvl>
    <w:lvl w:ilvl="2" w:tplc="4F26EC16" w:tentative="1">
      <w:start w:val="1"/>
      <w:numFmt w:val="bullet"/>
      <w:lvlText w:val=""/>
      <w:lvlJc w:val="left"/>
      <w:pPr>
        <w:ind w:left="2160" w:hanging="360"/>
      </w:pPr>
      <w:rPr>
        <w:rFonts w:ascii="Wingdings" w:hAnsi="Wingdings" w:hint="default"/>
      </w:rPr>
    </w:lvl>
    <w:lvl w:ilvl="3" w:tplc="9724A95E" w:tentative="1">
      <w:start w:val="1"/>
      <w:numFmt w:val="bullet"/>
      <w:lvlText w:val=""/>
      <w:lvlJc w:val="left"/>
      <w:pPr>
        <w:ind w:left="2880" w:hanging="360"/>
      </w:pPr>
      <w:rPr>
        <w:rFonts w:ascii="Symbol" w:hAnsi="Symbol" w:hint="default"/>
      </w:rPr>
    </w:lvl>
    <w:lvl w:ilvl="4" w:tplc="2976FEB0" w:tentative="1">
      <w:start w:val="1"/>
      <w:numFmt w:val="bullet"/>
      <w:lvlText w:val="o"/>
      <w:lvlJc w:val="left"/>
      <w:pPr>
        <w:ind w:left="3600" w:hanging="360"/>
      </w:pPr>
      <w:rPr>
        <w:rFonts w:ascii="Courier New" w:hAnsi="Courier New" w:cs="Courier New" w:hint="default"/>
      </w:rPr>
    </w:lvl>
    <w:lvl w:ilvl="5" w:tplc="5B88F190" w:tentative="1">
      <w:start w:val="1"/>
      <w:numFmt w:val="bullet"/>
      <w:lvlText w:val=""/>
      <w:lvlJc w:val="left"/>
      <w:pPr>
        <w:ind w:left="4320" w:hanging="360"/>
      </w:pPr>
      <w:rPr>
        <w:rFonts w:ascii="Wingdings" w:hAnsi="Wingdings" w:hint="default"/>
      </w:rPr>
    </w:lvl>
    <w:lvl w:ilvl="6" w:tplc="B9C06B70" w:tentative="1">
      <w:start w:val="1"/>
      <w:numFmt w:val="bullet"/>
      <w:lvlText w:val=""/>
      <w:lvlJc w:val="left"/>
      <w:pPr>
        <w:ind w:left="5040" w:hanging="360"/>
      </w:pPr>
      <w:rPr>
        <w:rFonts w:ascii="Symbol" w:hAnsi="Symbol" w:hint="default"/>
      </w:rPr>
    </w:lvl>
    <w:lvl w:ilvl="7" w:tplc="1C80B422" w:tentative="1">
      <w:start w:val="1"/>
      <w:numFmt w:val="bullet"/>
      <w:lvlText w:val="o"/>
      <w:lvlJc w:val="left"/>
      <w:pPr>
        <w:ind w:left="5760" w:hanging="360"/>
      </w:pPr>
      <w:rPr>
        <w:rFonts w:ascii="Courier New" w:hAnsi="Courier New" w:cs="Courier New" w:hint="default"/>
      </w:rPr>
    </w:lvl>
    <w:lvl w:ilvl="8" w:tplc="1BDE7CBE" w:tentative="1">
      <w:start w:val="1"/>
      <w:numFmt w:val="bullet"/>
      <w:lvlText w:val=""/>
      <w:lvlJc w:val="left"/>
      <w:pPr>
        <w:ind w:left="6480" w:hanging="360"/>
      </w:pPr>
      <w:rPr>
        <w:rFonts w:ascii="Wingdings" w:hAnsi="Wingdings" w:hint="default"/>
      </w:rPr>
    </w:lvl>
  </w:abstractNum>
  <w:num w:numId="1" w16cid:durableId="644166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170"/>
  <w:hyphenationZone w:val="425"/>
  <w:drawingGridHorizontalSpacing w:val="120"/>
  <w:displayHorizontalDrawingGridEvery w:val="2"/>
  <w:characterSpacingControl w:val="doNotCompress"/>
  <w:savePreviewPicture/>
  <w:hdrShapeDefaults>
    <o:shapedefaults v:ext="edit" spidmax="309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B1832"/>
    <w:rsid w:val="000B45B1"/>
    <w:rsid w:val="000C29E1"/>
    <w:rsid w:val="000C5594"/>
    <w:rsid w:val="000D0CCB"/>
    <w:rsid w:val="000D6D8A"/>
    <w:rsid w:val="000E2F12"/>
    <w:rsid w:val="000E54B6"/>
    <w:rsid w:val="00103771"/>
    <w:rsid w:val="00113778"/>
    <w:rsid w:val="00117DDD"/>
    <w:rsid w:val="001255C8"/>
    <w:rsid w:val="00125BDF"/>
    <w:rsid w:val="00131985"/>
    <w:rsid w:val="00142A56"/>
    <w:rsid w:val="00146D2D"/>
    <w:rsid w:val="00172CD9"/>
    <w:rsid w:val="001A4166"/>
    <w:rsid w:val="001B41E1"/>
    <w:rsid w:val="001B7303"/>
    <w:rsid w:val="001E7CFB"/>
    <w:rsid w:val="00215CB5"/>
    <w:rsid w:val="00235AED"/>
    <w:rsid w:val="00241BB9"/>
    <w:rsid w:val="00260785"/>
    <w:rsid w:val="00262B73"/>
    <w:rsid w:val="00270C54"/>
    <w:rsid w:val="00292B49"/>
    <w:rsid w:val="00297795"/>
    <w:rsid w:val="002B1D9F"/>
    <w:rsid w:val="002B504F"/>
    <w:rsid w:val="002B79A2"/>
    <w:rsid w:val="002D0A6B"/>
    <w:rsid w:val="002F4886"/>
    <w:rsid w:val="003016C4"/>
    <w:rsid w:val="003030A4"/>
    <w:rsid w:val="003052CC"/>
    <w:rsid w:val="00334C45"/>
    <w:rsid w:val="003451E2"/>
    <w:rsid w:val="00347F1B"/>
    <w:rsid w:val="003B287C"/>
    <w:rsid w:val="003B48D4"/>
    <w:rsid w:val="003C0E2F"/>
    <w:rsid w:val="003C472B"/>
    <w:rsid w:val="003C6ED5"/>
    <w:rsid w:val="003C700C"/>
    <w:rsid w:val="003C7185"/>
    <w:rsid w:val="003D27F8"/>
    <w:rsid w:val="003F3A47"/>
    <w:rsid w:val="0043480A"/>
    <w:rsid w:val="00437B5F"/>
    <w:rsid w:val="004509BE"/>
    <w:rsid w:val="0045486D"/>
    <w:rsid w:val="00463DBC"/>
    <w:rsid w:val="004822A9"/>
    <w:rsid w:val="00491D8B"/>
    <w:rsid w:val="004934A8"/>
    <w:rsid w:val="004C2289"/>
    <w:rsid w:val="004F0B09"/>
    <w:rsid w:val="005152C6"/>
    <w:rsid w:val="00516D6A"/>
    <w:rsid w:val="00523C02"/>
    <w:rsid w:val="00534C92"/>
    <w:rsid w:val="00543C29"/>
    <w:rsid w:val="00544135"/>
    <w:rsid w:val="005600D7"/>
    <w:rsid w:val="0056314E"/>
    <w:rsid w:val="005677D6"/>
    <w:rsid w:val="00582E97"/>
    <w:rsid w:val="00587714"/>
    <w:rsid w:val="005A5F6E"/>
    <w:rsid w:val="005C3CD4"/>
    <w:rsid w:val="005D1D9B"/>
    <w:rsid w:val="005D327A"/>
    <w:rsid w:val="0063555A"/>
    <w:rsid w:val="00684A1E"/>
    <w:rsid w:val="00686885"/>
    <w:rsid w:val="006922AC"/>
    <w:rsid w:val="00697032"/>
    <w:rsid w:val="006B16C1"/>
    <w:rsid w:val="00741A98"/>
    <w:rsid w:val="0074764C"/>
    <w:rsid w:val="0075255A"/>
    <w:rsid w:val="00763E81"/>
    <w:rsid w:val="007650CA"/>
    <w:rsid w:val="00776965"/>
    <w:rsid w:val="007A4F37"/>
    <w:rsid w:val="007A650B"/>
    <w:rsid w:val="007B028B"/>
    <w:rsid w:val="007B6A41"/>
    <w:rsid w:val="007D0F21"/>
    <w:rsid w:val="007D23C6"/>
    <w:rsid w:val="007E36BA"/>
    <w:rsid w:val="007F380D"/>
    <w:rsid w:val="007F4A98"/>
    <w:rsid w:val="00811DC0"/>
    <w:rsid w:val="00825BF5"/>
    <w:rsid w:val="00843AED"/>
    <w:rsid w:val="0087691C"/>
    <w:rsid w:val="00877887"/>
    <w:rsid w:val="00893C24"/>
    <w:rsid w:val="008A21F4"/>
    <w:rsid w:val="008D59C5"/>
    <w:rsid w:val="008D618A"/>
    <w:rsid w:val="008E210E"/>
    <w:rsid w:val="008E4B89"/>
    <w:rsid w:val="008F33AD"/>
    <w:rsid w:val="00960E2B"/>
    <w:rsid w:val="0096347A"/>
    <w:rsid w:val="009734E9"/>
    <w:rsid w:val="00985A65"/>
    <w:rsid w:val="009A31BF"/>
    <w:rsid w:val="009B2459"/>
    <w:rsid w:val="009C4777"/>
    <w:rsid w:val="009C7FE0"/>
    <w:rsid w:val="009D3C77"/>
    <w:rsid w:val="009D7D63"/>
    <w:rsid w:val="009F419D"/>
    <w:rsid w:val="00A04D20"/>
    <w:rsid w:val="00A52DBE"/>
    <w:rsid w:val="00A83BE3"/>
    <w:rsid w:val="00AA61EA"/>
    <w:rsid w:val="00AF6BEC"/>
    <w:rsid w:val="00B70532"/>
    <w:rsid w:val="00B8296E"/>
    <w:rsid w:val="00B82F43"/>
    <w:rsid w:val="00BA7566"/>
    <w:rsid w:val="00BC481F"/>
    <w:rsid w:val="00BD75C1"/>
    <w:rsid w:val="00C3438D"/>
    <w:rsid w:val="00C47232"/>
    <w:rsid w:val="00C62B6C"/>
    <w:rsid w:val="00C81260"/>
    <w:rsid w:val="00C95CA9"/>
    <w:rsid w:val="00CA061B"/>
    <w:rsid w:val="00CD4AED"/>
    <w:rsid w:val="00CD5856"/>
    <w:rsid w:val="00CE4933"/>
    <w:rsid w:val="00CF0F2E"/>
    <w:rsid w:val="00CF3E82"/>
    <w:rsid w:val="00D54679"/>
    <w:rsid w:val="00D67BAF"/>
    <w:rsid w:val="00DA15A1"/>
    <w:rsid w:val="00DC5B5F"/>
    <w:rsid w:val="00DC7639"/>
    <w:rsid w:val="00E1490C"/>
    <w:rsid w:val="00E273FC"/>
    <w:rsid w:val="00E37122"/>
    <w:rsid w:val="00E85195"/>
    <w:rsid w:val="00EA275E"/>
    <w:rsid w:val="00EC5485"/>
    <w:rsid w:val="00EE23CE"/>
    <w:rsid w:val="00EE2A9D"/>
    <w:rsid w:val="00F32EA9"/>
    <w:rsid w:val="00F43B5E"/>
    <w:rsid w:val="00F56EBE"/>
    <w:rsid w:val="00F71625"/>
    <w:rsid w:val="00F71EEA"/>
    <w:rsid w:val="00F72360"/>
    <w:rsid w:val="00F847BF"/>
    <w:rsid w:val="00F87E88"/>
    <w:rsid w:val="00F92B40"/>
    <w:rsid w:val="00FB19C9"/>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5830D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270C54"/>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270C54"/>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270C54"/>
    <w:rPr>
      <w:vertAlign w:val="superscript"/>
    </w:rPr>
  </w:style>
  <w:style w:type="character" w:styleId="Hyperlink">
    <w:name w:val="Hyperlink"/>
    <w:uiPriority w:val="99"/>
    <w:unhideWhenUsed/>
    <w:rsid w:val="00270C54"/>
    <w:rPr>
      <w:color w:val="0563C1"/>
      <w:u w:val="single"/>
    </w:rPr>
  </w:style>
  <w:style w:type="character" w:styleId="Verwijzingopmerking">
    <w:name w:val="annotation reference"/>
    <w:basedOn w:val="Standaardalinea-lettertype"/>
    <w:uiPriority w:val="99"/>
    <w:semiHidden/>
    <w:unhideWhenUsed/>
    <w:rsid w:val="00270C54"/>
    <w:rPr>
      <w:sz w:val="16"/>
      <w:szCs w:val="16"/>
    </w:rPr>
  </w:style>
  <w:style w:type="paragraph" w:styleId="Tekstopmerking">
    <w:name w:val="annotation text"/>
    <w:basedOn w:val="Standaard"/>
    <w:link w:val="TekstopmerkingChar"/>
    <w:uiPriority w:val="99"/>
    <w:unhideWhenUsed/>
    <w:rsid w:val="00270C54"/>
    <w:pPr>
      <w:widowControl/>
      <w:suppressAutoHyphens w:val="0"/>
      <w:spacing w:line="240" w:lineRule="auto"/>
    </w:pPr>
    <w:rPr>
      <w:color w:val="000000"/>
      <w:kern w:val="0"/>
      <w:sz w:val="20"/>
      <w:szCs w:val="20"/>
      <w:lang w:eastAsia="nl-NL" w:bidi="ar-SA"/>
    </w:rPr>
  </w:style>
  <w:style w:type="character" w:customStyle="1" w:styleId="TekstopmerkingChar">
    <w:name w:val="Tekst opmerking Char"/>
    <w:basedOn w:val="Standaardalinea-lettertype"/>
    <w:link w:val="Tekstopmerking"/>
    <w:uiPriority w:val="99"/>
    <w:rsid w:val="00270C54"/>
    <w:rPr>
      <w:rFonts w:ascii="Verdana" w:hAnsi="Verdana"/>
      <w:color w:val="000000"/>
      <w:kern w:val="0"/>
      <w:sz w:val="20"/>
      <w:szCs w:val="20"/>
      <w:lang w:eastAsia="nl-NL" w:bidi="ar-SA"/>
    </w:rPr>
  </w:style>
  <w:style w:type="paragraph" w:customStyle="1" w:styleId="Afzendgegevens">
    <w:name w:val="Afzendgegevens"/>
    <w:basedOn w:val="Standaard"/>
    <w:rsid w:val="00EC5485"/>
    <w:pPr>
      <w:widowControl/>
      <w:suppressAutoHyphens w:val="0"/>
      <w:autoSpaceDN/>
      <w:spacing w:line="180" w:lineRule="atLeast"/>
      <w:textAlignment w:val="auto"/>
    </w:pPr>
    <w:rPr>
      <w:rFonts w:eastAsia="Times New Roman" w:cs="Times New Roman"/>
      <w:kern w:val="0"/>
      <w:sz w:val="13"/>
      <w:szCs w:val="20"/>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ceg.nl/ethische-dossiers/c/code-rood.-verkenning-van-morele-uitgangspunten-bij-langdurige-schaarste-in-de-zorg" TargetMode="External"/><Relationship Id="rId1" Type="http://schemas.openxmlformats.org/officeDocument/2006/relationships/hyperlink" Target="https://www.maug.nl/maug/burgeronderzoe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1492</ap:Words>
  <ap:Characters>8207</ap:Characters>
  <ap:DocSecurity>0</ap:DocSecurity>
  <ap:Lines>68</ap:Lines>
  <ap:Paragraphs>19</ap:Paragraphs>
  <ap:ScaleCrop>false</ap:ScaleCrop>
  <ap:LinksUpToDate>false</ap:LinksUpToDate>
  <ap:CharactersWithSpaces>9680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2026-07-01T14:29:00.0000000Z</dcterms:created>
  <dcterms:modified xsi:type="dcterms:W3CDTF">2026-07-01T14:29:00.0000000Z</dcterms:modified>
  <dc:description>------------------------</dc:description>
  <dc:subject/>
  <dc:title/>
  <keywords/>
  <version/>
  <category/>
</coreProperties>
</file>