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4E9D" w:rsidR="00680507" w:rsidRDefault="00BF6B25" w14:paraId="333237F2" w14:textId="40F6070D">
      <w:pPr>
        <w:rPr>
          <w:color w:val="auto"/>
        </w:rPr>
      </w:pPr>
      <w:bookmarkStart w:name="_GoBack" w:id="0"/>
      <w:bookmarkEnd w:id="0"/>
      <w:r w:rsidRPr="00B74E9D">
        <w:rPr>
          <w:color w:val="auto"/>
        </w:rPr>
        <w:t>Geachte voorzitter,</w:t>
      </w:r>
    </w:p>
    <w:p w:rsidRPr="00B74E9D" w:rsidR="00BF6B25" w:rsidRDefault="00BF6B25" w14:paraId="7D3B36D6" w14:textId="77777777">
      <w:pPr>
        <w:rPr>
          <w:color w:val="auto"/>
        </w:rPr>
      </w:pPr>
    </w:p>
    <w:p w:rsidRPr="00B74E9D" w:rsidR="009A4C4F" w:rsidP="009A4C4F" w:rsidRDefault="005209B4" w14:paraId="0794193C" w14:textId="0D3DF044">
      <w:pPr>
        <w:rPr>
          <w:color w:val="auto"/>
        </w:rPr>
      </w:pPr>
      <w:r w:rsidRPr="00B74E9D">
        <w:rPr>
          <w:color w:val="auto"/>
        </w:rPr>
        <w:t xml:space="preserve">In verschillende Kamerdebatten rond de jaarwisseling heeft u gesproken over frequentieverhogingen in de </w:t>
      </w:r>
      <w:r w:rsidRPr="00B74E9D" w:rsidR="002B70D5">
        <w:rPr>
          <w:color w:val="auto"/>
        </w:rPr>
        <w:t>concessie voor het hoofdrailnet (HRN)</w:t>
      </w:r>
      <w:r w:rsidRPr="00B74E9D">
        <w:rPr>
          <w:color w:val="auto"/>
        </w:rPr>
        <w:t xml:space="preserve"> en of die passen op de bestaande of geplande infrastructuur. In het CD Spoor van 18 december 2025 heeft mijn voorganger </w:t>
      </w:r>
      <w:r w:rsidRPr="00B74E9D" w:rsidR="007D3A42">
        <w:rPr>
          <w:color w:val="auto"/>
        </w:rPr>
        <w:t xml:space="preserve">uw Kamer </w:t>
      </w:r>
      <w:r w:rsidRPr="00B74E9D">
        <w:rPr>
          <w:color w:val="auto"/>
        </w:rPr>
        <w:t xml:space="preserve">toegezegd </w:t>
      </w:r>
      <w:r w:rsidRPr="00B74E9D" w:rsidR="007D3A42">
        <w:rPr>
          <w:color w:val="auto"/>
        </w:rPr>
        <w:t xml:space="preserve">een analyse te delen van </w:t>
      </w:r>
      <w:r w:rsidRPr="00B74E9D">
        <w:rPr>
          <w:color w:val="auto"/>
        </w:rPr>
        <w:t xml:space="preserve">potentiële knelpunten voor het uitvoeren van de HRN-concessie indien er geen budget is voor nieuwe projecten. </w:t>
      </w:r>
      <w:r w:rsidRPr="00B74E9D" w:rsidR="00482564">
        <w:rPr>
          <w:color w:val="auto"/>
        </w:rPr>
        <w:t xml:space="preserve">In de </w:t>
      </w:r>
      <w:r w:rsidRPr="00B74E9D">
        <w:rPr>
          <w:color w:val="auto"/>
        </w:rPr>
        <w:t xml:space="preserve">MIRT-brief d.d. 13 januari jl. </w:t>
      </w:r>
      <w:r w:rsidRPr="00B74E9D" w:rsidR="00482564">
        <w:rPr>
          <w:color w:val="auto"/>
        </w:rPr>
        <w:t>is</w:t>
      </w:r>
      <w:r w:rsidRPr="00B74E9D">
        <w:rPr>
          <w:color w:val="auto"/>
        </w:rPr>
        <w:t xml:space="preserve"> een eerste toelichting</w:t>
      </w:r>
      <w:r w:rsidRPr="00B74E9D" w:rsidR="00482564">
        <w:rPr>
          <w:color w:val="auto"/>
        </w:rPr>
        <w:t xml:space="preserve"> opgenomen</w:t>
      </w:r>
      <w:r w:rsidRPr="00B74E9D">
        <w:rPr>
          <w:color w:val="auto"/>
        </w:rPr>
        <w:t>.</w:t>
      </w:r>
      <w:r w:rsidRPr="00B74E9D">
        <w:rPr>
          <w:rStyle w:val="FootnoteReference"/>
          <w:color w:val="auto"/>
        </w:rPr>
        <w:footnoteReference w:id="1"/>
      </w:r>
      <w:r w:rsidRPr="00B74E9D">
        <w:rPr>
          <w:color w:val="auto"/>
        </w:rPr>
        <w:t xml:space="preserve"> Hierbij informeer ik u</w:t>
      </w:r>
      <w:r w:rsidRPr="00B74E9D" w:rsidR="00482564">
        <w:rPr>
          <w:color w:val="auto"/>
        </w:rPr>
        <w:t>w Kamer</w:t>
      </w:r>
      <w:r w:rsidRPr="00B74E9D">
        <w:rPr>
          <w:color w:val="auto"/>
        </w:rPr>
        <w:t xml:space="preserve"> uitgebreider over de HRN-concessie, het voorgenomen volume</w:t>
      </w:r>
      <w:r w:rsidRPr="00B74E9D" w:rsidR="00293ED7">
        <w:rPr>
          <w:color w:val="auto"/>
        </w:rPr>
        <w:t xml:space="preserve"> </w:t>
      </w:r>
      <w:r w:rsidRPr="00B74E9D">
        <w:rPr>
          <w:color w:val="auto"/>
        </w:rPr>
        <w:t xml:space="preserve">en in welke mate dat </w:t>
      </w:r>
      <w:r w:rsidRPr="00B74E9D" w:rsidR="00482564">
        <w:rPr>
          <w:color w:val="auto"/>
        </w:rPr>
        <w:t>realiseerbaar is met</w:t>
      </w:r>
      <w:r w:rsidRPr="00B74E9D">
        <w:rPr>
          <w:color w:val="auto"/>
        </w:rPr>
        <w:t xml:space="preserve"> de bestaande en geplande spoorinfrastructuur.</w:t>
      </w:r>
    </w:p>
    <w:p w:rsidRPr="00B74E9D" w:rsidR="0062026A" w:rsidRDefault="0062026A" w14:paraId="292C0307" w14:textId="5BF25628">
      <w:pPr>
        <w:rPr>
          <w:color w:val="auto"/>
        </w:rPr>
      </w:pPr>
    </w:p>
    <w:p w:rsidRPr="00B74E9D" w:rsidR="00D22C25" w:rsidP="00D22C25" w:rsidRDefault="00F47629" w14:paraId="0D39A3D7" w14:textId="768B7F4E">
      <w:pPr>
        <w:rPr>
          <w:b/>
          <w:bCs/>
          <w:color w:val="auto"/>
        </w:rPr>
      </w:pPr>
      <w:r w:rsidRPr="00B74E9D">
        <w:rPr>
          <w:b/>
          <w:bCs/>
          <w:color w:val="auto"/>
        </w:rPr>
        <w:t>De treindienst van de toekomst</w:t>
      </w:r>
    </w:p>
    <w:p w:rsidR="003118C9" w:rsidP="00783478" w:rsidRDefault="00527F0A" w14:paraId="239C44A1" w14:textId="4D798D38">
      <w:pPr>
        <w:rPr>
          <w:color w:val="auto"/>
        </w:rPr>
      </w:pPr>
      <w:r>
        <w:rPr>
          <w:color w:val="auto"/>
        </w:rPr>
        <w:t>Laat ik beginnen met wat er allemaal wel gebeurt aan investeringen op het spoor om potentiële knelpunten op te lossen en de benodigde capaciteit naar de toekomst mogelijk te maken. Zo werk ik met</w:t>
      </w:r>
      <w:r w:rsidRPr="00753096">
        <w:rPr>
          <w:color w:val="auto"/>
        </w:rPr>
        <w:t xml:space="preserve"> de </w:t>
      </w:r>
      <w:r w:rsidRPr="00753096">
        <w:rPr>
          <w:i/>
          <w:iCs/>
          <w:color w:val="auto"/>
        </w:rPr>
        <w:t>Programma's Hoogfrequent Spoorvervoer</w:t>
      </w:r>
      <w:r w:rsidR="00A67D0F">
        <w:rPr>
          <w:i/>
          <w:iCs/>
          <w:color w:val="auto"/>
        </w:rPr>
        <w:t xml:space="preserve"> (PHS)</w:t>
      </w:r>
      <w:r>
        <w:rPr>
          <w:i/>
          <w:iCs/>
          <w:color w:val="auto"/>
        </w:rPr>
        <w:t xml:space="preserve">, </w:t>
      </w:r>
      <w:r w:rsidRPr="00753096">
        <w:rPr>
          <w:i/>
          <w:iCs/>
          <w:color w:val="auto"/>
        </w:rPr>
        <w:t>Spoorcapaciteit 2030</w:t>
      </w:r>
      <w:r>
        <w:rPr>
          <w:i/>
          <w:iCs/>
          <w:color w:val="auto"/>
        </w:rPr>
        <w:t xml:space="preserve"> </w:t>
      </w:r>
      <w:r>
        <w:rPr>
          <w:color w:val="auto"/>
        </w:rPr>
        <w:t xml:space="preserve">en </w:t>
      </w:r>
      <w:r>
        <w:rPr>
          <w:i/>
          <w:iCs/>
          <w:color w:val="auto"/>
        </w:rPr>
        <w:t xml:space="preserve">Behandelen en Opstellen </w:t>
      </w:r>
      <w:r w:rsidRPr="00753096">
        <w:rPr>
          <w:color w:val="auto"/>
        </w:rPr>
        <w:t xml:space="preserve">samen met NS, ProRail en medeoverheden hard aan de doorontwikkeling van de treindienst. </w:t>
      </w:r>
      <w:r>
        <w:rPr>
          <w:color w:val="auto"/>
        </w:rPr>
        <w:t xml:space="preserve">De uitvoering daarvan gaat </w:t>
      </w:r>
      <w:r w:rsidRPr="00DC128E">
        <w:rPr>
          <w:color w:val="auto"/>
        </w:rPr>
        <w:t>onverminderd door</w:t>
      </w:r>
      <w:r w:rsidRPr="00DC128E" w:rsidR="000F67E2">
        <w:rPr>
          <w:color w:val="auto"/>
        </w:rPr>
        <w:t xml:space="preserve">; zo </w:t>
      </w:r>
      <w:r w:rsidRPr="00DC128E" w:rsidR="00A67D0F">
        <w:rPr>
          <w:color w:val="auto"/>
        </w:rPr>
        <w:t xml:space="preserve">zijn de programmabudgetten van zowel </w:t>
      </w:r>
      <w:r w:rsidRPr="00DC128E" w:rsidR="00A67D0F">
        <w:rPr>
          <w:i/>
          <w:iCs/>
          <w:color w:val="auto"/>
        </w:rPr>
        <w:t>PHS</w:t>
      </w:r>
      <w:r w:rsidRPr="00DC128E" w:rsidR="00A67D0F">
        <w:rPr>
          <w:color w:val="auto"/>
        </w:rPr>
        <w:t xml:space="preserve"> als </w:t>
      </w:r>
      <w:r w:rsidRPr="00DC128E" w:rsidR="00DE01BD">
        <w:rPr>
          <w:i/>
          <w:iCs/>
          <w:color w:val="auto"/>
        </w:rPr>
        <w:t>Spoorcapaciteit 2030</w:t>
      </w:r>
      <w:r w:rsidRPr="00DC128E" w:rsidR="00DE01BD">
        <w:rPr>
          <w:color w:val="auto"/>
        </w:rPr>
        <w:t xml:space="preserve"> </w:t>
      </w:r>
      <w:r w:rsidRPr="00DC128E" w:rsidR="00A67D0F">
        <w:rPr>
          <w:color w:val="auto"/>
        </w:rPr>
        <w:t xml:space="preserve">voor </w:t>
      </w:r>
      <w:r w:rsidRPr="00DC128E" w:rsidR="00DE01BD">
        <w:rPr>
          <w:color w:val="auto"/>
        </w:rPr>
        <w:t>ruim 90%</w:t>
      </w:r>
      <w:r w:rsidRPr="00DC128E" w:rsidR="00A67D0F">
        <w:rPr>
          <w:color w:val="auto"/>
        </w:rPr>
        <w:t xml:space="preserve"> besteed of verplicht</w:t>
      </w:r>
      <w:r w:rsidRPr="00DC128E" w:rsidR="00DE01BD">
        <w:rPr>
          <w:color w:val="auto"/>
        </w:rPr>
        <w:t>.</w:t>
      </w:r>
    </w:p>
    <w:p w:rsidR="00DE01BD" w:rsidP="00783478" w:rsidRDefault="00DE01BD" w14:paraId="31AC744C" w14:textId="77777777">
      <w:pPr>
        <w:rPr>
          <w:color w:val="auto"/>
        </w:rPr>
      </w:pPr>
    </w:p>
    <w:p w:rsidRPr="00B74E9D" w:rsidR="00026AA3" w:rsidP="00783478" w:rsidRDefault="00783478" w14:paraId="6BB61946" w14:textId="6FC97E87">
      <w:pPr>
        <w:rPr>
          <w:color w:val="auto"/>
        </w:rPr>
      </w:pPr>
      <w:r w:rsidRPr="00B74E9D">
        <w:rPr>
          <w:color w:val="auto"/>
        </w:rPr>
        <w:t>In de HRN-concessie is een volume opgenomen dat de concessiehouder (NS) dient te rijden</w:t>
      </w:r>
      <w:r w:rsidRPr="00B74E9D" w:rsidR="004E08A7">
        <w:rPr>
          <w:color w:val="auto"/>
        </w:rPr>
        <w:t>, mits de benodigde infrastructuur</w:t>
      </w:r>
      <w:r w:rsidRPr="00B74E9D" w:rsidR="00711A3B">
        <w:rPr>
          <w:color w:val="auto"/>
        </w:rPr>
        <w:t xml:space="preserve"> tijdig</w:t>
      </w:r>
      <w:r w:rsidRPr="00B74E9D" w:rsidR="004E08A7">
        <w:rPr>
          <w:color w:val="auto"/>
        </w:rPr>
        <w:t xml:space="preserve"> beschikbaar is</w:t>
      </w:r>
      <w:r w:rsidR="008E6FCB">
        <w:rPr>
          <w:color w:val="auto"/>
        </w:rPr>
        <w:t>.</w:t>
      </w:r>
      <w:r w:rsidRPr="00B74E9D">
        <w:rPr>
          <w:color w:val="auto"/>
        </w:rPr>
        <w:t xml:space="preserve"> </w:t>
      </w:r>
      <w:r w:rsidRPr="00B74E9D" w:rsidR="004E08A7">
        <w:rPr>
          <w:color w:val="auto"/>
        </w:rPr>
        <w:t xml:space="preserve">Dat volume </w:t>
      </w:r>
      <w:r w:rsidRPr="00B74E9D">
        <w:rPr>
          <w:color w:val="auto"/>
        </w:rPr>
        <w:t xml:space="preserve">beschrijft de aantallen treinen per baanvak per richting per uur. </w:t>
      </w:r>
      <w:r w:rsidRPr="00B74E9D" w:rsidR="00681D22">
        <w:rPr>
          <w:color w:val="auto"/>
        </w:rPr>
        <w:t xml:space="preserve">Bij elkaar opgeteld gaat het om (een groeipad naar) een ambitieuze dienstregeling met aantrekkelijke reistijden, hoge frequenties en mede daardoor voldoende zitplaatsen voor de verwachte groei in de reizigersvraag. Daarin </w:t>
      </w:r>
      <w:r w:rsidRPr="00B74E9D" w:rsidR="00703B61">
        <w:rPr>
          <w:color w:val="auto"/>
        </w:rPr>
        <w:t>is</w:t>
      </w:r>
      <w:r w:rsidRPr="00B74E9D" w:rsidR="00681D22">
        <w:rPr>
          <w:color w:val="auto"/>
        </w:rPr>
        <w:t xml:space="preserve"> ook de extra vervoersvraag door de ontwikkeling van de nieuwe grootschalige woningbouwlocaties verwerkt. </w:t>
      </w:r>
    </w:p>
    <w:p w:rsidRPr="00B74E9D" w:rsidR="00026AA3" w:rsidP="00783478" w:rsidRDefault="00026AA3" w14:paraId="4379E614" w14:textId="77777777">
      <w:pPr>
        <w:rPr>
          <w:color w:val="auto"/>
        </w:rPr>
      </w:pPr>
    </w:p>
    <w:p w:rsidRPr="00B74E9D" w:rsidR="003602E5" w:rsidP="00B750CF" w:rsidRDefault="00F47629" w14:paraId="7503B4C0" w14:textId="3D54C1C2">
      <w:pPr>
        <w:rPr>
          <w:color w:val="auto"/>
        </w:rPr>
      </w:pPr>
      <w:r w:rsidRPr="00B74E9D">
        <w:rPr>
          <w:color w:val="auto"/>
        </w:rPr>
        <w:t>Ik wil benadrukken dat keuzes maken ten aanzien van frequentieverhogingen effect heeft op de dagelijkse realiteit van vele Nederlanders en een significant gedeelte van onze economie en ons</w:t>
      </w:r>
      <w:r w:rsidRPr="00B74E9D" w:rsidR="00EB4B46">
        <w:rPr>
          <w:color w:val="auto"/>
        </w:rPr>
        <w:t xml:space="preserve"> </w:t>
      </w:r>
      <w:r w:rsidRPr="00B74E9D">
        <w:rPr>
          <w:color w:val="auto"/>
        </w:rPr>
        <w:t>verdienvermogen.</w:t>
      </w:r>
      <w:r w:rsidRPr="00B74E9D" w:rsidR="00026AA3">
        <w:rPr>
          <w:color w:val="auto"/>
        </w:rPr>
        <w:t xml:space="preserve"> Belangrijk hierbij </w:t>
      </w:r>
      <w:r w:rsidRPr="00B74E9D" w:rsidR="00681D22">
        <w:rPr>
          <w:color w:val="auto"/>
        </w:rPr>
        <w:t xml:space="preserve">is </w:t>
      </w:r>
      <w:r w:rsidRPr="00B74E9D" w:rsidR="00C20491">
        <w:rPr>
          <w:color w:val="auto"/>
        </w:rPr>
        <w:t xml:space="preserve">dat de HRN-concessie zich enerzijds richt op treinfrequenties en de stapsgewijze </w:t>
      </w:r>
      <w:r w:rsidRPr="00B74E9D" w:rsidR="00C20491">
        <w:rPr>
          <w:color w:val="auto"/>
        </w:rPr>
        <w:lastRenderedPageBreak/>
        <w:t>verhoging daarvan gedurende de concessieperiode. Dat vergt infra-aanpassingen zoals uitbreiding van de tractie-energievoorziening, sanering van overwegen en uitbreiding van stations. Anderzijds bevat de HRN-concessie ook prestatie</w:t>
      </w:r>
      <w:r w:rsidRPr="00B74E9D" w:rsidR="00961700">
        <w:rPr>
          <w:color w:val="auto"/>
        </w:rPr>
        <w:t>-</w:t>
      </w:r>
      <w:r w:rsidRPr="00B74E9D" w:rsidR="00C20491">
        <w:rPr>
          <w:color w:val="auto"/>
        </w:rPr>
        <w:t xml:space="preserve">afspraken over bijvoorbeeld zitplaatskans, punctualiteit en comfort. </w:t>
      </w:r>
      <w:r w:rsidRPr="00B74E9D" w:rsidR="00F61228">
        <w:rPr>
          <w:color w:val="auto"/>
        </w:rPr>
        <w:t>Die eisen liggen niet alleen aan de kan</w:t>
      </w:r>
      <w:r w:rsidRPr="00B74E9D" w:rsidR="006D01EF">
        <w:rPr>
          <w:color w:val="auto"/>
        </w:rPr>
        <w:t>t</w:t>
      </w:r>
      <w:r w:rsidRPr="00B74E9D" w:rsidR="00F61228">
        <w:rPr>
          <w:color w:val="auto"/>
        </w:rPr>
        <w:t xml:space="preserve"> van het treinmaterieel en </w:t>
      </w:r>
      <w:r w:rsidRPr="00B74E9D" w:rsidR="00961700">
        <w:rPr>
          <w:color w:val="auto"/>
        </w:rPr>
        <w:t xml:space="preserve">daarmee aan de kant van </w:t>
      </w:r>
      <w:r w:rsidRPr="00B74E9D" w:rsidR="00F61228">
        <w:rPr>
          <w:color w:val="auto"/>
        </w:rPr>
        <w:t xml:space="preserve">vervoerder/concessiehouder. </w:t>
      </w:r>
      <w:r w:rsidRPr="00B74E9D" w:rsidR="00961700">
        <w:rPr>
          <w:color w:val="auto"/>
        </w:rPr>
        <w:t>D</w:t>
      </w:r>
      <w:r w:rsidRPr="00B74E9D" w:rsidR="00F61228">
        <w:rPr>
          <w:color w:val="auto"/>
        </w:rPr>
        <w:t>aarvoor is</w:t>
      </w:r>
      <w:r w:rsidRPr="00B74E9D" w:rsidR="00961700">
        <w:rPr>
          <w:color w:val="auto"/>
        </w:rPr>
        <w:t xml:space="preserve"> ook</w:t>
      </w:r>
      <w:r w:rsidRPr="00B74E9D" w:rsidR="00F61228">
        <w:rPr>
          <w:color w:val="auto"/>
        </w:rPr>
        <w:t xml:space="preserve"> de spoorinfrastructuur veelal randvoorwaardelijk. </w:t>
      </w:r>
      <w:r w:rsidRPr="00B74E9D" w:rsidR="00026AA3">
        <w:rPr>
          <w:color w:val="auto"/>
        </w:rPr>
        <w:t xml:space="preserve">Denk bijvoorbeeld aan perronverlengingen (langere treinen = meer zitplaatsen), </w:t>
      </w:r>
      <w:r w:rsidRPr="00B74E9D" w:rsidR="002B70D5">
        <w:rPr>
          <w:color w:val="auto"/>
        </w:rPr>
        <w:t xml:space="preserve">emplacementsuitbreidingen (meer opstelcapaciteit en onderhoud = minder verstoringen ’s ochtends vroeg), enzovoort. </w:t>
      </w:r>
    </w:p>
    <w:p w:rsidRPr="00B74E9D" w:rsidR="00961700" w:rsidP="00B750CF" w:rsidRDefault="00961700" w14:paraId="4584F95B" w14:textId="77777777">
      <w:pPr>
        <w:rPr>
          <w:color w:val="auto"/>
        </w:rPr>
      </w:pPr>
    </w:p>
    <w:p w:rsidRPr="00B74E9D" w:rsidR="00783478" w:rsidP="00B750CF" w:rsidRDefault="002B70D5" w14:paraId="0DDBD656" w14:textId="125A401D">
      <w:pPr>
        <w:rPr>
          <w:color w:val="auto"/>
        </w:rPr>
      </w:pPr>
      <w:r w:rsidRPr="00DE01BD">
        <w:rPr>
          <w:color w:val="auto"/>
        </w:rPr>
        <w:t xml:space="preserve">De hieronder volgende analyse bevat daarom nadrukkelijk een breed scala aan </w:t>
      </w:r>
      <w:r w:rsidRPr="00DE01BD" w:rsidR="00B17B0D">
        <w:rPr>
          <w:color w:val="auto"/>
        </w:rPr>
        <w:t xml:space="preserve">mogelijke </w:t>
      </w:r>
      <w:r w:rsidRPr="00DE01BD">
        <w:rPr>
          <w:color w:val="auto"/>
        </w:rPr>
        <w:t>knelpunten</w:t>
      </w:r>
      <w:r w:rsidRPr="00DE01BD" w:rsidR="00B17B0D">
        <w:rPr>
          <w:color w:val="auto"/>
        </w:rPr>
        <w:t xml:space="preserve"> en vraagstukken</w:t>
      </w:r>
      <w:r w:rsidRPr="00DE01BD">
        <w:rPr>
          <w:color w:val="auto"/>
        </w:rPr>
        <w:t xml:space="preserve">, die om meer draaien </w:t>
      </w:r>
      <w:r w:rsidRPr="00DE01BD" w:rsidR="00681D22">
        <w:rPr>
          <w:color w:val="auto"/>
        </w:rPr>
        <w:t xml:space="preserve">dan alleen </w:t>
      </w:r>
      <w:r w:rsidRPr="00DE01BD" w:rsidR="003602E5">
        <w:rPr>
          <w:color w:val="auto"/>
        </w:rPr>
        <w:t xml:space="preserve">het inpassen van </w:t>
      </w:r>
      <w:r w:rsidRPr="00DE01BD">
        <w:rPr>
          <w:color w:val="auto"/>
        </w:rPr>
        <w:t xml:space="preserve">extra treinen per uur. Ik </w:t>
      </w:r>
      <w:r w:rsidRPr="00DE01BD" w:rsidR="00850DFA">
        <w:rPr>
          <w:color w:val="auto"/>
        </w:rPr>
        <w:t>kies voor die benadering</w:t>
      </w:r>
      <w:r w:rsidRPr="00DE01BD">
        <w:rPr>
          <w:color w:val="auto"/>
        </w:rPr>
        <w:t xml:space="preserve"> omdat ik de </w:t>
      </w:r>
      <w:r w:rsidRPr="00DE01BD" w:rsidR="0098008A">
        <w:rPr>
          <w:color w:val="auto"/>
        </w:rPr>
        <w:t xml:space="preserve">beschikbare </w:t>
      </w:r>
      <w:r w:rsidRPr="00DE01BD">
        <w:rPr>
          <w:color w:val="auto"/>
        </w:rPr>
        <w:t>financiële middelen maatschappelijk zo optimaal mogelijk wil besteden met de grootste baten voor de reiziger.</w:t>
      </w:r>
      <w:r w:rsidRPr="00DE01BD" w:rsidR="00EB2022">
        <w:rPr>
          <w:color w:val="auto"/>
        </w:rPr>
        <w:t xml:space="preserve"> </w:t>
      </w:r>
      <w:r w:rsidRPr="00DE01BD" w:rsidR="0098008A">
        <w:rPr>
          <w:color w:val="auto"/>
        </w:rPr>
        <w:t>Ik</w:t>
      </w:r>
      <w:r w:rsidRPr="00DE01BD" w:rsidR="00EB2022">
        <w:rPr>
          <w:color w:val="auto"/>
        </w:rPr>
        <w:t xml:space="preserve"> kie</w:t>
      </w:r>
      <w:r w:rsidRPr="00DE01BD" w:rsidR="0098008A">
        <w:rPr>
          <w:color w:val="auto"/>
        </w:rPr>
        <w:t>s</w:t>
      </w:r>
      <w:r w:rsidRPr="00DE01BD" w:rsidR="00EB2022">
        <w:rPr>
          <w:color w:val="auto"/>
        </w:rPr>
        <w:t xml:space="preserve"> ervoor om </w:t>
      </w:r>
      <w:r w:rsidRPr="00DE01BD" w:rsidR="0098008A">
        <w:rPr>
          <w:color w:val="auto"/>
        </w:rPr>
        <w:t xml:space="preserve">nu </w:t>
      </w:r>
      <w:r w:rsidRPr="00DE01BD" w:rsidR="00EB2022">
        <w:rPr>
          <w:color w:val="auto"/>
        </w:rPr>
        <w:t xml:space="preserve">geen </w:t>
      </w:r>
      <w:r w:rsidRPr="00DE01BD" w:rsidR="003118C9">
        <w:rPr>
          <w:color w:val="auto"/>
        </w:rPr>
        <w:t xml:space="preserve">extra </w:t>
      </w:r>
      <w:r w:rsidRPr="00DE01BD" w:rsidR="00EB2022">
        <w:rPr>
          <w:color w:val="auto"/>
        </w:rPr>
        <w:t>middelen vrij te maken tot de</w:t>
      </w:r>
      <w:r w:rsidRPr="00B74E9D" w:rsidR="00EB2022">
        <w:rPr>
          <w:color w:val="auto"/>
        </w:rPr>
        <w:t xml:space="preserve"> </w:t>
      </w:r>
      <w:r w:rsidRPr="008E6FCB" w:rsidR="002239B3">
        <w:rPr>
          <w:i/>
          <w:iCs/>
          <w:color w:val="auto"/>
        </w:rPr>
        <w:t>midterm</w:t>
      </w:r>
      <w:r w:rsidRPr="008E6FCB" w:rsidR="008E6FCB">
        <w:rPr>
          <w:i/>
          <w:iCs/>
          <w:color w:val="auto"/>
        </w:rPr>
        <w:t xml:space="preserve"> </w:t>
      </w:r>
      <w:r w:rsidRPr="008E6FCB" w:rsidR="002239B3">
        <w:rPr>
          <w:i/>
          <w:iCs/>
          <w:color w:val="auto"/>
        </w:rPr>
        <w:t>review</w:t>
      </w:r>
      <w:r w:rsidRPr="00B74E9D" w:rsidR="002239B3">
        <w:rPr>
          <w:color w:val="auto"/>
        </w:rPr>
        <w:t xml:space="preserve"> in 2029</w:t>
      </w:r>
      <w:r w:rsidRPr="00B74E9D" w:rsidR="00EB2022">
        <w:rPr>
          <w:color w:val="auto"/>
        </w:rPr>
        <w:t>.</w:t>
      </w:r>
      <w:r w:rsidR="008E6FCB">
        <w:rPr>
          <w:color w:val="auto"/>
        </w:rPr>
        <w:t xml:space="preserve"> </w:t>
      </w:r>
      <w:r w:rsidRPr="00B74E9D" w:rsidR="0063121B">
        <w:rPr>
          <w:color w:val="auto"/>
        </w:rPr>
        <w:t>Het is verstandig om pas n</w:t>
      </w:r>
      <w:r w:rsidRPr="00B74E9D" w:rsidR="0098008A">
        <w:rPr>
          <w:color w:val="auto"/>
        </w:rPr>
        <w:t>a de</w:t>
      </w:r>
      <w:r w:rsidRPr="00B74E9D" w:rsidR="005754C8">
        <w:rPr>
          <w:color w:val="auto"/>
        </w:rPr>
        <w:t xml:space="preserve"> actualisatie (2027) en</w:t>
      </w:r>
      <w:r w:rsidRPr="00B74E9D" w:rsidR="0098008A">
        <w:rPr>
          <w:color w:val="auto"/>
        </w:rPr>
        <w:t xml:space="preserve"> </w:t>
      </w:r>
      <w:r w:rsidRPr="008E6FCB" w:rsidR="0098008A">
        <w:rPr>
          <w:i/>
          <w:iCs/>
          <w:color w:val="auto"/>
        </w:rPr>
        <w:t>midterm</w:t>
      </w:r>
      <w:r w:rsidRPr="008E6FCB" w:rsidR="008E6FCB">
        <w:rPr>
          <w:i/>
          <w:iCs/>
          <w:color w:val="auto"/>
        </w:rPr>
        <w:t xml:space="preserve"> </w:t>
      </w:r>
      <w:r w:rsidRPr="008E6FCB" w:rsidR="0098008A">
        <w:rPr>
          <w:i/>
          <w:iCs/>
          <w:color w:val="auto"/>
        </w:rPr>
        <w:t>review</w:t>
      </w:r>
      <w:r w:rsidRPr="00B74E9D" w:rsidR="0098008A">
        <w:rPr>
          <w:color w:val="auto"/>
        </w:rPr>
        <w:t xml:space="preserve"> (2029) </w:t>
      </w:r>
      <w:r w:rsidRPr="00B74E9D" w:rsidR="002239B3">
        <w:rPr>
          <w:color w:val="auto"/>
        </w:rPr>
        <w:t>vervolgbesluiten te nemen</w:t>
      </w:r>
      <w:r w:rsidRPr="00B74E9D" w:rsidR="0063121B">
        <w:rPr>
          <w:color w:val="auto"/>
        </w:rPr>
        <w:t xml:space="preserve">. Met de uitkomsten van de </w:t>
      </w:r>
      <w:r w:rsidRPr="00E83EA9" w:rsidR="0063121B">
        <w:rPr>
          <w:i/>
          <w:iCs/>
          <w:color w:val="auto"/>
        </w:rPr>
        <w:t>midterm</w:t>
      </w:r>
      <w:r w:rsidR="00E83EA9">
        <w:rPr>
          <w:i/>
          <w:iCs/>
          <w:color w:val="auto"/>
        </w:rPr>
        <w:t xml:space="preserve"> </w:t>
      </w:r>
      <w:r w:rsidRPr="00E83EA9" w:rsidR="0063121B">
        <w:rPr>
          <w:i/>
          <w:iCs/>
          <w:color w:val="auto"/>
        </w:rPr>
        <w:t>review</w:t>
      </w:r>
      <w:r w:rsidRPr="00B74E9D" w:rsidR="0063121B">
        <w:rPr>
          <w:color w:val="auto"/>
        </w:rPr>
        <w:t xml:space="preserve"> kan</w:t>
      </w:r>
      <w:r w:rsidRPr="00B74E9D" w:rsidR="0098008A">
        <w:rPr>
          <w:color w:val="auto"/>
        </w:rPr>
        <w:t xml:space="preserve"> </w:t>
      </w:r>
      <w:r w:rsidRPr="00B74E9D" w:rsidR="002239B3">
        <w:rPr>
          <w:color w:val="auto"/>
        </w:rPr>
        <w:t xml:space="preserve">dan </w:t>
      </w:r>
      <w:r w:rsidRPr="00B74E9D" w:rsidR="0098008A">
        <w:rPr>
          <w:color w:val="auto"/>
        </w:rPr>
        <w:t>een volgend kabinet</w:t>
      </w:r>
      <w:r w:rsidR="00D80B3F">
        <w:rPr>
          <w:color w:val="auto"/>
        </w:rPr>
        <w:t xml:space="preserve"> </w:t>
      </w:r>
      <w:r w:rsidRPr="00B74E9D" w:rsidR="0098008A">
        <w:rPr>
          <w:color w:val="auto"/>
        </w:rPr>
        <w:t>nieuwe besluiten nemen.</w:t>
      </w:r>
      <w:r w:rsidR="00D80B3F">
        <w:rPr>
          <w:color w:val="auto"/>
        </w:rPr>
        <w:t xml:space="preserve"> </w:t>
      </w:r>
      <w:r w:rsidRPr="00B74E9D">
        <w:rPr>
          <w:color w:val="auto"/>
        </w:rPr>
        <w:t>Ik kom hier verderop in deze brief uitgebreider op terug.</w:t>
      </w:r>
      <w:r w:rsidRPr="00B74E9D" w:rsidR="00B750CF">
        <w:rPr>
          <w:color w:val="auto"/>
        </w:rPr>
        <w:t xml:space="preserve"> </w:t>
      </w:r>
    </w:p>
    <w:p w:rsidRPr="00B74E9D" w:rsidR="009A4C4F" w:rsidP="00783478" w:rsidRDefault="009A4C4F" w14:paraId="792F7754" w14:textId="77777777">
      <w:pPr>
        <w:rPr>
          <w:color w:val="auto"/>
        </w:rPr>
      </w:pPr>
    </w:p>
    <w:p w:rsidRPr="00B74E9D" w:rsidR="0062026A" w:rsidRDefault="0062026A" w14:paraId="74F147AF" w14:textId="19199F2B">
      <w:pPr>
        <w:rPr>
          <w:b/>
          <w:bCs/>
          <w:color w:val="auto"/>
        </w:rPr>
      </w:pPr>
      <w:r w:rsidRPr="00B74E9D">
        <w:rPr>
          <w:b/>
          <w:bCs/>
          <w:color w:val="auto"/>
        </w:rPr>
        <w:t xml:space="preserve">Bestaande en geplande </w:t>
      </w:r>
      <w:r w:rsidRPr="00B74E9D" w:rsidR="0022558A">
        <w:rPr>
          <w:b/>
          <w:bCs/>
          <w:color w:val="auto"/>
        </w:rPr>
        <w:t>spoor</w:t>
      </w:r>
      <w:r w:rsidRPr="00B74E9D">
        <w:rPr>
          <w:b/>
          <w:bCs/>
          <w:color w:val="auto"/>
        </w:rPr>
        <w:t>infrastructuur</w:t>
      </w:r>
    </w:p>
    <w:p w:rsidRPr="00B74E9D" w:rsidR="002B70D5" w:rsidP="002B70D5" w:rsidRDefault="002B70D5" w14:paraId="50BB1BF1" w14:textId="57321D65">
      <w:pPr>
        <w:spacing w:after="120"/>
        <w:rPr>
          <w:color w:val="auto"/>
        </w:rPr>
      </w:pPr>
      <w:r w:rsidRPr="00B74E9D">
        <w:rPr>
          <w:color w:val="auto"/>
        </w:rPr>
        <w:t xml:space="preserve">Het HRN-concessievolume ontwikkelt zich </w:t>
      </w:r>
      <w:r w:rsidRPr="00B74E9D" w:rsidR="00961700">
        <w:rPr>
          <w:color w:val="auto"/>
        </w:rPr>
        <w:t xml:space="preserve">stapsgewijs </w:t>
      </w:r>
      <w:r w:rsidRPr="00B74E9D">
        <w:rPr>
          <w:color w:val="auto"/>
        </w:rPr>
        <w:t xml:space="preserve">van het gedefinieerde volume bij de start van de concessieperiode (2025) naar het eindbeeld (2033). </w:t>
      </w:r>
      <w:r w:rsidRPr="00B74E9D" w:rsidR="003D5F63">
        <w:rPr>
          <w:color w:val="auto"/>
        </w:rPr>
        <w:t xml:space="preserve">Het kunnen zetten van die stappen is onder andere afhankelijk van de beschikbaarheid van de randvoorwaardelijke infrastructuur en voldoende groei in de vervoersvraag. </w:t>
      </w:r>
      <w:r w:rsidRPr="00B74E9D">
        <w:rPr>
          <w:color w:val="auto"/>
        </w:rPr>
        <w:t>Daarom is afgesproken het eindbeeld tussentijds te actualiseren. Ook hierop kom ik later in deze brief terug.</w:t>
      </w:r>
    </w:p>
    <w:p w:rsidRPr="00B74E9D" w:rsidR="00A74F55" w:rsidP="00DF5C22" w:rsidRDefault="00A74F55" w14:paraId="6A46A7F6" w14:textId="1FC0DDBD">
      <w:pPr>
        <w:spacing w:after="120"/>
        <w:rPr>
          <w:color w:val="auto"/>
        </w:rPr>
      </w:pPr>
      <w:r w:rsidRPr="00B74E9D">
        <w:rPr>
          <w:color w:val="auto"/>
        </w:rPr>
        <w:t xml:space="preserve">Met het </w:t>
      </w:r>
      <w:r w:rsidRPr="00B74E9D">
        <w:rPr>
          <w:i/>
          <w:iCs/>
          <w:color w:val="auto"/>
        </w:rPr>
        <w:t>Programma Hoogfrequent Spoorvervoer</w:t>
      </w:r>
      <w:r w:rsidRPr="00B74E9D">
        <w:rPr>
          <w:color w:val="auto"/>
        </w:rPr>
        <w:t xml:space="preserve"> </w:t>
      </w:r>
      <w:r w:rsidRPr="00B74E9D" w:rsidR="009D0214">
        <w:rPr>
          <w:color w:val="auto"/>
        </w:rPr>
        <w:t>(</w:t>
      </w:r>
      <w:r w:rsidRPr="00B74E9D">
        <w:rPr>
          <w:color w:val="auto"/>
        </w:rPr>
        <w:t>PHS</w:t>
      </w:r>
      <w:r w:rsidRPr="00B74E9D" w:rsidR="009D0214">
        <w:rPr>
          <w:color w:val="auto"/>
        </w:rPr>
        <w:t>)</w:t>
      </w:r>
      <w:r w:rsidRPr="00B74E9D">
        <w:rPr>
          <w:color w:val="auto"/>
        </w:rPr>
        <w:t xml:space="preserve"> wordt </w:t>
      </w:r>
      <w:r w:rsidRPr="00B74E9D" w:rsidR="00482564">
        <w:rPr>
          <w:color w:val="auto"/>
        </w:rPr>
        <w:t xml:space="preserve">sinds 2010 </w:t>
      </w:r>
      <w:r w:rsidRPr="00B74E9D">
        <w:rPr>
          <w:color w:val="auto"/>
        </w:rPr>
        <w:t xml:space="preserve">geïnvesteerd in het </w:t>
      </w:r>
      <w:r w:rsidRPr="00B74E9D" w:rsidR="00482564">
        <w:rPr>
          <w:color w:val="auto"/>
        </w:rPr>
        <w:t xml:space="preserve">samenhangend en </w:t>
      </w:r>
      <w:r w:rsidRPr="00B74E9D" w:rsidR="00D1510D">
        <w:rPr>
          <w:color w:val="auto"/>
        </w:rPr>
        <w:t>stapsgewijs</w:t>
      </w:r>
      <w:r w:rsidRPr="00B74E9D">
        <w:rPr>
          <w:color w:val="auto"/>
        </w:rPr>
        <w:t xml:space="preserve"> verhogen van de </w:t>
      </w:r>
      <w:r w:rsidRPr="00B74E9D" w:rsidR="00D1510D">
        <w:rPr>
          <w:color w:val="auto"/>
        </w:rPr>
        <w:t>trein</w:t>
      </w:r>
      <w:r w:rsidRPr="00B74E9D">
        <w:rPr>
          <w:color w:val="auto"/>
        </w:rPr>
        <w:t xml:space="preserve">frequenties op zeven corridors. </w:t>
      </w:r>
      <w:r w:rsidRPr="00B74E9D" w:rsidR="00CD2EB5">
        <w:rPr>
          <w:color w:val="auto"/>
        </w:rPr>
        <w:t xml:space="preserve">Aanvullend daarop voorziet </w:t>
      </w:r>
      <w:r w:rsidRPr="00B74E9D" w:rsidR="00C5351F">
        <w:rPr>
          <w:color w:val="auto"/>
        </w:rPr>
        <w:t xml:space="preserve">het </w:t>
      </w:r>
      <w:r w:rsidRPr="00B74E9D" w:rsidR="00CD2EB5">
        <w:rPr>
          <w:i/>
          <w:iCs/>
          <w:color w:val="auto"/>
        </w:rPr>
        <w:t>Programma Spoorcapaciteit 2030</w:t>
      </w:r>
      <w:r w:rsidRPr="00B74E9D" w:rsidR="00CD2EB5">
        <w:rPr>
          <w:color w:val="auto"/>
        </w:rPr>
        <w:t xml:space="preserve"> in gerichte infra-investeringen in het gehele spoornetwerk waardoor verbeteringen in de dienstregeling mogelijk worde</w:t>
      </w:r>
      <w:r w:rsidRPr="00B74E9D" w:rsidR="00D1510D">
        <w:rPr>
          <w:color w:val="auto"/>
        </w:rPr>
        <w:t>n</w:t>
      </w:r>
      <w:r w:rsidRPr="00B74E9D" w:rsidR="00CD2EB5">
        <w:rPr>
          <w:color w:val="auto"/>
        </w:rPr>
        <w:t xml:space="preserve">. Hierdoor wordt het mogelijk </w:t>
      </w:r>
      <w:r w:rsidRPr="00B74E9D" w:rsidR="00482564">
        <w:rPr>
          <w:color w:val="auto"/>
        </w:rPr>
        <w:t xml:space="preserve">om </w:t>
      </w:r>
      <w:r w:rsidRPr="00B74E9D" w:rsidR="00CD2EB5">
        <w:rPr>
          <w:color w:val="auto"/>
        </w:rPr>
        <w:t xml:space="preserve">meer, langere of nieuwe treinen </w:t>
      </w:r>
      <w:r w:rsidRPr="00B74E9D" w:rsidR="00D1510D">
        <w:rPr>
          <w:color w:val="auto"/>
        </w:rPr>
        <w:t xml:space="preserve">(zoals ICNG) </w:t>
      </w:r>
      <w:r w:rsidRPr="00B74E9D" w:rsidR="00CD2EB5">
        <w:rPr>
          <w:color w:val="auto"/>
        </w:rPr>
        <w:t>te rijden en/of de reistijd te verkorten</w:t>
      </w:r>
      <w:r w:rsidRPr="00B74E9D" w:rsidR="00C5351F">
        <w:rPr>
          <w:color w:val="auto"/>
        </w:rPr>
        <w:t xml:space="preserve"> door bijvoorbeeld harder te (kunnen) rijden</w:t>
      </w:r>
      <w:r w:rsidRPr="00B74E9D" w:rsidR="00CD2EB5">
        <w:rPr>
          <w:color w:val="auto"/>
        </w:rPr>
        <w:t xml:space="preserve">. Met beide programma’s werken we toe naar een basis die het HRN-volume grotendeels </w:t>
      </w:r>
      <w:r w:rsidRPr="00B74E9D" w:rsidR="00C5351F">
        <w:rPr>
          <w:color w:val="auto"/>
        </w:rPr>
        <w:t>faciliteert</w:t>
      </w:r>
      <w:r w:rsidR="0070080B">
        <w:rPr>
          <w:color w:val="auto"/>
        </w:rPr>
        <w:t xml:space="preserve"> en</w:t>
      </w:r>
      <w:r w:rsidRPr="00B74E9D" w:rsidR="00CD2EB5">
        <w:rPr>
          <w:color w:val="auto"/>
        </w:rPr>
        <w:t xml:space="preserve"> verdere doorgroei mogelijk maakt en woningbouwlocaties ontsluit</w:t>
      </w:r>
      <w:r w:rsidRPr="00B74E9D" w:rsidR="003602E5">
        <w:rPr>
          <w:color w:val="auto"/>
        </w:rPr>
        <w:t>.</w:t>
      </w:r>
      <w:r w:rsidRPr="00B74E9D" w:rsidR="00C5351F">
        <w:rPr>
          <w:color w:val="auto"/>
        </w:rPr>
        <w:t xml:space="preserve"> </w:t>
      </w:r>
    </w:p>
    <w:p w:rsidRPr="00B74E9D" w:rsidR="0022558A" w:rsidP="00DF5C22" w:rsidRDefault="00AB309C" w14:paraId="29A0D913" w14:textId="5850C6EC">
      <w:pPr>
        <w:spacing w:after="120"/>
        <w:rPr>
          <w:color w:val="auto"/>
        </w:rPr>
      </w:pPr>
      <w:r w:rsidRPr="00B74E9D">
        <w:rPr>
          <w:color w:val="auto"/>
        </w:rPr>
        <w:t xml:space="preserve">In bijlage 1 geef ik </w:t>
      </w:r>
      <w:r w:rsidRPr="00B74E9D" w:rsidR="00CD2EB5">
        <w:rPr>
          <w:color w:val="auto"/>
        </w:rPr>
        <w:t>een overzicht van de frequentieverhogingen</w:t>
      </w:r>
      <w:r w:rsidRPr="00B74E9D">
        <w:rPr>
          <w:color w:val="auto"/>
        </w:rPr>
        <w:t xml:space="preserve"> en andere productverbeteringen</w:t>
      </w:r>
      <w:r w:rsidRPr="00B74E9D" w:rsidR="00CD2EB5">
        <w:rPr>
          <w:color w:val="auto"/>
        </w:rPr>
        <w:t xml:space="preserve"> in het HRN-volume waarvoor de spoorinfrastructuur al is gerealiseerd of waarvan aanleg </w:t>
      </w:r>
      <w:r w:rsidRPr="00B74E9D" w:rsidR="00E323EA">
        <w:rPr>
          <w:color w:val="auto"/>
        </w:rPr>
        <w:t xml:space="preserve">in uitvoering of in voorbereiding is. </w:t>
      </w:r>
      <w:r w:rsidRPr="00B74E9D" w:rsidR="00D36746">
        <w:rPr>
          <w:color w:val="auto"/>
        </w:rPr>
        <w:t>Indien uitwerking en uitvoering volgens planning verlopen, vergen d</w:t>
      </w:r>
      <w:r w:rsidRPr="00B74E9D" w:rsidR="00E323EA">
        <w:rPr>
          <w:color w:val="auto"/>
        </w:rPr>
        <w:t>eze frequentieverhogingen geen aanvullende inframaatregelen meer.</w:t>
      </w:r>
    </w:p>
    <w:p w:rsidRPr="00B74E9D" w:rsidR="0022558A" w:rsidRDefault="00CD4ECA" w14:paraId="380001E4" w14:textId="0B4A9FED">
      <w:pPr>
        <w:rPr>
          <w:color w:val="auto"/>
        </w:rPr>
      </w:pPr>
      <w:r w:rsidRPr="00B74E9D">
        <w:rPr>
          <w:color w:val="auto"/>
        </w:rPr>
        <w:t xml:space="preserve">Volledigheidshalve vermeld ik </w:t>
      </w:r>
      <w:r w:rsidRPr="00B74E9D" w:rsidR="004D5673">
        <w:rPr>
          <w:color w:val="auto"/>
        </w:rPr>
        <w:t>hier ten aanzien van deze bijlage</w:t>
      </w:r>
      <w:r w:rsidRPr="00B74E9D">
        <w:rPr>
          <w:color w:val="auto"/>
        </w:rPr>
        <w:t xml:space="preserve"> dat er in deze portefeuille (zoals bij alle </w:t>
      </w:r>
      <w:r w:rsidRPr="00B74E9D" w:rsidR="003D5F63">
        <w:rPr>
          <w:color w:val="auto"/>
        </w:rPr>
        <w:t>infrastructuurprojecten</w:t>
      </w:r>
      <w:r w:rsidRPr="00B74E9D">
        <w:rPr>
          <w:color w:val="auto"/>
        </w:rPr>
        <w:t>) tegenvallers of onvoorziene risico’s kunnen optreden</w:t>
      </w:r>
      <w:r w:rsidRPr="00B74E9D" w:rsidR="003D5F63">
        <w:rPr>
          <w:color w:val="auto"/>
        </w:rPr>
        <w:t>. Daarmee kan</w:t>
      </w:r>
      <w:r w:rsidRPr="00B74E9D" w:rsidR="003602E5">
        <w:rPr>
          <w:color w:val="auto"/>
        </w:rPr>
        <w:t xml:space="preserve"> </w:t>
      </w:r>
      <w:r w:rsidRPr="00B74E9D">
        <w:rPr>
          <w:color w:val="auto"/>
        </w:rPr>
        <w:t xml:space="preserve">een </w:t>
      </w:r>
      <w:r w:rsidRPr="00B74E9D" w:rsidR="004D5673">
        <w:rPr>
          <w:color w:val="auto"/>
        </w:rPr>
        <w:t>frequentieverhoging</w:t>
      </w:r>
      <w:r w:rsidRPr="00B74E9D">
        <w:rPr>
          <w:color w:val="auto"/>
        </w:rPr>
        <w:t xml:space="preserve"> onder druk </w:t>
      </w:r>
      <w:r w:rsidRPr="00B74E9D" w:rsidR="003D5F63">
        <w:rPr>
          <w:color w:val="auto"/>
        </w:rPr>
        <w:t>komen te staan</w:t>
      </w:r>
      <w:r w:rsidRPr="00B74E9D" w:rsidR="00CE4072">
        <w:rPr>
          <w:color w:val="auto"/>
        </w:rPr>
        <w:t xml:space="preserve"> waardoor deze later, of niet, plaats</w:t>
      </w:r>
      <w:r w:rsidRPr="00B74E9D" w:rsidR="004C63B4">
        <w:rPr>
          <w:color w:val="auto"/>
        </w:rPr>
        <w:t xml:space="preserve"> zou kunnen </w:t>
      </w:r>
      <w:r w:rsidRPr="00B74E9D" w:rsidR="00CE4072">
        <w:rPr>
          <w:color w:val="auto"/>
        </w:rPr>
        <w:t>vind</w:t>
      </w:r>
      <w:r w:rsidRPr="00B74E9D" w:rsidR="004C63B4">
        <w:rPr>
          <w:color w:val="auto"/>
        </w:rPr>
        <w:t>en</w:t>
      </w:r>
      <w:r w:rsidRPr="00B74E9D">
        <w:rPr>
          <w:color w:val="auto"/>
        </w:rPr>
        <w:t>.</w:t>
      </w:r>
    </w:p>
    <w:p w:rsidRPr="00B74E9D" w:rsidR="00A5553B" w:rsidRDefault="00A5553B" w14:paraId="21E016BC" w14:textId="77777777">
      <w:pPr>
        <w:rPr>
          <w:color w:val="auto"/>
        </w:rPr>
      </w:pPr>
    </w:p>
    <w:p w:rsidRPr="00B74E9D" w:rsidR="0022558A" w:rsidRDefault="0022558A" w14:paraId="2AB0CFE7" w14:textId="2B9DB2EC">
      <w:pPr>
        <w:rPr>
          <w:b/>
          <w:bCs/>
          <w:color w:val="auto"/>
        </w:rPr>
      </w:pPr>
      <w:r w:rsidRPr="00B74E9D">
        <w:rPr>
          <w:b/>
          <w:bCs/>
          <w:color w:val="auto"/>
        </w:rPr>
        <w:t>Frequentieverhogingen die nog aanvullende inframaatregelen vereisen</w:t>
      </w:r>
    </w:p>
    <w:p w:rsidRPr="00B74E9D" w:rsidR="00EB4B46" w:rsidP="00DF5C22" w:rsidRDefault="00D22C25" w14:paraId="458742BD" w14:textId="1CA10095">
      <w:pPr>
        <w:spacing w:after="120"/>
        <w:rPr>
          <w:color w:val="auto"/>
        </w:rPr>
      </w:pPr>
      <w:r w:rsidRPr="00B74E9D">
        <w:rPr>
          <w:color w:val="auto"/>
        </w:rPr>
        <w:t xml:space="preserve">Het </w:t>
      </w:r>
      <w:r w:rsidRPr="00B74E9D" w:rsidR="004A7519">
        <w:rPr>
          <w:color w:val="auto"/>
        </w:rPr>
        <w:t xml:space="preserve">eindbeeld voor het </w:t>
      </w:r>
      <w:r w:rsidRPr="00B74E9D">
        <w:rPr>
          <w:color w:val="auto"/>
        </w:rPr>
        <w:t xml:space="preserve">volume </w:t>
      </w:r>
      <w:r w:rsidRPr="00B74E9D" w:rsidR="006C70EE">
        <w:rPr>
          <w:color w:val="auto"/>
        </w:rPr>
        <w:t xml:space="preserve">zoals dat in </w:t>
      </w:r>
      <w:r w:rsidRPr="00B74E9D">
        <w:rPr>
          <w:color w:val="auto"/>
        </w:rPr>
        <w:t>de HRN-concessie</w:t>
      </w:r>
      <w:r w:rsidRPr="00B74E9D" w:rsidR="006C70EE">
        <w:rPr>
          <w:color w:val="auto"/>
        </w:rPr>
        <w:t xml:space="preserve"> is opgenomen</w:t>
      </w:r>
      <w:r w:rsidRPr="00B74E9D" w:rsidR="00B13A43">
        <w:rPr>
          <w:color w:val="auto"/>
        </w:rPr>
        <w:t>,</w:t>
      </w:r>
      <w:r w:rsidRPr="00B74E9D">
        <w:rPr>
          <w:color w:val="auto"/>
        </w:rPr>
        <w:t xml:space="preserve"> bevat </w:t>
      </w:r>
      <w:r w:rsidRPr="00B74E9D" w:rsidR="00D1510D">
        <w:rPr>
          <w:color w:val="auto"/>
        </w:rPr>
        <w:t xml:space="preserve">ook </w:t>
      </w:r>
      <w:r w:rsidRPr="00B74E9D">
        <w:rPr>
          <w:color w:val="auto"/>
        </w:rPr>
        <w:t>frequentieverhogingen die inframaatregelen vergen</w:t>
      </w:r>
      <w:r w:rsidRPr="00B74E9D" w:rsidR="003D5F63">
        <w:rPr>
          <w:color w:val="auto"/>
        </w:rPr>
        <w:t>,</w:t>
      </w:r>
      <w:r w:rsidRPr="00B74E9D">
        <w:rPr>
          <w:color w:val="auto"/>
        </w:rPr>
        <w:t xml:space="preserve"> </w:t>
      </w:r>
      <w:r w:rsidRPr="00B74E9D" w:rsidR="00D1510D">
        <w:rPr>
          <w:color w:val="auto"/>
        </w:rPr>
        <w:t>die (nog) niet gepland of in uitvoering zijn</w:t>
      </w:r>
      <w:r w:rsidRPr="00B74E9D" w:rsidR="00CD4ECA">
        <w:rPr>
          <w:color w:val="auto"/>
        </w:rPr>
        <w:t xml:space="preserve"> omdat </w:t>
      </w:r>
      <w:r w:rsidRPr="00B74E9D" w:rsidR="00A34ECE">
        <w:rPr>
          <w:color w:val="auto"/>
        </w:rPr>
        <w:t>hier nog nadere besluitvorming over moet plaatsvinden</w:t>
      </w:r>
      <w:r w:rsidRPr="00B74E9D" w:rsidR="00845304">
        <w:rPr>
          <w:color w:val="auto"/>
        </w:rPr>
        <w:t xml:space="preserve">. </w:t>
      </w:r>
      <w:r w:rsidRPr="00B74E9D" w:rsidR="00703B61">
        <w:rPr>
          <w:color w:val="auto"/>
        </w:rPr>
        <w:t>Hier ga ik in de volgende paragraaf nader op in.</w:t>
      </w:r>
    </w:p>
    <w:p w:rsidR="004D5673" w:rsidP="009B1C1A" w:rsidRDefault="00845304" w14:paraId="34FF5BA5" w14:textId="3CB78F3D">
      <w:pPr>
        <w:rPr>
          <w:color w:val="auto"/>
        </w:rPr>
      </w:pPr>
      <w:r w:rsidRPr="00B74E9D">
        <w:rPr>
          <w:color w:val="auto"/>
        </w:rPr>
        <w:t xml:space="preserve">Samen met ProRail en NS heb ik </w:t>
      </w:r>
      <w:r w:rsidRPr="00B74E9D" w:rsidR="00710197">
        <w:rPr>
          <w:color w:val="auto"/>
        </w:rPr>
        <w:t>deze categorie frequentieverhogingen</w:t>
      </w:r>
      <w:r w:rsidRPr="00B74E9D" w:rsidR="004C63B4">
        <w:rPr>
          <w:color w:val="auto"/>
        </w:rPr>
        <w:t xml:space="preserve"> </w:t>
      </w:r>
      <w:r w:rsidRPr="00B74E9D">
        <w:rPr>
          <w:color w:val="auto"/>
        </w:rPr>
        <w:t>in kaart gebracht</w:t>
      </w:r>
      <w:r w:rsidRPr="00B74E9D" w:rsidR="00D1510D">
        <w:rPr>
          <w:color w:val="auto"/>
        </w:rPr>
        <w:t>.</w:t>
      </w:r>
      <w:r w:rsidRPr="00B74E9D" w:rsidR="00EB4B46">
        <w:rPr>
          <w:color w:val="auto"/>
        </w:rPr>
        <w:t xml:space="preserve"> Bijlage </w:t>
      </w:r>
      <w:r w:rsidRPr="00B74E9D" w:rsidR="00422012">
        <w:rPr>
          <w:color w:val="auto"/>
        </w:rPr>
        <w:t>2</w:t>
      </w:r>
      <w:r w:rsidRPr="00B74E9D" w:rsidR="001770A7">
        <w:rPr>
          <w:color w:val="auto"/>
        </w:rPr>
        <w:t xml:space="preserve"> </w:t>
      </w:r>
      <w:r w:rsidRPr="00B74E9D" w:rsidR="00EB4B46">
        <w:rPr>
          <w:color w:val="auto"/>
        </w:rPr>
        <w:t>bevat</w:t>
      </w:r>
      <w:r w:rsidRPr="00B74E9D" w:rsidR="00422012">
        <w:rPr>
          <w:color w:val="auto"/>
        </w:rPr>
        <w:t xml:space="preserve"> </w:t>
      </w:r>
      <w:r w:rsidRPr="00B74E9D" w:rsidR="00582961">
        <w:rPr>
          <w:color w:val="auto"/>
        </w:rPr>
        <w:t>een overzicht</w:t>
      </w:r>
      <w:r w:rsidRPr="00B74E9D" w:rsidR="001770A7">
        <w:rPr>
          <w:color w:val="auto"/>
        </w:rPr>
        <w:t xml:space="preserve"> op hoofdlijnen.</w:t>
      </w:r>
      <w:r w:rsidRPr="00B74E9D" w:rsidR="001B1145">
        <w:rPr>
          <w:color w:val="auto"/>
        </w:rPr>
        <w:t xml:space="preserve"> Net als in bijlage 1 heb ik ook andere verbeteringen van het treinproduct onder elkaar gezet. Ontwikkeling van de treindienst van de toekomst gaat namelijk niet alleen om meer treinen per uur, maar </w:t>
      </w:r>
      <w:r w:rsidRPr="00B74E9D" w:rsidR="00F70606">
        <w:rPr>
          <w:color w:val="auto"/>
        </w:rPr>
        <w:t>ook om andere maatregelen die bijdragen aan een goede en comfortabele reis voor de reizigers</w:t>
      </w:r>
      <w:r w:rsidRPr="00B74E9D" w:rsidDel="003D5F63" w:rsidR="00F70606">
        <w:rPr>
          <w:color w:val="auto"/>
        </w:rPr>
        <w:t xml:space="preserve"> </w:t>
      </w:r>
      <w:r w:rsidRPr="00B74E9D" w:rsidR="00F70606">
        <w:rPr>
          <w:color w:val="auto"/>
        </w:rPr>
        <w:t>zoals</w:t>
      </w:r>
      <w:r w:rsidRPr="00B74E9D" w:rsidR="004D5673">
        <w:rPr>
          <w:color w:val="auto"/>
        </w:rPr>
        <w:t>:</w:t>
      </w:r>
    </w:p>
    <w:p w:rsidRPr="00B74E9D" w:rsidR="00DF5C22" w:rsidP="00DF5C22" w:rsidRDefault="001B1145" w14:paraId="693A4B54" w14:textId="77777777">
      <w:pPr>
        <w:pStyle w:val="ListParagraph"/>
        <w:numPr>
          <w:ilvl w:val="0"/>
          <w:numId w:val="25"/>
        </w:numPr>
        <w:ind w:left="567" w:hanging="207"/>
        <w:rPr>
          <w:color w:val="auto"/>
        </w:rPr>
      </w:pPr>
      <w:r w:rsidRPr="00B74E9D">
        <w:rPr>
          <w:color w:val="auto"/>
        </w:rPr>
        <w:t>langere treinen (minder volle treinen, meer zitplaatskans)</w:t>
      </w:r>
      <w:r w:rsidRPr="00B74E9D" w:rsidR="004D5673">
        <w:rPr>
          <w:color w:val="auto"/>
        </w:rPr>
        <w:t>;</w:t>
      </w:r>
    </w:p>
    <w:p w:rsidRPr="00B74E9D" w:rsidR="00DF5C22" w:rsidP="00DF5C22" w:rsidRDefault="00CE4072" w14:paraId="15C744BC" w14:textId="2CDBF54D">
      <w:pPr>
        <w:pStyle w:val="ListParagraph"/>
        <w:numPr>
          <w:ilvl w:val="0"/>
          <w:numId w:val="25"/>
        </w:numPr>
        <w:ind w:left="567" w:hanging="207"/>
        <w:rPr>
          <w:color w:val="auto"/>
        </w:rPr>
      </w:pPr>
      <w:r w:rsidRPr="00B74E9D">
        <w:rPr>
          <w:color w:val="auto"/>
        </w:rPr>
        <w:t xml:space="preserve">de inzetbaarheid van </w:t>
      </w:r>
      <w:r w:rsidRPr="00B74E9D" w:rsidR="001B1145">
        <w:rPr>
          <w:color w:val="auto"/>
        </w:rPr>
        <w:t>moderner materieel (toegankelijkheid, reiscomfort, voldoen aan wet- en regelgeving)</w:t>
      </w:r>
      <w:r w:rsidRPr="00B74E9D" w:rsidR="004D5673">
        <w:rPr>
          <w:color w:val="auto"/>
        </w:rPr>
        <w:t>;</w:t>
      </w:r>
    </w:p>
    <w:p w:rsidRPr="00B74E9D" w:rsidR="00DF5C22" w:rsidP="00DF5C22" w:rsidRDefault="001B1145" w14:paraId="047D2C17" w14:textId="77777777">
      <w:pPr>
        <w:pStyle w:val="ListParagraph"/>
        <w:numPr>
          <w:ilvl w:val="0"/>
          <w:numId w:val="25"/>
        </w:numPr>
        <w:ind w:left="567" w:hanging="207"/>
        <w:rPr>
          <w:color w:val="auto"/>
        </w:rPr>
      </w:pPr>
      <w:r w:rsidRPr="00B74E9D">
        <w:rPr>
          <w:color w:val="auto"/>
        </w:rPr>
        <w:t>voldoende behandel- en opstelcapaciteit (schonere treinen, robuuste start dienstregeling)</w:t>
      </w:r>
      <w:r w:rsidRPr="00B74E9D" w:rsidR="004D5673">
        <w:rPr>
          <w:color w:val="auto"/>
        </w:rPr>
        <w:t>;</w:t>
      </w:r>
    </w:p>
    <w:p w:rsidRPr="00B74E9D" w:rsidR="00DF5C22" w:rsidP="00DF5C22" w:rsidRDefault="00C15710" w14:paraId="238AF8DA" w14:textId="77777777">
      <w:pPr>
        <w:pStyle w:val="ListParagraph"/>
        <w:numPr>
          <w:ilvl w:val="0"/>
          <w:numId w:val="25"/>
        </w:numPr>
        <w:ind w:left="567" w:hanging="207"/>
        <w:rPr>
          <w:color w:val="auto"/>
        </w:rPr>
      </w:pPr>
      <w:r w:rsidRPr="00B74E9D">
        <w:rPr>
          <w:color w:val="auto"/>
        </w:rPr>
        <w:t>harder kunnen rijden (kortere reistijd)</w:t>
      </w:r>
      <w:r w:rsidRPr="00B74E9D" w:rsidR="004D5673">
        <w:rPr>
          <w:color w:val="auto"/>
        </w:rPr>
        <w:t>;</w:t>
      </w:r>
    </w:p>
    <w:p w:rsidRPr="00B74E9D" w:rsidR="00C15710" w:rsidP="00DF5C22" w:rsidRDefault="001B1145" w14:paraId="6571BBFE" w14:textId="630D27F5">
      <w:pPr>
        <w:pStyle w:val="ListParagraph"/>
        <w:numPr>
          <w:ilvl w:val="0"/>
          <w:numId w:val="25"/>
        </w:numPr>
        <w:ind w:left="567" w:hanging="207"/>
        <w:rPr>
          <w:color w:val="auto"/>
        </w:rPr>
      </w:pPr>
      <w:r w:rsidRPr="00B74E9D">
        <w:rPr>
          <w:color w:val="auto"/>
        </w:rPr>
        <w:t>betere overstaptijden</w:t>
      </w:r>
      <w:r w:rsidRPr="00B74E9D" w:rsidR="00C15710">
        <w:rPr>
          <w:color w:val="auto"/>
        </w:rPr>
        <w:t xml:space="preserve"> </w:t>
      </w:r>
      <w:r w:rsidRPr="00B74E9D" w:rsidR="00B13A43">
        <w:rPr>
          <w:color w:val="auto"/>
        </w:rPr>
        <w:t>(</w:t>
      </w:r>
      <w:r w:rsidRPr="00B74E9D" w:rsidR="00C15710">
        <w:rPr>
          <w:color w:val="auto"/>
        </w:rPr>
        <w:t>korter</w:t>
      </w:r>
      <w:r w:rsidRPr="00B74E9D" w:rsidR="00DF5C22">
        <w:rPr>
          <w:color w:val="auto"/>
        </w:rPr>
        <w:t xml:space="preserve">e </w:t>
      </w:r>
      <w:r w:rsidRPr="00B74E9D" w:rsidR="00C15710">
        <w:rPr>
          <w:color w:val="auto"/>
        </w:rPr>
        <w:t>reistijd)</w:t>
      </w:r>
      <w:r w:rsidRPr="00B74E9D" w:rsidR="00DF5C22">
        <w:rPr>
          <w:color w:val="auto"/>
        </w:rPr>
        <w:t>.</w:t>
      </w:r>
    </w:p>
    <w:p w:rsidRPr="00B74E9D" w:rsidR="00DF5C22" w:rsidP="00DF5C22" w:rsidRDefault="00DF5C22" w14:paraId="6231EDC4" w14:textId="77777777">
      <w:pPr>
        <w:pStyle w:val="ListParagraph"/>
        <w:ind w:left="567"/>
        <w:rPr>
          <w:color w:val="auto"/>
        </w:rPr>
      </w:pPr>
    </w:p>
    <w:p w:rsidRPr="00B74E9D" w:rsidR="00757FB9" w:rsidP="00C60846" w:rsidRDefault="00F61228" w14:paraId="01E48C80" w14:textId="248711FB">
      <w:pPr>
        <w:rPr>
          <w:color w:val="auto"/>
        </w:rPr>
      </w:pPr>
      <w:r w:rsidRPr="00B74E9D">
        <w:rPr>
          <w:color w:val="auto"/>
        </w:rPr>
        <w:t xml:space="preserve">Zoals hiervoor beschreven </w:t>
      </w:r>
      <w:r w:rsidRPr="00B74E9D" w:rsidR="00B13A43">
        <w:rPr>
          <w:color w:val="auto"/>
        </w:rPr>
        <w:t xml:space="preserve">bestaat </w:t>
      </w:r>
      <w:r w:rsidRPr="00B74E9D">
        <w:rPr>
          <w:color w:val="auto"/>
        </w:rPr>
        <w:t xml:space="preserve">een goede treindienst – en daarom </w:t>
      </w:r>
      <w:r w:rsidRPr="00B74E9D" w:rsidR="00827DCC">
        <w:rPr>
          <w:color w:val="auto"/>
        </w:rPr>
        <w:t xml:space="preserve">zeker </w:t>
      </w:r>
      <w:r w:rsidRPr="00B74E9D">
        <w:rPr>
          <w:color w:val="auto"/>
        </w:rPr>
        <w:t>ook die op het HRN</w:t>
      </w:r>
      <w:r w:rsidRPr="00B74E9D" w:rsidR="00827DCC">
        <w:rPr>
          <w:color w:val="auto"/>
        </w:rPr>
        <w:t xml:space="preserve"> –</w:t>
      </w:r>
      <w:r w:rsidR="00E83EA9">
        <w:rPr>
          <w:color w:val="auto"/>
        </w:rPr>
        <w:t xml:space="preserve"> </w:t>
      </w:r>
      <w:r w:rsidRPr="00B74E9D" w:rsidR="00827DCC">
        <w:rPr>
          <w:color w:val="auto"/>
        </w:rPr>
        <w:t xml:space="preserve">uit zowel frequente als (o.m.) betrouwbare, schone, moderne en comfortabele treinen met voldoende kans op een zitplaats. </w:t>
      </w:r>
      <w:r w:rsidRPr="00B74E9D" w:rsidR="006F1268">
        <w:rPr>
          <w:color w:val="auto"/>
        </w:rPr>
        <w:t xml:space="preserve">Veel van die </w:t>
      </w:r>
      <w:r w:rsidRPr="00B74E9D" w:rsidR="00827DCC">
        <w:rPr>
          <w:color w:val="auto"/>
        </w:rPr>
        <w:t>infra</w:t>
      </w:r>
      <w:r w:rsidRPr="00B74E9D" w:rsidR="006F1268">
        <w:rPr>
          <w:color w:val="auto"/>
        </w:rPr>
        <w:t xml:space="preserve">maatregelen worden </w:t>
      </w:r>
      <w:r w:rsidRPr="00B74E9D" w:rsidR="00827DCC">
        <w:rPr>
          <w:color w:val="auto"/>
        </w:rPr>
        <w:t xml:space="preserve">gerealiseerd binnen de programma’s </w:t>
      </w:r>
      <w:r w:rsidRPr="00B74E9D" w:rsidR="00827DCC">
        <w:rPr>
          <w:i/>
          <w:iCs/>
          <w:color w:val="auto"/>
        </w:rPr>
        <w:t>Hoogfrequent Spoorvervoer</w:t>
      </w:r>
      <w:r w:rsidRPr="00B74E9D" w:rsidR="00827DCC">
        <w:rPr>
          <w:color w:val="auto"/>
        </w:rPr>
        <w:t xml:space="preserve"> en </w:t>
      </w:r>
      <w:r w:rsidRPr="00B74E9D" w:rsidR="00FF28FC">
        <w:rPr>
          <w:i/>
          <w:iCs/>
          <w:color w:val="auto"/>
        </w:rPr>
        <w:t>Spoorcapaciteit 2030</w:t>
      </w:r>
      <w:r w:rsidRPr="00B74E9D" w:rsidR="006F1268">
        <w:rPr>
          <w:color w:val="auto"/>
        </w:rPr>
        <w:t xml:space="preserve">. </w:t>
      </w:r>
      <w:r w:rsidRPr="00B74E9D" w:rsidR="00827DCC">
        <w:rPr>
          <w:color w:val="auto"/>
        </w:rPr>
        <w:t xml:space="preserve">Die bevatten gerichte pakketten van uiteenlopende typen inframaatregelen zoals het </w:t>
      </w:r>
      <w:r w:rsidRPr="00B74E9D" w:rsidR="004D5673">
        <w:rPr>
          <w:color w:val="auto"/>
        </w:rPr>
        <w:t>verbeteren</w:t>
      </w:r>
      <w:r w:rsidRPr="00B74E9D" w:rsidR="00827DCC">
        <w:rPr>
          <w:color w:val="auto"/>
        </w:rPr>
        <w:t xml:space="preserve"> van de ondergrond</w:t>
      </w:r>
      <w:r w:rsidRPr="00B74E9D" w:rsidR="004D5673">
        <w:rPr>
          <w:color w:val="auto"/>
        </w:rPr>
        <w:t xml:space="preserve"> (baanstabiliteit), </w:t>
      </w:r>
      <w:r w:rsidRPr="00B74E9D" w:rsidR="00827DCC">
        <w:rPr>
          <w:color w:val="auto"/>
        </w:rPr>
        <w:t xml:space="preserve">plaatsen van </w:t>
      </w:r>
      <w:r w:rsidRPr="00B74E9D" w:rsidR="004D5673">
        <w:rPr>
          <w:color w:val="auto"/>
        </w:rPr>
        <w:t xml:space="preserve">geluidschermen, </w:t>
      </w:r>
      <w:r w:rsidRPr="00B74E9D" w:rsidR="00827DCC">
        <w:rPr>
          <w:color w:val="auto"/>
        </w:rPr>
        <w:t xml:space="preserve">verlengen van </w:t>
      </w:r>
      <w:r w:rsidRPr="00B74E9D" w:rsidR="004D5673">
        <w:rPr>
          <w:color w:val="auto"/>
        </w:rPr>
        <w:t xml:space="preserve">perrons, </w:t>
      </w:r>
      <w:r w:rsidRPr="00B74E9D" w:rsidR="00827DCC">
        <w:rPr>
          <w:color w:val="auto"/>
        </w:rPr>
        <w:t xml:space="preserve">verzwaren van </w:t>
      </w:r>
      <w:r w:rsidRPr="00B74E9D" w:rsidR="004D5673">
        <w:rPr>
          <w:color w:val="auto"/>
        </w:rPr>
        <w:t>onderstations verzwaren (</w:t>
      </w:r>
      <w:r w:rsidRPr="00B74E9D" w:rsidR="00F152D4">
        <w:rPr>
          <w:color w:val="auto"/>
        </w:rPr>
        <w:t>tractie-energievoorziening</w:t>
      </w:r>
      <w:r w:rsidRPr="00B74E9D" w:rsidR="004D5673">
        <w:rPr>
          <w:color w:val="auto"/>
        </w:rPr>
        <w:t>)</w:t>
      </w:r>
      <w:r w:rsidR="00E83EA9">
        <w:rPr>
          <w:color w:val="auto"/>
        </w:rPr>
        <w:t>,</w:t>
      </w:r>
      <w:r w:rsidRPr="00B74E9D" w:rsidR="004D5673">
        <w:rPr>
          <w:color w:val="auto"/>
        </w:rPr>
        <w:t xml:space="preserve"> enz</w:t>
      </w:r>
      <w:r w:rsidRPr="00B74E9D" w:rsidR="00B13A43">
        <w:rPr>
          <w:color w:val="auto"/>
        </w:rPr>
        <w:t>ovoort</w:t>
      </w:r>
      <w:r w:rsidRPr="00B74E9D" w:rsidR="004D5673">
        <w:rPr>
          <w:color w:val="auto"/>
        </w:rPr>
        <w:t>.</w:t>
      </w:r>
      <w:r w:rsidR="008E6FCB">
        <w:rPr>
          <w:color w:val="auto"/>
        </w:rPr>
        <w:t xml:space="preserve"> </w:t>
      </w:r>
      <w:r w:rsidRPr="00B74E9D" w:rsidR="00827DCC">
        <w:rPr>
          <w:color w:val="auto"/>
        </w:rPr>
        <w:t xml:space="preserve">Hiermee </w:t>
      </w:r>
      <w:r w:rsidRPr="00B74E9D" w:rsidR="00EC566F">
        <w:rPr>
          <w:color w:val="auto"/>
        </w:rPr>
        <w:t xml:space="preserve">werken we gericht en efficiënt aan HRN-spoorinfrastructuur die de beoogde treindienst met meer, langere, moderne, schone treinen </w:t>
      </w:r>
      <w:r w:rsidR="00E83EA9">
        <w:rPr>
          <w:color w:val="auto"/>
        </w:rPr>
        <w:t>–</w:t>
      </w:r>
      <w:r w:rsidRPr="00B74E9D" w:rsidR="00EC566F">
        <w:rPr>
          <w:color w:val="auto"/>
        </w:rPr>
        <w:t xml:space="preserve"> zoals vastgelegd in de HRN-concessie </w:t>
      </w:r>
      <w:r w:rsidR="00E83EA9">
        <w:rPr>
          <w:color w:val="auto"/>
        </w:rPr>
        <w:t>–</w:t>
      </w:r>
      <w:r w:rsidRPr="00B74E9D" w:rsidR="00EC566F">
        <w:rPr>
          <w:color w:val="auto"/>
        </w:rPr>
        <w:t xml:space="preserve"> mogelijk maakt. </w:t>
      </w:r>
    </w:p>
    <w:p w:rsidRPr="00B74E9D" w:rsidR="006C726C" w:rsidP="00D22C25" w:rsidRDefault="006C726C" w14:paraId="26A214D0" w14:textId="77777777">
      <w:pPr>
        <w:rPr>
          <w:b/>
          <w:bCs/>
          <w:color w:val="auto"/>
        </w:rPr>
      </w:pPr>
    </w:p>
    <w:p w:rsidRPr="00B74E9D" w:rsidR="00D22C25" w:rsidP="00D22C25" w:rsidRDefault="00D22C25" w14:paraId="0DE3E3B5" w14:textId="7F742AFC">
      <w:pPr>
        <w:rPr>
          <w:b/>
          <w:bCs/>
          <w:color w:val="auto"/>
        </w:rPr>
      </w:pPr>
      <w:bookmarkStart w:name="_Hlk231454863" w:id="1"/>
      <w:r w:rsidRPr="00B74E9D">
        <w:rPr>
          <w:b/>
          <w:bCs/>
          <w:color w:val="auto"/>
        </w:rPr>
        <w:t xml:space="preserve">Tussentijdse </w:t>
      </w:r>
      <w:r w:rsidRPr="00B74E9D" w:rsidR="0002083B">
        <w:rPr>
          <w:b/>
          <w:bCs/>
          <w:color w:val="auto"/>
        </w:rPr>
        <w:t xml:space="preserve">actualisatie </w:t>
      </w:r>
      <w:r w:rsidRPr="00B74E9D" w:rsidR="007F64FB">
        <w:rPr>
          <w:b/>
          <w:bCs/>
          <w:color w:val="auto"/>
        </w:rPr>
        <w:t xml:space="preserve">volume HRN-concessie </w:t>
      </w:r>
      <w:r w:rsidRPr="00B74E9D">
        <w:rPr>
          <w:b/>
          <w:bCs/>
          <w:color w:val="auto"/>
        </w:rPr>
        <w:t>in 2027</w:t>
      </w:r>
    </w:p>
    <w:p w:rsidRPr="00B74E9D" w:rsidR="008E1BCE" w:rsidP="00DF5C22" w:rsidRDefault="00D20DF9" w14:paraId="4FAEAA0B" w14:textId="5CE62207">
      <w:pPr>
        <w:spacing w:after="120"/>
        <w:rPr>
          <w:color w:val="auto"/>
        </w:rPr>
      </w:pPr>
      <w:r w:rsidRPr="00B74E9D">
        <w:rPr>
          <w:color w:val="auto"/>
        </w:rPr>
        <w:t>De verwachte ontwikkeling in de vervoersvraag kan veranderen.</w:t>
      </w:r>
      <w:r w:rsidRPr="00B74E9D" w:rsidR="00710197">
        <w:rPr>
          <w:color w:val="auto"/>
        </w:rPr>
        <w:t xml:space="preserve"> </w:t>
      </w:r>
      <w:r w:rsidRPr="00B74E9D" w:rsidR="00F70606">
        <w:rPr>
          <w:color w:val="auto"/>
        </w:rPr>
        <w:t>Daarom heb ik in de HRN-concessie met NS al a</w:t>
      </w:r>
      <w:r w:rsidRPr="00B74E9D" w:rsidR="00710197">
        <w:rPr>
          <w:color w:val="auto"/>
        </w:rPr>
        <w:t xml:space="preserve">fgesproken om </w:t>
      </w:r>
      <w:r w:rsidRPr="00B74E9D">
        <w:rPr>
          <w:color w:val="auto"/>
        </w:rPr>
        <w:t>het voorgenomen volume</w:t>
      </w:r>
      <w:r w:rsidRPr="00B74E9D" w:rsidR="00CE4072">
        <w:rPr>
          <w:color w:val="auto"/>
        </w:rPr>
        <w:t xml:space="preserve"> in 2027</w:t>
      </w:r>
      <w:r w:rsidRPr="00B74E9D">
        <w:rPr>
          <w:color w:val="auto"/>
        </w:rPr>
        <w:t xml:space="preserve"> te </w:t>
      </w:r>
      <w:r w:rsidRPr="00B74E9D" w:rsidR="00710197">
        <w:rPr>
          <w:color w:val="auto"/>
        </w:rPr>
        <w:t xml:space="preserve">gaan </w:t>
      </w:r>
      <w:r w:rsidRPr="00DE01BD">
        <w:rPr>
          <w:color w:val="auto"/>
        </w:rPr>
        <w:t xml:space="preserve">actualiseren. </w:t>
      </w:r>
      <w:r w:rsidRPr="00DE01BD" w:rsidR="004C63B4">
        <w:rPr>
          <w:color w:val="auto"/>
        </w:rPr>
        <w:t>V</w:t>
      </w:r>
      <w:r w:rsidRPr="00DE01BD">
        <w:rPr>
          <w:color w:val="auto"/>
        </w:rPr>
        <w:t xml:space="preserve">oorbereidingen daarvoor zijn begin dit jaar gestart. In de actualisatie weegt het ministerie van IenW samen </w:t>
      </w:r>
      <w:r w:rsidRPr="00DC128E">
        <w:rPr>
          <w:color w:val="auto"/>
        </w:rPr>
        <w:t xml:space="preserve">met </w:t>
      </w:r>
      <w:r w:rsidRPr="00DC128E" w:rsidR="009C5E52">
        <w:rPr>
          <w:color w:val="auto"/>
        </w:rPr>
        <w:t>alle betrokkenen de</w:t>
      </w:r>
      <w:r w:rsidRPr="00DC128E">
        <w:rPr>
          <w:color w:val="auto"/>
        </w:rPr>
        <w:t xml:space="preserve"> gewenste en beoogde frequentieverhogingen</w:t>
      </w:r>
      <w:r w:rsidRPr="00DE01BD">
        <w:rPr>
          <w:color w:val="auto"/>
        </w:rPr>
        <w:t xml:space="preserve"> integraal af tegen de verwachte vervoersvraag, eventueel benodigde infrastructuur</w:t>
      </w:r>
      <w:r w:rsidRPr="00DE01BD" w:rsidR="001029EA">
        <w:rPr>
          <w:color w:val="auto"/>
        </w:rPr>
        <w:t>-</w:t>
      </w:r>
      <w:r w:rsidRPr="00DE01BD">
        <w:rPr>
          <w:color w:val="auto"/>
        </w:rPr>
        <w:t>investeringen en de budgettaire ruimte alsmede wijzigingen in de exploitatie</w:t>
      </w:r>
      <w:r w:rsidRPr="00DE01BD" w:rsidR="001029EA">
        <w:rPr>
          <w:color w:val="auto"/>
        </w:rPr>
        <w:t>-</w:t>
      </w:r>
      <w:r w:rsidRPr="00DE01BD">
        <w:rPr>
          <w:color w:val="auto"/>
        </w:rPr>
        <w:t>kosten voor de vervoerder. Bij de</w:t>
      </w:r>
      <w:r w:rsidRPr="00B74E9D">
        <w:rPr>
          <w:color w:val="auto"/>
        </w:rPr>
        <w:t xml:space="preserve"> </w:t>
      </w:r>
      <w:r w:rsidRPr="00B74E9D">
        <w:rPr>
          <w:i/>
          <w:iCs/>
          <w:color w:val="auto"/>
        </w:rPr>
        <w:t>midterm review</w:t>
      </w:r>
      <w:r w:rsidRPr="00B74E9D">
        <w:rPr>
          <w:color w:val="auto"/>
        </w:rPr>
        <w:t xml:space="preserve"> van de HRN-concessie (in 2029) zal ik de nieuwe volumes voor 2030-2033 </w:t>
      </w:r>
      <w:r w:rsidRPr="00B74E9D" w:rsidR="001029EA">
        <w:rPr>
          <w:color w:val="auto"/>
        </w:rPr>
        <w:t xml:space="preserve">definitief </w:t>
      </w:r>
      <w:r w:rsidRPr="00B74E9D">
        <w:rPr>
          <w:color w:val="auto"/>
        </w:rPr>
        <w:t>vaststellen.</w:t>
      </w:r>
    </w:p>
    <w:p w:rsidRPr="00B74E9D" w:rsidR="00CD4ECA" w:rsidP="009B1C1A" w:rsidRDefault="00D20DF9" w14:paraId="767AD24B" w14:textId="52CF8276">
      <w:pPr>
        <w:rPr>
          <w:color w:val="auto"/>
        </w:rPr>
      </w:pPr>
      <w:r w:rsidRPr="00B74E9D">
        <w:rPr>
          <w:color w:val="auto"/>
        </w:rPr>
        <w:t xml:space="preserve">Uit de actualisatie kan komen dat </w:t>
      </w:r>
      <w:r w:rsidRPr="00B74E9D" w:rsidR="00CE4072">
        <w:rPr>
          <w:color w:val="auto"/>
        </w:rPr>
        <w:t xml:space="preserve">in de nieuw vast te stellen volumes een frequentieverhoging die nu nog in de het eindbeeld van de concessie staat, </w:t>
      </w:r>
      <w:r w:rsidRPr="00B74E9D" w:rsidR="003A3FBA">
        <w:rPr>
          <w:color w:val="auto"/>
        </w:rPr>
        <w:t>alsnog</w:t>
      </w:r>
      <w:r w:rsidRPr="00B74E9D" w:rsidR="00CE4072">
        <w:rPr>
          <w:color w:val="auto"/>
        </w:rPr>
        <w:t xml:space="preserve"> niet opgenomen </w:t>
      </w:r>
      <w:r w:rsidRPr="00B74E9D" w:rsidR="003A3FBA">
        <w:rPr>
          <w:color w:val="auto"/>
        </w:rPr>
        <w:t>wordt</w:t>
      </w:r>
      <w:r w:rsidRPr="00B74E9D" w:rsidR="00CE4072">
        <w:rPr>
          <w:color w:val="auto"/>
        </w:rPr>
        <w:t xml:space="preserve">. </w:t>
      </w:r>
      <w:r w:rsidRPr="00B74E9D" w:rsidR="00C569A5">
        <w:rPr>
          <w:color w:val="auto"/>
        </w:rPr>
        <w:t>D</w:t>
      </w:r>
      <w:r w:rsidRPr="00B74E9D" w:rsidR="00F70606">
        <w:rPr>
          <w:color w:val="auto"/>
        </w:rPr>
        <w:t xml:space="preserve">aarmee </w:t>
      </w:r>
      <w:r w:rsidRPr="00B74E9D">
        <w:rPr>
          <w:color w:val="auto"/>
        </w:rPr>
        <w:t xml:space="preserve">vervalt de verplichting voor NS om </w:t>
      </w:r>
      <w:r w:rsidRPr="00B74E9D" w:rsidR="00D842E1">
        <w:rPr>
          <w:color w:val="auto"/>
        </w:rPr>
        <w:t xml:space="preserve">dat deel van het volume </w:t>
      </w:r>
      <w:r w:rsidRPr="00B74E9D">
        <w:rPr>
          <w:color w:val="auto"/>
        </w:rPr>
        <w:t>te rijden. Waar dat niet het geval is en een frequentieverhoging noodzakelijk blijft, zal de frequentieverhoging onderdeel uitmaken van de nieuwe volumes. Er zijn dan drie</w:t>
      </w:r>
      <w:r w:rsidRPr="00B74E9D" w:rsidR="00DA6C63">
        <w:rPr>
          <w:color w:val="auto"/>
        </w:rPr>
        <w:t xml:space="preserve"> mogelijke uitkomsten</w:t>
      </w:r>
      <w:r w:rsidRPr="00B74E9D">
        <w:rPr>
          <w:color w:val="auto"/>
        </w:rPr>
        <w:t>:</w:t>
      </w:r>
    </w:p>
    <w:p w:rsidRPr="00B74E9D" w:rsidR="00CD4ECA" w:rsidP="00CD4ECA" w:rsidRDefault="00CD4ECA" w14:paraId="006D8333" w14:textId="5A367706">
      <w:pPr>
        <w:pStyle w:val="ListParagraph"/>
        <w:numPr>
          <w:ilvl w:val="0"/>
          <w:numId w:val="24"/>
        </w:numPr>
        <w:rPr>
          <w:color w:val="auto"/>
        </w:rPr>
      </w:pPr>
      <w:r w:rsidRPr="00B74E9D">
        <w:rPr>
          <w:color w:val="auto"/>
        </w:rPr>
        <w:t>De voorgenomen frequentieverhoging vereist geen infrastructurele maatregelen</w:t>
      </w:r>
      <w:r w:rsidRPr="00B74E9D" w:rsidR="00710197">
        <w:rPr>
          <w:color w:val="auto"/>
        </w:rPr>
        <w:t xml:space="preserve"> </w:t>
      </w:r>
      <w:r w:rsidRPr="00B74E9D" w:rsidR="00710197">
        <w:rPr>
          <w:color w:val="auto"/>
        </w:rPr>
        <w:sym w:font="Wingdings" w:char="F0E0"/>
      </w:r>
      <w:r w:rsidRPr="00B74E9D">
        <w:rPr>
          <w:color w:val="auto"/>
        </w:rPr>
        <w:t xml:space="preserve"> NS is verplicht deze te gaan rijden zoals opgenomen;</w:t>
      </w:r>
    </w:p>
    <w:p w:rsidRPr="00B74E9D" w:rsidR="00CD4ECA" w:rsidP="00CD4ECA" w:rsidRDefault="00CD4ECA" w14:paraId="16AB4503" w14:textId="4BB7476B">
      <w:pPr>
        <w:pStyle w:val="ListParagraph"/>
        <w:numPr>
          <w:ilvl w:val="0"/>
          <w:numId w:val="24"/>
        </w:numPr>
        <w:rPr>
          <w:color w:val="auto"/>
        </w:rPr>
      </w:pPr>
      <w:r w:rsidRPr="00B74E9D">
        <w:rPr>
          <w:color w:val="auto"/>
        </w:rPr>
        <w:t xml:space="preserve">De voorgenomen frequentieverhoging vereist infrastructurele maatregelen die gepland of in uitvoering zijn </w:t>
      </w:r>
      <w:r w:rsidRPr="00B74E9D" w:rsidR="00710197">
        <w:rPr>
          <w:color w:val="auto"/>
        </w:rPr>
        <w:sym w:font="Wingdings" w:char="F0E0"/>
      </w:r>
      <w:r w:rsidRPr="00B74E9D">
        <w:rPr>
          <w:color w:val="auto"/>
        </w:rPr>
        <w:t xml:space="preserve"> </w:t>
      </w:r>
      <w:r w:rsidR="002F60BF">
        <w:rPr>
          <w:color w:val="auto"/>
        </w:rPr>
        <w:t>M</w:t>
      </w:r>
      <w:r w:rsidRPr="00B74E9D">
        <w:rPr>
          <w:color w:val="auto"/>
        </w:rPr>
        <w:t xml:space="preserve">its deze maatregelen op tijd gerealiseerd zijn, is NS verplicht deze te gaan rijden </w:t>
      </w:r>
      <w:r w:rsidRPr="00B74E9D" w:rsidR="00961700">
        <w:rPr>
          <w:color w:val="auto"/>
        </w:rPr>
        <w:t xml:space="preserve">in lijn met de concessieafspraken </w:t>
      </w:r>
      <w:r w:rsidRPr="00B74E9D">
        <w:rPr>
          <w:color w:val="auto"/>
        </w:rPr>
        <w:t>of anders zodra de benodigde infrastructuur gerealiseerd is;</w:t>
      </w:r>
    </w:p>
    <w:p w:rsidR="00703B61" w:rsidP="001E4671" w:rsidRDefault="00CD4ECA" w14:paraId="41453AEA" w14:textId="38602FDF">
      <w:pPr>
        <w:pStyle w:val="ListParagraph"/>
        <w:numPr>
          <w:ilvl w:val="0"/>
          <w:numId w:val="24"/>
        </w:numPr>
        <w:ind w:left="714" w:hanging="357"/>
        <w:rPr>
          <w:color w:val="auto"/>
        </w:rPr>
      </w:pPr>
      <w:r w:rsidRPr="00B74E9D">
        <w:rPr>
          <w:color w:val="auto"/>
        </w:rPr>
        <w:t xml:space="preserve">De voorgenomen frequentieverhoging vereist infrastructurele maatregelen </w:t>
      </w:r>
      <w:r w:rsidRPr="00B74E9D" w:rsidR="00F70606">
        <w:rPr>
          <w:color w:val="auto"/>
        </w:rPr>
        <w:t xml:space="preserve">die nog niet in </w:t>
      </w:r>
      <w:r w:rsidRPr="00B74E9D" w:rsidR="00DA6C63">
        <w:rPr>
          <w:color w:val="auto"/>
        </w:rPr>
        <w:t>uitwerking of realisatie zijn</w:t>
      </w:r>
      <w:r w:rsidRPr="00B74E9D" w:rsidR="006255A5">
        <w:rPr>
          <w:color w:val="auto"/>
        </w:rPr>
        <w:t xml:space="preserve"> </w:t>
      </w:r>
      <w:r w:rsidRPr="00B74E9D" w:rsidR="006C726C">
        <w:rPr>
          <w:color w:val="auto"/>
        </w:rPr>
        <w:sym w:font="Wingdings" w:char="F0E0"/>
      </w:r>
      <w:r w:rsidRPr="00B74E9D">
        <w:rPr>
          <w:color w:val="auto"/>
        </w:rPr>
        <w:t xml:space="preserve"> </w:t>
      </w:r>
      <w:r w:rsidRPr="00B74E9D" w:rsidR="001029EA">
        <w:rPr>
          <w:color w:val="auto"/>
        </w:rPr>
        <w:t xml:space="preserve">Indien de maatregel </w:t>
      </w:r>
      <w:r w:rsidRPr="00B74E9D" w:rsidR="00031989">
        <w:rPr>
          <w:color w:val="auto"/>
        </w:rPr>
        <w:t>niet wordt uitgevoerd</w:t>
      </w:r>
      <w:r w:rsidRPr="00B74E9D" w:rsidR="00DA6C63">
        <w:rPr>
          <w:color w:val="auto"/>
        </w:rPr>
        <w:t xml:space="preserve">, is </w:t>
      </w:r>
      <w:r w:rsidRPr="00B74E9D">
        <w:rPr>
          <w:color w:val="auto"/>
        </w:rPr>
        <w:t>NS niet verplicht deze frequentieverhoging te gaan rijden</w:t>
      </w:r>
      <w:r w:rsidRPr="00B74E9D" w:rsidR="00DA6C63">
        <w:rPr>
          <w:color w:val="auto"/>
        </w:rPr>
        <w:t>.</w:t>
      </w:r>
      <w:r w:rsidRPr="00B74E9D" w:rsidR="006255A5">
        <w:rPr>
          <w:color w:val="auto"/>
        </w:rPr>
        <w:t xml:space="preserve"> </w:t>
      </w:r>
      <w:r w:rsidRPr="00B74E9D" w:rsidR="00912D0F">
        <w:rPr>
          <w:color w:val="auto"/>
        </w:rPr>
        <w:t>Formeel blijft dit dus onderdeel van het volume, maar zal deze in principe in de concessieperiode niet (kunnen) rijden.</w:t>
      </w:r>
    </w:p>
    <w:p w:rsidRPr="00DC128E" w:rsidR="00DC128E" w:rsidP="00DC128E" w:rsidRDefault="00DC128E" w14:paraId="4E4B18C0" w14:textId="77777777">
      <w:pPr>
        <w:rPr>
          <w:color w:val="auto"/>
        </w:rPr>
      </w:pPr>
    </w:p>
    <w:p w:rsidRPr="00B74E9D" w:rsidR="00F72EBE" w:rsidP="001770A7" w:rsidRDefault="00DA6C63" w14:paraId="2850645D" w14:textId="18ED6352">
      <w:pPr>
        <w:rPr>
          <w:color w:val="auto"/>
        </w:rPr>
      </w:pPr>
      <w:r w:rsidRPr="00B74E9D">
        <w:rPr>
          <w:color w:val="auto"/>
        </w:rPr>
        <w:t>In dit licht is het belangrijk te weten dat d</w:t>
      </w:r>
      <w:r w:rsidRPr="00B74E9D" w:rsidR="00FF28FC">
        <w:rPr>
          <w:color w:val="auto"/>
        </w:rPr>
        <w:t xml:space="preserve">e concessie </w:t>
      </w:r>
      <w:r w:rsidRPr="00B74E9D" w:rsidR="002E393A">
        <w:rPr>
          <w:color w:val="auto"/>
        </w:rPr>
        <w:t xml:space="preserve">voor IenW </w:t>
      </w:r>
      <w:r w:rsidRPr="00B74E9D" w:rsidR="00FF28FC">
        <w:rPr>
          <w:i/>
          <w:iCs/>
          <w:color w:val="auto"/>
        </w:rPr>
        <w:t>geen</w:t>
      </w:r>
      <w:r w:rsidRPr="00B74E9D" w:rsidR="00FF28FC">
        <w:rPr>
          <w:color w:val="auto"/>
        </w:rPr>
        <w:t xml:space="preserve"> verplichting</w:t>
      </w:r>
      <w:r w:rsidRPr="00B74E9D" w:rsidR="00FF0263">
        <w:rPr>
          <w:color w:val="auto"/>
        </w:rPr>
        <w:t xml:space="preserve"> </w:t>
      </w:r>
      <w:r w:rsidRPr="00B74E9D" w:rsidR="00FF28FC">
        <w:rPr>
          <w:color w:val="auto"/>
        </w:rPr>
        <w:t>tot het aanleggen van infrastructuur tot stand</w:t>
      </w:r>
      <w:r w:rsidRPr="00B74E9D">
        <w:rPr>
          <w:color w:val="auto"/>
        </w:rPr>
        <w:t xml:space="preserve"> brengt</w:t>
      </w:r>
      <w:r w:rsidRPr="00B74E9D" w:rsidR="00FF28FC">
        <w:rPr>
          <w:color w:val="auto"/>
        </w:rPr>
        <w:t xml:space="preserve"> om het volume mogelijk te maken.</w:t>
      </w:r>
      <w:r w:rsidR="00DC128E">
        <w:rPr>
          <w:color w:val="auto"/>
        </w:rPr>
        <w:t xml:space="preserve"> </w:t>
      </w:r>
      <w:r w:rsidRPr="00B74E9D" w:rsidR="001770A7">
        <w:rPr>
          <w:color w:val="auto"/>
        </w:rPr>
        <w:t>Voor</w:t>
      </w:r>
      <w:r w:rsidRPr="00B74E9D" w:rsidR="00EB4B46">
        <w:rPr>
          <w:color w:val="auto"/>
        </w:rPr>
        <w:t xml:space="preserve"> </w:t>
      </w:r>
      <w:r w:rsidRPr="00B74E9D" w:rsidR="00F572BB">
        <w:rPr>
          <w:color w:val="auto"/>
        </w:rPr>
        <w:t>productverbeteringen</w:t>
      </w:r>
      <w:r w:rsidRPr="00B74E9D">
        <w:rPr>
          <w:color w:val="auto"/>
        </w:rPr>
        <w:t xml:space="preserve"> in de derde categorie </w:t>
      </w:r>
      <w:r w:rsidRPr="00B74E9D" w:rsidR="001770A7">
        <w:rPr>
          <w:color w:val="auto"/>
        </w:rPr>
        <w:t>of het dekken van</w:t>
      </w:r>
      <w:r w:rsidRPr="00B74E9D" w:rsidR="007263DA">
        <w:rPr>
          <w:color w:val="auto"/>
        </w:rPr>
        <w:t xml:space="preserve"> nieuwe</w:t>
      </w:r>
      <w:r w:rsidRPr="00B74E9D" w:rsidR="001770A7">
        <w:rPr>
          <w:color w:val="auto"/>
        </w:rPr>
        <w:t xml:space="preserve"> exploitatietekorten</w:t>
      </w:r>
      <w:r w:rsidRPr="00B74E9D" w:rsidR="00C60846">
        <w:rPr>
          <w:color w:val="auto"/>
        </w:rPr>
        <w:t xml:space="preserve"> in de concessie</w:t>
      </w:r>
      <w:r w:rsidRPr="00B74E9D" w:rsidR="001770A7">
        <w:rPr>
          <w:color w:val="auto"/>
        </w:rPr>
        <w:t xml:space="preserve"> is </w:t>
      </w:r>
      <w:r w:rsidRPr="00B74E9D" w:rsidR="00422A33">
        <w:rPr>
          <w:color w:val="auto"/>
        </w:rPr>
        <w:t xml:space="preserve">momenteel </w:t>
      </w:r>
      <w:r w:rsidRPr="00B74E9D" w:rsidR="001770A7">
        <w:rPr>
          <w:color w:val="auto"/>
        </w:rPr>
        <w:t>geen budget gereserveerd.</w:t>
      </w:r>
      <w:r w:rsidR="00D80B3F">
        <w:rPr>
          <w:color w:val="auto"/>
        </w:rPr>
        <w:t xml:space="preserve"> </w:t>
      </w:r>
      <w:r w:rsidRPr="00B74E9D" w:rsidR="00E538F2">
        <w:rPr>
          <w:color w:val="auto"/>
        </w:rPr>
        <w:t>Gezien</w:t>
      </w:r>
      <w:r w:rsidRPr="00B74E9D" w:rsidR="000A6C05">
        <w:rPr>
          <w:color w:val="auto"/>
        </w:rPr>
        <w:t xml:space="preserve"> de</w:t>
      </w:r>
      <w:r w:rsidRPr="00B74E9D" w:rsidR="001C2804">
        <w:rPr>
          <w:color w:val="auto"/>
        </w:rPr>
        <w:t xml:space="preserve"> beperkte</w:t>
      </w:r>
      <w:r w:rsidRPr="00B74E9D" w:rsidR="000A6C05">
        <w:rPr>
          <w:color w:val="auto"/>
        </w:rPr>
        <w:t xml:space="preserve"> </w:t>
      </w:r>
      <w:r w:rsidRPr="00B74E9D" w:rsidR="001029EA">
        <w:rPr>
          <w:color w:val="auto"/>
        </w:rPr>
        <w:t>financiële ruimte</w:t>
      </w:r>
      <w:r w:rsidRPr="00B74E9D" w:rsidR="000A6C05">
        <w:rPr>
          <w:color w:val="auto"/>
        </w:rPr>
        <w:t xml:space="preserve"> </w:t>
      </w:r>
      <w:r w:rsidRPr="00B74E9D" w:rsidR="00422A33">
        <w:rPr>
          <w:color w:val="auto"/>
        </w:rPr>
        <w:t xml:space="preserve">binnen </w:t>
      </w:r>
      <w:r w:rsidRPr="00B74E9D" w:rsidR="000A6C05">
        <w:rPr>
          <w:color w:val="auto"/>
        </w:rPr>
        <w:t>het Mobiliteitsfonds</w:t>
      </w:r>
      <w:r w:rsidRPr="00B74E9D" w:rsidR="001770A7">
        <w:rPr>
          <w:color w:val="auto"/>
        </w:rPr>
        <w:t xml:space="preserve"> is het dan ook niet zeker dat alle frequentieverhogingen die zijn opgenomen in het </w:t>
      </w:r>
      <w:r w:rsidRPr="00B74E9D" w:rsidR="00757FB9">
        <w:rPr>
          <w:color w:val="auto"/>
        </w:rPr>
        <w:t>concessie-e</w:t>
      </w:r>
      <w:r w:rsidRPr="00B74E9D" w:rsidR="001770A7">
        <w:rPr>
          <w:color w:val="auto"/>
        </w:rPr>
        <w:t>indbeeld en die nog aanvullende</w:t>
      </w:r>
      <w:r w:rsidRPr="00B74E9D" w:rsidR="000A6C05">
        <w:rPr>
          <w:color w:val="auto"/>
        </w:rPr>
        <w:t xml:space="preserve"> dekking voor </w:t>
      </w:r>
      <w:r w:rsidRPr="00B74E9D" w:rsidR="001770A7">
        <w:rPr>
          <w:color w:val="auto"/>
        </w:rPr>
        <w:t xml:space="preserve">inframaatregelen vergen, ook </w:t>
      </w:r>
      <w:r w:rsidRPr="00B74E9D" w:rsidR="00E538F2">
        <w:rPr>
          <w:color w:val="auto"/>
        </w:rPr>
        <w:t xml:space="preserve">(op tijd) </w:t>
      </w:r>
      <w:r w:rsidRPr="00B74E9D" w:rsidR="001770A7">
        <w:rPr>
          <w:color w:val="auto"/>
        </w:rPr>
        <w:t xml:space="preserve">gereden </w:t>
      </w:r>
      <w:r w:rsidRPr="00B74E9D" w:rsidR="002705FC">
        <w:rPr>
          <w:color w:val="auto"/>
        </w:rPr>
        <w:t xml:space="preserve">kunnen </w:t>
      </w:r>
      <w:r w:rsidRPr="00B74E9D" w:rsidR="001770A7">
        <w:rPr>
          <w:color w:val="auto"/>
        </w:rPr>
        <w:t>worden.</w:t>
      </w:r>
      <w:r w:rsidRPr="00B74E9D" w:rsidR="00FF0263">
        <w:rPr>
          <w:color w:val="auto"/>
        </w:rPr>
        <w:t xml:space="preserve"> </w:t>
      </w:r>
    </w:p>
    <w:p w:rsidRPr="00B74E9D" w:rsidR="00F72EBE" w:rsidP="001770A7" w:rsidRDefault="00F72EBE" w14:paraId="6DC587F7" w14:textId="77777777">
      <w:pPr>
        <w:rPr>
          <w:color w:val="auto"/>
        </w:rPr>
      </w:pPr>
    </w:p>
    <w:p w:rsidR="006C726C" w:rsidP="001770A7" w:rsidRDefault="00FF0263" w14:paraId="6A8DA0BB" w14:textId="778A81BA">
      <w:pPr>
        <w:rPr>
          <w:color w:val="auto"/>
        </w:rPr>
      </w:pPr>
      <w:r w:rsidRPr="00B74E9D">
        <w:rPr>
          <w:color w:val="auto"/>
        </w:rPr>
        <w:t xml:space="preserve">Zoals eerder vermeld, </w:t>
      </w:r>
      <w:r w:rsidRPr="00B74E9D" w:rsidR="0098008A">
        <w:rPr>
          <w:color w:val="auto"/>
        </w:rPr>
        <w:t>wil</w:t>
      </w:r>
      <w:r w:rsidRPr="00B74E9D">
        <w:rPr>
          <w:color w:val="auto"/>
        </w:rPr>
        <w:t xml:space="preserve"> ik de </w:t>
      </w:r>
      <w:r w:rsidRPr="00B74E9D" w:rsidR="0098008A">
        <w:rPr>
          <w:color w:val="auto"/>
        </w:rPr>
        <w:t>beschikbare</w:t>
      </w:r>
      <w:r w:rsidRPr="00B74E9D">
        <w:rPr>
          <w:color w:val="auto"/>
        </w:rPr>
        <w:t xml:space="preserve"> financiële middelen maatschappelijk zo optimaal mogelijk besteden met de grootste baten voor de reiziger.</w:t>
      </w:r>
      <w:r w:rsidRPr="00B74E9D" w:rsidR="00E32700">
        <w:rPr>
          <w:color w:val="auto"/>
        </w:rPr>
        <w:t xml:space="preserve"> Dit </w:t>
      </w:r>
      <w:r w:rsidRPr="00B74E9D" w:rsidR="002E393A">
        <w:rPr>
          <w:color w:val="auto"/>
        </w:rPr>
        <w:t>kan</w:t>
      </w:r>
      <w:r w:rsidRPr="00B74E9D" w:rsidR="00E32700">
        <w:rPr>
          <w:color w:val="auto"/>
        </w:rPr>
        <w:t xml:space="preserve"> beteken</w:t>
      </w:r>
      <w:r w:rsidR="00D80B3F">
        <w:rPr>
          <w:color w:val="auto"/>
        </w:rPr>
        <w:t>en</w:t>
      </w:r>
      <w:r w:rsidRPr="00B74E9D" w:rsidR="00E32700">
        <w:rPr>
          <w:color w:val="auto"/>
        </w:rPr>
        <w:t xml:space="preserve"> dat er </w:t>
      </w:r>
      <w:r w:rsidRPr="00B74E9D" w:rsidR="005407D4">
        <w:rPr>
          <w:color w:val="auto"/>
        </w:rPr>
        <w:t xml:space="preserve">in de toekomst </w:t>
      </w:r>
      <w:r w:rsidRPr="00B74E9D" w:rsidR="00E32700">
        <w:rPr>
          <w:color w:val="auto"/>
        </w:rPr>
        <w:t xml:space="preserve">keuzes gemaakt moeten worden </w:t>
      </w:r>
      <w:r w:rsidRPr="00B74E9D" w:rsidR="00F06EBB">
        <w:rPr>
          <w:color w:val="auto"/>
        </w:rPr>
        <w:t xml:space="preserve">tussen </w:t>
      </w:r>
      <w:r w:rsidRPr="00B74E9D" w:rsidR="00B8609A">
        <w:rPr>
          <w:color w:val="auto"/>
        </w:rPr>
        <w:t>verschillende inframaatregelen die bij de frequentieverhogingen behoren.</w:t>
      </w:r>
      <w:r w:rsidRPr="00B74E9D" w:rsidR="001770A7">
        <w:rPr>
          <w:color w:val="auto"/>
        </w:rPr>
        <w:t xml:space="preserve"> </w:t>
      </w:r>
      <w:r w:rsidRPr="00B74E9D" w:rsidR="00A5441C">
        <w:rPr>
          <w:color w:val="auto"/>
        </w:rPr>
        <w:t>Die keuzes dienen te passen binnen de financiële kaders van de inframaatregelen die bij de frequentieverhogingen behoren</w:t>
      </w:r>
      <w:r w:rsidRPr="00B74E9D" w:rsidR="001770A7">
        <w:rPr>
          <w:color w:val="auto"/>
        </w:rPr>
        <w:t>.</w:t>
      </w:r>
      <w:r w:rsidRPr="00B74E9D" w:rsidR="006377F5">
        <w:rPr>
          <w:rStyle w:val="FootnoteReference"/>
          <w:color w:val="auto"/>
        </w:rPr>
        <w:footnoteReference w:id="2"/>
      </w:r>
      <w:bookmarkEnd w:id="1"/>
    </w:p>
    <w:p w:rsidRPr="00B74E9D" w:rsidR="00D80B3F" w:rsidP="001770A7" w:rsidRDefault="00D80B3F" w14:paraId="0528D5B1" w14:textId="77777777">
      <w:pPr>
        <w:rPr>
          <w:b/>
          <w:bCs/>
          <w:color w:val="auto"/>
        </w:rPr>
      </w:pPr>
    </w:p>
    <w:p w:rsidRPr="00B74E9D" w:rsidR="00840183" w:rsidP="001770A7" w:rsidRDefault="00C60846" w14:paraId="680BDA46" w14:textId="330539F8">
      <w:pPr>
        <w:rPr>
          <w:b/>
          <w:bCs/>
          <w:color w:val="auto"/>
        </w:rPr>
      </w:pPr>
      <w:r w:rsidRPr="00B74E9D">
        <w:rPr>
          <w:b/>
          <w:bCs/>
          <w:color w:val="auto"/>
        </w:rPr>
        <w:t>Emplacementen</w:t>
      </w:r>
    </w:p>
    <w:p w:rsidRPr="00B74E9D" w:rsidR="008E30E8" w:rsidP="008E30E8" w:rsidRDefault="00C60846" w14:paraId="0FB7A6D3" w14:textId="5BFCC9D0">
      <w:pPr>
        <w:rPr>
          <w:color w:val="auto"/>
        </w:rPr>
      </w:pPr>
      <w:r w:rsidRPr="00B74E9D">
        <w:rPr>
          <w:color w:val="auto"/>
        </w:rPr>
        <w:t xml:space="preserve">Hier komt bij dat </w:t>
      </w:r>
      <w:r w:rsidRPr="00B74E9D" w:rsidR="004C544B">
        <w:rPr>
          <w:color w:val="auto"/>
        </w:rPr>
        <w:t xml:space="preserve">al deze frequentieverhogingen doorgaans extra materieel vergen. Dit materieel </w:t>
      </w:r>
      <w:r w:rsidRPr="00B74E9D" w:rsidR="007D6156">
        <w:rPr>
          <w:color w:val="auto"/>
        </w:rPr>
        <w:t xml:space="preserve">moet </w:t>
      </w:r>
      <w:r w:rsidRPr="00B74E9D" w:rsidR="004C544B">
        <w:rPr>
          <w:color w:val="auto"/>
        </w:rPr>
        <w:t xml:space="preserve">ergens opgesteld (geparkeerd) en behandeld (schoonmaak en onderhoud) </w:t>
      </w:r>
      <w:r w:rsidRPr="00B74E9D" w:rsidR="007D6156">
        <w:rPr>
          <w:color w:val="auto"/>
        </w:rPr>
        <w:t>kunnen</w:t>
      </w:r>
      <w:r w:rsidRPr="00B74E9D" w:rsidR="004C544B">
        <w:rPr>
          <w:color w:val="auto"/>
        </w:rPr>
        <w:t xml:space="preserve"> worden.</w:t>
      </w:r>
      <w:r w:rsidR="00383621">
        <w:rPr>
          <w:color w:val="auto"/>
        </w:rPr>
        <w:t xml:space="preserve"> </w:t>
      </w:r>
      <w:r w:rsidRPr="00B74E9D" w:rsidR="00383621">
        <w:rPr>
          <w:color w:val="auto"/>
        </w:rPr>
        <w:t xml:space="preserve">Binnen het programma </w:t>
      </w:r>
      <w:r w:rsidRPr="00B74E9D" w:rsidR="00383621">
        <w:rPr>
          <w:i/>
          <w:iCs/>
          <w:color w:val="auto"/>
        </w:rPr>
        <w:t xml:space="preserve">Behandelen en </w:t>
      </w:r>
      <w:r w:rsidR="00DC128E">
        <w:rPr>
          <w:i/>
          <w:iCs/>
          <w:color w:val="auto"/>
        </w:rPr>
        <w:t>O</w:t>
      </w:r>
      <w:r w:rsidRPr="00B74E9D" w:rsidR="00383621">
        <w:rPr>
          <w:i/>
          <w:iCs/>
          <w:color w:val="auto"/>
        </w:rPr>
        <w:t>pstellen</w:t>
      </w:r>
      <w:r w:rsidRPr="00B74E9D" w:rsidR="00383621">
        <w:rPr>
          <w:color w:val="auto"/>
        </w:rPr>
        <w:t xml:space="preserve"> </w:t>
      </w:r>
      <w:r w:rsidR="002F60BF">
        <w:rPr>
          <w:color w:val="auto"/>
        </w:rPr>
        <w:t xml:space="preserve">(B&amp;O) </w:t>
      </w:r>
      <w:r w:rsidRPr="00B74E9D" w:rsidR="00383621">
        <w:rPr>
          <w:color w:val="auto"/>
        </w:rPr>
        <w:t xml:space="preserve">is de emplacementscapaciteit </w:t>
      </w:r>
      <w:r w:rsidR="00383621">
        <w:rPr>
          <w:color w:val="auto"/>
        </w:rPr>
        <w:t xml:space="preserve">zoveel mogelijk binnen het bestaande budget </w:t>
      </w:r>
      <w:r w:rsidRPr="00B74E9D" w:rsidR="00383621">
        <w:rPr>
          <w:color w:val="auto"/>
        </w:rPr>
        <w:t>uitgebreid</w:t>
      </w:r>
      <w:r w:rsidR="00383621">
        <w:rPr>
          <w:color w:val="auto"/>
        </w:rPr>
        <w:t xml:space="preserve">. Tegelijkertijd ontstaan er zonder verdere uitbreiding van emplacementen mogelijk in de toekomst nieuwe knelpunten. </w:t>
      </w:r>
      <w:r w:rsidRPr="00B74E9D" w:rsidR="008E30E8">
        <w:rPr>
          <w:color w:val="auto"/>
        </w:rPr>
        <w:t>Het laten bestaan van deze knelpunten kan eventueel de afgesproken prestaties uit de HRN-concessie raken:</w:t>
      </w:r>
    </w:p>
    <w:p w:rsidRPr="00B74E9D" w:rsidR="008E30E8" w:rsidP="008E30E8" w:rsidRDefault="008E30E8" w14:paraId="1387A7EC" w14:textId="77777777">
      <w:pPr>
        <w:pStyle w:val="ListParagraph"/>
        <w:numPr>
          <w:ilvl w:val="0"/>
          <w:numId w:val="25"/>
        </w:numPr>
        <w:rPr>
          <w:color w:val="auto"/>
        </w:rPr>
      </w:pPr>
      <w:r w:rsidRPr="00B74E9D">
        <w:rPr>
          <w:color w:val="auto"/>
        </w:rPr>
        <w:t xml:space="preserve">Kans op te korte treinen, waardoor meer reizigers moeten staan (KPI </w:t>
      </w:r>
      <w:r w:rsidRPr="00B74E9D">
        <w:rPr>
          <w:i/>
          <w:iCs/>
          <w:color w:val="auto"/>
        </w:rPr>
        <w:t>Zitplaatskans</w:t>
      </w:r>
      <w:r w:rsidRPr="00B74E9D">
        <w:rPr>
          <w:color w:val="auto"/>
        </w:rPr>
        <w:t>);</w:t>
      </w:r>
    </w:p>
    <w:p w:rsidRPr="00B74E9D" w:rsidR="008E30E8" w:rsidP="008E30E8" w:rsidRDefault="008E30E8" w14:paraId="5641D636" w14:textId="77777777">
      <w:pPr>
        <w:pStyle w:val="ListParagraph"/>
        <w:numPr>
          <w:ilvl w:val="0"/>
          <w:numId w:val="25"/>
        </w:numPr>
        <w:rPr>
          <w:color w:val="auto"/>
        </w:rPr>
      </w:pPr>
      <w:r w:rsidRPr="00B74E9D">
        <w:rPr>
          <w:color w:val="auto"/>
        </w:rPr>
        <w:t xml:space="preserve">Frequentieverhogingen worden moeilijker maakbaar, waardoor de vervoersvraag onvoldoende kan worden geaccommodeerd (KPI </w:t>
      </w:r>
      <w:r w:rsidRPr="00B74E9D">
        <w:rPr>
          <w:i/>
          <w:iCs/>
          <w:color w:val="auto"/>
        </w:rPr>
        <w:t>Zitplaatskans</w:t>
      </w:r>
      <w:r w:rsidRPr="00B74E9D">
        <w:rPr>
          <w:color w:val="auto"/>
        </w:rPr>
        <w:t>);</w:t>
      </w:r>
    </w:p>
    <w:p w:rsidRPr="00B74E9D" w:rsidR="008E30E8" w:rsidP="008E30E8" w:rsidRDefault="008E30E8" w14:paraId="36C3A86A" w14:textId="77777777">
      <w:pPr>
        <w:pStyle w:val="ListParagraph"/>
        <w:numPr>
          <w:ilvl w:val="0"/>
          <w:numId w:val="25"/>
        </w:numPr>
        <w:rPr>
          <w:color w:val="auto"/>
        </w:rPr>
      </w:pPr>
      <w:r w:rsidRPr="00B74E9D">
        <w:rPr>
          <w:color w:val="auto"/>
        </w:rPr>
        <w:t>Kans op kwalitatief lagere treinen door minder schoonmaak (viezere treinen; KPI</w:t>
      </w:r>
      <w:r w:rsidRPr="00B74E9D">
        <w:rPr>
          <w:i/>
          <w:iCs/>
          <w:color w:val="auto"/>
        </w:rPr>
        <w:t xml:space="preserve"> Algemeen klantoordeel</w:t>
      </w:r>
      <w:r w:rsidRPr="00B74E9D">
        <w:rPr>
          <w:color w:val="auto"/>
        </w:rPr>
        <w:t xml:space="preserve">) en/of minder onderhoud (meer storingen/defecten; KPI </w:t>
      </w:r>
      <w:r w:rsidRPr="00B74E9D">
        <w:rPr>
          <w:i/>
          <w:iCs/>
          <w:color w:val="auto"/>
        </w:rPr>
        <w:t>Impactvolle storingen veroorzaakt door NS</w:t>
      </w:r>
      <w:r w:rsidRPr="00B74E9D">
        <w:rPr>
          <w:color w:val="auto"/>
        </w:rPr>
        <w:t>);</w:t>
      </w:r>
    </w:p>
    <w:p w:rsidRPr="00B74E9D" w:rsidR="008E30E8" w:rsidP="008E30E8" w:rsidRDefault="008E30E8" w14:paraId="0B20B956" w14:textId="6AE5E5AC">
      <w:pPr>
        <w:pStyle w:val="ListParagraph"/>
        <w:numPr>
          <w:ilvl w:val="0"/>
          <w:numId w:val="25"/>
        </w:numPr>
        <w:rPr>
          <w:color w:val="auto"/>
        </w:rPr>
      </w:pPr>
      <w:r w:rsidRPr="00B74E9D">
        <w:rPr>
          <w:color w:val="auto"/>
        </w:rPr>
        <w:t xml:space="preserve">Lagere robuustheid van de dienstregeling door minder betrouwbare opstart aan het begin van de dag (KPI </w:t>
      </w:r>
      <w:r w:rsidRPr="00B74E9D">
        <w:rPr>
          <w:i/>
          <w:iCs/>
          <w:color w:val="auto"/>
        </w:rPr>
        <w:t>Reizigerspunctualiteit</w:t>
      </w:r>
      <w:r w:rsidRPr="00B74E9D">
        <w:rPr>
          <w:color w:val="auto"/>
        </w:rPr>
        <w:t>)</w:t>
      </w:r>
      <w:r>
        <w:rPr>
          <w:color w:val="auto"/>
        </w:rPr>
        <w:t xml:space="preserve"> en</w:t>
      </w:r>
      <w:r w:rsidRPr="00B74E9D">
        <w:rPr>
          <w:color w:val="auto"/>
        </w:rPr>
        <w:t>;</w:t>
      </w:r>
    </w:p>
    <w:p w:rsidRPr="00B74E9D" w:rsidR="008E30E8" w:rsidP="008E30E8" w:rsidRDefault="008E30E8" w14:paraId="0172CF05" w14:textId="32AB4073">
      <w:pPr>
        <w:pStyle w:val="ListParagraph"/>
        <w:numPr>
          <w:ilvl w:val="0"/>
          <w:numId w:val="25"/>
        </w:numPr>
        <w:rPr>
          <w:color w:val="auto"/>
        </w:rPr>
      </w:pPr>
      <w:r w:rsidRPr="00B74E9D">
        <w:rPr>
          <w:color w:val="auto"/>
        </w:rPr>
        <w:t>Hogere exploitatiekosten van de HRN-concessie door het verder moeten rijden met leeg materieel naar een behandel- en/of opstellocatie</w:t>
      </w:r>
      <w:r>
        <w:rPr>
          <w:color w:val="auto"/>
        </w:rPr>
        <w:t>.</w:t>
      </w:r>
    </w:p>
    <w:p w:rsidRPr="00B74E9D" w:rsidR="001E4671" w:rsidP="001E4671" w:rsidRDefault="001E4671" w14:paraId="0EF642BD" w14:textId="1EC3A8AE">
      <w:pPr>
        <w:pStyle w:val="ListParagraph"/>
        <w:ind w:left="714"/>
        <w:rPr>
          <w:color w:val="auto"/>
        </w:rPr>
      </w:pPr>
    </w:p>
    <w:p w:rsidRPr="00B74E9D" w:rsidR="00E32700" w:rsidP="001770A7" w:rsidRDefault="00EB10C2" w14:paraId="22EC2595" w14:textId="3076172D">
      <w:pPr>
        <w:rPr>
          <w:color w:val="auto"/>
        </w:rPr>
      </w:pPr>
      <w:r w:rsidRPr="0059151F">
        <w:rPr>
          <w:color w:val="auto"/>
        </w:rPr>
        <w:t>Deze knelpunten zijn overigens niet 1-op-1 aan frequentieverhogingen gekoppeld maar aan de algemene vervoersgroei</w:t>
      </w:r>
      <w:r w:rsidRPr="0059151F" w:rsidR="00020AAD">
        <w:rPr>
          <w:color w:val="auto"/>
        </w:rPr>
        <w:t xml:space="preserve"> en de bredere prestatieafspraken uit de HRN-concessie</w:t>
      </w:r>
      <w:r w:rsidRPr="0059151F">
        <w:rPr>
          <w:color w:val="auto"/>
        </w:rPr>
        <w:t>.</w:t>
      </w:r>
      <w:r w:rsidRPr="0059151F" w:rsidR="00AF7EBA">
        <w:rPr>
          <w:color w:val="auto"/>
        </w:rPr>
        <w:t xml:space="preserve"> </w:t>
      </w:r>
      <w:r w:rsidRPr="0059151F" w:rsidR="007F6E70">
        <w:rPr>
          <w:color w:val="auto"/>
        </w:rPr>
        <w:t>Zoals ik in de inleiding van de brief stel, ligt het opstarten van nieuwe projecten</w:t>
      </w:r>
      <w:r w:rsidRPr="00B74E9D" w:rsidR="007F6E70">
        <w:rPr>
          <w:color w:val="auto"/>
        </w:rPr>
        <w:t xml:space="preserve"> – dus ook voor emplacementsuitbreiding – echter niet voor de hand vanwege de zeer beperkte financiële investeringsruimte.</w:t>
      </w:r>
      <w:r w:rsidRPr="00B74E9D" w:rsidR="00FF0263">
        <w:rPr>
          <w:color w:val="auto"/>
        </w:rPr>
        <w:t xml:space="preserve"> </w:t>
      </w:r>
    </w:p>
    <w:p w:rsidRPr="00B74E9D" w:rsidR="00E32700" w:rsidP="001770A7" w:rsidRDefault="00E32700" w14:paraId="70EDD342" w14:textId="77777777">
      <w:pPr>
        <w:rPr>
          <w:color w:val="auto"/>
        </w:rPr>
      </w:pPr>
    </w:p>
    <w:p w:rsidR="00D80B3F" w:rsidP="00E32700" w:rsidRDefault="008E30E8" w14:paraId="2165DA26" w14:textId="4F2BE0F0">
      <w:pPr>
        <w:rPr>
          <w:b/>
          <w:bCs/>
          <w:color w:val="auto"/>
        </w:rPr>
      </w:pPr>
      <w:r>
        <w:rPr>
          <w:b/>
          <w:bCs/>
          <w:color w:val="auto"/>
        </w:rPr>
        <w:t>Toekomstperspectief</w:t>
      </w:r>
    </w:p>
    <w:p w:rsidRPr="00B74E9D" w:rsidR="00E32700" w:rsidP="00E32700" w:rsidRDefault="00B8609A" w14:paraId="12BF1C4D" w14:textId="1C0867F8">
      <w:pPr>
        <w:rPr>
          <w:color w:val="auto"/>
        </w:rPr>
      </w:pPr>
      <w:r w:rsidRPr="00B74E9D">
        <w:rPr>
          <w:color w:val="auto"/>
        </w:rPr>
        <w:t>Wat betreft de besluitvorming over deze knelpunten zet ik</w:t>
      </w:r>
      <w:r w:rsidRPr="00B74E9D" w:rsidR="00E32700">
        <w:rPr>
          <w:color w:val="auto"/>
        </w:rPr>
        <w:t xml:space="preserve"> in op een beheerst, gedegen en integraal proces tot aan de daartoe ingerichte </w:t>
      </w:r>
      <w:r w:rsidRPr="00B74E9D" w:rsidR="00E32700">
        <w:rPr>
          <w:i/>
          <w:iCs/>
          <w:color w:val="auto"/>
        </w:rPr>
        <w:t>midterm review</w:t>
      </w:r>
      <w:r w:rsidRPr="00B74E9D" w:rsidR="00E32700">
        <w:rPr>
          <w:color w:val="auto"/>
        </w:rPr>
        <w:t xml:space="preserve">. Het is onwenselijk om daarop vooruit te lopen door bijvoorbeeld een specifieke </w:t>
      </w:r>
      <w:r w:rsidRPr="00B74E9D" w:rsidR="00B515CC">
        <w:rPr>
          <w:color w:val="auto"/>
        </w:rPr>
        <w:t>frequentieverhoging</w:t>
      </w:r>
      <w:r w:rsidRPr="00B74E9D" w:rsidR="00E32700">
        <w:rPr>
          <w:color w:val="auto"/>
        </w:rPr>
        <w:t xml:space="preserve"> </w:t>
      </w:r>
      <w:r w:rsidRPr="00B74E9D" w:rsidR="0098008A">
        <w:rPr>
          <w:color w:val="auto"/>
        </w:rPr>
        <w:t xml:space="preserve">of emplacementsuitbreiding </w:t>
      </w:r>
      <w:r w:rsidRPr="00B74E9D" w:rsidR="00E32700">
        <w:rPr>
          <w:color w:val="auto"/>
        </w:rPr>
        <w:t xml:space="preserve">nu al uit te lichten en daarover te besluiten. Dat zou de integraliteit van het actualisatieproces - en daarmee de maatschappelijk meest optimale uitkomst - in gevaar brengen. </w:t>
      </w:r>
      <w:r w:rsidRPr="00B74E9D">
        <w:rPr>
          <w:color w:val="auto"/>
        </w:rPr>
        <w:t xml:space="preserve">Verder zal bij de knelpunten op de emplacementen ook in het proces een maatschappelijke afweging moeten worden gemaakt </w:t>
      </w:r>
      <w:r w:rsidRPr="00B74E9D" w:rsidR="00B515CC">
        <w:rPr>
          <w:color w:val="auto"/>
        </w:rPr>
        <w:t>ten aanzien van</w:t>
      </w:r>
      <w:r w:rsidRPr="00B74E9D">
        <w:rPr>
          <w:color w:val="auto"/>
        </w:rPr>
        <w:t xml:space="preserve"> de </w:t>
      </w:r>
      <w:r w:rsidRPr="00B74E9D" w:rsidR="0098008A">
        <w:rPr>
          <w:color w:val="auto"/>
        </w:rPr>
        <w:t>beschikbare</w:t>
      </w:r>
      <w:r w:rsidRPr="00B74E9D">
        <w:rPr>
          <w:color w:val="auto"/>
        </w:rPr>
        <w:t xml:space="preserve"> financiële middelen.</w:t>
      </w:r>
    </w:p>
    <w:p w:rsidRPr="00B74E9D" w:rsidR="00E32700" w:rsidP="00E32700" w:rsidRDefault="00E32700" w14:paraId="48AD77E9" w14:textId="77777777">
      <w:pPr>
        <w:rPr>
          <w:color w:val="auto"/>
        </w:rPr>
      </w:pPr>
    </w:p>
    <w:p w:rsidRPr="00B74E9D" w:rsidR="00E32700" w:rsidP="00E32700" w:rsidRDefault="00E32700" w14:paraId="41DDF97D" w14:textId="77777777">
      <w:pPr>
        <w:rPr>
          <w:b/>
          <w:bCs/>
          <w:color w:val="auto"/>
        </w:rPr>
      </w:pPr>
      <w:r w:rsidRPr="00B74E9D">
        <w:rPr>
          <w:color w:val="auto"/>
        </w:rPr>
        <w:t xml:space="preserve">Overigens zal de vervoersvraag zich ook na de lopende concessieperiode blijven ontwikkelen en naar verwachting vragen om aanpassing. In het licht van mijn toezegging en de gevraagde analyse heb ik de periode na 2033 echter buiten beschouwing gelaten. Overigens verschaft het (volledig) realiseren van de programma’s </w:t>
      </w:r>
      <w:r w:rsidRPr="00B74E9D">
        <w:rPr>
          <w:i/>
          <w:iCs/>
          <w:color w:val="auto"/>
        </w:rPr>
        <w:t>Spoorcapaciteit 2030</w:t>
      </w:r>
      <w:r w:rsidRPr="00B74E9D">
        <w:rPr>
          <w:color w:val="auto"/>
        </w:rPr>
        <w:t xml:space="preserve"> en </w:t>
      </w:r>
      <w:r w:rsidRPr="002F60BF">
        <w:rPr>
          <w:i/>
          <w:iCs/>
          <w:color w:val="auto"/>
        </w:rPr>
        <w:t>PHS</w:t>
      </w:r>
      <w:r w:rsidRPr="00B74E9D">
        <w:rPr>
          <w:color w:val="auto"/>
        </w:rPr>
        <w:t xml:space="preserve"> de meest logische basis voor verdere ontwikkelingen in de periode na 2033.</w:t>
      </w:r>
      <w:r w:rsidRPr="00B74E9D" w:rsidDel="00651D73">
        <w:rPr>
          <w:b/>
          <w:bCs/>
          <w:color w:val="auto"/>
        </w:rPr>
        <w:t xml:space="preserve"> </w:t>
      </w:r>
    </w:p>
    <w:p w:rsidR="00FF0263" w:rsidP="001770A7" w:rsidRDefault="00FF0263" w14:paraId="46B14D08" w14:textId="77777777">
      <w:pPr>
        <w:rPr>
          <w:color w:val="auto"/>
        </w:rPr>
      </w:pPr>
    </w:p>
    <w:p w:rsidR="00383621" w:rsidP="00383621" w:rsidRDefault="00383621" w14:paraId="530ED356" w14:textId="77777777">
      <w:pPr>
        <w:rPr>
          <w:b/>
          <w:bCs/>
          <w:color w:val="auto"/>
        </w:rPr>
      </w:pPr>
      <w:r w:rsidRPr="00753096">
        <w:rPr>
          <w:b/>
          <w:bCs/>
          <w:color w:val="auto"/>
        </w:rPr>
        <w:t xml:space="preserve">Tot slot </w:t>
      </w:r>
    </w:p>
    <w:p w:rsidR="009C5E52" w:rsidP="00A94B58" w:rsidRDefault="00753096" w14:paraId="37631812" w14:textId="3B0E4684">
      <w:pPr>
        <w:rPr>
          <w:color w:val="auto"/>
        </w:rPr>
      </w:pPr>
      <w:r w:rsidRPr="00753096">
        <w:rPr>
          <w:color w:val="auto"/>
        </w:rPr>
        <w:t xml:space="preserve">Hierbij </w:t>
      </w:r>
      <w:r w:rsidR="00A94B58">
        <w:rPr>
          <w:color w:val="auto"/>
        </w:rPr>
        <w:t xml:space="preserve">heb ik u </w:t>
      </w:r>
      <w:r w:rsidRPr="00DC128E" w:rsidR="00A94B58">
        <w:rPr>
          <w:color w:val="auto"/>
        </w:rPr>
        <w:t xml:space="preserve">– zoals mijn ambtsvoorganger heeft toegezegd – inzicht gegeven in de infraknelpunten voor het volledig rijden van het voorgenomen volume van het eindbeeld in de HRN-concessie. </w:t>
      </w:r>
      <w:r w:rsidRPr="00DC128E" w:rsidR="00863D8B">
        <w:rPr>
          <w:color w:val="auto"/>
        </w:rPr>
        <w:t xml:space="preserve">Ik zet daarbij zoveel mogelijk in op innovatie en meekoppelkansen zoals woningbouw en defensie. </w:t>
      </w:r>
      <w:r w:rsidRPr="00DC128E" w:rsidR="009C5E52">
        <w:rPr>
          <w:color w:val="auto"/>
        </w:rPr>
        <w:t>Indien de verwachte vervoersvraag wel een frequentieverhoging rechtvaardigt, maar deze op basis van bestaande, geplande of nog realiseerbare infrastructuur niet mogelijk is, zoekt het ministerie van IenW samen met betrokkenen naar alternatieven zoals langere treinen of beperkte frequentieverhogingen (bijv. extra treinen in de spits) en/of logistieke oplossingen.</w:t>
      </w:r>
    </w:p>
    <w:p w:rsidR="009C5E52" w:rsidP="00A94B58" w:rsidRDefault="009C5E52" w14:paraId="4A1DC549" w14:textId="77777777">
      <w:pPr>
        <w:rPr>
          <w:color w:val="auto"/>
        </w:rPr>
      </w:pPr>
    </w:p>
    <w:p w:rsidRPr="00B74E9D" w:rsidR="00A94B58" w:rsidP="00A94B58" w:rsidRDefault="0070080B" w14:paraId="16C00DF4" w14:textId="2E31AE24">
      <w:pPr>
        <w:rPr>
          <w:color w:val="auto"/>
        </w:rPr>
      </w:pPr>
      <w:r>
        <w:rPr>
          <w:color w:val="auto"/>
        </w:rPr>
        <w:t>Tegelijk</w:t>
      </w:r>
      <w:r w:rsidR="00EF6D80">
        <w:rPr>
          <w:color w:val="auto"/>
        </w:rPr>
        <w:t>ertijd</w:t>
      </w:r>
      <w:r>
        <w:rPr>
          <w:color w:val="auto"/>
        </w:rPr>
        <w:t xml:space="preserve"> heb ik </w:t>
      </w:r>
      <w:r w:rsidR="00EF6D80">
        <w:rPr>
          <w:color w:val="auto"/>
        </w:rPr>
        <w:t>via</w:t>
      </w:r>
      <w:r>
        <w:rPr>
          <w:color w:val="auto"/>
        </w:rPr>
        <w:t xml:space="preserve"> deze brief ook </w:t>
      </w:r>
      <w:r w:rsidR="00EF6D80">
        <w:rPr>
          <w:color w:val="auto"/>
        </w:rPr>
        <w:t>het</w:t>
      </w:r>
      <w:r>
        <w:rPr>
          <w:color w:val="auto"/>
        </w:rPr>
        <w:t xml:space="preserve"> beeld </w:t>
      </w:r>
      <w:r w:rsidR="00EF6D80">
        <w:rPr>
          <w:color w:val="auto"/>
        </w:rPr>
        <w:t>met u gedeeld</w:t>
      </w:r>
      <w:r>
        <w:rPr>
          <w:color w:val="auto"/>
        </w:rPr>
        <w:t xml:space="preserve"> dat er heel veel investeringen wel worden gedaan. Uw oproep </w:t>
      </w:r>
      <w:r w:rsidR="00BF7947">
        <w:rPr>
          <w:color w:val="auto"/>
        </w:rPr>
        <w:t xml:space="preserve">eerder en </w:t>
      </w:r>
      <w:r>
        <w:rPr>
          <w:color w:val="auto"/>
        </w:rPr>
        <w:t xml:space="preserve">transparanter te zijn over onderdelen </w:t>
      </w:r>
      <w:r w:rsidR="00BF7947">
        <w:rPr>
          <w:color w:val="auto"/>
        </w:rPr>
        <w:t>die niet kunnen neem ik ter harte</w:t>
      </w:r>
      <w:r w:rsidR="00DE2606">
        <w:rPr>
          <w:color w:val="auto"/>
        </w:rPr>
        <w:t>. Daarom</w:t>
      </w:r>
      <w:r w:rsidR="004A3818">
        <w:rPr>
          <w:color w:val="auto"/>
        </w:rPr>
        <w:t xml:space="preserve"> zal </w:t>
      </w:r>
      <w:r w:rsidR="00DE2606">
        <w:rPr>
          <w:color w:val="auto"/>
        </w:rPr>
        <w:t>ik</w:t>
      </w:r>
      <w:r w:rsidR="004A3818">
        <w:rPr>
          <w:color w:val="auto"/>
        </w:rPr>
        <w:t xml:space="preserve"> </w:t>
      </w:r>
      <w:r w:rsidR="00DE2606">
        <w:rPr>
          <w:color w:val="auto"/>
        </w:rPr>
        <w:t xml:space="preserve">de Tweede Kamer </w:t>
      </w:r>
      <w:r w:rsidR="004A3818">
        <w:rPr>
          <w:color w:val="auto"/>
        </w:rPr>
        <w:t xml:space="preserve">via de reguliere brieven over de genoemde programma’s of in het kader van de </w:t>
      </w:r>
      <w:r w:rsidRPr="00DC128E" w:rsidR="004A3818">
        <w:rPr>
          <w:i/>
          <w:iCs/>
          <w:color w:val="auto"/>
        </w:rPr>
        <w:t>midterm review</w:t>
      </w:r>
      <w:r w:rsidR="004A3818">
        <w:rPr>
          <w:color w:val="auto"/>
        </w:rPr>
        <w:t xml:space="preserve"> meenemen in de eventuele knelpunten </w:t>
      </w:r>
      <w:r w:rsidR="00DE2606">
        <w:rPr>
          <w:color w:val="auto"/>
        </w:rPr>
        <w:t>in infraknelpunten in het licht van de HRN</w:t>
      </w:r>
      <w:r w:rsidR="00EF6D80">
        <w:rPr>
          <w:color w:val="auto"/>
        </w:rPr>
        <w:t>-</w:t>
      </w:r>
      <w:r w:rsidR="00DE2606">
        <w:rPr>
          <w:color w:val="auto"/>
        </w:rPr>
        <w:t xml:space="preserve">concessie zodat ik </w:t>
      </w:r>
      <w:r w:rsidR="00EF6D80">
        <w:rPr>
          <w:color w:val="auto"/>
        </w:rPr>
        <w:t xml:space="preserve">u </w:t>
      </w:r>
      <w:r w:rsidR="00DE2606">
        <w:rPr>
          <w:color w:val="auto"/>
        </w:rPr>
        <w:t xml:space="preserve">aan de voorkant deelgenoot kan maken van de afwegingen. </w:t>
      </w:r>
      <w:r w:rsidRPr="00B74E9D" w:rsidR="00A94B58">
        <w:rPr>
          <w:color w:val="auto"/>
        </w:rPr>
        <w:t xml:space="preserve">Ik zal u de komende tijd blijven informeren over de opzet, voortgang en uitkomsten van de </w:t>
      </w:r>
      <w:r w:rsidRPr="00B74E9D" w:rsidR="00A94B58">
        <w:rPr>
          <w:i/>
          <w:iCs/>
          <w:color w:val="auto"/>
        </w:rPr>
        <w:t>midterm review</w:t>
      </w:r>
      <w:r w:rsidRPr="00B74E9D" w:rsidR="00A94B58">
        <w:rPr>
          <w:color w:val="auto"/>
        </w:rPr>
        <w:t xml:space="preserve"> inclusief de actualisatie van het volume. </w:t>
      </w:r>
    </w:p>
    <w:p w:rsidRPr="00B74E9D" w:rsidR="00753096" w:rsidP="001770A7" w:rsidRDefault="00753096" w14:paraId="4BA9E3BF" w14:textId="77777777">
      <w:pPr>
        <w:rPr>
          <w:color w:val="auto"/>
        </w:rPr>
      </w:pPr>
    </w:p>
    <w:p w:rsidRPr="00B74E9D" w:rsidR="00680507" w:rsidRDefault="00B02885" w14:paraId="141DF860" w14:textId="77777777">
      <w:pPr>
        <w:pStyle w:val="Slotzin"/>
        <w:rPr>
          <w:color w:val="auto"/>
        </w:rPr>
      </w:pPr>
      <w:r w:rsidRPr="00B74E9D">
        <w:rPr>
          <w:color w:val="auto"/>
        </w:rPr>
        <w:t>Hoogachtend,</w:t>
      </w:r>
    </w:p>
    <w:p w:rsidRPr="00B74E9D" w:rsidR="00680507" w:rsidRDefault="00B02885" w14:paraId="5CCE3398" w14:textId="77777777">
      <w:pPr>
        <w:pStyle w:val="OndertekeningArea1"/>
        <w:rPr>
          <w:color w:val="auto"/>
        </w:rPr>
      </w:pPr>
      <w:r w:rsidRPr="00B74E9D">
        <w:rPr>
          <w:color w:val="auto"/>
        </w:rPr>
        <w:t>DE STAATSSECRETARIS VAN INFRASTRUCTUUR EN WATERSTAAT,</w:t>
      </w:r>
    </w:p>
    <w:p w:rsidRPr="00B74E9D" w:rsidR="00680507" w:rsidRDefault="00680507" w14:paraId="6D9E3B50" w14:textId="77777777">
      <w:pPr>
        <w:rPr>
          <w:color w:val="auto"/>
        </w:rPr>
      </w:pPr>
    </w:p>
    <w:p w:rsidRPr="00B74E9D" w:rsidR="00680507" w:rsidRDefault="00680507" w14:paraId="6A5657E2" w14:textId="77777777">
      <w:pPr>
        <w:rPr>
          <w:color w:val="auto"/>
        </w:rPr>
      </w:pPr>
    </w:p>
    <w:p w:rsidRPr="00B74E9D" w:rsidR="00680507" w:rsidRDefault="00680507" w14:paraId="0D7661A1" w14:textId="77777777">
      <w:pPr>
        <w:rPr>
          <w:color w:val="auto"/>
        </w:rPr>
      </w:pPr>
    </w:p>
    <w:p w:rsidRPr="00B74E9D" w:rsidR="00680507" w:rsidRDefault="00680507" w14:paraId="118C1FE1" w14:textId="77777777">
      <w:pPr>
        <w:rPr>
          <w:color w:val="auto"/>
        </w:rPr>
      </w:pPr>
    </w:p>
    <w:p w:rsidRPr="00B74E9D" w:rsidR="00CE06BC" w:rsidP="003C1DE6" w:rsidRDefault="00B02885" w14:paraId="2475BDD1" w14:textId="1226F349">
      <w:pPr>
        <w:rPr>
          <w:color w:val="auto"/>
        </w:rPr>
      </w:pPr>
      <w:r w:rsidRPr="00B74E9D">
        <w:rPr>
          <w:color w:val="auto"/>
        </w:rPr>
        <w:t>Annet Bertram</w:t>
      </w:r>
    </w:p>
    <w:p w:rsidRPr="00B74E9D" w:rsidR="00CE06BC" w:rsidRDefault="00CE06BC" w14:paraId="29C670D0" w14:textId="77777777">
      <w:pPr>
        <w:rPr>
          <w:color w:val="auto"/>
        </w:rPr>
      </w:pPr>
    </w:p>
    <w:p w:rsidRPr="00B74E9D" w:rsidR="00CE06BC" w:rsidRDefault="00CE06BC" w14:paraId="3A0651D1" w14:textId="417172A3">
      <w:pPr>
        <w:spacing w:line="240" w:lineRule="auto"/>
        <w:rPr>
          <w:color w:val="auto"/>
        </w:rPr>
      </w:pPr>
      <w:r w:rsidRPr="00B74E9D">
        <w:rPr>
          <w:color w:val="auto"/>
        </w:rPr>
        <w:br w:type="page"/>
      </w:r>
    </w:p>
    <w:p w:rsidRPr="00B74E9D" w:rsidR="00CE06BC" w:rsidP="00CE06BC" w:rsidRDefault="00CE06BC" w14:paraId="185E9319" w14:textId="77777777">
      <w:pPr>
        <w:rPr>
          <w:color w:val="auto"/>
        </w:rPr>
      </w:pPr>
      <w:bookmarkStart w:name="_Hlk231475302" w:id="2"/>
      <w:r w:rsidRPr="00B74E9D">
        <w:rPr>
          <w:b/>
          <w:bCs/>
          <w:color w:val="auto"/>
        </w:rPr>
        <w:t>BIJLAGE 1: PRODUCTVERBETERINGEN HRN-TREINDIENST WAARVOOR INFRASTRUCTUUR REEDS GEREALISEERD IS OF IN REALISATIE IS</w:t>
      </w:r>
    </w:p>
    <w:p w:rsidRPr="00B74E9D" w:rsidR="00CE06BC" w:rsidP="00CE06BC" w:rsidRDefault="00CE06BC" w14:paraId="7F3DE17F" w14:textId="77777777">
      <w:pPr>
        <w:rPr>
          <w:color w:val="auto"/>
        </w:rPr>
      </w:pPr>
    </w:p>
    <w:p w:rsidRPr="00B74E9D" w:rsidR="00CE06BC" w:rsidP="00CE06BC" w:rsidRDefault="00CE06BC" w14:paraId="0400C6EB" w14:textId="5D24327D">
      <w:pPr>
        <w:rPr>
          <w:color w:val="auto"/>
        </w:rPr>
      </w:pPr>
      <w:r w:rsidRPr="00B74E9D">
        <w:rPr>
          <w:color w:val="auto"/>
        </w:rPr>
        <w:t xml:space="preserve">Onderstaande lijst bevat productverbeteringen die – zonder grote tegenvallers in de uitwerking of uitvoering </w:t>
      </w:r>
      <w:r w:rsidR="00C451D5">
        <w:rPr>
          <w:color w:val="auto"/>
        </w:rPr>
        <w:t>–</w:t>
      </w:r>
      <w:r w:rsidR="008E6FCB">
        <w:rPr>
          <w:color w:val="auto"/>
        </w:rPr>
        <w:t xml:space="preserve"> </w:t>
      </w:r>
      <w:r w:rsidRPr="00B74E9D">
        <w:rPr>
          <w:color w:val="auto"/>
        </w:rPr>
        <w:t xml:space="preserve">geen aanvullende inframaatregelen meer vergen. De lijst is niet gesorteerd op basis van prioriteit, urgentie, wenselijkheid of groei van de vervoersvraag. Zoals in de begeleidende Kamerbrief beschreven kunnen infrastructuurprojecten en daarmee productverbeteringen opschuiven in de tijd dan wel komen te vervallen bij de actualisatie van de HRN-volumes. Tevens </w:t>
      </w:r>
      <w:r w:rsidRPr="00B74E9D" w:rsidR="003C1DE6">
        <w:rPr>
          <w:color w:val="auto"/>
        </w:rPr>
        <w:t>kennen</w:t>
      </w:r>
      <w:r w:rsidRPr="00B74E9D">
        <w:rPr>
          <w:color w:val="auto"/>
        </w:rPr>
        <w:t xml:space="preserve"> veel productverbeteringen randvoorwaardelijkheden: het uitvoeren van de maatregelen garandeert niet dat de productverbeteringen gerealiseerd kunnen worden zolang de randvoorwaardelijkheden zoals </w:t>
      </w:r>
      <w:r w:rsidR="00E83EA9">
        <w:rPr>
          <w:color w:val="auto"/>
        </w:rPr>
        <w:t xml:space="preserve">bijvoorbeeld </w:t>
      </w:r>
      <w:r w:rsidRPr="00B74E9D">
        <w:rPr>
          <w:color w:val="auto"/>
        </w:rPr>
        <w:t>uitrol ERTMS niet ook opgelost worden.</w:t>
      </w:r>
    </w:p>
    <w:p w:rsidRPr="00B74E9D" w:rsidR="00CE06BC" w:rsidP="00CE06BC" w:rsidRDefault="00CE06BC" w14:paraId="2CDBC990" w14:textId="77777777">
      <w:pPr>
        <w:rPr>
          <w:color w:val="auto"/>
        </w:rPr>
      </w:pPr>
    </w:p>
    <w:p w:rsidRPr="00B74E9D" w:rsidR="00CE06BC" w:rsidP="00CE06BC" w:rsidRDefault="00CE06BC" w14:paraId="06D068E4" w14:textId="77777777">
      <w:pPr>
        <w:rPr>
          <w:color w:val="auto"/>
        </w:rPr>
      </w:pPr>
      <w:r w:rsidRPr="00B74E9D">
        <w:rPr>
          <w:color w:val="auto"/>
        </w:rPr>
        <w:t>Het coördineren van het maatregelenpakket dat samenhangt met onderstaande productverbeteringen wordt in de context van de programma’s PHS en Spoorcapaciteit 2030 constant aangescherpt op basis van gereedkomende technische informatie; onderstaand overzicht is derhalve een momentopname.</w:t>
      </w:r>
    </w:p>
    <w:p w:rsidRPr="00B74E9D" w:rsidR="00CE06BC" w:rsidP="00CE06BC" w:rsidRDefault="00CE06BC" w14:paraId="0454A290" w14:textId="77777777">
      <w:pPr>
        <w:rPr>
          <w:color w:val="auto"/>
        </w:rPr>
      </w:pPr>
    </w:p>
    <w:p w:rsidRPr="00B74E9D" w:rsidR="00CE06BC" w:rsidP="00CE06BC" w:rsidRDefault="00CE06BC" w14:paraId="3DED1679" w14:textId="77777777">
      <w:pPr>
        <w:rPr>
          <w:color w:val="auto"/>
        </w:rPr>
      </w:pPr>
      <w:r w:rsidRPr="00B74E9D">
        <w:rPr>
          <w:color w:val="auto"/>
        </w:rPr>
        <w:t>De productverbeteringen zijn uitgesplitst naar frequentieverhogingen en andere soorten productverbeteringen zoals productherstel- en verbetering van de HRN-treindienst.</w:t>
      </w:r>
    </w:p>
    <w:p w:rsidRPr="00B74E9D" w:rsidR="00CE06BC" w:rsidP="00CE06BC" w:rsidRDefault="00CE06BC" w14:paraId="4B840795" w14:textId="77777777">
      <w:pPr>
        <w:rPr>
          <w:color w:val="auto"/>
        </w:rPr>
      </w:pPr>
    </w:p>
    <w:p w:rsidRPr="00B74E9D" w:rsidR="00CE06BC" w:rsidP="00CE06BC" w:rsidRDefault="00CE06BC" w14:paraId="2DAF65EE" w14:textId="77777777">
      <w:pPr>
        <w:rPr>
          <w:b/>
          <w:bCs/>
          <w:i/>
          <w:iCs/>
          <w:color w:val="auto"/>
        </w:rPr>
      </w:pPr>
      <w:r w:rsidRPr="00B74E9D">
        <w:rPr>
          <w:b/>
          <w:bCs/>
          <w:i/>
          <w:iCs/>
          <w:color w:val="auto"/>
        </w:rPr>
        <w:t>Categorie A: frequentieverhogingen zoals vastgelegd in de HRN-concessie 2025-2033</w:t>
      </w:r>
    </w:p>
    <w:tbl>
      <w:tblPr>
        <w:tblStyle w:val="TableGrid"/>
        <w:tblW w:w="4961" w:type="pct"/>
        <w:tblInd w:w="-5" w:type="dxa"/>
        <w:tblLayout w:type="fixed"/>
        <w:tblLook w:val="04A0" w:firstRow="1" w:lastRow="0" w:firstColumn="1" w:lastColumn="0" w:noHBand="0" w:noVBand="1"/>
      </w:tblPr>
      <w:tblGrid>
        <w:gridCol w:w="7472"/>
      </w:tblGrid>
      <w:tr w:rsidRPr="00FE28BB" w:rsidR="00B74E9D" w:rsidTr="000035F1" w14:paraId="50241DA6" w14:textId="77777777">
        <w:tc>
          <w:tcPr>
            <w:tcW w:w="7472" w:type="dxa"/>
          </w:tcPr>
          <w:p w:rsidRPr="00B74E9D" w:rsidR="00CE06BC" w:rsidP="00002B16" w:rsidRDefault="00CE06BC" w14:paraId="63AF1E23" w14:textId="77777777">
            <w:pPr>
              <w:rPr>
                <w:color w:val="auto"/>
                <w:lang w:val="de-DE"/>
              </w:rPr>
            </w:pPr>
            <w:r w:rsidRPr="00B74E9D">
              <w:rPr>
                <w:color w:val="auto"/>
                <w:lang w:val="de-DE"/>
              </w:rPr>
              <w:t>PHS Breda-Eindhoven (3</w:t>
            </w:r>
            <w:r w:rsidRPr="00B74E9D">
              <w:rPr>
                <w:color w:val="auto"/>
                <w:vertAlign w:val="superscript"/>
                <w:lang w:val="de-DE"/>
              </w:rPr>
              <w:t>e</w:t>
            </w:r>
            <w:r w:rsidRPr="00B74E9D">
              <w:rPr>
                <w:color w:val="auto"/>
                <w:lang w:val="de-DE"/>
              </w:rPr>
              <w:t>/4</w:t>
            </w:r>
            <w:r w:rsidRPr="00B74E9D">
              <w:rPr>
                <w:color w:val="auto"/>
                <w:vertAlign w:val="superscript"/>
                <w:lang w:val="de-DE"/>
              </w:rPr>
              <w:t>e</w:t>
            </w:r>
            <w:r w:rsidRPr="00B74E9D">
              <w:rPr>
                <w:color w:val="auto"/>
                <w:lang w:val="de-DE"/>
              </w:rPr>
              <w:t xml:space="preserve"> IC)</w:t>
            </w:r>
          </w:p>
        </w:tc>
      </w:tr>
      <w:tr w:rsidRPr="00FE28BB" w:rsidR="00B74E9D" w:rsidTr="000035F1" w14:paraId="4B1DE8FE" w14:textId="77777777">
        <w:tc>
          <w:tcPr>
            <w:tcW w:w="7472" w:type="dxa"/>
          </w:tcPr>
          <w:p w:rsidRPr="00B74E9D" w:rsidR="00CE06BC" w:rsidP="00002B16" w:rsidRDefault="00CE06BC" w14:paraId="14924997" w14:textId="77777777">
            <w:pPr>
              <w:rPr>
                <w:color w:val="auto"/>
                <w:lang w:val="de-DE"/>
              </w:rPr>
            </w:pPr>
            <w:r w:rsidRPr="00B74E9D">
              <w:rPr>
                <w:color w:val="auto"/>
                <w:lang w:val="de-DE"/>
              </w:rPr>
              <w:t>PHS Breda-Tilburg (3</w:t>
            </w:r>
            <w:r w:rsidRPr="00B74E9D">
              <w:rPr>
                <w:color w:val="auto"/>
                <w:vertAlign w:val="superscript"/>
                <w:lang w:val="de-DE"/>
              </w:rPr>
              <w:t>e</w:t>
            </w:r>
            <w:r w:rsidRPr="00B74E9D">
              <w:rPr>
                <w:color w:val="auto"/>
                <w:lang w:val="de-DE"/>
              </w:rPr>
              <w:t>/4</w:t>
            </w:r>
            <w:r w:rsidRPr="00B74E9D">
              <w:rPr>
                <w:color w:val="auto"/>
                <w:vertAlign w:val="superscript"/>
                <w:lang w:val="de-DE"/>
              </w:rPr>
              <w:t>e</w:t>
            </w:r>
            <w:r w:rsidRPr="00B74E9D">
              <w:rPr>
                <w:color w:val="auto"/>
                <w:lang w:val="de-DE"/>
              </w:rPr>
              <w:t xml:space="preserve"> Sprinter)</w:t>
            </w:r>
          </w:p>
        </w:tc>
      </w:tr>
      <w:tr w:rsidRPr="00FE28BB" w:rsidR="00B74E9D" w:rsidTr="000035F1" w14:paraId="309F64C3" w14:textId="77777777">
        <w:tc>
          <w:tcPr>
            <w:tcW w:w="7472" w:type="dxa"/>
          </w:tcPr>
          <w:p w:rsidRPr="00B74E9D" w:rsidR="00CE06BC" w:rsidP="00002B16" w:rsidRDefault="00CE06BC" w14:paraId="55802885" w14:textId="77777777">
            <w:pPr>
              <w:rPr>
                <w:color w:val="auto"/>
                <w:lang w:val="de-DE"/>
              </w:rPr>
            </w:pPr>
            <w:r w:rsidRPr="00B74E9D">
              <w:rPr>
                <w:color w:val="auto"/>
                <w:lang w:val="de-DE"/>
              </w:rPr>
              <w:t>PHS Alkmaar-Amsterdam (5</w:t>
            </w:r>
            <w:r w:rsidRPr="00B74E9D">
              <w:rPr>
                <w:color w:val="auto"/>
                <w:vertAlign w:val="superscript"/>
                <w:lang w:val="de-DE"/>
              </w:rPr>
              <w:t>e</w:t>
            </w:r>
            <w:r w:rsidRPr="00B74E9D">
              <w:rPr>
                <w:color w:val="auto"/>
                <w:lang w:val="de-DE"/>
              </w:rPr>
              <w:t>/6</w:t>
            </w:r>
            <w:r w:rsidRPr="00B74E9D">
              <w:rPr>
                <w:color w:val="auto"/>
                <w:vertAlign w:val="superscript"/>
                <w:lang w:val="de-DE"/>
              </w:rPr>
              <w:t>e</w:t>
            </w:r>
            <w:r w:rsidRPr="00B74E9D">
              <w:rPr>
                <w:color w:val="auto"/>
                <w:lang w:val="de-DE"/>
              </w:rPr>
              <w:t xml:space="preserve"> IC)</w:t>
            </w:r>
          </w:p>
        </w:tc>
      </w:tr>
      <w:tr w:rsidRPr="00B74E9D" w:rsidR="00B74E9D" w:rsidTr="000035F1" w14:paraId="1894C6A1" w14:textId="77777777">
        <w:tc>
          <w:tcPr>
            <w:tcW w:w="7472" w:type="dxa"/>
          </w:tcPr>
          <w:p w:rsidRPr="00B74E9D" w:rsidR="00CE06BC" w:rsidP="00002B16" w:rsidRDefault="00CE06BC" w14:paraId="6DE95CA3" w14:textId="77777777">
            <w:pPr>
              <w:rPr>
                <w:color w:val="auto"/>
              </w:rPr>
            </w:pPr>
            <w:r w:rsidRPr="00B74E9D">
              <w:rPr>
                <w:color w:val="auto"/>
              </w:rPr>
              <w:t xml:space="preserve">PHS SAAL: </w:t>
            </w:r>
          </w:p>
          <w:p w:rsidRPr="00B74E9D" w:rsidR="00CE06BC" w:rsidP="00002B16" w:rsidRDefault="00CE06BC" w14:paraId="2C93C437" w14:textId="0D96FED0">
            <w:pPr>
              <w:pStyle w:val="ListParagraph"/>
              <w:numPr>
                <w:ilvl w:val="0"/>
                <w:numId w:val="26"/>
              </w:numPr>
              <w:spacing w:line="240" w:lineRule="exact"/>
              <w:rPr>
                <w:color w:val="auto"/>
              </w:rPr>
            </w:pPr>
            <w:r w:rsidRPr="00B74E9D">
              <w:rPr>
                <w:color w:val="auto"/>
              </w:rPr>
              <w:t xml:space="preserve">Flevoland </w:t>
            </w:r>
            <w:r w:rsidR="00E83EA9">
              <w:rPr>
                <w:color w:val="auto"/>
              </w:rPr>
              <w:t>-</w:t>
            </w:r>
            <w:r w:rsidRPr="00B74E9D">
              <w:rPr>
                <w:color w:val="auto"/>
              </w:rPr>
              <w:t xml:space="preserve"> Amsterdam Zuid - Schiphol (4/4 IC’s/sneltrein)</w:t>
            </w:r>
          </w:p>
          <w:p w:rsidRPr="00B74E9D" w:rsidR="00CE06BC" w:rsidP="00002B16" w:rsidRDefault="00CE06BC" w14:paraId="3BDB3425" w14:textId="77777777">
            <w:pPr>
              <w:pStyle w:val="ListParagraph"/>
              <w:numPr>
                <w:ilvl w:val="0"/>
                <w:numId w:val="26"/>
              </w:numPr>
              <w:spacing w:line="240" w:lineRule="exact"/>
              <w:rPr>
                <w:color w:val="auto"/>
              </w:rPr>
            </w:pPr>
            <w:r w:rsidRPr="00B74E9D">
              <w:rPr>
                <w:color w:val="auto"/>
              </w:rPr>
              <w:t>Almere - Amsterdam (6 Sprinters)</w:t>
            </w:r>
          </w:p>
          <w:p w:rsidRPr="00B74E9D" w:rsidR="00CE06BC" w:rsidP="00002B16" w:rsidRDefault="00CE06BC" w14:paraId="636C31D3" w14:textId="77777777">
            <w:pPr>
              <w:pStyle w:val="ListParagraph"/>
              <w:numPr>
                <w:ilvl w:val="0"/>
                <w:numId w:val="26"/>
              </w:numPr>
              <w:spacing w:line="240" w:lineRule="exact"/>
              <w:rPr>
                <w:color w:val="auto"/>
              </w:rPr>
            </w:pPr>
            <w:r w:rsidRPr="00B74E9D">
              <w:rPr>
                <w:color w:val="auto"/>
                <w:lang w:val="de-DE"/>
              </w:rPr>
              <w:t>Schiphol - Hilversum (4 IC’s)</w:t>
            </w:r>
          </w:p>
          <w:p w:rsidRPr="00B74E9D" w:rsidR="00CE06BC" w:rsidP="00002B16" w:rsidRDefault="00CE06BC" w14:paraId="48C0694F" w14:textId="77777777">
            <w:pPr>
              <w:pStyle w:val="ListParagraph"/>
              <w:numPr>
                <w:ilvl w:val="0"/>
                <w:numId w:val="26"/>
              </w:numPr>
              <w:spacing w:line="240" w:lineRule="exact"/>
              <w:rPr>
                <w:color w:val="auto"/>
              </w:rPr>
            </w:pPr>
            <w:r w:rsidRPr="00B74E9D">
              <w:rPr>
                <w:color w:val="auto"/>
              </w:rPr>
              <w:t>Hilversum/Gooi - Amsterdam (4 Sprinters)</w:t>
            </w:r>
          </w:p>
        </w:tc>
      </w:tr>
      <w:tr w:rsidRPr="00FE28BB" w:rsidR="00B74E9D" w:rsidTr="000035F1" w14:paraId="4F90C7FC" w14:textId="77777777">
        <w:tc>
          <w:tcPr>
            <w:tcW w:w="7472" w:type="dxa"/>
          </w:tcPr>
          <w:p w:rsidRPr="00B74E9D" w:rsidR="00CE06BC" w:rsidP="00002B16" w:rsidRDefault="00CE06BC" w14:paraId="1E94DA8B" w14:textId="77777777">
            <w:pPr>
              <w:rPr>
                <w:color w:val="auto"/>
                <w:lang w:val="de-DE"/>
              </w:rPr>
            </w:pPr>
            <w:r w:rsidRPr="00B74E9D">
              <w:rPr>
                <w:color w:val="auto"/>
                <w:lang w:val="de-DE"/>
              </w:rPr>
              <w:t>PHS Houten Castellum - Geldermalsen (5</w:t>
            </w:r>
            <w:r w:rsidRPr="00B74E9D">
              <w:rPr>
                <w:color w:val="auto"/>
                <w:vertAlign w:val="superscript"/>
                <w:lang w:val="de-DE"/>
              </w:rPr>
              <w:t>e</w:t>
            </w:r>
            <w:r w:rsidRPr="00B74E9D">
              <w:rPr>
                <w:color w:val="auto"/>
                <w:lang w:val="de-DE"/>
              </w:rPr>
              <w:t>/6</w:t>
            </w:r>
            <w:r w:rsidRPr="00B74E9D">
              <w:rPr>
                <w:color w:val="auto"/>
                <w:vertAlign w:val="superscript"/>
                <w:lang w:val="de-DE"/>
              </w:rPr>
              <w:t>e</w:t>
            </w:r>
            <w:r w:rsidRPr="00B74E9D">
              <w:rPr>
                <w:color w:val="auto"/>
                <w:lang w:val="de-DE"/>
              </w:rPr>
              <w:t xml:space="preserve"> Sprinter)</w:t>
            </w:r>
          </w:p>
        </w:tc>
      </w:tr>
      <w:tr w:rsidRPr="00B74E9D" w:rsidR="00B74E9D" w:rsidTr="000035F1" w14:paraId="52F9BFEE" w14:textId="77777777">
        <w:tc>
          <w:tcPr>
            <w:tcW w:w="7472" w:type="dxa"/>
          </w:tcPr>
          <w:p w:rsidRPr="00B74E9D" w:rsidR="00CE06BC" w:rsidP="00002B16" w:rsidRDefault="00CE06BC" w14:paraId="0054DEF3" w14:textId="77777777">
            <w:pPr>
              <w:rPr>
                <w:color w:val="auto"/>
              </w:rPr>
            </w:pPr>
            <w:r w:rsidRPr="00B74E9D">
              <w:rPr>
                <w:color w:val="auto"/>
              </w:rPr>
              <w:t>Leiden - Woerden (dagdekkend 3</w:t>
            </w:r>
            <w:r w:rsidRPr="00B74E9D">
              <w:rPr>
                <w:color w:val="auto"/>
                <w:vertAlign w:val="superscript"/>
              </w:rPr>
              <w:t>e</w:t>
            </w:r>
            <w:r w:rsidRPr="00B74E9D">
              <w:rPr>
                <w:color w:val="auto"/>
              </w:rPr>
              <w:t>/4</w:t>
            </w:r>
            <w:r w:rsidRPr="00B74E9D">
              <w:rPr>
                <w:color w:val="auto"/>
                <w:vertAlign w:val="superscript"/>
              </w:rPr>
              <w:t>e</w:t>
            </w:r>
            <w:r w:rsidRPr="00B74E9D">
              <w:rPr>
                <w:color w:val="auto"/>
              </w:rPr>
              <w:t xml:space="preserve"> Sprinter p/u + bediening nieuw station Hazerswoude)</w:t>
            </w:r>
          </w:p>
        </w:tc>
      </w:tr>
      <w:tr w:rsidRPr="00B74E9D" w:rsidR="00B74E9D" w:rsidTr="000035F1" w14:paraId="3B6CB25F" w14:textId="77777777">
        <w:trPr>
          <w:trHeight w:val="90"/>
        </w:trPr>
        <w:tc>
          <w:tcPr>
            <w:tcW w:w="7472" w:type="dxa"/>
          </w:tcPr>
          <w:p w:rsidRPr="00B74E9D" w:rsidR="00CE06BC" w:rsidP="00002B16" w:rsidRDefault="00CE06BC" w14:paraId="5244FB62" w14:textId="427B6367">
            <w:pPr>
              <w:rPr>
                <w:color w:val="auto"/>
              </w:rPr>
            </w:pPr>
            <w:r w:rsidRPr="00B74E9D">
              <w:rPr>
                <w:color w:val="auto"/>
              </w:rPr>
              <w:t xml:space="preserve">Rotterdam </w:t>
            </w:r>
            <w:r w:rsidR="00C451D5">
              <w:rPr>
                <w:color w:val="auto"/>
              </w:rPr>
              <w:t xml:space="preserve">- </w:t>
            </w:r>
            <w:r w:rsidRPr="00B74E9D">
              <w:rPr>
                <w:color w:val="auto"/>
              </w:rPr>
              <w:t xml:space="preserve">Schiphol </w:t>
            </w:r>
            <w:r w:rsidR="00E83EA9">
              <w:rPr>
                <w:color w:val="auto"/>
              </w:rPr>
              <w:t>-</w:t>
            </w:r>
            <w:r w:rsidRPr="00B74E9D">
              <w:rPr>
                <w:color w:val="auto"/>
              </w:rPr>
              <w:t xml:space="preserve"> Amsterdam Zuid </w:t>
            </w:r>
            <w:r w:rsidR="00E83EA9">
              <w:rPr>
                <w:color w:val="auto"/>
              </w:rPr>
              <w:t>-</w:t>
            </w:r>
            <w:r w:rsidRPr="00B74E9D">
              <w:rPr>
                <w:color w:val="auto"/>
              </w:rPr>
              <w:t xml:space="preserve"> Lelystad/Amersfoort (5</w:t>
            </w:r>
            <w:r w:rsidRPr="00B74E9D">
              <w:rPr>
                <w:color w:val="auto"/>
                <w:vertAlign w:val="superscript"/>
              </w:rPr>
              <w:t>e</w:t>
            </w:r>
            <w:r w:rsidRPr="00B74E9D">
              <w:rPr>
                <w:color w:val="auto"/>
              </w:rPr>
              <w:t xml:space="preserve"> IC Direct)</w:t>
            </w:r>
          </w:p>
        </w:tc>
      </w:tr>
    </w:tbl>
    <w:p w:rsidRPr="00B74E9D" w:rsidR="00CE06BC" w:rsidP="00CE06BC" w:rsidRDefault="00CE06BC" w14:paraId="5403C332" w14:textId="77777777">
      <w:pPr>
        <w:rPr>
          <w:b/>
          <w:bCs/>
          <w:color w:val="auto"/>
        </w:rPr>
      </w:pPr>
    </w:p>
    <w:p w:rsidRPr="00B74E9D" w:rsidR="00CE06BC" w:rsidP="000035F1" w:rsidRDefault="00CE06BC" w14:paraId="3562BD62" w14:textId="77777777">
      <w:pPr>
        <w:spacing w:line="0" w:lineRule="atLeast"/>
        <w:rPr>
          <w:b/>
          <w:bCs/>
          <w:color w:val="auto"/>
        </w:rPr>
      </w:pPr>
      <w:r w:rsidRPr="00B74E9D">
        <w:rPr>
          <w:b/>
          <w:bCs/>
          <w:i/>
          <w:iCs/>
          <w:color w:val="auto"/>
        </w:rPr>
        <w:t>Categorie B: productherstel en -verbetering van HRN-treindienst</w:t>
      </w:r>
    </w:p>
    <w:p w:rsidRPr="00B74E9D" w:rsidR="00CE06BC" w:rsidP="00CE06BC" w:rsidRDefault="00CE06BC" w14:paraId="28083511" w14:textId="77777777">
      <w:pPr>
        <w:rPr>
          <w:b/>
          <w:bCs/>
          <w:color w:val="auto"/>
        </w:rPr>
      </w:pPr>
    </w:p>
    <w:tbl>
      <w:tblPr>
        <w:tblStyle w:val="TableGrid"/>
        <w:tblpPr w:leftFromText="141" w:rightFromText="141" w:vertAnchor="text" w:horzAnchor="margin" w:tblpY="-38"/>
        <w:tblW w:w="4961" w:type="pct"/>
        <w:tblLook w:val="04A0" w:firstRow="1" w:lastRow="0" w:firstColumn="1" w:lastColumn="0" w:noHBand="0" w:noVBand="1"/>
      </w:tblPr>
      <w:tblGrid>
        <w:gridCol w:w="7472"/>
      </w:tblGrid>
      <w:tr w:rsidRPr="00B74E9D" w:rsidR="00B74E9D" w:rsidTr="00002B16" w14:paraId="3C710EC5" w14:textId="77777777">
        <w:tc>
          <w:tcPr>
            <w:tcW w:w="9214" w:type="dxa"/>
          </w:tcPr>
          <w:p w:rsidRPr="00B74E9D" w:rsidR="00CE06BC" w:rsidP="00002B16" w:rsidRDefault="00CE06BC" w14:paraId="5DE88632" w14:textId="77777777">
            <w:pPr>
              <w:rPr>
                <w:color w:val="auto"/>
              </w:rPr>
            </w:pPr>
            <w:r w:rsidRPr="00B74E9D">
              <w:rPr>
                <w:color w:val="auto"/>
              </w:rPr>
              <w:t>Reistijdverkorting Amsterdam - Rotterdam-Breda (200 km/u op HSL)</w:t>
            </w:r>
          </w:p>
        </w:tc>
      </w:tr>
      <w:tr w:rsidRPr="00B74E9D" w:rsidR="00B74E9D" w:rsidTr="00002B16" w14:paraId="21EE65DE" w14:textId="77777777">
        <w:tc>
          <w:tcPr>
            <w:tcW w:w="9214" w:type="dxa"/>
          </w:tcPr>
          <w:p w:rsidRPr="00B74E9D" w:rsidR="00CE06BC" w:rsidP="00002B16" w:rsidRDefault="00CE06BC" w14:paraId="585076E7" w14:textId="77777777">
            <w:pPr>
              <w:rPr>
                <w:color w:val="auto"/>
              </w:rPr>
            </w:pPr>
            <w:r w:rsidRPr="00B74E9D">
              <w:rPr>
                <w:color w:val="auto"/>
              </w:rPr>
              <w:t>Instroom ICNG (diverse corridors)</w:t>
            </w:r>
          </w:p>
        </w:tc>
      </w:tr>
      <w:tr w:rsidRPr="00FE28BB" w:rsidR="00B74E9D" w:rsidTr="00002B16" w14:paraId="52270AB0" w14:textId="77777777">
        <w:tc>
          <w:tcPr>
            <w:tcW w:w="9214" w:type="dxa"/>
          </w:tcPr>
          <w:p w:rsidRPr="00B74E9D" w:rsidR="00CE06BC" w:rsidP="00002B16" w:rsidRDefault="00CE06BC" w14:paraId="51C6C958" w14:textId="5847F821">
            <w:pPr>
              <w:rPr>
                <w:color w:val="auto"/>
                <w:lang w:val="de-DE"/>
              </w:rPr>
            </w:pPr>
            <w:r w:rsidRPr="00B74E9D">
              <w:rPr>
                <w:color w:val="auto"/>
                <w:lang w:val="de-DE"/>
              </w:rPr>
              <w:t xml:space="preserve">PHS Den Haag </w:t>
            </w:r>
            <w:r w:rsidR="00E83EA9">
              <w:rPr>
                <w:color w:val="auto"/>
                <w:lang w:val="de-DE"/>
              </w:rPr>
              <w:t>-</w:t>
            </w:r>
            <w:r w:rsidRPr="00B74E9D">
              <w:rPr>
                <w:color w:val="auto"/>
                <w:lang w:val="de-DE"/>
              </w:rPr>
              <w:t xml:space="preserve"> Rotterdam </w:t>
            </w:r>
            <w:r w:rsidR="00E83EA9">
              <w:rPr>
                <w:color w:val="auto"/>
                <w:lang w:val="de-DE"/>
              </w:rPr>
              <w:t>-</w:t>
            </w:r>
            <w:r w:rsidRPr="00B74E9D">
              <w:rPr>
                <w:color w:val="auto"/>
                <w:lang w:val="de-DE"/>
              </w:rPr>
              <w:t xml:space="preserve"> Dordrecht (5</w:t>
            </w:r>
            <w:r w:rsidRPr="00B74E9D">
              <w:rPr>
                <w:color w:val="auto"/>
                <w:vertAlign w:val="superscript"/>
                <w:lang w:val="de-DE"/>
              </w:rPr>
              <w:t>e</w:t>
            </w:r>
            <w:r w:rsidRPr="00B74E9D">
              <w:rPr>
                <w:color w:val="auto"/>
                <w:lang w:val="de-DE"/>
              </w:rPr>
              <w:t>/6</w:t>
            </w:r>
            <w:r w:rsidRPr="00B74E9D">
              <w:rPr>
                <w:color w:val="auto"/>
                <w:vertAlign w:val="superscript"/>
                <w:lang w:val="de-DE"/>
              </w:rPr>
              <w:t>e</w:t>
            </w:r>
            <w:r w:rsidRPr="00B74E9D">
              <w:rPr>
                <w:color w:val="auto"/>
                <w:lang w:val="de-DE"/>
              </w:rPr>
              <w:t xml:space="preserve"> Sprinter)</w:t>
            </w:r>
          </w:p>
        </w:tc>
      </w:tr>
      <w:tr w:rsidRPr="00B74E9D" w:rsidR="00B74E9D" w:rsidTr="00002B16" w14:paraId="12BE406B" w14:textId="77777777">
        <w:trPr>
          <w:trHeight w:val="73"/>
        </w:trPr>
        <w:tc>
          <w:tcPr>
            <w:tcW w:w="9214" w:type="dxa"/>
          </w:tcPr>
          <w:p w:rsidRPr="00B74E9D" w:rsidR="00CE06BC" w:rsidP="00002B16" w:rsidRDefault="00CE06BC" w14:paraId="3ED1D3FC" w14:textId="77777777">
            <w:pPr>
              <w:rPr>
                <w:color w:val="auto"/>
              </w:rPr>
            </w:pPr>
            <w:r w:rsidRPr="00B74E9D">
              <w:rPr>
                <w:color w:val="auto"/>
              </w:rPr>
              <w:t>Reistijdverkorting Lelystad - Zwolle (180km/u op Hanzelijn)</w:t>
            </w:r>
          </w:p>
        </w:tc>
      </w:tr>
      <w:tr w:rsidRPr="00B74E9D" w:rsidR="00B74E9D" w:rsidTr="00002B16" w14:paraId="25FE6967" w14:textId="77777777">
        <w:tc>
          <w:tcPr>
            <w:tcW w:w="9214" w:type="dxa"/>
          </w:tcPr>
          <w:p w:rsidRPr="00B74E9D" w:rsidR="00CE06BC" w:rsidP="00002B16" w:rsidRDefault="00CE06BC" w14:paraId="27BA027E" w14:textId="0F36CF80">
            <w:pPr>
              <w:rPr>
                <w:color w:val="auto"/>
              </w:rPr>
            </w:pPr>
            <w:r w:rsidRPr="00B74E9D">
              <w:rPr>
                <w:color w:val="auto"/>
              </w:rPr>
              <w:t xml:space="preserve">Frequentieverhoging Amersfoort </w:t>
            </w:r>
            <w:r w:rsidR="00E83EA9">
              <w:rPr>
                <w:color w:val="auto"/>
              </w:rPr>
              <w:t>-</w:t>
            </w:r>
            <w:r w:rsidRPr="00B74E9D">
              <w:rPr>
                <w:color w:val="auto"/>
              </w:rPr>
              <w:t xml:space="preserve"> Harderwijk (aanvulling op/uitbreiding van spitspendel)</w:t>
            </w:r>
          </w:p>
        </w:tc>
      </w:tr>
    </w:tbl>
    <w:p w:rsidRPr="00B74E9D" w:rsidR="00CE06BC" w:rsidP="00CE06BC" w:rsidRDefault="00CE06BC" w14:paraId="2C1E4ECA" w14:textId="77777777">
      <w:pPr>
        <w:spacing w:line="240" w:lineRule="auto"/>
        <w:rPr>
          <w:b/>
          <w:bCs/>
          <w:color w:val="auto"/>
        </w:rPr>
      </w:pPr>
      <w:r w:rsidRPr="00B74E9D">
        <w:rPr>
          <w:b/>
          <w:bCs/>
          <w:color w:val="auto"/>
        </w:rPr>
        <w:br w:type="page"/>
      </w:r>
    </w:p>
    <w:p w:rsidRPr="004E0647" w:rsidR="00CE06BC" w:rsidP="00CE06BC" w:rsidRDefault="00CE06BC" w14:paraId="21C161F8" w14:textId="4D704C22">
      <w:pPr>
        <w:rPr>
          <w:b/>
          <w:bCs/>
          <w:color w:val="auto"/>
        </w:rPr>
      </w:pPr>
      <w:r w:rsidRPr="00B74E9D">
        <w:rPr>
          <w:b/>
          <w:bCs/>
          <w:color w:val="auto"/>
        </w:rPr>
        <w:t xml:space="preserve">BIJLAGE 2: PRODUCTVERBETERINGEN DIE INFRASTRUCTUUR VEREISEN </w:t>
      </w:r>
      <w:r w:rsidRPr="004E0647" w:rsidR="003C1DE6">
        <w:rPr>
          <w:b/>
          <w:bCs/>
          <w:color w:val="auto"/>
        </w:rPr>
        <w:t>WAAROVER LATER BESLUITVORMING PLAATSVINDT</w:t>
      </w:r>
    </w:p>
    <w:p w:rsidRPr="00B74E9D" w:rsidR="00CE06BC" w:rsidP="00CE06BC" w:rsidRDefault="00CE06BC" w14:paraId="12D81E9E" w14:textId="77777777">
      <w:pPr>
        <w:rPr>
          <w:color w:val="auto"/>
        </w:rPr>
      </w:pPr>
    </w:p>
    <w:p w:rsidRPr="00B74E9D" w:rsidR="00CE06BC" w:rsidP="00CE06BC" w:rsidRDefault="00CE06BC" w14:paraId="081B5DBB" w14:textId="50B1C59E">
      <w:pPr>
        <w:rPr>
          <w:color w:val="auto"/>
        </w:rPr>
      </w:pPr>
      <w:r w:rsidRPr="00B74E9D">
        <w:rPr>
          <w:color w:val="auto"/>
        </w:rPr>
        <w:t>Onderstaande lijst bevat in de concessie verplichte productverbeteringen. Het volume van het in de concessie opgenomen eindbeeld ligt hoger, maar hiervoor zijn in de concessie geen concrete productstappen opgenomen. De lijst is niet gesorteerd op basis van prioriteit, urgentie, wenselijkheid of groei van de vervoersvraag. Zoals in de begeleidende Kamerbrief beschreven kunnen product-verbeteringen opschuiven in de tijd dan wel komen te vervallen bij de actualisatie van de HRN-volumes. Tevens</w:t>
      </w:r>
      <w:r w:rsidRPr="00B74E9D" w:rsidR="00BA07A5">
        <w:rPr>
          <w:color w:val="auto"/>
        </w:rPr>
        <w:t xml:space="preserve"> kennen </w:t>
      </w:r>
      <w:r w:rsidRPr="00B74E9D">
        <w:rPr>
          <w:color w:val="auto"/>
        </w:rPr>
        <w:t xml:space="preserve">veel productverbeteringen randvoorwaardelijkheden: het uitvoeren van de maatregelen garandeert niet dat de productverbeteringen gerealiseerd kunnen worden zolang de randvoorwaardelijkheden </w:t>
      </w:r>
      <w:r w:rsidRPr="00B74E9D" w:rsidR="00BA07A5">
        <w:rPr>
          <w:color w:val="auto"/>
        </w:rPr>
        <w:t xml:space="preserve">zoals uitrol ERTMS </w:t>
      </w:r>
      <w:r w:rsidRPr="00B74E9D">
        <w:rPr>
          <w:color w:val="auto"/>
        </w:rPr>
        <w:t>niet ook opgelost worden.</w:t>
      </w:r>
    </w:p>
    <w:p w:rsidRPr="00B74E9D" w:rsidR="00CE06BC" w:rsidP="00CE06BC" w:rsidRDefault="00CE06BC" w14:paraId="1CE7899B" w14:textId="77777777">
      <w:pPr>
        <w:rPr>
          <w:color w:val="auto"/>
        </w:rPr>
      </w:pPr>
    </w:p>
    <w:p w:rsidRPr="00B74E9D" w:rsidR="00CE06BC" w:rsidP="00CE06BC" w:rsidRDefault="00CE06BC" w14:paraId="7996BB66" w14:textId="77777777">
      <w:pPr>
        <w:rPr>
          <w:color w:val="auto"/>
        </w:rPr>
      </w:pPr>
      <w:r w:rsidRPr="00B74E9D">
        <w:rPr>
          <w:color w:val="auto"/>
        </w:rPr>
        <w:t xml:space="preserve">Het coördineren van het maatregelenpakket dat samenhangt met onderstaande productverbeteringen wordt in de context van het programma </w:t>
      </w:r>
      <w:r w:rsidRPr="00B74E9D">
        <w:rPr>
          <w:i/>
          <w:iCs/>
          <w:color w:val="auto"/>
        </w:rPr>
        <w:t>Spoorcapaciteit 2030</w:t>
      </w:r>
      <w:r w:rsidRPr="00B74E9D">
        <w:rPr>
          <w:color w:val="auto"/>
        </w:rPr>
        <w:t xml:space="preserve"> constant aangescherpt op basis van gereedkomende technische informatie; onderstaand overzicht is derhalve een momentopname.</w:t>
      </w:r>
    </w:p>
    <w:p w:rsidRPr="00B74E9D" w:rsidR="00CE06BC" w:rsidP="00CE06BC" w:rsidRDefault="00CE06BC" w14:paraId="26A02BD2" w14:textId="77777777">
      <w:pPr>
        <w:rPr>
          <w:color w:val="auto"/>
        </w:rPr>
      </w:pPr>
    </w:p>
    <w:p w:rsidRPr="00B74E9D" w:rsidR="00CE06BC" w:rsidP="00CE06BC" w:rsidRDefault="00CE06BC" w14:paraId="69BDE330" w14:textId="77777777">
      <w:pPr>
        <w:rPr>
          <w:color w:val="auto"/>
        </w:rPr>
      </w:pPr>
      <w:r w:rsidRPr="00B74E9D">
        <w:rPr>
          <w:color w:val="auto"/>
        </w:rPr>
        <w:t>De productverbeteringen zijn uitgesplitst naar frequentieverhogingen en andere soorten productverbeteringen zoals productherstel- en verbetering van de HRN-treindienst.</w:t>
      </w:r>
    </w:p>
    <w:p w:rsidRPr="00B74E9D" w:rsidR="00CE06BC" w:rsidP="00CE06BC" w:rsidRDefault="00CE06BC" w14:paraId="34C1A8B7" w14:textId="77777777">
      <w:pPr>
        <w:rPr>
          <w:color w:val="auto"/>
        </w:rPr>
      </w:pPr>
    </w:p>
    <w:p w:rsidRPr="00B74E9D" w:rsidR="00CE06BC" w:rsidP="00CE06BC" w:rsidRDefault="00CE06BC" w14:paraId="30057388" w14:textId="77777777">
      <w:pPr>
        <w:rPr>
          <w:b/>
          <w:bCs/>
          <w:i/>
          <w:iCs/>
          <w:color w:val="auto"/>
        </w:rPr>
      </w:pPr>
      <w:r w:rsidRPr="00B74E9D">
        <w:rPr>
          <w:b/>
          <w:bCs/>
          <w:i/>
          <w:iCs/>
          <w:color w:val="auto"/>
        </w:rPr>
        <w:t>Categorie A: frequentieverhogingen zoals vastgelegd in de HRN-concessie 2025-2033</w:t>
      </w:r>
    </w:p>
    <w:p w:rsidRPr="00B74E9D" w:rsidR="00CE06BC" w:rsidP="00CE06BC" w:rsidRDefault="00CE06BC" w14:paraId="5C2DF701" w14:textId="71568137">
      <w:pPr>
        <w:rPr>
          <w:color w:val="auto"/>
        </w:rPr>
      </w:pPr>
      <w:r w:rsidRPr="00B74E9D">
        <w:rPr>
          <w:color w:val="auto"/>
        </w:rPr>
        <w:t xml:space="preserve">Buiten de frequentieverhogingen vanuit het </w:t>
      </w:r>
      <w:r w:rsidRPr="00B74E9D">
        <w:rPr>
          <w:i/>
          <w:iCs/>
          <w:color w:val="auto"/>
        </w:rPr>
        <w:t>Programma Hoogfrequent Spoorvervoer</w:t>
      </w:r>
      <w:r w:rsidRPr="00B74E9D">
        <w:rPr>
          <w:color w:val="auto"/>
        </w:rPr>
        <w:t xml:space="preserve"> schrijft de HRN-concessie niet het type</w:t>
      </w:r>
      <w:r w:rsidR="00C451D5">
        <w:rPr>
          <w:color w:val="auto"/>
        </w:rPr>
        <w:t xml:space="preserve"> materieel</w:t>
      </w:r>
      <w:r w:rsidRPr="00B74E9D">
        <w:rPr>
          <w:color w:val="auto"/>
        </w:rPr>
        <w:t xml:space="preserve"> voor (Intercity of Sprinter). De HRN-concessievervoerder is hierin in principe vrij. Onderstaande tabel specificeert dat zoals nu is beoogd in de doorontwikkeling van de HRN-treindienst.</w:t>
      </w:r>
    </w:p>
    <w:p w:rsidRPr="00B74E9D" w:rsidR="00CE06BC" w:rsidP="00CE06BC" w:rsidRDefault="00CE06BC" w14:paraId="6A69CFF5" w14:textId="77777777">
      <w:pPr>
        <w:rPr>
          <w:color w:val="auto"/>
        </w:rPr>
      </w:pPr>
    </w:p>
    <w:tbl>
      <w:tblPr>
        <w:tblStyle w:val="TableGrid"/>
        <w:tblW w:w="4961" w:type="pct"/>
        <w:tblInd w:w="-5" w:type="dxa"/>
        <w:tblLayout w:type="fixed"/>
        <w:tblLook w:val="04A0" w:firstRow="1" w:lastRow="0" w:firstColumn="1" w:lastColumn="0" w:noHBand="0" w:noVBand="1"/>
      </w:tblPr>
      <w:tblGrid>
        <w:gridCol w:w="7472"/>
      </w:tblGrid>
      <w:tr w:rsidRPr="00B74E9D" w:rsidR="00B74E9D" w:rsidTr="00002B16" w14:paraId="740A806A" w14:textId="77777777">
        <w:tc>
          <w:tcPr>
            <w:tcW w:w="7557" w:type="dxa"/>
          </w:tcPr>
          <w:p w:rsidRPr="00B74E9D" w:rsidR="00CE06BC" w:rsidP="00002B16" w:rsidRDefault="00CE06BC" w14:paraId="785BC7BC" w14:textId="568EF5A1">
            <w:pPr>
              <w:rPr>
                <w:color w:val="auto"/>
              </w:rPr>
            </w:pPr>
            <w:r w:rsidRPr="00B74E9D">
              <w:rPr>
                <w:color w:val="auto"/>
              </w:rPr>
              <w:t xml:space="preserve">Rotterdam - Schiphol </w:t>
            </w:r>
            <w:r w:rsidR="00C451D5">
              <w:rPr>
                <w:color w:val="auto"/>
              </w:rPr>
              <w:t>-</w:t>
            </w:r>
            <w:r w:rsidRPr="00B74E9D">
              <w:rPr>
                <w:color w:val="auto"/>
              </w:rPr>
              <w:t xml:space="preserve"> Amsterdam Zuid </w:t>
            </w:r>
            <w:r w:rsidR="00C451D5">
              <w:rPr>
                <w:color w:val="auto"/>
              </w:rPr>
              <w:t>-</w:t>
            </w:r>
            <w:r w:rsidRPr="00B74E9D">
              <w:rPr>
                <w:color w:val="auto"/>
              </w:rPr>
              <w:t xml:space="preserve"> Lelystad/Amersfoort (6</w:t>
            </w:r>
            <w:r w:rsidRPr="00B74E9D">
              <w:rPr>
                <w:color w:val="auto"/>
                <w:vertAlign w:val="superscript"/>
              </w:rPr>
              <w:t>e</w:t>
            </w:r>
            <w:r w:rsidRPr="00B74E9D">
              <w:rPr>
                <w:color w:val="auto"/>
              </w:rPr>
              <w:t xml:space="preserve"> IC Direct)</w:t>
            </w:r>
          </w:p>
        </w:tc>
      </w:tr>
      <w:tr w:rsidRPr="00FE28BB" w:rsidR="00B74E9D" w:rsidTr="00002B16" w14:paraId="1786D92F" w14:textId="77777777">
        <w:tc>
          <w:tcPr>
            <w:tcW w:w="7557" w:type="dxa"/>
          </w:tcPr>
          <w:p w:rsidRPr="00B74E9D" w:rsidR="00CE06BC" w:rsidP="00002B16" w:rsidRDefault="00CE06BC" w14:paraId="51ED4BEE" w14:textId="77777777">
            <w:pPr>
              <w:rPr>
                <w:color w:val="auto"/>
                <w:lang w:val="de-DE"/>
              </w:rPr>
            </w:pPr>
            <w:r w:rsidRPr="00B74E9D">
              <w:rPr>
                <w:color w:val="auto"/>
                <w:lang w:val="de-DE"/>
              </w:rPr>
              <w:t>Hilversum - Utrecht (5</w:t>
            </w:r>
            <w:r w:rsidRPr="00B74E9D">
              <w:rPr>
                <w:color w:val="auto"/>
                <w:vertAlign w:val="superscript"/>
                <w:lang w:val="de-DE"/>
              </w:rPr>
              <w:t>e</w:t>
            </w:r>
            <w:r w:rsidRPr="00B74E9D">
              <w:rPr>
                <w:color w:val="auto"/>
                <w:lang w:val="de-DE"/>
              </w:rPr>
              <w:t>/6</w:t>
            </w:r>
            <w:r w:rsidRPr="00B74E9D">
              <w:rPr>
                <w:color w:val="auto"/>
                <w:vertAlign w:val="superscript"/>
                <w:lang w:val="de-DE"/>
              </w:rPr>
              <w:t>e</w:t>
            </w:r>
            <w:r w:rsidRPr="00B74E9D">
              <w:rPr>
                <w:color w:val="auto"/>
                <w:lang w:val="de-DE"/>
              </w:rPr>
              <w:t xml:space="preserve"> Sprinter)</w:t>
            </w:r>
          </w:p>
        </w:tc>
      </w:tr>
      <w:tr w:rsidRPr="00FE28BB" w:rsidR="00B74E9D" w:rsidTr="00002B16" w14:paraId="4C978567" w14:textId="77777777">
        <w:tc>
          <w:tcPr>
            <w:tcW w:w="7557" w:type="dxa"/>
          </w:tcPr>
          <w:p w:rsidRPr="00B74E9D" w:rsidR="00CE06BC" w:rsidP="00002B16" w:rsidRDefault="00CE06BC" w14:paraId="2B468CE2" w14:textId="77777777">
            <w:pPr>
              <w:rPr>
                <w:color w:val="auto"/>
                <w:lang w:val="de-DE"/>
              </w:rPr>
            </w:pPr>
            <w:r w:rsidRPr="00B74E9D">
              <w:rPr>
                <w:color w:val="auto"/>
                <w:lang w:val="de-DE"/>
              </w:rPr>
              <w:t>Amersfoort - Utrecht (5</w:t>
            </w:r>
            <w:r w:rsidRPr="00B74E9D">
              <w:rPr>
                <w:color w:val="auto"/>
                <w:vertAlign w:val="superscript"/>
                <w:lang w:val="de-DE"/>
              </w:rPr>
              <w:t>e</w:t>
            </w:r>
            <w:r w:rsidRPr="00B74E9D">
              <w:rPr>
                <w:color w:val="auto"/>
                <w:lang w:val="de-DE"/>
              </w:rPr>
              <w:t>/6</w:t>
            </w:r>
            <w:r w:rsidRPr="00B74E9D">
              <w:rPr>
                <w:color w:val="auto"/>
                <w:vertAlign w:val="superscript"/>
                <w:lang w:val="de-DE"/>
              </w:rPr>
              <w:t>e</w:t>
            </w:r>
            <w:r w:rsidRPr="00B74E9D">
              <w:rPr>
                <w:color w:val="auto"/>
                <w:lang w:val="de-DE"/>
              </w:rPr>
              <w:t xml:space="preserve"> IC in spits)</w:t>
            </w:r>
          </w:p>
        </w:tc>
      </w:tr>
      <w:tr w:rsidRPr="00FE28BB" w:rsidR="00B74E9D" w:rsidTr="00002B16" w14:paraId="6583634E" w14:textId="77777777">
        <w:tc>
          <w:tcPr>
            <w:tcW w:w="7557" w:type="dxa"/>
          </w:tcPr>
          <w:p w:rsidRPr="00B74E9D" w:rsidR="00CE06BC" w:rsidP="00002B16" w:rsidRDefault="00CE06BC" w14:paraId="6BE5AF4F" w14:textId="77777777">
            <w:pPr>
              <w:rPr>
                <w:color w:val="auto"/>
                <w:lang w:val="de-DE"/>
              </w:rPr>
            </w:pPr>
            <w:r w:rsidRPr="00B74E9D">
              <w:rPr>
                <w:color w:val="auto"/>
                <w:lang w:val="de-DE"/>
              </w:rPr>
              <w:t>Leiden - Den Haag (5</w:t>
            </w:r>
            <w:r w:rsidRPr="00B74E9D">
              <w:rPr>
                <w:color w:val="auto"/>
                <w:vertAlign w:val="superscript"/>
                <w:lang w:val="de-DE"/>
              </w:rPr>
              <w:t>e</w:t>
            </w:r>
            <w:r w:rsidRPr="00B74E9D">
              <w:rPr>
                <w:color w:val="auto"/>
                <w:lang w:val="de-DE"/>
              </w:rPr>
              <w:t>/6</w:t>
            </w:r>
            <w:r w:rsidRPr="00B74E9D">
              <w:rPr>
                <w:color w:val="auto"/>
                <w:vertAlign w:val="superscript"/>
                <w:lang w:val="de-DE"/>
              </w:rPr>
              <w:t>e</w:t>
            </w:r>
            <w:r w:rsidRPr="00B74E9D">
              <w:rPr>
                <w:color w:val="auto"/>
                <w:lang w:val="de-DE"/>
              </w:rPr>
              <w:t xml:space="preserve"> IC)</w:t>
            </w:r>
          </w:p>
        </w:tc>
      </w:tr>
      <w:tr w:rsidRPr="00FE28BB" w:rsidR="00B74E9D" w:rsidTr="00002B16" w14:paraId="2D59B7BD" w14:textId="77777777">
        <w:tc>
          <w:tcPr>
            <w:tcW w:w="7557" w:type="dxa"/>
          </w:tcPr>
          <w:p w:rsidRPr="00B74E9D" w:rsidR="00CE06BC" w:rsidP="00002B16" w:rsidRDefault="00CE06BC" w14:paraId="7C85A00B" w14:textId="77777777">
            <w:pPr>
              <w:rPr>
                <w:color w:val="auto"/>
                <w:lang w:val="de-DE"/>
              </w:rPr>
            </w:pPr>
            <w:r w:rsidRPr="00B74E9D">
              <w:rPr>
                <w:color w:val="auto"/>
                <w:lang w:val="de-DE"/>
              </w:rPr>
              <w:t>Amsterdam - Haarlem (5</w:t>
            </w:r>
            <w:r w:rsidRPr="00B74E9D">
              <w:rPr>
                <w:color w:val="auto"/>
                <w:vertAlign w:val="superscript"/>
                <w:lang w:val="de-DE"/>
              </w:rPr>
              <w:t>e</w:t>
            </w:r>
            <w:r w:rsidRPr="00B74E9D">
              <w:rPr>
                <w:color w:val="auto"/>
                <w:lang w:val="de-DE"/>
              </w:rPr>
              <w:t>/6</w:t>
            </w:r>
            <w:r w:rsidRPr="00B74E9D">
              <w:rPr>
                <w:color w:val="auto"/>
                <w:vertAlign w:val="superscript"/>
                <w:lang w:val="de-DE"/>
              </w:rPr>
              <w:t>e</w:t>
            </w:r>
            <w:r w:rsidRPr="00B74E9D">
              <w:rPr>
                <w:color w:val="auto"/>
                <w:lang w:val="de-DE"/>
              </w:rPr>
              <w:t xml:space="preserve"> IC)</w:t>
            </w:r>
          </w:p>
        </w:tc>
      </w:tr>
      <w:tr w:rsidRPr="00FE28BB" w:rsidR="00B74E9D" w:rsidTr="00002B16" w14:paraId="74A1BCC2" w14:textId="77777777">
        <w:tc>
          <w:tcPr>
            <w:tcW w:w="7557" w:type="dxa"/>
          </w:tcPr>
          <w:p w:rsidRPr="00B74E9D" w:rsidR="00CE06BC" w:rsidP="00002B16" w:rsidRDefault="00CE06BC" w14:paraId="65EA9D4F" w14:textId="77777777">
            <w:pPr>
              <w:rPr>
                <w:color w:val="auto"/>
                <w:lang w:val="de-DE"/>
              </w:rPr>
            </w:pPr>
            <w:r w:rsidRPr="00B74E9D">
              <w:rPr>
                <w:color w:val="auto"/>
                <w:lang w:val="de-DE"/>
              </w:rPr>
              <w:t>Utrecht - Woerden (7</w:t>
            </w:r>
            <w:r w:rsidRPr="00B74E9D">
              <w:rPr>
                <w:color w:val="auto"/>
                <w:vertAlign w:val="superscript"/>
                <w:lang w:val="de-DE"/>
              </w:rPr>
              <w:t>e</w:t>
            </w:r>
            <w:r w:rsidRPr="00B74E9D">
              <w:rPr>
                <w:color w:val="auto"/>
                <w:lang w:val="de-DE"/>
              </w:rPr>
              <w:t>/8</w:t>
            </w:r>
            <w:r w:rsidRPr="00B74E9D">
              <w:rPr>
                <w:color w:val="auto"/>
                <w:vertAlign w:val="superscript"/>
                <w:lang w:val="de-DE"/>
              </w:rPr>
              <w:t>e</w:t>
            </w:r>
            <w:r w:rsidRPr="00B74E9D">
              <w:rPr>
                <w:color w:val="auto"/>
                <w:lang w:val="de-DE"/>
              </w:rPr>
              <w:t xml:space="preserve"> Sprinter)</w:t>
            </w:r>
          </w:p>
        </w:tc>
      </w:tr>
    </w:tbl>
    <w:p w:rsidRPr="00B74E9D" w:rsidR="00CE06BC" w:rsidP="00CE06BC" w:rsidRDefault="00CE06BC" w14:paraId="7BD34F3E" w14:textId="77777777">
      <w:pPr>
        <w:rPr>
          <w:color w:val="auto"/>
          <w:lang w:val="de-DE"/>
        </w:rPr>
      </w:pPr>
    </w:p>
    <w:p w:rsidRPr="00B74E9D" w:rsidR="00CE06BC" w:rsidP="00CE06BC" w:rsidRDefault="00CE06BC" w14:paraId="68DC03F5" w14:textId="77777777">
      <w:pPr>
        <w:rPr>
          <w:i/>
          <w:iCs/>
          <w:color w:val="auto"/>
        </w:rPr>
      </w:pPr>
      <w:r w:rsidRPr="00B74E9D">
        <w:rPr>
          <w:b/>
          <w:bCs/>
          <w:i/>
          <w:iCs/>
          <w:color w:val="auto"/>
        </w:rPr>
        <w:t>Categorie B: productherstel en -verbetering van HRN-treindienst</w:t>
      </w:r>
    </w:p>
    <w:tbl>
      <w:tblPr>
        <w:tblStyle w:val="TableGrid"/>
        <w:tblW w:w="4985" w:type="pct"/>
        <w:tblInd w:w="-5" w:type="dxa"/>
        <w:tblLook w:val="04A0" w:firstRow="1" w:lastRow="0" w:firstColumn="1" w:lastColumn="0" w:noHBand="0" w:noVBand="1"/>
      </w:tblPr>
      <w:tblGrid>
        <w:gridCol w:w="7508"/>
      </w:tblGrid>
      <w:tr w:rsidRPr="00B74E9D" w:rsidR="00B74E9D" w:rsidTr="000035F1" w14:paraId="77C01ED3" w14:textId="77777777">
        <w:tc>
          <w:tcPr>
            <w:tcW w:w="7508" w:type="dxa"/>
          </w:tcPr>
          <w:p w:rsidRPr="00B74E9D" w:rsidR="00CE06BC" w:rsidP="00002B16" w:rsidRDefault="00CE06BC" w14:paraId="5BE4E8B4" w14:textId="77777777">
            <w:pPr>
              <w:rPr>
                <w:color w:val="auto"/>
              </w:rPr>
            </w:pPr>
            <w:r w:rsidRPr="00B74E9D">
              <w:rPr>
                <w:color w:val="auto"/>
              </w:rPr>
              <w:t>Reistijdverkorting Amersfoort - Deventer</w:t>
            </w:r>
          </w:p>
        </w:tc>
      </w:tr>
      <w:tr w:rsidRPr="00B74E9D" w:rsidR="00B74E9D" w:rsidTr="000035F1" w14:paraId="54FD5819" w14:textId="77777777">
        <w:tc>
          <w:tcPr>
            <w:tcW w:w="7508" w:type="dxa"/>
          </w:tcPr>
          <w:p w:rsidRPr="00B74E9D" w:rsidR="00CE06BC" w:rsidP="00002B16" w:rsidRDefault="00CE06BC" w14:paraId="206B71E6" w14:textId="77777777">
            <w:pPr>
              <w:rPr>
                <w:color w:val="auto"/>
              </w:rPr>
            </w:pPr>
            <w:r w:rsidRPr="00B74E9D">
              <w:rPr>
                <w:color w:val="auto"/>
              </w:rPr>
              <w:t>Behoud 4x IC-stop Lelystad na realisatie PHS SAAL</w:t>
            </w:r>
          </w:p>
        </w:tc>
      </w:tr>
      <w:tr w:rsidRPr="00B74E9D" w:rsidR="00B74E9D" w:rsidTr="000035F1" w14:paraId="56B47C5C" w14:textId="77777777">
        <w:tc>
          <w:tcPr>
            <w:tcW w:w="7508" w:type="dxa"/>
          </w:tcPr>
          <w:p w:rsidRPr="00B74E9D" w:rsidR="00CE06BC" w:rsidP="00002B16" w:rsidRDefault="00CE06BC" w14:paraId="1629A53B" w14:textId="48A94E75">
            <w:pPr>
              <w:rPr>
                <w:color w:val="auto"/>
              </w:rPr>
            </w:pPr>
            <w:r w:rsidRPr="00B74E9D">
              <w:rPr>
                <w:color w:val="auto"/>
              </w:rPr>
              <w:t xml:space="preserve">Rotterdam </w:t>
            </w:r>
            <w:r w:rsidR="00C451D5">
              <w:rPr>
                <w:color w:val="auto"/>
              </w:rPr>
              <w:t>-</w:t>
            </w:r>
            <w:r w:rsidRPr="00B74E9D">
              <w:rPr>
                <w:color w:val="auto"/>
              </w:rPr>
              <w:t xml:space="preserve"> Schiphol </w:t>
            </w:r>
            <w:r w:rsidR="00C451D5">
              <w:rPr>
                <w:color w:val="auto"/>
              </w:rPr>
              <w:t>-</w:t>
            </w:r>
            <w:r w:rsidRPr="00B74E9D">
              <w:rPr>
                <w:color w:val="auto"/>
              </w:rPr>
              <w:t xml:space="preserve"> Amersfoort Schothorst (inzet langere treinen voor verhoging zitplaatskans)</w:t>
            </w:r>
          </w:p>
        </w:tc>
      </w:tr>
      <w:tr w:rsidRPr="00B74E9D" w:rsidR="00B74E9D" w:rsidTr="000035F1" w14:paraId="3E825729" w14:textId="77777777">
        <w:tc>
          <w:tcPr>
            <w:tcW w:w="7508" w:type="dxa"/>
          </w:tcPr>
          <w:p w:rsidRPr="00B74E9D" w:rsidR="00CE06BC" w:rsidP="00002B16" w:rsidRDefault="00CE06BC" w14:paraId="6513AA8A" w14:textId="33371088">
            <w:pPr>
              <w:rPr>
                <w:color w:val="auto"/>
              </w:rPr>
            </w:pPr>
            <w:r w:rsidRPr="00B74E9D">
              <w:rPr>
                <w:color w:val="auto"/>
              </w:rPr>
              <w:t xml:space="preserve">Leiden </w:t>
            </w:r>
            <w:r w:rsidR="00C451D5">
              <w:rPr>
                <w:color w:val="auto"/>
              </w:rPr>
              <w:t>-</w:t>
            </w:r>
            <w:r w:rsidRPr="00B74E9D">
              <w:rPr>
                <w:color w:val="auto"/>
              </w:rPr>
              <w:t xml:space="preserve"> Utrecht - Geldermalsen (inzet langere treinen voor verhoging zitplaatskans)</w:t>
            </w:r>
          </w:p>
        </w:tc>
      </w:tr>
      <w:tr w:rsidRPr="00B74E9D" w:rsidR="00B74E9D" w:rsidTr="000035F1" w14:paraId="78ED4322" w14:textId="77777777">
        <w:tc>
          <w:tcPr>
            <w:tcW w:w="7508" w:type="dxa"/>
          </w:tcPr>
          <w:p w:rsidRPr="00B74E9D" w:rsidR="00CE06BC" w:rsidP="00002B16" w:rsidRDefault="00CE06BC" w14:paraId="2956905F" w14:textId="31F9216E">
            <w:pPr>
              <w:rPr>
                <w:color w:val="auto"/>
              </w:rPr>
            </w:pPr>
            <w:r w:rsidRPr="00B74E9D">
              <w:rPr>
                <w:color w:val="auto"/>
              </w:rPr>
              <w:t xml:space="preserve">Enkhuizen </w:t>
            </w:r>
            <w:r w:rsidR="00C451D5">
              <w:rPr>
                <w:color w:val="auto"/>
              </w:rPr>
              <w:t>-</w:t>
            </w:r>
            <w:r w:rsidRPr="00B74E9D">
              <w:rPr>
                <w:color w:val="auto"/>
              </w:rPr>
              <w:t xml:space="preserve"> Amsterdam (inzet langere treinen voor verhoging zitplaatskans)</w:t>
            </w:r>
          </w:p>
        </w:tc>
      </w:tr>
      <w:tr w:rsidRPr="00B74E9D" w:rsidR="00B74E9D" w:rsidTr="000035F1" w14:paraId="36A9F2ED" w14:textId="77777777">
        <w:tc>
          <w:tcPr>
            <w:tcW w:w="7508" w:type="dxa"/>
          </w:tcPr>
          <w:p w:rsidRPr="00B74E9D" w:rsidR="00CE06BC" w:rsidP="00002B16" w:rsidRDefault="00CE06BC" w14:paraId="41355927" w14:textId="17B9FC09">
            <w:pPr>
              <w:rPr>
                <w:color w:val="auto"/>
              </w:rPr>
            </w:pPr>
            <w:r w:rsidRPr="00B74E9D">
              <w:rPr>
                <w:color w:val="auto"/>
              </w:rPr>
              <w:t>Uitbreiding B&amp;O</w:t>
            </w:r>
            <w:r w:rsidR="00C451D5">
              <w:rPr>
                <w:color w:val="auto"/>
              </w:rPr>
              <w:t>-</w:t>
            </w:r>
            <w:r w:rsidRPr="00B74E9D">
              <w:rPr>
                <w:color w:val="auto"/>
              </w:rPr>
              <w:t>behoefte op diverse emplacementen</w:t>
            </w:r>
          </w:p>
        </w:tc>
      </w:tr>
      <w:tr w:rsidRPr="00B74E9D" w:rsidR="00B74E9D" w:rsidTr="000035F1" w14:paraId="1B47ACC0" w14:textId="77777777">
        <w:tc>
          <w:tcPr>
            <w:tcW w:w="7508" w:type="dxa"/>
          </w:tcPr>
          <w:p w:rsidRPr="00B74E9D" w:rsidR="00CE06BC" w:rsidP="00002B16" w:rsidRDefault="00CE06BC" w14:paraId="30D94C0F" w14:textId="77777777">
            <w:pPr>
              <w:rPr>
                <w:color w:val="auto"/>
              </w:rPr>
            </w:pPr>
            <w:r w:rsidRPr="00B74E9D">
              <w:rPr>
                <w:color w:val="auto"/>
              </w:rPr>
              <w:t>Robuustere overstaptijden knoop Groningen</w:t>
            </w:r>
          </w:p>
        </w:tc>
      </w:tr>
      <w:tr w:rsidRPr="00B74E9D" w:rsidR="00B74E9D" w:rsidTr="000035F1" w14:paraId="4AD45E71" w14:textId="77777777">
        <w:tc>
          <w:tcPr>
            <w:tcW w:w="7508" w:type="dxa"/>
          </w:tcPr>
          <w:p w:rsidRPr="00B74E9D" w:rsidR="00CE06BC" w:rsidP="00002B16" w:rsidRDefault="00CE06BC" w14:paraId="27BAF84D" w14:textId="77777777">
            <w:pPr>
              <w:rPr>
                <w:color w:val="auto"/>
              </w:rPr>
            </w:pPr>
            <w:r w:rsidRPr="00B74E9D">
              <w:rPr>
                <w:color w:val="auto"/>
              </w:rPr>
              <w:t>Robuustere overstaptijden knoop Leeuwarden (knoopherstel)</w:t>
            </w:r>
          </w:p>
        </w:tc>
      </w:tr>
      <w:bookmarkEnd w:id="2"/>
    </w:tbl>
    <w:p w:rsidR="00DC128E" w:rsidRDefault="00DC128E" w14:paraId="2174FF20" w14:textId="77777777">
      <w:pPr>
        <w:rPr>
          <w:color w:val="auto"/>
        </w:rPr>
      </w:pPr>
    </w:p>
    <w:p w:rsidR="0018335E" w:rsidRDefault="0018335E" w14:paraId="209340A1" w14:textId="77777777">
      <w:pPr>
        <w:rPr>
          <w:color w:val="auto"/>
        </w:rPr>
      </w:pPr>
    </w:p>
    <w:p w:rsidR="0018335E" w:rsidRDefault="0018335E" w14:paraId="2DAD24F2" w14:textId="0610667E">
      <w:pPr>
        <w:rPr>
          <w:color w:val="auto"/>
        </w:rPr>
        <w:sectPr w:rsidR="0018335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pPr>
    </w:p>
    <w:p w:rsidRPr="009D1F7B" w:rsidR="006C726C" w:rsidP="0018335E" w:rsidRDefault="006C726C" w14:paraId="2A270FFD" w14:textId="7E7A3E66"/>
    <w:sectPr w:rsidRPr="009D1F7B" w:rsidR="006C726C" w:rsidSect="003C1DE6">
      <w:headerReference w:type="first" r:id="rId15"/>
      <w:pgSz w:w="11905" w:h="16837"/>
      <w:pgMar w:top="1021" w:right="1021" w:bottom="1021"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C032B" w14:textId="77777777" w:rsidR="00C80925" w:rsidRDefault="00C80925">
      <w:pPr>
        <w:spacing w:line="240" w:lineRule="auto"/>
      </w:pPr>
      <w:r>
        <w:separator/>
      </w:r>
    </w:p>
  </w:endnote>
  <w:endnote w:type="continuationSeparator" w:id="0">
    <w:p w14:paraId="5A05ACA5" w14:textId="77777777" w:rsidR="00C80925" w:rsidRDefault="00C80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9888" w14:textId="77777777" w:rsidR="00A70F87" w:rsidRDefault="00A70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EEA85" w14:textId="77777777" w:rsidR="00A70F87" w:rsidRDefault="00A70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E47E" w14:textId="77777777" w:rsidR="00A70F87" w:rsidRDefault="00A7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EC025" w14:textId="77777777" w:rsidR="00C80925" w:rsidRDefault="00C80925">
      <w:pPr>
        <w:spacing w:line="240" w:lineRule="auto"/>
      </w:pPr>
      <w:r>
        <w:separator/>
      </w:r>
    </w:p>
  </w:footnote>
  <w:footnote w:type="continuationSeparator" w:id="0">
    <w:p w14:paraId="0D675761" w14:textId="77777777" w:rsidR="00C80925" w:rsidRDefault="00C80925">
      <w:pPr>
        <w:spacing w:line="240" w:lineRule="auto"/>
      </w:pPr>
      <w:r>
        <w:continuationSeparator/>
      </w:r>
    </w:p>
  </w:footnote>
  <w:footnote w:id="1">
    <w:p w14:paraId="52814623" w14:textId="77777777" w:rsidR="005209B4" w:rsidRPr="00F47629" w:rsidRDefault="005209B4" w:rsidP="005209B4">
      <w:pPr>
        <w:pStyle w:val="FootnoteText"/>
        <w:rPr>
          <w:sz w:val="16"/>
          <w:szCs w:val="16"/>
        </w:rPr>
      </w:pPr>
      <w:r w:rsidRPr="00F47629">
        <w:rPr>
          <w:rStyle w:val="FootnoteReference"/>
          <w:sz w:val="16"/>
          <w:szCs w:val="16"/>
        </w:rPr>
        <w:footnoteRef/>
      </w:r>
      <w:r w:rsidRPr="00F47629">
        <w:rPr>
          <w:sz w:val="16"/>
          <w:szCs w:val="16"/>
        </w:rPr>
        <w:t xml:space="preserve"> </w:t>
      </w:r>
      <w:r w:rsidRPr="00A409C7">
        <w:rPr>
          <w:sz w:val="14"/>
          <w:szCs w:val="14"/>
        </w:rPr>
        <w:t>Tweede Kamer vergaderjaar 2025-2026, 36800-A nr. 11.</w:t>
      </w:r>
    </w:p>
  </w:footnote>
  <w:footnote w:id="2">
    <w:p w14:paraId="436234A1" w14:textId="04530D93" w:rsidR="006377F5" w:rsidRPr="006377F5" w:rsidRDefault="006377F5">
      <w:pPr>
        <w:pStyle w:val="FootnoteText"/>
        <w:rPr>
          <w:sz w:val="16"/>
          <w:szCs w:val="16"/>
        </w:rPr>
      </w:pPr>
      <w:r w:rsidRPr="006377F5">
        <w:rPr>
          <w:rStyle w:val="FootnoteReference"/>
          <w:sz w:val="16"/>
          <w:szCs w:val="16"/>
        </w:rPr>
        <w:footnoteRef/>
      </w:r>
      <w:r w:rsidRPr="006377F5">
        <w:rPr>
          <w:sz w:val="16"/>
          <w:szCs w:val="16"/>
        </w:rPr>
        <w:t xml:space="preserve"> </w:t>
      </w:r>
      <w:r w:rsidRPr="00DF5C22">
        <w:rPr>
          <w:sz w:val="14"/>
          <w:szCs w:val="14"/>
        </w:rPr>
        <w:t>Kamerstuk 36800-A,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EA7D8" w14:textId="77777777" w:rsidR="00A70F87" w:rsidRDefault="00A70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71E9F" w14:textId="1E1B7FA2" w:rsidR="00680507" w:rsidRDefault="000035F1">
    <w:r>
      <w:rPr>
        <w:noProof/>
        <w:lang w:val="en-GB" w:eastAsia="en-GB"/>
      </w:rPr>
      <mc:AlternateContent>
        <mc:Choice Requires="wps">
          <w:drawing>
            <wp:anchor distT="0" distB="0" distL="0" distR="0" simplePos="0" relativeHeight="251668992" behindDoc="0" locked="1" layoutInCell="1" allowOverlap="1" wp14:anchorId="1FFC28F2" wp14:editId="389E3EE2">
              <wp:simplePos x="0" y="0"/>
              <wp:positionH relativeFrom="page">
                <wp:posOffset>6059805</wp:posOffset>
              </wp:positionH>
              <wp:positionV relativeFrom="paragraph">
                <wp:posOffset>1870710</wp:posOffset>
              </wp:positionV>
              <wp:extent cx="1259840" cy="8009890"/>
              <wp:effectExtent l="0" t="0" r="0" b="0"/>
              <wp:wrapNone/>
              <wp:docPr id="1633114730"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F51CF0" w14:textId="77777777" w:rsidR="000035F1" w:rsidRDefault="000035F1" w:rsidP="000035F1">
                          <w:pPr>
                            <w:pStyle w:val="AfzendgegevensKop0"/>
                          </w:pPr>
                          <w:r>
                            <w:t>Ministerie van Infrastructuur en Waterstaat</w:t>
                          </w:r>
                        </w:p>
                        <w:p w14:paraId="1D640FE9" w14:textId="77777777" w:rsidR="000035F1" w:rsidRDefault="000035F1" w:rsidP="000035F1">
                          <w:pPr>
                            <w:pStyle w:val="WitregelW1"/>
                          </w:pPr>
                        </w:p>
                        <w:p w14:paraId="0FBFD261" w14:textId="77777777" w:rsidR="000035F1" w:rsidRDefault="000035F1" w:rsidP="000035F1">
                          <w:pPr>
                            <w:spacing w:line="276" w:lineRule="auto"/>
                            <w:rPr>
                              <w:b/>
                              <w:bCs/>
                              <w:sz w:val="13"/>
                              <w:szCs w:val="13"/>
                            </w:rPr>
                          </w:pPr>
                        </w:p>
                        <w:p w14:paraId="7E7436B1" w14:textId="058D1088" w:rsidR="000035F1" w:rsidRPr="000035F1" w:rsidRDefault="000035F1" w:rsidP="000035F1">
                          <w:pPr>
                            <w:spacing w:line="276" w:lineRule="auto"/>
                            <w:rPr>
                              <w:b/>
                              <w:bCs/>
                              <w:sz w:val="13"/>
                              <w:szCs w:val="13"/>
                            </w:rPr>
                          </w:pPr>
                          <w:r w:rsidRPr="000035F1">
                            <w:rPr>
                              <w:b/>
                              <w:bCs/>
                              <w:sz w:val="13"/>
                              <w:szCs w:val="13"/>
                            </w:rPr>
                            <w:t>Kenmerk</w:t>
                          </w:r>
                        </w:p>
                        <w:p w14:paraId="4B6321BB" w14:textId="77777777" w:rsidR="000035F1" w:rsidRPr="000035F1" w:rsidRDefault="000035F1" w:rsidP="000035F1">
                          <w:pPr>
                            <w:spacing w:line="276" w:lineRule="auto"/>
                            <w:rPr>
                              <w:sz w:val="13"/>
                              <w:szCs w:val="13"/>
                            </w:rPr>
                          </w:pPr>
                          <w:r w:rsidRPr="000035F1">
                            <w:rPr>
                              <w:sz w:val="13"/>
                              <w:szCs w:val="13"/>
                            </w:rPr>
                            <w:t>IENW/BSK-2026/87261</w:t>
                          </w:r>
                        </w:p>
                        <w:p w14:paraId="3511DF79" w14:textId="77777777" w:rsidR="000035F1" w:rsidRPr="000035F1" w:rsidRDefault="000035F1" w:rsidP="000035F1">
                          <w:pPr>
                            <w:spacing w:line="276" w:lineRule="auto"/>
                            <w:rPr>
                              <w:sz w:val="13"/>
                              <w:szCs w:val="13"/>
                            </w:rPr>
                          </w:pPr>
                        </w:p>
                      </w:txbxContent>
                    </wps:txbx>
                    <wps:bodyPr vert="horz" wrap="square" lIns="0" tIns="0" rIns="0" bIns="0" anchor="t" anchorCtr="0"/>
                  </wps:wsp>
                </a:graphicData>
              </a:graphic>
            </wp:anchor>
          </w:drawing>
        </mc:Choice>
        <mc:Fallback>
          <w:pict>
            <v:shapetype w14:anchorId="1FFC28F2" id="_x0000_t202" coordsize="21600,21600" o:spt="202" path="m,l,21600r21600,l21600,xe">
              <v:stroke joinstyle="miter"/>
              <v:path gradientshapeok="t" o:connecttype="rect"/>
            </v:shapetype>
            <v:shape id="7268d739-823c-11ee-8554-0242ac120003" o:spid="_x0000_s1026" type="#_x0000_t202" style="position:absolute;margin-left:477.15pt;margin-top:147.3pt;width:99.2pt;height:630.7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nf+xAEAAFYDAAAOAAAAZHJzL2Uyb0RvYy54bWysU9tu2zAMfR+wfxD07viWi2PEKbAVHQYU&#10;W4F2H6DIcizAEjVJjZ1+/SglToftbdgLTZHS4eEhvbub1EBOwjoJuqH5IqNEaA6t1MeG/nh5SCpK&#10;nGe6ZQNo0dCzcPRu//HDbjS1KKCHoRWWIIh29Wga2ntv6jR1vBeKuQUYoTHZgVXM49Ee09ayEdHV&#10;kBZZtk5HsK2xwIVzGL2/JOk+4ned4P571znhydBQ5OajtdEegk33O1YfLTO95Fca7B9YKCY1Fr1B&#10;3TPPyKuVf0EpyS046PyCg0qh6yQXsQfsJs/+6Oa5Z0bEXlAcZ24yuf8Hy7+dniyRLc5uXZZ5vtyU&#10;KJNmCme1KdZVuym3SVWUPMlzIZJqtVomWbEsGM9R/qwMAo7G1YjzbBDJT59gQrA57jAYdJk6q8IX&#10;OyaYxxrnm/xi8oSHR8VqWy0xxTFXZdm22sYBpe/PjXX+iwBFgtNQi/ONsrPTo/NIBa/OV0I1DQ9y&#10;GEI8cLxwCZ6fDtOV+AHaM/LGFUa8HuwbJSOuQ0Pdz1dmBSXDV416h92ZHTs7h9lhmuPThnpKLu5n&#10;H3dsrozDi9yuixa24/dz5Pf+O+x/AQAA//8DAFBLAwQUAAYACAAAACEA52HwP+IAAAANAQAADwAA&#10;AGRycy9kb3ducmV2LnhtbEyPwU7DMAyG70i8Q2QkbixZWctamk4TghMSoiuHHdPGa6s1Tmmyrbw9&#10;2Qlutvzp9/fnm9kM7IyT6y1JWC4EMKTG6p5aCV/V28MamPOKtBosoYQfdLApbm9ylWl7oRLPO9+y&#10;EEIuUxI678eMc9d0aJRb2BEp3A52MsqHdWq5ntQlhJuBR0Ik3KiewodOjfjSYXPcnYyE7Z7K1/77&#10;o/4sD2VfVamg9+Qo5f3dvH0G5nH2fzBc9YM6FMGptifSjg0S0nj1GFAJUbpKgF2JZRw9AavDFMeJ&#10;AF7k/H+L4hcAAP//AwBQSwECLQAUAAYACAAAACEAtoM4kv4AAADhAQAAEwAAAAAAAAAAAAAAAAAA&#10;AAAAW0NvbnRlbnRfVHlwZXNdLnhtbFBLAQItABQABgAIAAAAIQA4/SH/1gAAAJQBAAALAAAAAAAA&#10;AAAAAAAAAC8BAABfcmVscy8ucmVsc1BLAQItABQABgAIAAAAIQA2Enf+xAEAAFYDAAAOAAAAAAAA&#10;AAAAAAAAAC4CAABkcnMvZTJvRG9jLnhtbFBLAQItABQABgAIAAAAIQDnYfA/4gAAAA0BAAAPAAAA&#10;AAAAAAAAAAAAAB4EAABkcnMvZG93bnJldi54bWxQSwUGAAAAAAQABADzAAAALQUAAAAA&#10;" filled="f" stroked="f">
              <v:textbox inset="0,0,0,0">
                <w:txbxContent>
                  <w:p w14:paraId="73F51CF0" w14:textId="77777777" w:rsidR="000035F1" w:rsidRDefault="000035F1" w:rsidP="000035F1">
                    <w:pPr>
                      <w:pStyle w:val="AfzendgegevensKop0"/>
                    </w:pPr>
                    <w:r>
                      <w:t>Ministerie van Infrastructuur en Waterstaat</w:t>
                    </w:r>
                  </w:p>
                  <w:p w14:paraId="1D640FE9" w14:textId="77777777" w:rsidR="000035F1" w:rsidRDefault="000035F1" w:rsidP="000035F1">
                    <w:pPr>
                      <w:pStyle w:val="WitregelW1"/>
                    </w:pPr>
                  </w:p>
                  <w:p w14:paraId="0FBFD261" w14:textId="77777777" w:rsidR="000035F1" w:rsidRDefault="000035F1" w:rsidP="000035F1">
                    <w:pPr>
                      <w:spacing w:line="276" w:lineRule="auto"/>
                      <w:rPr>
                        <w:b/>
                        <w:bCs/>
                        <w:sz w:val="13"/>
                        <w:szCs w:val="13"/>
                      </w:rPr>
                    </w:pPr>
                  </w:p>
                  <w:p w14:paraId="7E7436B1" w14:textId="058D1088" w:rsidR="000035F1" w:rsidRPr="000035F1" w:rsidRDefault="000035F1" w:rsidP="000035F1">
                    <w:pPr>
                      <w:spacing w:line="276" w:lineRule="auto"/>
                      <w:rPr>
                        <w:b/>
                        <w:bCs/>
                        <w:sz w:val="13"/>
                        <w:szCs w:val="13"/>
                      </w:rPr>
                    </w:pPr>
                    <w:r w:rsidRPr="000035F1">
                      <w:rPr>
                        <w:b/>
                        <w:bCs/>
                        <w:sz w:val="13"/>
                        <w:szCs w:val="13"/>
                      </w:rPr>
                      <w:t>Kenmerk</w:t>
                    </w:r>
                  </w:p>
                  <w:p w14:paraId="4B6321BB" w14:textId="77777777" w:rsidR="000035F1" w:rsidRPr="000035F1" w:rsidRDefault="000035F1" w:rsidP="000035F1">
                    <w:pPr>
                      <w:spacing w:line="276" w:lineRule="auto"/>
                      <w:rPr>
                        <w:sz w:val="13"/>
                        <w:szCs w:val="13"/>
                      </w:rPr>
                    </w:pPr>
                    <w:r w:rsidRPr="000035F1">
                      <w:rPr>
                        <w:sz w:val="13"/>
                        <w:szCs w:val="13"/>
                      </w:rPr>
                      <w:t>IENW/BSK-2026/87261</w:t>
                    </w:r>
                  </w:p>
                  <w:p w14:paraId="3511DF79" w14:textId="77777777" w:rsidR="000035F1" w:rsidRPr="000035F1" w:rsidRDefault="000035F1" w:rsidP="000035F1">
                    <w:pPr>
                      <w:spacing w:line="276" w:lineRule="auto"/>
                      <w:rPr>
                        <w:sz w:val="13"/>
                        <w:szCs w:val="13"/>
                      </w:rPr>
                    </w:pPr>
                  </w:p>
                </w:txbxContent>
              </v:textbox>
              <w10:wrap anchorx="page"/>
              <w10:anchorlock/>
            </v:shape>
          </w:pict>
        </mc:Fallback>
      </mc:AlternateContent>
    </w:r>
    <w:r w:rsidR="00B02885">
      <w:rPr>
        <w:noProof/>
        <w:lang w:val="en-GB" w:eastAsia="en-GB"/>
      </w:rPr>
      <mc:AlternateContent>
        <mc:Choice Requires="wps">
          <w:drawing>
            <wp:anchor distT="0" distB="0" distL="0" distR="0" simplePos="0" relativeHeight="251652608" behindDoc="0" locked="1" layoutInCell="1" allowOverlap="1" wp14:anchorId="46045DC5" wp14:editId="74AA0EB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58DDC7" w14:textId="7090A3A2" w:rsidR="00680507" w:rsidRDefault="00B02885">
                          <w:pPr>
                            <w:pStyle w:val="Referentiegegevens"/>
                          </w:pPr>
                          <w:r>
                            <w:t xml:space="preserve">Page </w:t>
                          </w:r>
                          <w:r>
                            <w:fldChar w:fldCharType="begin"/>
                          </w:r>
                          <w:r>
                            <w:instrText>PAGE</w:instrText>
                          </w:r>
                          <w:r>
                            <w:fldChar w:fldCharType="separate"/>
                          </w:r>
                          <w:r w:rsidR="00BF6B25">
                            <w:rPr>
                              <w:noProof/>
                            </w:rPr>
                            <w:t>2</w:t>
                          </w:r>
                          <w:r>
                            <w:fldChar w:fldCharType="end"/>
                          </w:r>
                          <w:r>
                            <w:t xml:space="preserve"> of </w:t>
                          </w:r>
                          <w:r>
                            <w:fldChar w:fldCharType="begin"/>
                          </w:r>
                          <w:r>
                            <w:instrText>NUMPAGES</w:instrText>
                          </w:r>
                          <w:r>
                            <w:fldChar w:fldCharType="separate"/>
                          </w:r>
                          <w:r w:rsidR="00BF6B25">
                            <w:rPr>
                              <w:noProof/>
                            </w:rPr>
                            <w:t>1</w:t>
                          </w:r>
                          <w:r>
                            <w:fldChar w:fldCharType="end"/>
                          </w:r>
                        </w:p>
                      </w:txbxContent>
                    </wps:txbx>
                    <wps:bodyPr vert="horz" wrap="square" lIns="0" tIns="0" rIns="0" bIns="0" anchor="t" anchorCtr="0"/>
                  </wps:wsp>
                </a:graphicData>
              </a:graphic>
            </wp:anchor>
          </w:drawing>
        </mc:Choice>
        <mc:Fallback>
          <w:pict>
            <v:shape w14:anchorId="46045DC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358DDC7" w14:textId="7090A3A2" w:rsidR="00680507" w:rsidRDefault="00B02885">
                    <w:pPr>
                      <w:pStyle w:val="Referentiegegevens"/>
                    </w:pPr>
                    <w:r>
                      <w:t xml:space="preserve">Page </w:t>
                    </w:r>
                    <w:r>
                      <w:fldChar w:fldCharType="begin"/>
                    </w:r>
                    <w:r>
                      <w:instrText>PAGE</w:instrText>
                    </w:r>
                    <w:r>
                      <w:fldChar w:fldCharType="separate"/>
                    </w:r>
                    <w:r w:rsidR="00BF6B25">
                      <w:rPr>
                        <w:noProof/>
                      </w:rPr>
                      <w:t>2</w:t>
                    </w:r>
                    <w:r>
                      <w:fldChar w:fldCharType="end"/>
                    </w:r>
                    <w:r>
                      <w:t xml:space="preserve"> of </w:t>
                    </w:r>
                    <w:r>
                      <w:fldChar w:fldCharType="begin"/>
                    </w:r>
                    <w:r>
                      <w:instrText>NUMPAGES</w:instrText>
                    </w:r>
                    <w:r>
                      <w:fldChar w:fldCharType="separate"/>
                    </w:r>
                    <w:r w:rsidR="00BF6B25">
                      <w:rPr>
                        <w:noProof/>
                      </w:rPr>
                      <w:t>1</w:t>
                    </w:r>
                    <w:r>
                      <w:fldChar w:fldCharType="end"/>
                    </w:r>
                  </w:p>
                </w:txbxContent>
              </v:textbox>
              <w10:wrap anchorx="page"/>
              <w10:anchorlock/>
            </v:shape>
          </w:pict>
        </mc:Fallback>
      </mc:AlternateContent>
    </w:r>
    <w:r w:rsidR="00B02885">
      <w:rPr>
        <w:noProof/>
        <w:lang w:val="en-GB" w:eastAsia="en-GB"/>
      </w:rPr>
      <mc:AlternateContent>
        <mc:Choice Requires="wps">
          <w:drawing>
            <wp:anchor distT="0" distB="0" distL="0" distR="0" simplePos="0" relativeHeight="251653632" behindDoc="0" locked="1" layoutInCell="1" allowOverlap="1" wp14:anchorId="582CB567" wp14:editId="4638078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05070C5" w14:textId="77777777" w:rsidR="00A05336" w:rsidRDefault="00A05336"/>
                      </w:txbxContent>
                    </wps:txbx>
                    <wps:bodyPr vert="horz" wrap="square" lIns="0" tIns="0" rIns="0" bIns="0" anchor="t" anchorCtr="0"/>
                  </wps:wsp>
                </a:graphicData>
              </a:graphic>
            </wp:anchor>
          </w:drawing>
        </mc:Choice>
        <mc:Fallback>
          <w:pict>
            <v:shape w14:anchorId="582CB56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05070C5" w14:textId="77777777" w:rsidR="00A05336" w:rsidRDefault="00A05336"/>
                </w:txbxContent>
              </v:textbox>
              <w10:wrap anchorx="page"/>
              <w10:anchorlock/>
            </v:shape>
          </w:pict>
        </mc:Fallback>
      </mc:AlternateContent>
    </w:r>
    <w:r w:rsidR="00B02885">
      <w:rPr>
        <w:noProof/>
        <w:lang w:val="en-GB" w:eastAsia="en-GB"/>
      </w:rPr>
      <mc:AlternateContent>
        <mc:Choice Requires="wps">
          <w:drawing>
            <wp:anchor distT="0" distB="0" distL="0" distR="0" simplePos="0" relativeHeight="251654656" behindDoc="0" locked="1" layoutInCell="1" allowOverlap="1" wp14:anchorId="6E86DC4D" wp14:editId="46BE70A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67E2E6D" w14:textId="77777777" w:rsidR="00A05336" w:rsidRDefault="00A05336"/>
                      </w:txbxContent>
                    </wps:txbx>
                    <wps:bodyPr vert="horz" wrap="square" lIns="0" tIns="0" rIns="0" bIns="0" anchor="t" anchorCtr="0"/>
                  </wps:wsp>
                </a:graphicData>
              </a:graphic>
            </wp:anchor>
          </w:drawing>
        </mc:Choice>
        <mc:Fallback>
          <w:pict>
            <v:shape w14:anchorId="6E86DC4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67E2E6D" w14:textId="77777777" w:rsidR="00A05336" w:rsidRDefault="00A05336"/>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AEDA4" w14:textId="77777777" w:rsidR="00680507" w:rsidRDefault="00B0288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2F3B7AB" wp14:editId="2AD9D32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B6EB7E" w14:textId="77777777" w:rsidR="00A05336" w:rsidRDefault="00A05336"/>
                      </w:txbxContent>
                    </wps:txbx>
                    <wps:bodyPr vert="horz" wrap="square" lIns="0" tIns="0" rIns="0" bIns="0" anchor="t" anchorCtr="0"/>
                  </wps:wsp>
                </a:graphicData>
              </a:graphic>
            </wp:anchor>
          </w:drawing>
        </mc:Choice>
        <mc:Fallback>
          <w:pict>
            <v:shapetype w14:anchorId="12F3B7A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CB6EB7E" w14:textId="77777777" w:rsidR="00A05336" w:rsidRDefault="00A05336"/>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186ED5E" wp14:editId="304CF35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5AC675" w14:textId="64D4218C" w:rsidR="00680507" w:rsidRDefault="00B02885">
                          <w:pPr>
                            <w:pStyle w:val="Referentiegegevens"/>
                          </w:pPr>
                          <w:r>
                            <w:t xml:space="preserve">Page </w:t>
                          </w:r>
                          <w:r>
                            <w:fldChar w:fldCharType="begin"/>
                          </w:r>
                          <w:r>
                            <w:instrText>PAGE</w:instrText>
                          </w:r>
                          <w:r>
                            <w:fldChar w:fldCharType="separate"/>
                          </w:r>
                          <w:r w:rsidR="00BB48C8">
                            <w:rPr>
                              <w:noProof/>
                            </w:rPr>
                            <w:t>1</w:t>
                          </w:r>
                          <w:r>
                            <w:fldChar w:fldCharType="end"/>
                          </w:r>
                          <w:r>
                            <w:t xml:space="preserve"> of </w:t>
                          </w:r>
                          <w:r>
                            <w:fldChar w:fldCharType="begin"/>
                          </w:r>
                          <w:r>
                            <w:instrText>NUMPAGES</w:instrText>
                          </w:r>
                          <w:r>
                            <w:fldChar w:fldCharType="separate"/>
                          </w:r>
                          <w:r w:rsidR="00BB48C8">
                            <w:rPr>
                              <w:noProof/>
                            </w:rPr>
                            <w:t>1</w:t>
                          </w:r>
                          <w:r>
                            <w:fldChar w:fldCharType="end"/>
                          </w:r>
                        </w:p>
                      </w:txbxContent>
                    </wps:txbx>
                    <wps:bodyPr vert="horz" wrap="square" lIns="0" tIns="0" rIns="0" bIns="0" anchor="t" anchorCtr="0"/>
                  </wps:wsp>
                </a:graphicData>
              </a:graphic>
            </wp:anchor>
          </w:drawing>
        </mc:Choice>
        <mc:Fallback>
          <w:pict>
            <v:shape w14:anchorId="0186ED5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25AC675" w14:textId="64D4218C" w:rsidR="00680507" w:rsidRDefault="00B02885">
                    <w:pPr>
                      <w:pStyle w:val="Referentiegegevens"/>
                    </w:pPr>
                    <w:r>
                      <w:t xml:space="preserve">Page </w:t>
                    </w:r>
                    <w:r>
                      <w:fldChar w:fldCharType="begin"/>
                    </w:r>
                    <w:r>
                      <w:instrText>PAGE</w:instrText>
                    </w:r>
                    <w:r>
                      <w:fldChar w:fldCharType="separate"/>
                    </w:r>
                    <w:r w:rsidR="00BB48C8">
                      <w:rPr>
                        <w:noProof/>
                      </w:rPr>
                      <w:t>1</w:t>
                    </w:r>
                    <w:r>
                      <w:fldChar w:fldCharType="end"/>
                    </w:r>
                    <w:r>
                      <w:t xml:space="preserve"> of </w:t>
                    </w:r>
                    <w:r>
                      <w:fldChar w:fldCharType="begin"/>
                    </w:r>
                    <w:r>
                      <w:instrText>NUMPAGES</w:instrText>
                    </w:r>
                    <w:r>
                      <w:fldChar w:fldCharType="separate"/>
                    </w:r>
                    <w:r w:rsidR="00BB48C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31FE8F6" wp14:editId="4A38E59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EFAAFE" w14:textId="77777777" w:rsidR="00680507" w:rsidRDefault="00B02885">
                          <w:pPr>
                            <w:pStyle w:val="AfzendgegevensKop0"/>
                          </w:pPr>
                          <w:r>
                            <w:t>Ministerie van Infrastructuur en Waterstaat</w:t>
                          </w:r>
                        </w:p>
                        <w:p w14:paraId="317F8766" w14:textId="77777777" w:rsidR="00680507" w:rsidRDefault="00680507">
                          <w:pPr>
                            <w:pStyle w:val="WitregelW1"/>
                          </w:pPr>
                        </w:p>
                        <w:p w14:paraId="047A2595" w14:textId="77777777" w:rsidR="00680507" w:rsidRDefault="00B02885">
                          <w:pPr>
                            <w:pStyle w:val="Afzendgegevens"/>
                          </w:pPr>
                          <w:r>
                            <w:t>Rijnstraat 8</w:t>
                          </w:r>
                        </w:p>
                        <w:p w14:paraId="5D006A38" w14:textId="2605E873" w:rsidR="00680507" w:rsidRPr="00BF6B25" w:rsidRDefault="00B02885">
                          <w:pPr>
                            <w:pStyle w:val="Afzendgegevens"/>
                            <w:rPr>
                              <w:lang w:val="de-DE"/>
                            </w:rPr>
                          </w:pPr>
                          <w:r w:rsidRPr="00BF6B25">
                            <w:rPr>
                              <w:lang w:val="de-DE"/>
                            </w:rPr>
                            <w:t>2515 XP</w:t>
                          </w:r>
                          <w:r w:rsidR="008E6FCB">
                            <w:rPr>
                              <w:lang w:val="de-DE"/>
                            </w:rPr>
                            <w:t xml:space="preserve"> </w:t>
                          </w:r>
                          <w:r w:rsidRPr="00BF6B25">
                            <w:rPr>
                              <w:lang w:val="de-DE"/>
                            </w:rPr>
                            <w:t>Den Haag</w:t>
                          </w:r>
                        </w:p>
                        <w:p w14:paraId="73F7BCCF" w14:textId="77777777" w:rsidR="00680507" w:rsidRPr="00BF6B25" w:rsidRDefault="00B02885">
                          <w:pPr>
                            <w:pStyle w:val="Afzendgegevens"/>
                            <w:rPr>
                              <w:lang w:val="de-DE"/>
                            </w:rPr>
                          </w:pPr>
                          <w:r w:rsidRPr="00BF6B25">
                            <w:rPr>
                              <w:lang w:val="de-DE"/>
                            </w:rPr>
                            <w:t>Postbus 20901</w:t>
                          </w:r>
                        </w:p>
                        <w:p w14:paraId="02134292" w14:textId="77777777" w:rsidR="00680507" w:rsidRPr="00BF6B25" w:rsidRDefault="00B02885">
                          <w:pPr>
                            <w:pStyle w:val="Afzendgegevens"/>
                            <w:rPr>
                              <w:lang w:val="de-DE"/>
                            </w:rPr>
                          </w:pPr>
                          <w:r w:rsidRPr="00BF6B25">
                            <w:rPr>
                              <w:lang w:val="de-DE"/>
                            </w:rPr>
                            <w:t>2500 EX Den Haag</w:t>
                          </w:r>
                        </w:p>
                        <w:p w14:paraId="37ED87C6" w14:textId="77777777" w:rsidR="00680507" w:rsidRPr="00BF6B25" w:rsidRDefault="00680507">
                          <w:pPr>
                            <w:pStyle w:val="WitregelW1"/>
                            <w:rPr>
                              <w:lang w:val="de-DE"/>
                            </w:rPr>
                          </w:pPr>
                        </w:p>
                        <w:p w14:paraId="2E7E7B45" w14:textId="77777777" w:rsidR="00680507" w:rsidRPr="00BF6B25" w:rsidRDefault="00B02885">
                          <w:pPr>
                            <w:pStyle w:val="Afzendgegevens"/>
                            <w:rPr>
                              <w:lang w:val="de-DE"/>
                            </w:rPr>
                          </w:pPr>
                          <w:r w:rsidRPr="00BF6B25">
                            <w:rPr>
                              <w:lang w:val="de-DE"/>
                            </w:rPr>
                            <w:t>T   070-456 0000</w:t>
                          </w:r>
                        </w:p>
                        <w:p w14:paraId="454BC35C" w14:textId="77777777" w:rsidR="00680507" w:rsidRDefault="00B02885">
                          <w:pPr>
                            <w:pStyle w:val="Afzendgegevens"/>
                          </w:pPr>
                          <w:r>
                            <w:t>F   070-456 1111</w:t>
                          </w:r>
                        </w:p>
                        <w:p w14:paraId="0FE30ECA" w14:textId="77777777" w:rsidR="000035F1" w:rsidRDefault="000035F1" w:rsidP="000035F1"/>
                        <w:p w14:paraId="6A9CD868" w14:textId="68DD9001" w:rsidR="000035F1" w:rsidRPr="000035F1" w:rsidRDefault="000035F1" w:rsidP="000035F1">
                          <w:pPr>
                            <w:spacing w:line="276" w:lineRule="auto"/>
                            <w:rPr>
                              <w:b/>
                              <w:bCs/>
                              <w:sz w:val="13"/>
                              <w:szCs w:val="13"/>
                            </w:rPr>
                          </w:pPr>
                          <w:r w:rsidRPr="000035F1">
                            <w:rPr>
                              <w:b/>
                              <w:bCs/>
                              <w:sz w:val="13"/>
                              <w:szCs w:val="13"/>
                            </w:rPr>
                            <w:t>Kenmerk</w:t>
                          </w:r>
                        </w:p>
                        <w:p w14:paraId="3A43DC53" w14:textId="5B85E13F" w:rsidR="000035F1" w:rsidRPr="000035F1" w:rsidRDefault="000035F1" w:rsidP="000035F1">
                          <w:pPr>
                            <w:spacing w:line="276" w:lineRule="auto"/>
                            <w:rPr>
                              <w:sz w:val="13"/>
                              <w:szCs w:val="13"/>
                            </w:rPr>
                          </w:pPr>
                          <w:r w:rsidRPr="000035F1">
                            <w:rPr>
                              <w:sz w:val="13"/>
                              <w:szCs w:val="13"/>
                            </w:rPr>
                            <w:t>IENW/BSK-2026/87261</w:t>
                          </w:r>
                        </w:p>
                        <w:p w14:paraId="55BFC1FD" w14:textId="77777777" w:rsidR="000035F1" w:rsidRPr="000035F1" w:rsidRDefault="000035F1" w:rsidP="000035F1">
                          <w:pPr>
                            <w:spacing w:line="276" w:lineRule="auto"/>
                            <w:rPr>
                              <w:sz w:val="13"/>
                              <w:szCs w:val="13"/>
                            </w:rPr>
                          </w:pPr>
                        </w:p>
                        <w:p w14:paraId="6AA34B64" w14:textId="7DB931DE" w:rsidR="000035F1" w:rsidRPr="000035F1" w:rsidRDefault="000035F1" w:rsidP="000035F1">
                          <w:pPr>
                            <w:spacing w:line="276" w:lineRule="auto"/>
                            <w:rPr>
                              <w:b/>
                              <w:bCs/>
                              <w:sz w:val="13"/>
                              <w:szCs w:val="13"/>
                            </w:rPr>
                          </w:pPr>
                          <w:r w:rsidRPr="000035F1">
                            <w:rPr>
                              <w:b/>
                              <w:bCs/>
                              <w:sz w:val="13"/>
                              <w:szCs w:val="13"/>
                            </w:rPr>
                            <w:t>Bijlage(n)</w:t>
                          </w:r>
                        </w:p>
                        <w:p w14:paraId="55ABE0E8" w14:textId="3DE00C22" w:rsidR="000035F1" w:rsidRPr="000035F1" w:rsidRDefault="000035F1" w:rsidP="000035F1">
                          <w:pPr>
                            <w:spacing w:line="276" w:lineRule="auto"/>
                            <w:rPr>
                              <w:sz w:val="13"/>
                              <w:szCs w:val="13"/>
                            </w:rPr>
                          </w:pPr>
                          <w:r w:rsidRPr="000035F1">
                            <w:rPr>
                              <w:sz w:val="13"/>
                              <w:szCs w:val="13"/>
                            </w:rPr>
                            <w:t>1</w:t>
                          </w:r>
                        </w:p>
                      </w:txbxContent>
                    </wps:txbx>
                    <wps:bodyPr vert="horz" wrap="square" lIns="0" tIns="0" rIns="0" bIns="0" anchor="t" anchorCtr="0"/>
                  </wps:wsp>
                </a:graphicData>
              </a:graphic>
            </wp:anchor>
          </w:drawing>
        </mc:Choice>
        <mc:Fallback>
          <w:pict>
            <v:shape w14:anchorId="131FE8F6" 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CEFAAFE" w14:textId="77777777" w:rsidR="00680507" w:rsidRDefault="00B02885">
                    <w:pPr>
                      <w:pStyle w:val="AfzendgegevensKop0"/>
                    </w:pPr>
                    <w:r>
                      <w:t>Ministerie van Infrastructuur en Waterstaat</w:t>
                    </w:r>
                  </w:p>
                  <w:p w14:paraId="317F8766" w14:textId="77777777" w:rsidR="00680507" w:rsidRDefault="00680507">
                    <w:pPr>
                      <w:pStyle w:val="WitregelW1"/>
                    </w:pPr>
                  </w:p>
                  <w:p w14:paraId="047A2595" w14:textId="77777777" w:rsidR="00680507" w:rsidRDefault="00B02885">
                    <w:pPr>
                      <w:pStyle w:val="Afzendgegevens"/>
                    </w:pPr>
                    <w:r>
                      <w:t>Rijnstraat 8</w:t>
                    </w:r>
                  </w:p>
                  <w:p w14:paraId="5D006A38" w14:textId="2605E873" w:rsidR="00680507" w:rsidRPr="00BF6B25" w:rsidRDefault="00B02885">
                    <w:pPr>
                      <w:pStyle w:val="Afzendgegevens"/>
                      <w:rPr>
                        <w:lang w:val="de-DE"/>
                      </w:rPr>
                    </w:pPr>
                    <w:r w:rsidRPr="00BF6B25">
                      <w:rPr>
                        <w:lang w:val="de-DE"/>
                      </w:rPr>
                      <w:t>2515 XP</w:t>
                    </w:r>
                    <w:r w:rsidR="008E6FCB">
                      <w:rPr>
                        <w:lang w:val="de-DE"/>
                      </w:rPr>
                      <w:t xml:space="preserve"> </w:t>
                    </w:r>
                    <w:r w:rsidRPr="00BF6B25">
                      <w:rPr>
                        <w:lang w:val="de-DE"/>
                      </w:rPr>
                      <w:t>Den Haag</w:t>
                    </w:r>
                  </w:p>
                  <w:p w14:paraId="73F7BCCF" w14:textId="77777777" w:rsidR="00680507" w:rsidRPr="00BF6B25" w:rsidRDefault="00B02885">
                    <w:pPr>
                      <w:pStyle w:val="Afzendgegevens"/>
                      <w:rPr>
                        <w:lang w:val="de-DE"/>
                      </w:rPr>
                    </w:pPr>
                    <w:r w:rsidRPr="00BF6B25">
                      <w:rPr>
                        <w:lang w:val="de-DE"/>
                      </w:rPr>
                      <w:t>Postbus 20901</w:t>
                    </w:r>
                  </w:p>
                  <w:p w14:paraId="02134292" w14:textId="77777777" w:rsidR="00680507" w:rsidRPr="00BF6B25" w:rsidRDefault="00B02885">
                    <w:pPr>
                      <w:pStyle w:val="Afzendgegevens"/>
                      <w:rPr>
                        <w:lang w:val="de-DE"/>
                      </w:rPr>
                    </w:pPr>
                    <w:r w:rsidRPr="00BF6B25">
                      <w:rPr>
                        <w:lang w:val="de-DE"/>
                      </w:rPr>
                      <w:t>2500 EX Den Haag</w:t>
                    </w:r>
                  </w:p>
                  <w:p w14:paraId="37ED87C6" w14:textId="77777777" w:rsidR="00680507" w:rsidRPr="00BF6B25" w:rsidRDefault="00680507">
                    <w:pPr>
                      <w:pStyle w:val="WitregelW1"/>
                      <w:rPr>
                        <w:lang w:val="de-DE"/>
                      </w:rPr>
                    </w:pPr>
                  </w:p>
                  <w:p w14:paraId="2E7E7B45" w14:textId="77777777" w:rsidR="00680507" w:rsidRPr="00BF6B25" w:rsidRDefault="00B02885">
                    <w:pPr>
                      <w:pStyle w:val="Afzendgegevens"/>
                      <w:rPr>
                        <w:lang w:val="de-DE"/>
                      </w:rPr>
                    </w:pPr>
                    <w:r w:rsidRPr="00BF6B25">
                      <w:rPr>
                        <w:lang w:val="de-DE"/>
                      </w:rPr>
                      <w:t>T   070-456 0000</w:t>
                    </w:r>
                  </w:p>
                  <w:p w14:paraId="454BC35C" w14:textId="77777777" w:rsidR="00680507" w:rsidRDefault="00B02885">
                    <w:pPr>
                      <w:pStyle w:val="Afzendgegevens"/>
                    </w:pPr>
                    <w:r>
                      <w:t>F   070-456 1111</w:t>
                    </w:r>
                  </w:p>
                  <w:p w14:paraId="0FE30ECA" w14:textId="77777777" w:rsidR="000035F1" w:rsidRDefault="000035F1" w:rsidP="000035F1"/>
                  <w:p w14:paraId="6A9CD868" w14:textId="68DD9001" w:rsidR="000035F1" w:rsidRPr="000035F1" w:rsidRDefault="000035F1" w:rsidP="000035F1">
                    <w:pPr>
                      <w:spacing w:line="276" w:lineRule="auto"/>
                      <w:rPr>
                        <w:b/>
                        <w:bCs/>
                        <w:sz w:val="13"/>
                        <w:szCs w:val="13"/>
                      </w:rPr>
                    </w:pPr>
                    <w:r w:rsidRPr="000035F1">
                      <w:rPr>
                        <w:b/>
                        <w:bCs/>
                        <w:sz w:val="13"/>
                        <w:szCs w:val="13"/>
                      </w:rPr>
                      <w:t>Kenmerk</w:t>
                    </w:r>
                  </w:p>
                  <w:p w14:paraId="3A43DC53" w14:textId="5B85E13F" w:rsidR="000035F1" w:rsidRPr="000035F1" w:rsidRDefault="000035F1" w:rsidP="000035F1">
                    <w:pPr>
                      <w:spacing w:line="276" w:lineRule="auto"/>
                      <w:rPr>
                        <w:sz w:val="13"/>
                        <w:szCs w:val="13"/>
                      </w:rPr>
                    </w:pPr>
                    <w:r w:rsidRPr="000035F1">
                      <w:rPr>
                        <w:sz w:val="13"/>
                        <w:szCs w:val="13"/>
                      </w:rPr>
                      <w:t>IENW/BSK-2026/87261</w:t>
                    </w:r>
                  </w:p>
                  <w:p w14:paraId="55BFC1FD" w14:textId="77777777" w:rsidR="000035F1" w:rsidRPr="000035F1" w:rsidRDefault="000035F1" w:rsidP="000035F1">
                    <w:pPr>
                      <w:spacing w:line="276" w:lineRule="auto"/>
                      <w:rPr>
                        <w:sz w:val="13"/>
                        <w:szCs w:val="13"/>
                      </w:rPr>
                    </w:pPr>
                  </w:p>
                  <w:p w14:paraId="6AA34B64" w14:textId="7DB931DE" w:rsidR="000035F1" w:rsidRPr="000035F1" w:rsidRDefault="000035F1" w:rsidP="000035F1">
                    <w:pPr>
                      <w:spacing w:line="276" w:lineRule="auto"/>
                      <w:rPr>
                        <w:b/>
                        <w:bCs/>
                        <w:sz w:val="13"/>
                        <w:szCs w:val="13"/>
                      </w:rPr>
                    </w:pPr>
                    <w:r w:rsidRPr="000035F1">
                      <w:rPr>
                        <w:b/>
                        <w:bCs/>
                        <w:sz w:val="13"/>
                        <w:szCs w:val="13"/>
                      </w:rPr>
                      <w:t>Bijlage(n)</w:t>
                    </w:r>
                  </w:p>
                  <w:p w14:paraId="55ABE0E8" w14:textId="3DE00C22" w:rsidR="000035F1" w:rsidRPr="000035F1" w:rsidRDefault="000035F1" w:rsidP="000035F1">
                    <w:pPr>
                      <w:spacing w:line="276" w:lineRule="auto"/>
                      <w:rPr>
                        <w:sz w:val="13"/>
                        <w:szCs w:val="13"/>
                      </w:rPr>
                    </w:pPr>
                    <w:r w:rsidRPr="000035F1">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3CDC218" wp14:editId="230B7FB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A0209B0" w14:textId="77777777" w:rsidR="00680507" w:rsidRDefault="00B02885">
                          <w:pPr>
                            <w:spacing w:line="240" w:lineRule="auto"/>
                          </w:pPr>
                          <w:r>
                            <w:rPr>
                              <w:noProof/>
                              <w:lang w:val="en-GB" w:eastAsia="en-GB"/>
                            </w:rPr>
                            <w:drawing>
                              <wp:inline distT="0" distB="0" distL="0" distR="0" wp14:anchorId="487BE3DE" wp14:editId="53E19F27">
                                <wp:extent cx="467995" cy="1583865"/>
                                <wp:effectExtent l="0" t="0" r="0" b="0"/>
                                <wp:docPr id="97019916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CDC21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A0209B0" w14:textId="77777777" w:rsidR="00680507" w:rsidRDefault="00B02885">
                    <w:pPr>
                      <w:spacing w:line="240" w:lineRule="auto"/>
                    </w:pPr>
                    <w:r>
                      <w:rPr>
                        <w:noProof/>
                        <w:lang w:val="en-GB" w:eastAsia="en-GB"/>
                      </w:rPr>
                      <w:drawing>
                        <wp:inline distT="0" distB="0" distL="0" distR="0" wp14:anchorId="487BE3DE" wp14:editId="53E19F27">
                          <wp:extent cx="467995" cy="1583865"/>
                          <wp:effectExtent l="0" t="0" r="0" b="0"/>
                          <wp:docPr id="97019916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F0F1253" wp14:editId="003EE46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FBEB85" w14:textId="77777777" w:rsidR="00680507" w:rsidRDefault="00B02885">
                          <w:pPr>
                            <w:spacing w:line="240" w:lineRule="auto"/>
                          </w:pPr>
                          <w:r>
                            <w:rPr>
                              <w:noProof/>
                              <w:lang w:val="en-GB" w:eastAsia="en-GB"/>
                            </w:rPr>
                            <w:drawing>
                              <wp:inline distT="0" distB="0" distL="0" distR="0" wp14:anchorId="11A37D67" wp14:editId="480E90EA">
                                <wp:extent cx="2339975" cy="1582834"/>
                                <wp:effectExtent l="0" t="0" r="0" b="0"/>
                                <wp:docPr id="872915672"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0F125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DFBEB85" w14:textId="77777777" w:rsidR="00680507" w:rsidRDefault="00B02885">
                    <w:pPr>
                      <w:spacing w:line="240" w:lineRule="auto"/>
                    </w:pPr>
                    <w:r>
                      <w:rPr>
                        <w:noProof/>
                        <w:lang w:val="en-GB" w:eastAsia="en-GB"/>
                      </w:rPr>
                      <w:drawing>
                        <wp:inline distT="0" distB="0" distL="0" distR="0" wp14:anchorId="11A37D67" wp14:editId="480E90EA">
                          <wp:extent cx="2339975" cy="1582834"/>
                          <wp:effectExtent l="0" t="0" r="0" b="0"/>
                          <wp:docPr id="872915672"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7CD0CC7" wp14:editId="606FDB1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BD42ACC" w14:textId="3A635059" w:rsidR="00680507" w:rsidRDefault="00B02885">
                          <w:pPr>
                            <w:pStyle w:val="Referentiegegevens"/>
                          </w:pPr>
                          <w:r>
                            <w:t>&gt; Retouradres Postbus 20901 2500 EX</w:t>
                          </w:r>
                          <w:r w:rsidR="008E6FCB">
                            <w:t xml:space="preserve"> </w:t>
                          </w:r>
                          <w:r>
                            <w:t>Den Haag</w:t>
                          </w:r>
                        </w:p>
                      </w:txbxContent>
                    </wps:txbx>
                    <wps:bodyPr vert="horz" wrap="square" lIns="0" tIns="0" rIns="0" bIns="0" anchor="t" anchorCtr="0"/>
                  </wps:wsp>
                </a:graphicData>
              </a:graphic>
            </wp:anchor>
          </w:drawing>
        </mc:Choice>
        <mc:Fallback>
          <w:pict>
            <v:shape w14:anchorId="07CD0CC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BD42ACC" w14:textId="3A635059" w:rsidR="00680507" w:rsidRDefault="00B02885">
                    <w:pPr>
                      <w:pStyle w:val="Referentiegegevens"/>
                    </w:pPr>
                    <w:r>
                      <w:t>&gt; Retouradres Postbus 20901 2500 EX</w:t>
                    </w:r>
                    <w:r w:rsidR="008E6FCB">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E354E20" wp14:editId="1E02FC7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BACF4C4" w14:textId="2FF772B6" w:rsidR="00680507" w:rsidRDefault="00B02885">
                          <w:r>
                            <w:t>De voorzitter van de Tweede Kamer</w:t>
                          </w:r>
                          <w:r>
                            <w:br/>
                            <w:t>der Staten-Generaal</w:t>
                          </w:r>
                          <w:r>
                            <w:br/>
                            <w:t>Postbus 20018</w:t>
                          </w:r>
                          <w:r>
                            <w:br/>
                            <w:t>2500 EA</w:t>
                          </w:r>
                          <w:r w:rsidR="008E6FCB">
                            <w:t xml:space="preserve"> </w:t>
                          </w:r>
                          <w:r>
                            <w:t>DEN HAAG</w:t>
                          </w:r>
                        </w:p>
                      </w:txbxContent>
                    </wps:txbx>
                    <wps:bodyPr vert="horz" wrap="square" lIns="0" tIns="0" rIns="0" bIns="0" anchor="t" anchorCtr="0"/>
                  </wps:wsp>
                </a:graphicData>
              </a:graphic>
            </wp:anchor>
          </w:drawing>
        </mc:Choice>
        <mc:Fallback>
          <w:pict>
            <v:shape w14:anchorId="3E354E2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BACF4C4" w14:textId="2FF772B6" w:rsidR="00680507" w:rsidRDefault="00B02885">
                    <w:r>
                      <w:t>De voorzitter van de Tweede Kamer</w:t>
                    </w:r>
                    <w:r>
                      <w:br/>
                      <w:t>der Staten-Generaal</w:t>
                    </w:r>
                    <w:r>
                      <w:br/>
                      <w:t>Postbus 20018</w:t>
                    </w:r>
                    <w:r>
                      <w:br/>
                      <w:t>2500 EA</w:t>
                    </w:r>
                    <w:r w:rsidR="008E6FCB">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39B3438" wp14:editId="242F38E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80507" w14:paraId="5398E7BA" w14:textId="77777777">
                            <w:trPr>
                              <w:trHeight w:val="200"/>
                            </w:trPr>
                            <w:tc>
                              <w:tcPr>
                                <w:tcW w:w="1140" w:type="dxa"/>
                              </w:tcPr>
                              <w:p w14:paraId="516C6777" w14:textId="77777777" w:rsidR="00680507" w:rsidRDefault="00680507"/>
                            </w:tc>
                            <w:tc>
                              <w:tcPr>
                                <w:tcW w:w="5400" w:type="dxa"/>
                              </w:tcPr>
                              <w:p w14:paraId="46CA2276" w14:textId="77777777" w:rsidR="00680507" w:rsidRDefault="00680507"/>
                            </w:tc>
                          </w:tr>
                          <w:tr w:rsidR="00680507" w14:paraId="1D6F0EB9" w14:textId="77777777">
                            <w:trPr>
                              <w:trHeight w:val="240"/>
                            </w:trPr>
                            <w:tc>
                              <w:tcPr>
                                <w:tcW w:w="1140" w:type="dxa"/>
                              </w:tcPr>
                              <w:p w14:paraId="2BFEA2C3" w14:textId="77777777" w:rsidR="00680507" w:rsidRDefault="00B02885">
                                <w:r>
                                  <w:t>Datum</w:t>
                                </w:r>
                              </w:p>
                            </w:tc>
                            <w:tc>
                              <w:tcPr>
                                <w:tcW w:w="5400" w:type="dxa"/>
                              </w:tcPr>
                              <w:p w14:paraId="62B6E4A9" w14:textId="2834A3E0" w:rsidR="00680507" w:rsidRDefault="00A70F87">
                                <w:r>
                                  <w:t>2</w:t>
                                </w:r>
                                <w:r w:rsidR="00FE28BB">
                                  <w:t xml:space="preserve"> juli 2026</w:t>
                                </w:r>
                              </w:p>
                            </w:tc>
                          </w:tr>
                          <w:tr w:rsidR="00680507" w14:paraId="486B8645" w14:textId="77777777">
                            <w:trPr>
                              <w:trHeight w:val="240"/>
                            </w:trPr>
                            <w:tc>
                              <w:tcPr>
                                <w:tcW w:w="1140" w:type="dxa"/>
                              </w:tcPr>
                              <w:p w14:paraId="48949531" w14:textId="77777777" w:rsidR="00680507" w:rsidRDefault="00B02885">
                                <w:r>
                                  <w:t>Betreft</w:t>
                                </w:r>
                              </w:p>
                            </w:tc>
                            <w:tc>
                              <w:tcPr>
                                <w:tcW w:w="5400" w:type="dxa"/>
                              </w:tcPr>
                              <w:p w14:paraId="072C454E" w14:textId="164C9AE7" w:rsidR="00680507" w:rsidRDefault="00C35DF2">
                                <w:r>
                                  <w:t>Stand van zaken HRN-concessie 2025–</w:t>
                                </w:r>
                                <w:r w:rsidR="00383621">
                                  <w:t>20</w:t>
                                </w:r>
                                <w:r>
                                  <w:t>33 en a</w:t>
                                </w:r>
                                <w:r w:rsidR="00BC16A8">
                                  <w:t xml:space="preserve">nalyse potentiële knelpunten </w:t>
                                </w:r>
                              </w:p>
                            </w:tc>
                          </w:tr>
                          <w:tr w:rsidR="00680507" w14:paraId="3B6E02E8" w14:textId="77777777">
                            <w:trPr>
                              <w:trHeight w:val="200"/>
                            </w:trPr>
                            <w:tc>
                              <w:tcPr>
                                <w:tcW w:w="1140" w:type="dxa"/>
                              </w:tcPr>
                              <w:p w14:paraId="600AE31A" w14:textId="77777777" w:rsidR="00680507" w:rsidRDefault="00680507"/>
                            </w:tc>
                            <w:tc>
                              <w:tcPr>
                                <w:tcW w:w="5400" w:type="dxa"/>
                              </w:tcPr>
                              <w:p w14:paraId="1CB734B7" w14:textId="77777777" w:rsidR="00680507" w:rsidRDefault="00680507"/>
                            </w:tc>
                          </w:tr>
                        </w:tbl>
                        <w:p w14:paraId="0672617D" w14:textId="77777777" w:rsidR="00A05336" w:rsidRDefault="00A05336"/>
                      </w:txbxContent>
                    </wps:txbx>
                    <wps:bodyPr vert="horz" wrap="square" lIns="0" tIns="0" rIns="0" bIns="0" anchor="t" anchorCtr="0"/>
                  </wps:wsp>
                </a:graphicData>
              </a:graphic>
            </wp:anchor>
          </w:drawing>
        </mc:Choice>
        <mc:Fallback>
          <w:pict>
            <v:shape w14:anchorId="739B343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80507" w14:paraId="5398E7BA" w14:textId="77777777">
                      <w:trPr>
                        <w:trHeight w:val="200"/>
                      </w:trPr>
                      <w:tc>
                        <w:tcPr>
                          <w:tcW w:w="1140" w:type="dxa"/>
                        </w:tcPr>
                        <w:p w14:paraId="516C6777" w14:textId="77777777" w:rsidR="00680507" w:rsidRDefault="00680507"/>
                      </w:tc>
                      <w:tc>
                        <w:tcPr>
                          <w:tcW w:w="5400" w:type="dxa"/>
                        </w:tcPr>
                        <w:p w14:paraId="46CA2276" w14:textId="77777777" w:rsidR="00680507" w:rsidRDefault="00680507"/>
                      </w:tc>
                    </w:tr>
                    <w:tr w:rsidR="00680507" w14:paraId="1D6F0EB9" w14:textId="77777777">
                      <w:trPr>
                        <w:trHeight w:val="240"/>
                      </w:trPr>
                      <w:tc>
                        <w:tcPr>
                          <w:tcW w:w="1140" w:type="dxa"/>
                        </w:tcPr>
                        <w:p w14:paraId="2BFEA2C3" w14:textId="77777777" w:rsidR="00680507" w:rsidRDefault="00B02885">
                          <w:r>
                            <w:t>Datum</w:t>
                          </w:r>
                        </w:p>
                      </w:tc>
                      <w:tc>
                        <w:tcPr>
                          <w:tcW w:w="5400" w:type="dxa"/>
                        </w:tcPr>
                        <w:p w14:paraId="62B6E4A9" w14:textId="2834A3E0" w:rsidR="00680507" w:rsidRDefault="00A70F87">
                          <w:r>
                            <w:t>2</w:t>
                          </w:r>
                          <w:r w:rsidR="00FE28BB">
                            <w:t xml:space="preserve"> juli 2026</w:t>
                          </w:r>
                        </w:p>
                      </w:tc>
                    </w:tr>
                    <w:tr w:rsidR="00680507" w14:paraId="486B8645" w14:textId="77777777">
                      <w:trPr>
                        <w:trHeight w:val="240"/>
                      </w:trPr>
                      <w:tc>
                        <w:tcPr>
                          <w:tcW w:w="1140" w:type="dxa"/>
                        </w:tcPr>
                        <w:p w14:paraId="48949531" w14:textId="77777777" w:rsidR="00680507" w:rsidRDefault="00B02885">
                          <w:r>
                            <w:t>Betreft</w:t>
                          </w:r>
                        </w:p>
                      </w:tc>
                      <w:tc>
                        <w:tcPr>
                          <w:tcW w:w="5400" w:type="dxa"/>
                        </w:tcPr>
                        <w:p w14:paraId="072C454E" w14:textId="164C9AE7" w:rsidR="00680507" w:rsidRDefault="00C35DF2">
                          <w:r>
                            <w:t>Stand van zaken HRN-concessie 2025–</w:t>
                          </w:r>
                          <w:r w:rsidR="00383621">
                            <w:t>20</w:t>
                          </w:r>
                          <w:r>
                            <w:t>33 en a</w:t>
                          </w:r>
                          <w:r w:rsidR="00BC16A8">
                            <w:t xml:space="preserve">nalyse potentiële knelpunten </w:t>
                          </w:r>
                        </w:p>
                      </w:tc>
                    </w:tr>
                    <w:tr w:rsidR="00680507" w14:paraId="3B6E02E8" w14:textId="77777777">
                      <w:trPr>
                        <w:trHeight w:val="200"/>
                      </w:trPr>
                      <w:tc>
                        <w:tcPr>
                          <w:tcW w:w="1140" w:type="dxa"/>
                        </w:tcPr>
                        <w:p w14:paraId="600AE31A" w14:textId="77777777" w:rsidR="00680507" w:rsidRDefault="00680507"/>
                      </w:tc>
                      <w:tc>
                        <w:tcPr>
                          <w:tcW w:w="5400" w:type="dxa"/>
                        </w:tcPr>
                        <w:p w14:paraId="1CB734B7" w14:textId="77777777" w:rsidR="00680507" w:rsidRDefault="00680507"/>
                      </w:tc>
                    </w:tr>
                  </w:tbl>
                  <w:p w14:paraId="0672617D" w14:textId="77777777" w:rsidR="00A05336" w:rsidRDefault="00A05336"/>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2A62FB6" wp14:editId="7C812B6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32D548D" w14:textId="77777777" w:rsidR="00A05336" w:rsidRDefault="00A05336"/>
                      </w:txbxContent>
                    </wps:txbx>
                    <wps:bodyPr vert="horz" wrap="square" lIns="0" tIns="0" rIns="0" bIns="0" anchor="t" anchorCtr="0"/>
                  </wps:wsp>
                </a:graphicData>
              </a:graphic>
            </wp:anchor>
          </w:drawing>
        </mc:Choice>
        <mc:Fallback>
          <w:pict>
            <v:shape w14:anchorId="42A62FB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32D548D" w14:textId="77777777" w:rsidR="00A05336" w:rsidRDefault="00A05336"/>
                </w:txbxContent>
              </v:textbox>
              <w10:wrap anchorx="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CA00" w14:textId="30BBAD98" w:rsidR="005377DD" w:rsidRDefault="005377DD">
    <w:pPr>
      <w:spacing w:after="7029" w:line="14" w:lineRule="exact"/>
    </w:pPr>
    <w:r>
      <w:rPr>
        <w:noProof/>
        <w:lang w:val="en-GB" w:eastAsia="en-GB"/>
      </w:rPr>
      <mc:AlternateContent>
        <mc:Choice Requires="wps">
          <w:drawing>
            <wp:anchor distT="0" distB="0" distL="0" distR="0" simplePos="0" relativeHeight="251665920" behindDoc="0" locked="1" layoutInCell="1" allowOverlap="1" wp14:anchorId="676418FF" wp14:editId="061FD4EB">
              <wp:simplePos x="1007744" y="10223500"/>
              <wp:positionH relativeFrom="page">
                <wp:posOffset>1007744</wp:posOffset>
              </wp:positionH>
              <wp:positionV relativeFrom="paragraph">
                <wp:posOffset>10223500</wp:posOffset>
              </wp:positionV>
              <wp:extent cx="1800225" cy="180975"/>
              <wp:effectExtent l="0" t="0" r="0" b="0"/>
              <wp:wrapNone/>
              <wp:docPr id="521483860"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46D87F" w14:textId="77777777" w:rsidR="005377DD" w:rsidRDefault="005377DD"/>
                      </w:txbxContent>
                    </wps:txbx>
                    <wps:bodyPr vert="horz" wrap="square" lIns="0" tIns="0" rIns="0" bIns="0" anchor="t" anchorCtr="0"/>
                  </wps:wsp>
                </a:graphicData>
              </a:graphic>
            </wp:anchor>
          </w:drawing>
        </mc:Choice>
        <mc:Fallback>
          <w:pict>
            <v:shapetype w14:anchorId="676418FF" id="_x0000_t202" coordsize="21600,21600" o:spt="202" path="m,l,21600r21600,l21600,xe">
              <v:stroke joinstyle="miter"/>
              <v:path gradientshapeok="t" o:connecttype="rect"/>
            </v:shapetype>
            <v:shape id="_x0000_s1039" type="#_x0000_t202" style="position:absolute;margin-left:79.35pt;margin-top:805pt;width:141.75pt;height:14.25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xwwEAAFwDAAAOAAAAZHJzL2Uyb0RvYy54bWysU91u2yAYvZ+0d0DcOzYkTl0rTqWt6jRp&#10;2ip1fQCCIUYyPwMaO3v6fZA6nba7aTf4+4HD+Q7Hu7tZj+gkfFDWdJisKoyE4bZX5tjh5+8PRYNR&#10;iMz0bLRGdPgsAr7bv3+3m1wrqB3s2AuPAMSEdnIdHmJ0bVkGPgjNwso6YaAprdcsQuqPZe/ZBOh6&#10;LGlVbcvJ+t55y0UIUL2/NPE+40spePwmZRARjR0GbjGvPq+HtJb7HWuPnrlB8Vca7B9YaKYMXHqF&#10;umeRoRev/oLSinsbrIwrbnVppVRc5BlgGlL9Mc3TwJzIs4A4wV1lCv8Pln89PXqk+g7XlGyadbMF&#10;lQzT8FQ3dEspaUjR0DUvCBGiaOp6U1R0QxknoH61TvpNLrQA8+QAKM4f7Aw+WOoBikmWWXqdvjAw&#10;gj7ccb6qL+aIeDrUVBWlNUYcepDc3tQJpnw77XyIn4TVKAUd9vC6WXR2+hLiZeuyJV1m7IMax1RP&#10;FC9UUhTnw5xHJlf+B9ufgT4YGXAH639iNIEpOhx+vDAvMBo/G1A9OWgJ/BIcloAZDkc7HDG6hB9j&#10;dtrCAJ4wj/Nqt+SR3/PM8+2n2P8CAAD//wMAUEsDBBQABgAIAAAAIQAmjtto4QAAAA0BAAAPAAAA&#10;ZHJzL2Rvd25yZXYueG1sTI/BTsMwEETvSPyDtUjcqN3QhhDiVBWCExIiDQeOTuwmVuN1iN02/D3b&#10;E9x2dkezb4rN7AZ2MlOwHiUsFwKYwdZri52Ez/r1LgMWokKtBo9Gwo8JsCmvrwqVa3/Gypx2sWMU&#10;giFXEvoYx5zz0PbGqbDwo0G67f3kVCQ5dVxP6kzhbuCJECl3yiJ96NVonnvTHnZHJ2H7hdWL/X5v&#10;Pqp9Zev6UeBbepDy9mbePgGLZo5/ZrjgEzqUxNT4I+rABtLr7IGsNKRLQa3IslolCbDmsrrP1sDL&#10;gv9vUf4CAAD//wMAUEsBAi0AFAAGAAgAAAAhALaDOJL+AAAA4QEAABMAAAAAAAAAAAAAAAAAAAAA&#10;AFtDb250ZW50X1R5cGVzXS54bWxQSwECLQAUAAYACAAAACEAOP0h/9YAAACUAQAACwAAAAAAAAAA&#10;AAAAAAAvAQAAX3JlbHMvLnJlbHNQSwECLQAUAAYACAAAACEAj/+LMcMBAABcAwAADgAAAAAAAAAA&#10;AAAAAAAuAgAAZHJzL2Uyb0RvYy54bWxQSwECLQAUAAYACAAAACEAJo7baOEAAAANAQAADwAAAAAA&#10;AAAAAAAAAAAdBAAAZHJzL2Rvd25yZXYueG1sUEsFBgAAAAAEAAQA8wAAACsFAAAAAA==&#10;" filled="f" stroked="f">
              <v:textbox inset="0,0,0,0">
                <w:txbxContent>
                  <w:p w14:paraId="5E46D87F" w14:textId="77777777" w:rsidR="005377DD" w:rsidRDefault="005377DD"/>
                </w:txbxContent>
              </v:textbox>
              <w10:wrap anchorx="page"/>
              <w10:anchorlock/>
            </v:shape>
          </w:pict>
        </mc:Fallback>
      </mc:AlternateContent>
    </w:r>
    <w:r>
      <w:rPr>
        <w:noProof/>
        <w:lang w:val="en-GB" w:eastAsia="en-GB"/>
      </w:rPr>
      <mc:AlternateContent>
        <mc:Choice Requires="wps">
          <w:drawing>
            <wp:anchor distT="0" distB="0" distL="0" distR="0" simplePos="0" relativeHeight="251666944" behindDoc="0" locked="1" layoutInCell="1" allowOverlap="1" wp14:anchorId="0E37EC87" wp14:editId="1279B084">
              <wp:simplePos x="5921375" y="10223500"/>
              <wp:positionH relativeFrom="page">
                <wp:posOffset>5921375</wp:posOffset>
              </wp:positionH>
              <wp:positionV relativeFrom="paragraph">
                <wp:posOffset>10223500</wp:posOffset>
              </wp:positionV>
              <wp:extent cx="1257300" cy="180975"/>
              <wp:effectExtent l="0" t="0" r="0" b="0"/>
              <wp:wrapNone/>
              <wp:docPr id="410819573"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8383A1" w14:textId="77777777" w:rsidR="005377DD" w:rsidRDefault="005377DD">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E37EC87" id="_x0000_s1040" type="#_x0000_t202" style="position:absolute;margin-left:466.25pt;margin-top:805pt;width:99pt;height:14.25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pksxQEAAFwDAAAOAAAAZHJzL2Uyb0RvYy54bWysU11v2yAUfZ/U/4B4d2ycpHGtkEpr1WlS&#10;tU3q+gMIhhjJfAxo7PTX70LqdNreqr3gy71wOOfc6+3tpAd0FD4oaygmiwojYbjtlDlQ/PzzoWgw&#10;CpGZjg3WCIpPIuDb3dWn7ehaUdveDp3wCEBMaEdHcR+ja8sy8F5oFhbWCQNFab1mEbb+UHaejYCu&#10;h7KuqutytL5z3nIRAmTvz0W8y/hSCh6/SxlERAPFwC3m1ed1n9Zyt2XtwTPXK/5Gg32AhWbKwKMX&#10;qHsWGXrx6h8orbi3wcq44FaXVkrFRdYAakj1l5qnnjmRtYA5wV1sCv8Pln87/vBIdRSvSNWQm/Vm&#10;iZFhGlq1qa+briHLoqmXvCBEiKJZr1dFVa9qxgm4Xy2Tf6MLLcA8OQCK02c7wRzM+QDJZMskvU5f&#10;EIygDp04XdwXU0Q8Xarh8QpKHGqkqW426wRTvt92PsQvwmqUAoo9dDebzo6PIZ6PzkfSY8Y+qGFI&#10;+UTxTCVFcdpPWTJZzTz3tjsBfRhkwO2tf8VohKGgOPx6YV5gNHw14HqaoDnwc7CfA2Y4XKU4YnQO&#10;72KetJkBtDDLeRu3NCN/7jPP959i9xsAAP//AwBQSwMEFAAGAAgAAAAhAFpOuonhAAAADgEAAA8A&#10;AABkcnMvZG93bnJldi54bWxMj8FugzAQRO+V+g/WVuqtsQkKSigmiqr2VKkKoYceDXYABa8pdhL6&#10;911OyXFnnmZnsu1ke3Yxo+8cSogWApjB2ukOGwnf5cfLGpgPCrXqHRoJf8bDNn98yFSq3RULczmE&#10;hlEI+lRJaEMYUs593Rqr/MINBsk7utGqQOfYcD2qK4Xbni+FSLhVHdKHVg3mrTX16XC2EnY/WLx3&#10;v1/VvjgWXVluBH4mJymfn6bdK7BgpnCDYa5P1SGnTpU7o/asl7CJlytCyUgiQatmJIoFadWsxesV&#10;8Dzj9zPyfwAAAP//AwBQSwECLQAUAAYACAAAACEAtoM4kv4AAADhAQAAEwAAAAAAAAAAAAAAAAAA&#10;AAAAW0NvbnRlbnRfVHlwZXNdLnhtbFBLAQItABQABgAIAAAAIQA4/SH/1gAAAJQBAAALAAAAAAAA&#10;AAAAAAAAAC8BAABfcmVscy8ucmVsc1BLAQItABQABgAIAAAAIQC10pksxQEAAFwDAAAOAAAAAAAA&#10;AAAAAAAAAC4CAABkcnMvZTJvRG9jLnhtbFBLAQItABQABgAIAAAAIQBaTrqJ4QAAAA4BAAAPAAAA&#10;AAAAAAAAAAAAAB8EAABkcnMvZG93bnJldi54bWxQSwUGAAAAAAQABADzAAAALQUAAAAA&#10;" filled="f" stroked="f">
              <v:textbox inset="0,0,0,0">
                <w:txbxContent>
                  <w:p w14:paraId="2E8383A1" w14:textId="77777777" w:rsidR="005377DD" w:rsidRDefault="005377DD">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8FCD09"/>
    <w:multiLevelType w:val="multilevel"/>
    <w:tmpl w:val="50F35B6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4CC025"/>
    <w:multiLevelType w:val="multilevel"/>
    <w:tmpl w:val="E836894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5E02C7"/>
    <w:multiLevelType w:val="multilevel"/>
    <w:tmpl w:val="DB32E97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778033"/>
    <w:multiLevelType w:val="multilevel"/>
    <w:tmpl w:val="9DD2730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EF8ECEF"/>
    <w:multiLevelType w:val="multilevel"/>
    <w:tmpl w:val="E91CC4D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5E60B82"/>
    <w:multiLevelType w:val="multilevel"/>
    <w:tmpl w:val="5F79ED7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AABF0DA"/>
    <w:multiLevelType w:val="multilevel"/>
    <w:tmpl w:val="F36CD01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491E80F"/>
    <w:multiLevelType w:val="multilevel"/>
    <w:tmpl w:val="D9B0FDF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B4A1919"/>
    <w:multiLevelType w:val="multilevel"/>
    <w:tmpl w:val="A32571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B05A9141"/>
    <w:multiLevelType w:val="multilevel"/>
    <w:tmpl w:val="0AEC8D2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8721E07"/>
    <w:multiLevelType w:val="multilevel"/>
    <w:tmpl w:val="03D578D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91EC0CE"/>
    <w:multiLevelType w:val="multilevel"/>
    <w:tmpl w:val="F3E9BFC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CB7AD8A"/>
    <w:multiLevelType w:val="multilevel"/>
    <w:tmpl w:val="6A35B24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2DBAC0B"/>
    <w:multiLevelType w:val="multilevel"/>
    <w:tmpl w:val="A9E9A5E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F70286F"/>
    <w:multiLevelType w:val="multilevel"/>
    <w:tmpl w:val="2D215FF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A9CB084"/>
    <w:multiLevelType w:val="multilevel"/>
    <w:tmpl w:val="EEAC7E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02F7E1B3"/>
    <w:multiLevelType w:val="multilevel"/>
    <w:tmpl w:val="2D676B9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C641EB"/>
    <w:multiLevelType w:val="hybridMultilevel"/>
    <w:tmpl w:val="2A1E3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0E28931"/>
    <w:multiLevelType w:val="multilevel"/>
    <w:tmpl w:val="D4EDDC8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C2ACAC"/>
    <w:multiLevelType w:val="multilevel"/>
    <w:tmpl w:val="85B707D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E689C2"/>
    <w:multiLevelType w:val="multilevel"/>
    <w:tmpl w:val="8216730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B16A86"/>
    <w:multiLevelType w:val="hybridMultilevel"/>
    <w:tmpl w:val="E4681686"/>
    <w:lvl w:ilvl="0" w:tplc="96C48AB6">
      <w:numFmt w:val="bullet"/>
      <w:lvlText w:val="-"/>
      <w:lvlJc w:val="left"/>
      <w:pPr>
        <w:ind w:left="420" w:hanging="36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48DA5539"/>
    <w:multiLevelType w:val="multilevel"/>
    <w:tmpl w:val="BBE1580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357007"/>
    <w:multiLevelType w:val="hybridMultilevel"/>
    <w:tmpl w:val="7CD211F8"/>
    <w:lvl w:ilvl="0" w:tplc="7A487A9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8D37BB"/>
    <w:multiLevelType w:val="multilevel"/>
    <w:tmpl w:val="5B91535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9438FD"/>
    <w:multiLevelType w:val="multilevel"/>
    <w:tmpl w:val="CD093D3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6F0982"/>
    <w:multiLevelType w:val="hybridMultilevel"/>
    <w:tmpl w:val="02EEA7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1"/>
  </w:num>
  <w:num w:numId="3">
    <w:abstractNumId w:val="22"/>
  </w:num>
  <w:num w:numId="4">
    <w:abstractNumId w:val="9"/>
  </w:num>
  <w:num w:numId="5">
    <w:abstractNumId w:val="15"/>
  </w:num>
  <w:num w:numId="6">
    <w:abstractNumId w:val="5"/>
  </w:num>
  <w:num w:numId="7">
    <w:abstractNumId w:val="7"/>
  </w:num>
  <w:num w:numId="8">
    <w:abstractNumId w:val="20"/>
  </w:num>
  <w:num w:numId="9">
    <w:abstractNumId w:val="24"/>
  </w:num>
  <w:num w:numId="10">
    <w:abstractNumId w:val="19"/>
  </w:num>
  <w:num w:numId="11">
    <w:abstractNumId w:val="2"/>
  </w:num>
  <w:num w:numId="12">
    <w:abstractNumId w:val="8"/>
  </w:num>
  <w:num w:numId="13">
    <w:abstractNumId w:val="4"/>
  </w:num>
  <w:num w:numId="14">
    <w:abstractNumId w:val="0"/>
  </w:num>
  <w:num w:numId="15">
    <w:abstractNumId w:val="25"/>
  </w:num>
  <w:num w:numId="16">
    <w:abstractNumId w:val="13"/>
  </w:num>
  <w:num w:numId="17">
    <w:abstractNumId w:val="6"/>
  </w:num>
  <w:num w:numId="18">
    <w:abstractNumId w:val="12"/>
  </w:num>
  <w:num w:numId="19">
    <w:abstractNumId w:val="1"/>
  </w:num>
  <w:num w:numId="20">
    <w:abstractNumId w:val="18"/>
  </w:num>
  <w:num w:numId="21">
    <w:abstractNumId w:val="3"/>
  </w:num>
  <w:num w:numId="22">
    <w:abstractNumId w:val="16"/>
  </w:num>
  <w:num w:numId="23">
    <w:abstractNumId w:val="10"/>
  </w:num>
  <w:num w:numId="24">
    <w:abstractNumId w:val="26"/>
  </w:num>
  <w:num w:numId="25">
    <w:abstractNumId w:val="23"/>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25"/>
    <w:rsid w:val="000035F1"/>
    <w:rsid w:val="0000669D"/>
    <w:rsid w:val="000107FD"/>
    <w:rsid w:val="0001793C"/>
    <w:rsid w:val="0002083B"/>
    <w:rsid w:val="00020AAD"/>
    <w:rsid w:val="0002432E"/>
    <w:rsid w:val="00026AA3"/>
    <w:rsid w:val="0002774F"/>
    <w:rsid w:val="000279AD"/>
    <w:rsid w:val="00031989"/>
    <w:rsid w:val="00032456"/>
    <w:rsid w:val="00033AFB"/>
    <w:rsid w:val="00040A6C"/>
    <w:rsid w:val="00042822"/>
    <w:rsid w:val="00047FF5"/>
    <w:rsid w:val="00070709"/>
    <w:rsid w:val="000807BE"/>
    <w:rsid w:val="000844EA"/>
    <w:rsid w:val="00090E94"/>
    <w:rsid w:val="00092128"/>
    <w:rsid w:val="00092CA3"/>
    <w:rsid w:val="000A6C05"/>
    <w:rsid w:val="000B1225"/>
    <w:rsid w:val="000C2CDF"/>
    <w:rsid w:val="000C4E42"/>
    <w:rsid w:val="000D05E2"/>
    <w:rsid w:val="000D7C22"/>
    <w:rsid w:val="000F40E5"/>
    <w:rsid w:val="000F67E2"/>
    <w:rsid w:val="001025F0"/>
    <w:rsid w:val="001029EA"/>
    <w:rsid w:val="0011342A"/>
    <w:rsid w:val="00116AD4"/>
    <w:rsid w:val="0011733C"/>
    <w:rsid w:val="00122048"/>
    <w:rsid w:val="00125CDA"/>
    <w:rsid w:val="00130B6F"/>
    <w:rsid w:val="001346B0"/>
    <w:rsid w:val="0013744C"/>
    <w:rsid w:val="00140A9A"/>
    <w:rsid w:val="00144665"/>
    <w:rsid w:val="00150480"/>
    <w:rsid w:val="0015286F"/>
    <w:rsid w:val="00153121"/>
    <w:rsid w:val="001558A0"/>
    <w:rsid w:val="00161C05"/>
    <w:rsid w:val="001716C3"/>
    <w:rsid w:val="00174AB4"/>
    <w:rsid w:val="001760E9"/>
    <w:rsid w:val="001770A7"/>
    <w:rsid w:val="0018335E"/>
    <w:rsid w:val="00185F03"/>
    <w:rsid w:val="001958CB"/>
    <w:rsid w:val="001A1DF5"/>
    <w:rsid w:val="001B1145"/>
    <w:rsid w:val="001B2531"/>
    <w:rsid w:val="001B726E"/>
    <w:rsid w:val="001C058C"/>
    <w:rsid w:val="001C2804"/>
    <w:rsid w:val="001C3E48"/>
    <w:rsid w:val="001D12BC"/>
    <w:rsid w:val="001D6748"/>
    <w:rsid w:val="001E3944"/>
    <w:rsid w:val="001E4671"/>
    <w:rsid w:val="001E4F43"/>
    <w:rsid w:val="001F0649"/>
    <w:rsid w:val="001F0C77"/>
    <w:rsid w:val="001F29CA"/>
    <w:rsid w:val="002019C3"/>
    <w:rsid w:val="002024FD"/>
    <w:rsid w:val="00212358"/>
    <w:rsid w:val="00220183"/>
    <w:rsid w:val="002239B3"/>
    <w:rsid w:val="0022553F"/>
    <w:rsid w:val="0022558A"/>
    <w:rsid w:val="0023002A"/>
    <w:rsid w:val="00232AF3"/>
    <w:rsid w:val="00257CFA"/>
    <w:rsid w:val="00263964"/>
    <w:rsid w:val="002664B2"/>
    <w:rsid w:val="002705FC"/>
    <w:rsid w:val="00280310"/>
    <w:rsid w:val="00282ED4"/>
    <w:rsid w:val="0029003F"/>
    <w:rsid w:val="002902BC"/>
    <w:rsid w:val="00291EE6"/>
    <w:rsid w:val="00293ED7"/>
    <w:rsid w:val="002A21DC"/>
    <w:rsid w:val="002B23DE"/>
    <w:rsid w:val="002B4CB5"/>
    <w:rsid w:val="002B70D5"/>
    <w:rsid w:val="002C12C1"/>
    <w:rsid w:val="002C6F99"/>
    <w:rsid w:val="002E393A"/>
    <w:rsid w:val="002F4D81"/>
    <w:rsid w:val="002F50FA"/>
    <w:rsid w:val="002F60BF"/>
    <w:rsid w:val="0031079B"/>
    <w:rsid w:val="003118C9"/>
    <w:rsid w:val="00320C7B"/>
    <w:rsid w:val="00321C51"/>
    <w:rsid w:val="003323F3"/>
    <w:rsid w:val="0033773D"/>
    <w:rsid w:val="00354BDE"/>
    <w:rsid w:val="00354D03"/>
    <w:rsid w:val="003602E5"/>
    <w:rsid w:val="00371C7F"/>
    <w:rsid w:val="00373C9D"/>
    <w:rsid w:val="00381D6F"/>
    <w:rsid w:val="00383621"/>
    <w:rsid w:val="00383D47"/>
    <w:rsid w:val="00387360"/>
    <w:rsid w:val="003A3FBA"/>
    <w:rsid w:val="003A5B02"/>
    <w:rsid w:val="003B5919"/>
    <w:rsid w:val="003C1DE6"/>
    <w:rsid w:val="003C5486"/>
    <w:rsid w:val="003D10C9"/>
    <w:rsid w:val="003D5F63"/>
    <w:rsid w:val="003E4E7B"/>
    <w:rsid w:val="003F0E40"/>
    <w:rsid w:val="003F1409"/>
    <w:rsid w:val="003F710C"/>
    <w:rsid w:val="00403602"/>
    <w:rsid w:val="00422012"/>
    <w:rsid w:val="00422A33"/>
    <w:rsid w:val="00423165"/>
    <w:rsid w:val="004413D7"/>
    <w:rsid w:val="004449C2"/>
    <w:rsid w:val="00465363"/>
    <w:rsid w:val="00474208"/>
    <w:rsid w:val="004756DA"/>
    <w:rsid w:val="00477910"/>
    <w:rsid w:val="00482564"/>
    <w:rsid w:val="004907CC"/>
    <w:rsid w:val="004944F1"/>
    <w:rsid w:val="004A3818"/>
    <w:rsid w:val="004A429D"/>
    <w:rsid w:val="004A5813"/>
    <w:rsid w:val="004A7519"/>
    <w:rsid w:val="004B19F2"/>
    <w:rsid w:val="004C2435"/>
    <w:rsid w:val="004C3506"/>
    <w:rsid w:val="004C544B"/>
    <w:rsid w:val="004C63B4"/>
    <w:rsid w:val="004C6DAA"/>
    <w:rsid w:val="004C72CD"/>
    <w:rsid w:val="004D5673"/>
    <w:rsid w:val="004E0647"/>
    <w:rsid w:val="004E08A7"/>
    <w:rsid w:val="004E5E31"/>
    <w:rsid w:val="004F2180"/>
    <w:rsid w:val="004F4122"/>
    <w:rsid w:val="00517F25"/>
    <w:rsid w:val="005209B4"/>
    <w:rsid w:val="00521924"/>
    <w:rsid w:val="005222CF"/>
    <w:rsid w:val="00523155"/>
    <w:rsid w:val="00524F6B"/>
    <w:rsid w:val="00527F0A"/>
    <w:rsid w:val="00531118"/>
    <w:rsid w:val="0053276A"/>
    <w:rsid w:val="00535BB2"/>
    <w:rsid w:val="0053693B"/>
    <w:rsid w:val="005377DD"/>
    <w:rsid w:val="005407D4"/>
    <w:rsid w:val="00552378"/>
    <w:rsid w:val="005534AC"/>
    <w:rsid w:val="00554742"/>
    <w:rsid w:val="0055501F"/>
    <w:rsid w:val="005642DD"/>
    <w:rsid w:val="00565737"/>
    <w:rsid w:val="005736D6"/>
    <w:rsid w:val="00573AEA"/>
    <w:rsid w:val="005754C8"/>
    <w:rsid w:val="00577CA9"/>
    <w:rsid w:val="00581070"/>
    <w:rsid w:val="00582961"/>
    <w:rsid w:val="0059151F"/>
    <w:rsid w:val="005A33CB"/>
    <w:rsid w:val="005B7948"/>
    <w:rsid w:val="005C1AC6"/>
    <w:rsid w:val="005C2541"/>
    <w:rsid w:val="005D0B6B"/>
    <w:rsid w:val="005D4A30"/>
    <w:rsid w:val="005D510D"/>
    <w:rsid w:val="005D657E"/>
    <w:rsid w:val="005D6D42"/>
    <w:rsid w:val="006015E5"/>
    <w:rsid w:val="00607B99"/>
    <w:rsid w:val="0062026A"/>
    <w:rsid w:val="006255A5"/>
    <w:rsid w:val="00626633"/>
    <w:rsid w:val="0063121B"/>
    <w:rsid w:val="006348E4"/>
    <w:rsid w:val="006377F5"/>
    <w:rsid w:val="00642A9F"/>
    <w:rsid w:val="00644A12"/>
    <w:rsid w:val="00651D73"/>
    <w:rsid w:val="00654A6E"/>
    <w:rsid w:val="00660EE6"/>
    <w:rsid w:val="0066687D"/>
    <w:rsid w:val="0067486C"/>
    <w:rsid w:val="00674B3D"/>
    <w:rsid w:val="00680507"/>
    <w:rsid w:val="00681243"/>
    <w:rsid w:val="00681D22"/>
    <w:rsid w:val="00687B70"/>
    <w:rsid w:val="006954B7"/>
    <w:rsid w:val="006C323D"/>
    <w:rsid w:val="006C44E3"/>
    <w:rsid w:val="006C6213"/>
    <w:rsid w:val="006C70EE"/>
    <w:rsid w:val="006C726C"/>
    <w:rsid w:val="006D01EF"/>
    <w:rsid w:val="006E0706"/>
    <w:rsid w:val="006E360F"/>
    <w:rsid w:val="006F1268"/>
    <w:rsid w:val="006F1680"/>
    <w:rsid w:val="006F38C0"/>
    <w:rsid w:val="006F4472"/>
    <w:rsid w:val="006F6127"/>
    <w:rsid w:val="0070080B"/>
    <w:rsid w:val="00703226"/>
    <w:rsid w:val="00703B61"/>
    <w:rsid w:val="00706EEE"/>
    <w:rsid w:val="00707AA6"/>
    <w:rsid w:val="00710197"/>
    <w:rsid w:val="007109EB"/>
    <w:rsid w:val="00711A3B"/>
    <w:rsid w:val="00712CCB"/>
    <w:rsid w:val="00713E8F"/>
    <w:rsid w:val="00715381"/>
    <w:rsid w:val="00721400"/>
    <w:rsid w:val="007263DA"/>
    <w:rsid w:val="00731308"/>
    <w:rsid w:val="00735BCB"/>
    <w:rsid w:val="0073723D"/>
    <w:rsid w:val="00753096"/>
    <w:rsid w:val="00754B1D"/>
    <w:rsid w:val="007563EA"/>
    <w:rsid w:val="00757FB9"/>
    <w:rsid w:val="007754E7"/>
    <w:rsid w:val="00783478"/>
    <w:rsid w:val="00786F3E"/>
    <w:rsid w:val="007919E7"/>
    <w:rsid w:val="00792564"/>
    <w:rsid w:val="007970F7"/>
    <w:rsid w:val="007972C5"/>
    <w:rsid w:val="007C6B17"/>
    <w:rsid w:val="007C7127"/>
    <w:rsid w:val="007D1062"/>
    <w:rsid w:val="007D39C3"/>
    <w:rsid w:val="007D3A42"/>
    <w:rsid w:val="007D6156"/>
    <w:rsid w:val="007F1B67"/>
    <w:rsid w:val="007F64FB"/>
    <w:rsid w:val="007F6E70"/>
    <w:rsid w:val="008036B4"/>
    <w:rsid w:val="008165A6"/>
    <w:rsid w:val="00820017"/>
    <w:rsid w:val="008201E2"/>
    <w:rsid w:val="00826121"/>
    <w:rsid w:val="00827DCC"/>
    <w:rsid w:val="00840183"/>
    <w:rsid w:val="00845304"/>
    <w:rsid w:val="00850DFA"/>
    <w:rsid w:val="00861F24"/>
    <w:rsid w:val="0086261B"/>
    <w:rsid w:val="00863D8B"/>
    <w:rsid w:val="0089292F"/>
    <w:rsid w:val="00896B76"/>
    <w:rsid w:val="008A483E"/>
    <w:rsid w:val="008B084B"/>
    <w:rsid w:val="008B298E"/>
    <w:rsid w:val="008B3A0C"/>
    <w:rsid w:val="008B7244"/>
    <w:rsid w:val="008C0A78"/>
    <w:rsid w:val="008C5DE0"/>
    <w:rsid w:val="008D13CE"/>
    <w:rsid w:val="008D5628"/>
    <w:rsid w:val="008E1BCE"/>
    <w:rsid w:val="008E30E8"/>
    <w:rsid w:val="008E6FCB"/>
    <w:rsid w:val="009022F3"/>
    <w:rsid w:val="00912D0F"/>
    <w:rsid w:val="009133D5"/>
    <w:rsid w:val="00914C46"/>
    <w:rsid w:val="00934804"/>
    <w:rsid w:val="009350B6"/>
    <w:rsid w:val="00950637"/>
    <w:rsid w:val="00961700"/>
    <w:rsid w:val="0098008A"/>
    <w:rsid w:val="00984477"/>
    <w:rsid w:val="009876F2"/>
    <w:rsid w:val="00993D86"/>
    <w:rsid w:val="00994461"/>
    <w:rsid w:val="00994B7F"/>
    <w:rsid w:val="009A4C4F"/>
    <w:rsid w:val="009B03D4"/>
    <w:rsid w:val="009B199C"/>
    <w:rsid w:val="009B1C1A"/>
    <w:rsid w:val="009B1DAD"/>
    <w:rsid w:val="009C2A11"/>
    <w:rsid w:val="009C3098"/>
    <w:rsid w:val="009C5E52"/>
    <w:rsid w:val="009C606B"/>
    <w:rsid w:val="009C6E0A"/>
    <w:rsid w:val="009D0214"/>
    <w:rsid w:val="009D1F7B"/>
    <w:rsid w:val="009D4982"/>
    <w:rsid w:val="009E1E7E"/>
    <w:rsid w:val="009F37DE"/>
    <w:rsid w:val="009F6165"/>
    <w:rsid w:val="00A0169C"/>
    <w:rsid w:val="00A05336"/>
    <w:rsid w:val="00A05340"/>
    <w:rsid w:val="00A12261"/>
    <w:rsid w:val="00A13D66"/>
    <w:rsid w:val="00A23701"/>
    <w:rsid w:val="00A34ECE"/>
    <w:rsid w:val="00A35BC2"/>
    <w:rsid w:val="00A42669"/>
    <w:rsid w:val="00A438D7"/>
    <w:rsid w:val="00A5256F"/>
    <w:rsid w:val="00A5441C"/>
    <w:rsid w:val="00A5553B"/>
    <w:rsid w:val="00A62B5E"/>
    <w:rsid w:val="00A66154"/>
    <w:rsid w:val="00A67D0F"/>
    <w:rsid w:val="00A70B2C"/>
    <w:rsid w:val="00A70F87"/>
    <w:rsid w:val="00A74F55"/>
    <w:rsid w:val="00A81B96"/>
    <w:rsid w:val="00A840E2"/>
    <w:rsid w:val="00A86443"/>
    <w:rsid w:val="00A94B58"/>
    <w:rsid w:val="00A9560B"/>
    <w:rsid w:val="00AB1476"/>
    <w:rsid w:val="00AB309C"/>
    <w:rsid w:val="00AC1256"/>
    <w:rsid w:val="00AC4C93"/>
    <w:rsid w:val="00AF7EBA"/>
    <w:rsid w:val="00B0097C"/>
    <w:rsid w:val="00B02885"/>
    <w:rsid w:val="00B13A43"/>
    <w:rsid w:val="00B1795F"/>
    <w:rsid w:val="00B17B0D"/>
    <w:rsid w:val="00B20646"/>
    <w:rsid w:val="00B277D1"/>
    <w:rsid w:val="00B515CC"/>
    <w:rsid w:val="00B649CD"/>
    <w:rsid w:val="00B67143"/>
    <w:rsid w:val="00B74E9D"/>
    <w:rsid w:val="00B74FBE"/>
    <w:rsid w:val="00B750CF"/>
    <w:rsid w:val="00B77701"/>
    <w:rsid w:val="00B8060C"/>
    <w:rsid w:val="00B83BE8"/>
    <w:rsid w:val="00B8609A"/>
    <w:rsid w:val="00BA07A5"/>
    <w:rsid w:val="00BA4546"/>
    <w:rsid w:val="00BA7362"/>
    <w:rsid w:val="00BA7E1B"/>
    <w:rsid w:val="00BB278D"/>
    <w:rsid w:val="00BB48C8"/>
    <w:rsid w:val="00BC1079"/>
    <w:rsid w:val="00BC16A8"/>
    <w:rsid w:val="00BC411D"/>
    <w:rsid w:val="00BE0373"/>
    <w:rsid w:val="00BF6B25"/>
    <w:rsid w:val="00BF7947"/>
    <w:rsid w:val="00C018A0"/>
    <w:rsid w:val="00C12A33"/>
    <w:rsid w:val="00C15710"/>
    <w:rsid w:val="00C158EE"/>
    <w:rsid w:val="00C16952"/>
    <w:rsid w:val="00C20363"/>
    <w:rsid w:val="00C20491"/>
    <w:rsid w:val="00C26D2C"/>
    <w:rsid w:val="00C35DF2"/>
    <w:rsid w:val="00C3664B"/>
    <w:rsid w:val="00C42179"/>
    <w:rsid w:val="00C451D5"/>
    <w:rsid w:val="00C52339"/>
    <w:rsid w:val="00C5351F"/>
    <w:rsid w:val="00C569A5"/>
    <w:rsid w:val="00C60846"/>
    <w:rsid w:val="00C60900"/>
    <w:rsid w:val="00C649BC"/>
    <w:rsid w:val="00C64FE2"/>
    <w:rsid w:val="00C7172D"/>
    <w:rsid w:val="00C71AD5"/>
    <w:rsid w:val="00C750C7"/>
    <w:rsid w:val="00C7710A"/>
    <w:rsid w:val="00C77397"/>
    <w:rsid w:val="00C80269"/>
    <w:rsid w:val="00C80925"/>
    <w:rsid w:val="00C83EA7"/>
    <w:rsid w:val="00CB3BD0"/>
    <w:rsid w:val="00CB3C79"/>
    <w:rsid w:val="00CB4277"/>
    <w:rsid w:val="00CB7BD5"/>
    <w:rsid w:val="00CB7E2E"/>
    <w:rsid w:val="00CC1E0A"/>
    <w:rsid w:val="00CC43D8"/>
    <w:rsid w:val="00CD0385"/>
    <w:rsid w:val="00CD2EB5"/>
    <w:rsid w:val="00CD3C27"/>
    <w:rsid w:val="00CD4ECA"/>
    <w:rsid w:val="00CE06BC"/>
    <w:rsid w:val="00CE4072"/>
    <w:rsid w:val="00CE5267"/>
    <w:rsid w:val="00CF3CAB"/>
    <w:rsid w:val="00CF3DBF"/>
    <w:rsid w:val="00CF4B90"/>
    <w:rsid w:val="00CF6B9D"/>
    <w:rsid w:val="00D016AB"/>
    <w:rsid w:val="00D060B4"/>
    <w:rsid w:val="00D150BA"/>
    <w:rsid w:val="00D1510D"/>
    <w:rsid w:val="00D16008"/>
    <w:rsid w:val="00D20DF9"/>
    <w:rsid w:val="00D22C25"/>
    <w:rsid w:val="00D22FB9"/>
    <w:rsid w:val="00D266AE"/>
    <w:rsid w:val="00D3430F"/>
    <w:rsid w:val="00D35E3F"/>
    <w:rsid w:val="00D36746"/>
    <w:rsid w:val="00D3698F"/>
    <w:rsid w:val="00D42ED1"/>
    <w:rsid w:val="00D443C0"/>
    <w:rsid w:val="00D474E8"/>
    <w:rsid w:val="00D527B5"/>
    <w:rsid w:val="00D57EBD"/>
    <w:rsid w:val="00D62841"/>
    <w:rsid w:val="00D73639"/>
    <w:rsid w:val="00D80B3F"/>
    <w:rsid w:val="00D820E8"/>
    <w:rsid w:val="00D82E06"/>
    <w:rsid w:val="00D833F3"/>
    <w:rsid w:val="00D83B87"/>
    <w:rsid w:val="00D842E1"/>
    <w:rsid w:val="00D857D7"/>
    <w:rsid w:val="00D8742D"/>
    <w:rsid w:val="00D901C2"/>
    <w:rsid w:val="00D91FC1"/>
    <w:rsid w:val="00DA0ADE"/>
    <w:rsid w:val="00DA6C63"/>
    <w:rsid w:val="00DA7DA7"/>
    <w:rsid w:val="00DB7760"/>
    <w:rsid w:val="00DC0870"/>
    <w:rsid w:val="00DC128E"/>
    <w:rsid w:val="00DC5CFE"/>
    <w:rsid w:val="00DC71F6"/>
    <w:rsid w:val="00DD55AA"/>
    <w:rsid w:val="00DE01BD"/>
    <w:rsid w:val="00DE1341"/>
    <w:rsid w:val="00DE2606"/>
    <w:rsid w:val="00DF5C22"/>
    <w:rsid w:val="00E071A7"/>
    <w:rsid w:val="00E1295C"/>
    <w:rsid w:val="00E16689"/>
    <w:rsid w:val="00E26AB0"/>
    <w:rsid w:val="00E323EA"/>
    <w:rsid w:val="00E32700"/>
    <w:rsid w:val="00E35508"/>
    <w:rsid w:val="00E37BF4"/>
    <w:rsid w:val="00E4173B"/>
    <w:rsid w:val="00E538F2"/>
    <w:rsid w:val="00E60293"/>
    <w:rsid w:val="00E64F7F"/>
    <w:rsid w:val="00E83EA9"/>
    <w:rsid w:val="00E9154D"/>
    <w:rsid w:val="00EA3471"/>
    <w:rsid w:val="00EB10C2"/>
    <w:rsid w:val="00EB2022"/>
    <w:rsid w:val="00EB47F0"/>
    <w:rsid w:val="00EB4870"/>
    <w:rsid w:val="00EB4B46"/>
    <w:rsid w:val="00EC0BA6"/>
    <w:rsid w:val="00EC1E01"/>
    <w:rsid w:val="00EC5214"/>
    <w:rsid w:val="00EC566F"/>
    <w:rsid w:val="00ED6FA2"/>
    <w:rsid w:val="00EE3FAD"/>
    <w:rsid w:val="00EF6D80"/>
    <w:rsid w:val="00F03230"/>
    <w:rsid w:val="00F06EBB"/>
    <w:rsid w:val="00F10E05"/>
    <w:rsid w:val="00F152D4"/>
    <w:rsid w:val="00F1667B"/>
    <w:rsid w:val="00F17013"/>
    <w:rsid w:val="00F2212B"/>
    <w:rsid w:val="00F2521C"/>
    <w:rsid w:val="00F464E8"/>
    <w:rsid w:val="00F47629"/>
    <w:rsid w:val="00F5542E"/>
    <w:rsid w:val="00F572BB"/>
    <w:rsid w:val="00F5768A"/>
    <w:rsid w:val="00F6073B"/>
    <w:rsid w:val="00F61228"/>
    <w:rsid w:val="00F666F4"/>
    <w:rsid w:val="00F70606"/>
    <w:rsid w:val="00F70F07"/>
    <w:rsid w:val="00F72EBE"/>
    <w:rsid w:val="00F91F17"/>
    <w:rsid w:val="00FB5B91"/>
    <w:rsid w:val="00FC1679"/>
    <w:rsid w:val="00FC2F24"/>
    <w:rsid w:val="00FC3E8A"/>
    <w:rsid w:val="00FC51CD"/>
    <w:rsid w:val="00FD688C"/>
    <w:rsid w:val="00FD7775"/>
    <w:rsid w:val="00FE0A9B"/>
    <w:rsid w:val="00FE13C4"/>
    <w:rsid w:val="00FE28BB"/>
    <w:rsid w:val="00FF0263"/>
    <w:rsid w:val="00FF28FC"/>
    <w:rsid w:val="00FF3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F6B25"/>
    <w:pPr>
      <w:tabs>
        <w:tab w:val="center" w:pos="4536"/>
        <w:tab w:val="right" w:pos="9072"/>
      </w:tabs>
      <w:spacing w:line="240" w:lineRule="auto"/>
    </w:pPr>
  </w:style>
  <w:style w:type="character" w:customStyle="1" w:styleId="HeaderChar">
    <w:name w:val="Header Char"/>
    <w:basedOn w:val="DefaultParagraphFont"/>
    <w:link w:val="Header"/>
    <w:uiPriority w:val="99"/>
    <w:rsid w:val="00BF6B25"/>
    <w:rPr>
      <w:rFonts w:ascii="Verdana" w:hAnsi="Verdana"/>
      <w:color w:val="000000"/>
      <w:sz w:val="18"/>
      <w:szCs w:val="18"/>
    </w:rPr>
  </w:style>
  <w:style w:type="paragraph" w:styleId="Footer">
    <w:name w:val="footer"/>
    <w:basedOn w:val="Normal"/>
    <w:link w:val="FooterChar"/>
    <w:uiPriority w:val="99"/>
    <w:unhideWhenUsed/>
    <w:rsid w:val="00BF6B25"/>
    <w:pPr>
      <w:tabs>
        <w:tab w:val="center" w:pos="4536"/>
        <w:tab w:val="right" w:pos="9072"/>
      </w:tabs>
      <w:spacing w:line="240" w:lineRule="auto"/>
    </w:pPr>
  </w:style>
  <w:style w:type="character" w:customStyle="1" w:styleId="FooterChar">
    <w:name w:val="Footer Char"/>
    <w:basedOn w:val="DefaultParagraphFont"/>
    <w:link w:val="Footer"/>
    <w:uiPriority w:val="99"/>
    <w:rsid w:val="00BF6B25"/>
    <w:rPr>
      <w:rFonts w:ascii="Verdana" w:hAnsi="Verdana"/>
      <w:color w:val="000000"/>
      <w:sz w:val="18"/>
      <w:szCs w:val="18"/>
    </w:rPr>
  </w:style>
  <w:style w:type="character" w:styleId="CommentReference">
    <w:name w:val="annotation reference"/>
    <w:basedOn w:val="DefaultParagraphFont"/>
    <w:uiPriority w:val="99"/>
    <w:semiHidden/>
    <w:unhideWhenUsed/>
    <w:rsid w:val="00BF6B25"/>
    <w:rPr>
      <w:sz w:val="16"/>
      <w:szCs w:val="16"/>
    </w:rPr>
  </w:style>
  <w:style w:type="paragraph" w:styleId="CommentText">
    <w:name w:val="annotation text"/>
    <w:basedOn w:val="Normal"/>
    <w:link w:val="CommentTextChar"/>
    <w:uiPriority w:val="99"/>
    <w:unhideWhenUsed/>
    <w:rsid w:val="00BF6B25"/>
    <w:pPr>
      <w:spacing w:line="240" w:lineRule="auto"/>
    </w:pPr>
    <w:rPr>
      <w:sz w:val="20"/>
      <w:szCs w:val="20"/>
    </w:rPr>
  </w:style>
  <w:style w:type="character" w:customStyle="1" w:styleId="CommentTextChar">
    <w:name w:val="Comment Text Char"/>
    <w:basedOn w:val="DefaultParagraphFont"/>
    <w:link w:val="CommentText"/>
    <w:uiPriority w:val="99"/>
    <w:rsid w:val="00BF6B2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F6B25"/>
    <w:rPr>
      <w:b/>
      <w:bCs/>
    </w:rPr>
  </w:style>
  <w:style w:type="character" w:customStyle="1" w:styleId="CommentSubjectChar">
    <w:name w:val="Comment Subject Char"/>
    <w:basedOn w:val="CommentTextChar"/>
    <w:link w:val="CommentSubject"/>
    <w:uiPriority w:val="99"/>
    <w:semiHidden/>
    <w:rsid w:val="00BF6B25"/>
    <w:rPr>
      <w:rFonts w:ascii="Verdana" w:hAnsi="Verdana"/>
      <w:b/>
      <w:bCs/>
      <w:color w:val="000000"/>
    </w:rPr>
  </w:style>
  <w:style w:type="paragraph" w:styleId="FootnoteText">
    <w:name w:val="footnote text"/>
    <w:basedOn w:val="Normal"/>
    <w:link w:val="FootnoteTextChar"/>
    <w:uiPriority w:val="99"/>
    <w:semiHidden/>
    <w:unhideWhenUsed/>
    <w:rsid w:val="0062026A"/>
    <w:pPr>
      <w:spacing w:line="240" w:lineRule="auto"/>
    </w:pPr>
    <w:rPr>
      <w:sz w:val="20"/>
      <w:szCs w:val="20"/>
    </w:rPr>
  </w:style>
  <w:style w:type="character" w:customStyle="1" w:styleId="FootnoteTextChar">
    <w:name w:val="Footnote Text Char"/>
    <w:basedOn w:val="DefaultParagraphFont"/>
    <w:link w:val="FootnoteText"/>
    <w:uiPriority w:val="99"/>
    <w:semiHidden/>
    <w:rsid w:val="0062026A"/>
    <w:rPr>
      <w:rFonts w:ascii="Verdana" w:hAnsi="Verdana"/>
      <w:color w:val="000000"/>
    </w:rPr>
  </w:style>
  <w:style w:type="character" w:styleId="FootnoteReference">
    <w:name w:val="footnote reference"/>
    <w:basedOn w:val="DefaultParagraphFont"/>
    <w:uiPriority w:val="99"/>
    <w:semiHidden/>
    <w:unhideWhenUsed/>
    <w:rsid w:val="0062026A"/>
    <w:rPr>
      <w:vertAlign w:val="superscript"/>
    </w:rPr>
  </w:style>
  <w:style w:type="table" w:styleId="TableGrid">
    <w:name w:val="Table Grid"/>
    <w:basedOn w:val="TableNormal"/>
    <w:uiPriority w:val="39"/>
    <w:rsid w:val="0022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7519"/>
    <w:pPr>
      <w:autoSpaceDN/>
      <w:textAlignment w:val="auto"/>
    </w:pPr>
    <w:rPr>
      <w:rFonts w:ascii="Verdana" w:hAnsi="Verdana"/>
      <w:color w:val="000000"/>
      <w:sz w:val="18"/>
      <w:szCs w:val="18"/>
    </w:rPr>
  </w:style>
  <w:style w:type="paragraph" w:styleId="ListParagraph">
    <w:name w:val="List Paragraph"/>
    <w:basedOn w:val="Normal"/>
    <w:uiPriority w:val="34"/>
    <w:qFormat/>
    <w:rsid w:val="00CD4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3480">
      <w:bodyDiv w:val="1"/>
      <w:marLeft w:val="0"/>
      <w:marRight w:val="0"/>
      <w:marTop w:val="0"/>
      <w:marBottom w:val="0"/>
      <w:divBdr>
        <w:top w:val="none" w:sz="0" w:space="0" w:color="auto"/>
        <w:left w:val="none" w:sz="0" w:space="0" w:color="auto"/>
        <w:bottom w:val="none" w:sz="0" w:space="0" w:color="auto"/>
        <w:right w:val="none" w:sz="0" w:space="0" w:color="auto"/>
      </w:divBdr>
    </w:div>
    <w:div w:id="126975418">
      <w:bodyDiv w:val="1"/>
      <w:marLeft w:val="0"/>
      <w:marRight w:val="0"/>
      <w:marTop w:val="0"/>
      <w:marBottom w:val="0"/>
      <w:divBdr>
        <w:top w:val="none" w:sz="0" w:space="0" w:color="auto"/>
        <w:left w:val="none" w:sz="0" w:space="0" w:color="auto"/>
        <w:bottom w:val="none" w:sz="0" w:space="0" w:color="auto"/>
        <w:right w:val="none" w:sz="0" w:space="0" w:color="auto"/>
      </w:divBdr>
    </w:div>
    <w:div w:id="171528090">
      <w:bodyDiv w:val="1"/>
      <w:marLeft w:val="0"/>
      <w:marRight w:val="0"/>
      <w:marTop w:val="0"/>
      <w:marBottom w:val="0"/>
      <w:divBdr>
        <w:top w:val="none" w:sz="0" w:space="0" w:color="auto"/>
        <w:left w:val="none" w:sz="0" w:space="0" w:color="auto"/>
        <w:bottom w:val="none" w:sz="0" w:space="0" w:color="auto"/>
        <w:right w:val="none" w:sz="0" w:space="0" w:color="auto"/>
      </w:divBdr>
    </w:div>
    <w:div w:id="1301693047">
      <w:bodyDiv w:val="1"/>
      <w:marLeft w:val="0"/>
      <w:marRight w:val="0"/>
      <w:marTop w:val="0"/>
      <w:marBottom w:val="0"/>
      <w:divBdr>
        <w:top w:val="none" w:sz="0" w:space="0" w:color="auto"/>
        <w:left w:val="none" w:sz="0" w:space="0" w:color="auto"/>
        <w:bottom w:val="none" w:sz="0" w:space="0" w:color="auto"/>
        <w:right w:val="none" w:sz="0" w:space="0" w:color="auto"/>
      </w:divBdr>
    </w:div>
    <w:div w:id="1906597701">
      <w:bodyDiv w:val="1"/>
      <w:marLeft w:val="0"/>
      <w:marRight w:val="0"/>
      <w:marTop w:val="0"/>
      <w:marBottom w:val="0"/>
      <w:divBdr>
        <w:top w:val="none" w:sz="0" w:space="0" w:color="auto"/>
        <w:left w:val="none" w:sz="0" w:space="0" w:color="auto"/>
        <w:bottom w:val="none" w:sz="0" w:space="0" w:color="auto"/>
        <w:right w:val="none" w:sz="0" w:space="0" w:color="auto"/>
      </w:divBdr>
    </w:div>
    <w:div w:id="1936555290">
      <w:bodyDiv w:val="1"/>
      <w:marLeft w:val="0"/>
      <w:marRight w:val="0"/>
      <w:marTop w:val="0"/>
      <w:marBottom w:val="0"/>
      <w:divBdr>
        <w:top w:val="none" w:sz="0" w:space="0" w:color="auto"/>
        <w:left w:val="none" w:sz="0" w:space="0" w:color="auto"/>
        <w:bottom w:val="none" w:sz="0" w:space="0" w:color="auto"/>
        <w:right w:val="none" w:sz="0" w:space="0" w:color="auto"/>
      </w:divBdr>
    </w:div>
    <w:div w:id="1962495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2833</ap:Words>
  <ap:Characters>16150</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Brief aan Parlement - Overzicht van geplande frequentieverhogingen HRN-concessie en infraknelpunten</vt:lpstr>
    </vt:vector>
  </ap:TitlesOfParts>
  <ap:LinksUpToDate>false</ap:LinksUpToDate>
  <ap:CharactersWithSpaces>18946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2026-07-02T06:39:00.0000000Z</dcterms:created>
  <dcterms:modified xsi:type="dcterms:W3CDTF">2026-07-02T06:39:00.0000000Z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Overzicht van geplande frequentieverhogingen HRN-concessie en infraknelpunten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J. Doornbos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2026-05-29T09:08:07Z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19493dbd-bd20-4e74-8b45-c54321bb7695</vt:lpwstr>
  </property>
  <property fmtid="{D5CDD505-2E9C-101B-9397-08002B2CF9AE}" pid="35" name="MSIP_Label_f5339f15-c483-4670-87f9-f365ba551dce_ContentBits">
    <vt:lpwstr>0</vt:lpwstr>
  </property>
  <property fmtid="{D5CDD505-2E9C-101B-9397-08002B2CF9AE}" pid="36" name="MSIP_Label_f5339f15-c483-4670-87f9-f365ba551dce_Tag">
    <vt:lpwstr>10, 3, 0, 1</vt:lpwstr>
  </property>
</Properties>
</file>