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64FFC" w14:paraId="1B936A7C" w14:textId="77777777"/>
    <w:p w:rsidR="00622CEE" w:rsidP="00E468FE" w14:paraId="0168C56E" w14:textId="77777777">
      <w:pPr>
        <w:spacing w:line="276" w:lineRule="auto"/>
      </w:pPr>
      <w:r>
        <w:t xml:space="preserve">In het debat van 1 juli </w:t>
      </w:r>
      <w:r w:rsidR="00F351D3">
        <w:t xml:space="preserve">jl. </w:t>
      </w:r>
      <w:r>
        <w:t>inzake</w:t>
      </w:r>
      <w:r>
        <w:t xml:space="preserve"> de behandeling van het wetsvoorstel ‘bijstand in het stemhokje’ </w:t>
      </w:r>
      <w:r w:rsidR="00F351D3">
        <w:t xml:space="preserve">(36863) </w:t>
      </w:r>
      <w:r>
        <w:t xml:space="preserve">zijn aanvullende vragen gesteld </w:t>
      </w:r>
      <w:r w:rsidR="00940E8B">
        <w:t>over</w:t>
      </w:r>
      <w:r w:rsidR="009761CD">
        <w:t xml:space="preserve"> </w:t>
      </w:r>
      <w:bookmarkStart w:name="_Hlk233827148" w:id="0"/>
      <w:r w:rsidR="00C449C2">
        <w:t>het VN-Verdrag Handicap</w:t>
      </w:r>
      <w:bookmarkEnd w:id="0"/>
      <w:r w:rsidR="009761CD">
        <w:t xml:space="preserve">, in relatie tot de werkingssfeer van het wetsvoorstel. </w:t>
      </w:r>
      <w:r w:rsidR="00E468FE">
        <w:t xml:space="preserve">Aanleiding voor deze vragen is </w:t>
      </w:r>
      <w:r w:rsidRPr="009761CD" w:rsidR="00E468FE">
        <w:t xml:space="preserve">het feit dat alle kiezers </w:t>
      </w:r>
      <w:r w:rsidR="00E468FE">
        <w:t xml:space="preserve">in het wetsvoorstel </w:t>
      </w:r>
      <w:r w:rsidRPr="009761CD" w:rsidR="00E468FE">
        <w:t xml:space="preserve">recht krijgen op bijstand door een </w:t>
      </w:r>
      <w:r w:rsidRPr="009761CD" w:rsidR="00E468FE">
        <w:t>stembureaulid</w:t>
      </w:r>
      <w:r w:rsidRPr="009761CD" w:rsidR="00E468FE">
        <w:t xml:space="preserve">, terwijl kiezers met een fysieke </w:t>
      </w:r>
      <w:r w:rsidR="00E468FE">
        <w:t>handicap</w:t>
      </w:r>
      <w:r w:rsidR="00921825">
        <w:t xml:space="preserve"> </w:t>
      </w:r>
      <w:r w:rsidRPr="009761CD" w:rsidR="00E468FE">
        <w:t>bijstand mogen krijgen door een persoon van hun eigen keuze</w:t>
      </w:r>
      <w:r w:rsidR="00E468FE">
        <w:t xml:space="preserve">, bijvoorbeeld een familielid. </w:t>
      </w:r>
    </w:p>
    <w:p w:rsidR="00CF54AD" w:rsidP="00E468FE" w14:paraId="2B6AD126" w14:textId="77777777">
      <w:pPr>
        <w:spacing w:line="276" w:lineRule="auto"/>
      </w:pPr>
    </w:p>
    <w:p w:rsidRPr="00F02D56" w:rsidR="009761CD" w:rsidP="00F02D56" w14:paraId="3BE65D85" w14:textId="77777777">
      <w:pPr>
        <w:spacing w:line="276" w:lineRule="auto"/>
        <w:rPr>
          <w:rFonts w:eastAsiaTheme="majorEastAsia" w:cstheme="majorBidi"/>
          <w:szCs w:val="28"/>
        </w:rPr>
      </w:pPr>
      <w:r>
        <w:t xml:space="preserve">Meerdere leden van uw Kamer hebben de vraag gesteld waarom er in het wetsvoorstel niet voor is gekozen </w:t>
      </w:r>
      <w:bookmarkStart w:name="_Hlk233834172" w:id="1"/>
      <w:r w:rsidRPr="00E468FE" w:rsidR="00E468FE">
        <w:rPr>
          <w:rFonts w:eastAsiaTheme="majorEastAsia" w:cstheme="majorBidi"/>
          <w:szCs w:val="28"/>
        </w:rPr>
        <w:t xml:space="preserve">iedereen recht </w:t>
      </w:r>
      <w:r>
        <w:rPr>
          <w:rFonts w:eastAsiaTheme="majorEastAsia" w:cstheme="majorBidi"/>
          <w:szCs w:val="28"/>
        </w:rPr>
        <w:t xml:space="preserve">te geven </w:t>
      </w:r>
      <w:r w:rsidRPr="00E468FE" w:rsidR="00E468FE">
        <w:rPr>
          <w:rFonts w:eastAsiaTheme="majorEastAsia" w:cstheme="majorBidi"/>
          <w:szCs w:val="28"/>
        </w:rPr>
        <w:t xml:space="preserve">op </w:t>
      </w:r>
      <w:r w:rsidR="00E468FE">
        <w:rPr>
          <w:rFonts w:eastAsiaTheme="majorEastAsia" w:cstheme="majorBidi"/>
          <w:szCs w:val="28"/>
        </w:rPr>
        <w:t xml:space="preserve">bijstand </w:t>
      </w:r>
      <w:r w:rsidRPr="00E468FE" w:rsidR="00E468FE">
        <w:rPr>
          <w:rFonts w:eastAsiaTheme="majorEastAsia" w:cstheme="majorBidi"/>
          <w:szCs w:val="28"/>
        </w:rPr>
        <w:t xml:space="preserve">door </w:t>
      </w:r>
      <w:r w:rsidR="00921825">
        <w:rPr>
          <w:rFonts w:eastAsiaTheme="majorEastAsia" w:cstheme="majorBidi"/>
          <w:szCs w:val="28"/>
        </w:rPr>
        <w:t xml:space="preserve">alleen </w:t>
      </w:r>
      <w:r w:rsidRPr="00E468FE" w:rsidR="00E468FE">
        <w:rPr>
          <w:rFonts w:eastAsiaTheme="majorEastAsia" w:cstheme="majorBidi"/>
          <w:szCs w:val="28"/>
        </w:rPr>
        <w:t xml:space="preserve">een </w:t>
      </w:r>
      <w:r w:rsidRPr="00E468FE" w:rsidR="00E468FE">
        <w:rPr>
          <w:rFonts w:eastAsiaTheme="majorEastAsia" w:cstheme="majorBidi"/>
          <w:szCs w:val="28"/>
        </w:rPr>
        <w:t>stembureaulid</w:t>
      </w:r>
      <w:r w:rsidRPr="00E468FE" w:rsidR="00E468FE">
        <w:rPr>
          <w:rFonts w:eastAsiaTheme="majorEastAsia" w:cstheme="majorBidi"/>
          <w:szCs w:val="28"/>
        </w:rPr>
        <w:t xml:space="preserve">. </w:t>
      </w:r>
      <w:r w:rsidR="00E468FE">
        <w:rPr>
          <w:rFonts w:eastAsiaTheme="majorEastAsia" w:cstheme="majorBidi"/>
          <w:szCs w:val="28"/>
        </w:rPr>
        <w:t>Dit zou betekenen dat fysiek gehandicapten hun recht op hulp naar keuze verliezen</w:t>
      </w:r>
      <w:r w:rsidR="00622CEE">
        <w:rPr>
          <w:rFonts w:eastAsiaTheme="majorEastAsia" w:cstheme="majorBidi"/>
          <w:szCs w:val="28"/>
        </w:rPr>
        <w:t xml:space="preserve">; ook zij zouden dan alleen </w:t>
      </w:r>
      <w:r w:rsidR="00921825">
        <w:rPr>
          <w:rFonts w:eastAsiaTheme="majorEastAsia" w:cstheme="majorBidi"/>
          <w:szCs w:val="28"/>
        </w:rPr>
        <w:t xml:space="preserve">nog </w:t>
      </w:r>
      <w:r w:rsidR="00622CEE">
        <w:rPr>
          <w:rFonts w:eastAsiaTheme="majorEastAsia" w:cstheme="majorBidi"/>
          <w:szCs w:val="28"/>
        </w:rPr>
        <w:t xml:space="preserve">gebruik kunnen maken van hulp door een </w:t>
      </w:r>
      <w:r w:rsidR="00622CEE">
        <w:rPr>
          <w:rFonts w:eastAsiaTheme="majorEastAsia" w:cstheme="majorBidi"/>
          <w:szCs w:val="28"/>
        </w:rPr>
        <w:t>stembureaulid</w:t>
      </w:r>
      <w:r w:rsidR="00622CEE">
        <w:rPr>
          <w:rFonts w:eastAsiaTheme="majorEastAsia" w:cstheme="majorBidi"/>
          <w:szCs w:val="28"/>
        </w:rPr>
        <w:t xml:space="preserve">. </w:t>
      </w:r>
      <w:bookmarkEnd w:id="1"/>
      <w:r w:rsidR="004639F8">
        <w:rPr>
          <w:rFonts w:eastAsiaTheme="majorEastAsia" w:cstheme="majorBidi"/>
          <w:szCs w:val="28"/>
        </w:rPr>
        <w:t xml:space="preserve">Een dergelijk </w:t>
      </w:r>
      <w:r>
        <w:rPr>
          <w:rFonts w:eastAsiaTheme="majorEastAsia" w:cstheme="majorBidi"/>
          <w:szCs w:val="28"/>
        </w:rPr>
        <w:t xml:space="preserve">uniform regime </w:t>
      </w:r>
      <w:r w:rsidR="004639F8">
        <w:rPr>
          <w:rFonts w:eastAsiaTheme="majorEastAsia" w:cstheme="majorBidi"/>
          <w:szCs w:val="28"/>
        </w:rPr>
        <w:t xml:space="preserve">is helder en eenduidig voor kiezers en waarborgt </w:t>
      </w:r>
      <w:r>
        <w:rPr>
          <w:rFonts w:eastAsiaTheme="majorEastAsia" w:cstheme="majorBidi"/>
          <w:szCs w:val="28"/>
        </w:rPr>
        <w:t>het stemgeheim en de stemvrijheid</w:t>
      </w:r>
      <w:r w:rsidR="004639F8">
        <w:rPr>
          <w:rFonts w:eastAsiaTheme="majorEastAsia" w:cstheme="majorBidi"/>
          <w:szCs w:val="28"/>
        </w:rPr>
        <w:t>, zo is de gedachte van deze leden.</w:t>
      </w:r>
      <w:r w:rsidR="00F02D56">
        <w:rPr>
          <w:rFonts w:eastAsiaTheme="majorEastAsia" w:cstheme="majorBidi"/>
          <w:szCs w:val="28"/>
        </w:rPr>
        <w:t xml:space="preserve"> </w:t>
      </w:r>
      <w:r w:rsidR="00F02D56">
        <w:t>In dit verband is g</w:t>
      </w:r>
      <w:r w:rsidR="00622CEE">
        <w:t>evr</w:t>
      </w:r>
      <w:r>
        <w:t>aag</w:t>
      </w:r>
      <w:r w:rsidR="00F02D56">
        <w:t xml:space="preserve">d </w:t>
      </w:r>
      <w:r>
        <w:t>waartoe het VN-Verdrag Handicap</w:t>
      </w:r>
      <w:r w:rsidR="00F02D56">
        <w:t xml:space="preserve"> </w:t>
      </w:r>
      <w:r>
        <w:t xml:space="preserve">precies verplicht, in hoeverre het verdrag de lidstaten ruimte biedt om nadere en afwijkende maatregelen te nemen en hoe het ratificatieproces is verlopen. </w:t>
      </w:r>
    </w:p>
    <w:p w:rsidRPr="009761CD" w:rsidR="009761CD" w:rsidP="00E43A2D" w14:paraId="0F9E9DEF" w14:textId="77777777"/>
    <w:p w:rsidRPr="009761CD" w:rsidR="00E43A2D" w:rsidP="00E43A2D" w14:paraId="531D971D" w14:textId="77777777">
      <w:r w:rsidRPr="009761CD">
        <w:t xml:space="preserve">Graag maak ik van de gelegenheid gebruik </w:t>
      </w:r>
      <w:r w:rsidR="00622CEE">
        <w:t xml:space="preserve">om het bovenstaande </w:t>
      </w:r>
      <w:r w:rsidRPr="009761CD">
        <w:t>nader toe te lichten.</w:t>
      </w:r>
    </w:p>
    <w:p w:rsidRPr="009761CD" w:rsidR="00E64FFC" w14:paraId="313B23B4" w14:textId="77777777"/>
    <w:p w:rsidRPr="00F02D56" w:rsidR="00E43A2D" w14:paraId="44D58702" w14:textId="77777777">
      <w:pPr>
        <w:rPr>
          <w:u w:val="single"/>
        </w:rPr>
      </w:pPr>
      <w:r>
        <w:rPr>
          <w:u w:val="single"/>
        </w:rPr>
        <w:t xml:space="preserve">1. </w:t>
      </w:r>
      <w:r w:rsidRPr="00F02D56" w:rsidR="00F02D56">
        <w:rPr>
          <w:u w:val="single"/>
        </w:rPr>
        <w:t xml:space="preserve">Het VN-Verdrag Handicap </w:t>
      </w:r>
    </w:p>
    <w:p w:rsidRPr="009761CD" w:rsidR="00E43A2D" w:rsidP="00E43A2D" w14:paraId="4EA930AA" w14:textId="77777777">
      <w:pPr>
        <w:rPr>
          <w:i/>
          <w:iCs/>
        </w:rPr>
      </w:pPr>
      <w:r>
        <w:t xml:space="preserve">Het VN-verdrag Handicap heeft tot doel om de mensenrechten van personen met een handicap te bevorderen, beschermen en waarborgen. Het artikel over hulp bij het stemmen is te vinden in artikel 29, onder a, sub iii. Deze bepaling </w:t>
      </w:r>
      <w:r w:rsidRPr="009761CD">
        <w:t>luidt als volgt:</w:t>
      </w:r>
      <w:r w:rsidRPr="009761CD">
        <w:br/>
      </w:r>
      <w:r w:rsidRPr="009761CD">
        <w:br/>
        <w:t xml:space="preserve"> </w:t>
      </w:r>
      <w:r w:rsidRPr="009761CD">
        <w:tab/>
      </w:r>
      <w:r w:rsidRPr="009761CD">
        <w:rPr>
          <w:i/>
          <w:iCs/>
        </w:rPr>
        <w:t xml:space="preserve">De Staten die Partij zijn garanderen personen met een handicap politieke </w:t>
      </w:r>
      <w:r w:rsidRPr="009761CD">
        <w:rPr>
          <w:i/>
          <w:iCs/>
        </w:rPr>
        <w:br/>
        <w:t xml:space="preserve"> </w:t>
      </w:r>
      <w:r w:rsidRPr="009761CD">
        <w:rPr>
          <w:i/>
          <w:iCs/>
        </w:rPr>
        <w:tab/>
        <w:t xml:space="preserve">rechten en de mogelijkheid deze op voet van gelijkheid met anderen te </w:t>
      </w:r>
      <w:r w:rsidRPr="009761CD">
        <w:rPr>
          <w:i/>
          <w:iCs/>
        </w:rPr>
        <w:br/>
        <w:t xml:space="preserve"> </w:t>
      </w:r>
      <w:r w:rsidRPr="009761CD">
        <w:rPr>
          <w:i/>
          <w:iCs/>
        </w:rPr>
        <w:tab/>
        <w:t>genieten, en verplichten zich:</w:t>
      </w:r>
      <w:r w:rsidRPr="009761CD">
        <w:rPr>
          <w:i/>
          <w:iCs/>
        </w:rPr>
        <w:br/>
      </w:r>
    </w:p>
    <w:p w:rsidRPr="00D54A3F" w:rsidR="00E43A2D" w:rsidP="00E43A2D" w14:paraId="4BBCDAE6" w14:textId="77777777">
      <w:pPr>
        <w:ind w:left="708"/>
        <w:rPr>
          <w:i/>
          <w:iCs/>
        </w:rPr>
      </w:pPr>
      <w:r w:rsidRPr="00F02D56">
        <w:rPr>
          <w:i/>
          <w:iCs/>
        </w:rPr>
        <w:t xml:space="preserve">iii. de vrije wilsuiting van personen met een handicap als kiezers te </w:t>
      </w:r>
      <w:r w:rsidRPr="00F02D56">
        <w:rPr>
          <w:i/>
          <w:iCs/>
        </w:rPr>
        <w:br/>
        <w:t xml:space="preserve">waarborgen en daartoe, waar nodig, op hun verzoek ondersteuning toe te staan bij het uitbrengen van hun stem </w:t>
      </w:r>
      <w:r w:rsidRPr="00D54A3F">
        <w:rPr>
          <w:i/>
          <w:iCs/>
        </w:rPr>
        <w:t>door een persoon van hun eigen keuze;</w:t>
      </w:r>
    </w:p>
    <w:p w:rsidRPr="009761CD" w:rsidR="00E43A2D" w:rsidP="00E43A2D" w14:paraId="27268E09" w14:textId="77777777"/>
    <w:p w:rsidR="004911A9" w:rsidP="00E43A2D" w14:paraId="0D23B901" w14:textId="77777777">
      <w:r w:rsidRPr="009761CD">
        <w:t>Nederland heeft bij het ratificeren van het verdrag in 2016 een interpretatieve verklaring afgelegd bij artikel 29</w:t>
      </w:r>
      <w:r w:rsidR="00F02D56">
        <w:t>, die luidt</w:t>
      </w:r>
      <w:r w:rsidRPr="009761CD">
        <w:t xml:space="preserve">: </w:t>
      </w:r>
      <w:r w:rsidRPr="009761CD">
        <w:br/>
      </w:r>
      <w:r w:rsidRPr="00E43A2D">
        <w:t xml:space="preserve"> </w:t>
      </w:r>
      <w:r w:rsidRPr="00E43A2D">
        <w:tab/>
      </w:r>
      <w:r w:rsidRPr="00CA4375">
        <w:rPr>
          <w:i/>
          <w:iCs/>
        </w:rPr>
        <w:t xml:space="preserve">De Staat der Nederlanden heeft verklaard het woord “ondersteuning” in </w:t>
      </w:r>
      <w:r w:rsidRPr="00CA4375">
        <w:rPr>
          <w:i/>
          <w:iCs/>
        </w:rPr>
        <w:br/>
        <w:t xml:space="preserve"> </w:t>
      </w:r>
      <w:r w:rsidRPr="00CA4375">
        <w:rPr>
          <w:i/>
          <w:iCs/>
        </w:rPr>
        <w:tab/>
        <w:t xml:space="preserve">artikel 29 (a) (iii) van het VN Verdrag te interpreteren als “ondersteuning </w:t>
      </w:r>
      <w:r w:rsidRPr="00CA4375">
        <w:rPr>
          <w:i/>
          <w:iCs/>
        </w:rPr>
        <w:br/>
        <w:t xml:space="preserve"> </w:t>
      </w:r>
      <w:r w:rsidRPr="00CA4375">
        <w:rPr>
          <w:i/>
          <w:iCs/>
        </w:rPr>
        <w:tab/>
        <w:t xml:space="preserve">buiten het stemhokje; met uitzondering van de ondersteuning die </w:t>
      </w:r>
      <w:r w:rsidRPr="00CA4375">
        <w:rPr>
          <w:i/>
          <w:iCs/>
        </w:rPr>
        <w:br/>
        <w:t xml:space="preserve"> </w:t>
      </w:r>
      <w:r w:rsidRPr="00CA4375">
        <w:rPr>
          <w:i/>
          <w:iCs/>
        </w:rPr>
        <w:tab/>
        <w:t xml:space="preserve">noodzakelijk is als gevolg van een lichamelijke beperking, in welk geval </w:t>
      </w:r>
      <w:r w:rsidRPr="00CA4375">
        <w:rPr>
          <w:i/>
          <w:iCs/>
        </w:rPr>
        <w:br/>
        <w:t xml:space="preserve"> </w:t>
      </w:r>
      <w:r w:rsidRPr="00CA4375">
        <w:rPr>
          <w:i/>
          <w:iCs/>
        </w:rPr>
        <w:tab/>
        <w:t>ondersteuning in het stemhokje ook toegestaan kan worden.</w:t>
      </w:r>
      <w:r>
        <w:rPr>
          <w:rStyle w:val="FootnoteReference"/>
          <w:i/>
          <w:iCs/>
        </w:rPr>
        <w:footnoteReference w:id="2"/>
      </w:r>
      <w:r w:rsidRPr="00CA4375">
        <w:rPr>
          <w:i/>
          <w:iCs/>
        </w:rPr>
        <w:br/>
      </w:r>
      <w:r w:rsidRPr="00E43A2D">
        <w:br/>
        <w:t>De</w:t>
      </w:r>
      <w:r w:rsidR="00CA4375">
        <w:t>ze</w:t>
      </w:r>
      <w:r w:rsidRPr="00E43A2D">
        <w:t xml:space="preserve"> interpretatie</w:t>
      </w:r>
      <w:r w:rsidR="00CA4375">
        <w:t xml:space="preserve">ve </w:t>
      </w:r>
      <w:r w:rsidRPr="00E43A2D">
        <w:t xml:space="preserve">verklaring ziet dus op de interpretatie van het woord “ondersteuning”. Deze interpretatie geldt </w:t>
      </w:r>
      <w:r w:rsidRPr="00AF260D">
        <w:rPr>
          <w:i/>
          <w:iCs/>
        </w:rPr>
        <w:t>enkel</w:t>
      </w:r>
      <w:r w:rsidRPr="00E43A2D">
        <w:t xml:space="preserve"> voor dat woord, waarbij de rest van artikel 29 (a) (iii</w:t>
      </w:r>
      <w:r w:rsidRPr="00E43A2D">
        <w:t>)</w:t>
      </w:r>
      <w:r w:rsidRPr="00F351D3" w:rsidR="00F351D3">
        <w:t xml:space="preserve"> </w:t>
      </w:r>
      <w:r w:rsidRPr="00E43A2D" w:rsidR="00F351D3">
        <w:t>)</w:t>
      </w:r>
      <w:r w:rsidR="00F351D3">
        <w:t>, dus ook de zinssnede over een persoon van hun eigen keuze,</w:t>
      </w:r>
      <w:r w:rsidRPr="00E43A2D">
        <w:t xml:space="preserve"> onverkort geldt. Dit betekent dat Nederland zich heeft gecommitteerd om, voor wat betreft personen met een fysieke </w:t>
      </w:r>
      <w:r w:rsidR="00D54A3F">
        <w:t>handicap</w:t>
      </w:r>
      <w:r w:rsidRPr="00E43A2D">
        <w:t xml:space="preserve">, </w:t>
      </w:r>
      <w:r w:rsidR="00F351D3">
        <w:t>ondersteuning in het stemhokje toe te staan door een persoon van hun eigen keuze.</w:t>
      </w:r>
      <w:r w:rsidR="003D35F9">
        <w:t xml:space="preserve"> </w:t>
      </w:r>
      <w:r w:rsidRPr="00E43A2D" w:rsidR="006256DB">
        <w:t xml:space="preserve">Voor </w:t>
      </w:r>
      <w:r w:rsidR="006256DB">
        <w:t xml:space="preserve">andere kiezers, bijvoorbeeld </w:t>
      </w:r>
      <w:r w:rsidRPr="00E43A2D" w:rsidR="006256DB">
        <w:t>personen met een verstandelijke beperking</w:t>
      </w:r>
      <w:r w:rsidR="006256DB">
        <w:t xml:space="preserve"> of laaggeletterden,</w:t>
      </w:r>
      <w:r w:rsidRPr="00E43A2D" w:rsidR="006256DB">
        <w:t xml:space="preserve"> is alleen ondersteuning </w:t>
      </w:r>
      <w:r w:rsidRPr="00380056" w:rsidR="006256DB">
        <w:rPr>
          <w:i/>
          <w:iCs/>
        </w:rPr>
        <w:t>buiten</w:t>
      </w:r>
      <w:r w:rsidRPr="00E43A2D" w:rsidR="006256DB">
        <w:t xml:space="preserve"> het stemhokje toegestaan</w:t>
      </w:r>
      <w:r w:rsidR="006256DB">
        <w:t>.</w:t>
      </w:r>
    </w:p>
    <w:p w:rsidR="004911A9" w:rsidP="00E43A2D" w14:paraId="2E7D04A6" w14:textId="77777777"/>
    <w:p w:rsidR="004911A9" w:rsidP="004911A9" w14:paraId="0D28315E" w14:textId="77777777">
      <w:r>
        <w:t>Met</w:t>
      </w:r>
      <w:r w:rsidRPr="00E43A2D" w:rsidR="00E43A2D">
        <w:t xml:space="preserve"> </w:t>
      </w:r>
      <w:r>
        <w:t>“</w:t>
      </w:r>
      <w:r w:rsidRPr="00E43A2D" w:rsidR="00E43A2D">
        <w:t>een persoon van hun eigen keuze</w:t>
      </w:r>
      <w:r>
        <w:t>”</w:t>
      </w:r>
      <w:r w:rsidRPr="00E43A2D" w:rsidR="00E43A2D">
        <w:t xml:space="preserve"> wordt </w:t>
      </w:r>
      <w:r w:rsidR="00380056">
        <w:t xml:space="preserve">ondubbelzinnig </w:t>
      </w:r>
      <w:r>
        <w:t>gedoeld op</w:t>
      </w:r>
      <w:r w:rsidRPr="00E43A2D" w:rsidR="00E43A2D">
        <w:t xml:space="preserve"> een persoon die de kiezer zelf heeft gekozen. </w:t>
      </w:r>
      <w:r>
        <w:t xml:space="preserve">En dus niet </w:t>
      </w:r>
      <w:r w:rsidRPr="00E43A2D" w:rsidR="00E43A2D">
        <w:t>‘</w:t>
      </w:r>
      <w:r>
        <w:t xml:space="preserve">u </w:t>
      </w:r>
      <w:r w:rsidRPr="00E43A2D" w:rsidR="00E43A2D">
        <w:t xml:space="preserve">mag uit deze drie stembureauleden kiezen en verder niet’. </w:t>
      </w:r>
      <w:r w:rsidR="00380056">
        <w:t xml:space="preserve">Dit blijkt uit de totstandkomings-geschiedenis bij het verdrag en de wijze waarop dat sedertdien wordt uitgelegd, onder meer door het College voor de </w:t>
      </w:r>
      <w:r w:rsidR="006D2272">
        <w:t>R</w:t>
      </w:r>
      <w:r w:rsidR="00380056">
        <w:t xml:space="preserve">echten van de </w:t>
      </w:r>
      <w:r w:rsidR="006D2272">
        <w:t>M</w:t>
      </w:r>
      <w:r w:rsidR="00380056">
        <w:t>ens.</w:t>
      </w:r>
      <w:r>
        <w:rPr>
          <w:rStyle w:val="FootnoteReference"/>
        </w:rPr>
        <w:footnoteReference w:id="3"/>
      </w:r>
    </w:p>
    <w:p w:rsidR="004911A9" w:rsidP="004911A9" w14:paraId="59FAAD8D" w14:textId="77777777"/>
    <w:p w:rsidR="00F71703" w:rsidP="00E43A2D" w14:paraId="00E0E23A" w14:textId="77777777">
      <w:r>
        <w:t>H</w:t>
      </w:r>
      <w:r w:rsidR="004911A9">
        <w:t xml:space="preserve">et verdrag </w:t>
      </w:r>
      <w:r>
        <w:t xml:space="preserve">bevat </w:t>
      </w:r>
      <w:r w:rsidR="004911A9">
        <w:t xml:space="preserve">ook het </w:t>
      </w:r>
      <w:r w:rsidRPr="00790D4C" w:rsidR="004911A9">
        <w:rPr>
          <w:i/>
          <w:iCs/>
        </w:rPr>
        <w:t>standstil</w:t>
      </w:r>
      <w:r>
        <w:rPr>
          <w:i/>
          <w:iCs/>
        </w:rPr>
        <w:t>l</w:t>
      </w:r>
      <w:r>
        <w:t xml:space="preserve">- </w:t>
      </w:r>
      <w:r w:rsidR="00AB6E0E">
        <w:t xml:space="preserve">of non-regressie beginsel (artikel 4, </w:t>
      </w:r>
      <w:r w:rsidR="0010439C">
        <w:t>vierde</w:t>
      </w:r>
      <w:r w:rsidR="00AB6E0E">
        <w:t xml:space="preserve"> lid)</w:t>
      </w:r>
      <w:r w:rsidR="004911A9">
        <w:t xml:space="preserve">: </w:t>
      </w:r>
      <w:r w:rsidRPr="004911A9" w:rsidR="004911A9">
        <w:t xml:space="preserve">overheden </w:t>
      </w:r>
      <w:r w:rsidR="00790D4C">
        <w:t xml:space="preserve">mogen </w:t>
      </w:r>
      <w:r w:rsidRPr="004911A9" w:rsidR="004911A9">
        <w:t xml:space="preserve">de bescherming en voorzieningen voor mensen met een beperking niet afbouwen. Eenmaal behaalde resultaten in de maatschappelijke positie en ondersteuning mogen niet verslechteren; de overheid moet juist </w:t>
      </w:r>
      <w:r w:rsidR="00AB6E0E">
        <w:t xml:space="preserve">blijven </w:t>
      </w:r>
      <w:r w:rsidRPr="004911A9" w:rsidR="004911A9">
        <w:t>werken aan</w:t>
      </w:r>
      <w:r>
        <w:t xml:space="preserve"> verbetering.</w:t>
      </w:r>
      <w:r w:rsidRPr="004911A9" w:rsidR="004911A9">
        <w:t> </w:t>
      </w:r>
      <w:r w:rsidR="00A05380">
        <w:t>E</w:t>
      </w:r>
      <w:r w:rsidRPr="00E43A2D" w:rsidR="00A05380">
        <w:t xml:space="preserve">en achteruitgang </w:t>
      </w:r>
      <w:r w:rsidR="00A05380">
        <w:t xml:space="preserve">in rechtspositie </w:t>
      </w:r>
      <w:r w:rsidRPr="00E43A2D" w:rsidR="00A05380">
        <w:t xml:space="preserve">voor </w:t>
      </w:r>
      <w:r w:rsidR="00A05380">
        <w:t xml:space="preserve">gehandicapten is </w:t>
      </w:r>
      <w:r w:rsidR="00A05380">
        <w:t>derhalve</w:t>
      </w:r>
      <w:r w:rsidR="00A05380">
        <w:t xml:space="preserve"> niet toegestaan.</w:t>
      </w:r>
    </w:p>
    <w:p w:rsidR="00F71703" w:rsidP="00E43A2D" w14:paraId="4E53830B" w14:textId="77777777">
      <w:r w:rsidRPr="004911A9">
        <w:t>                                                                                      </w:t>
      </w:r>
    </w:p>
    <w:p w:rsidRPr="00790D4C" w:rsidR="00E43A2D" w:rsidP="00E43A2D" w14:paraId="74D70AC5" w14:textId="77777777">
      <w:r>
        <w:rPr>
          <w:u w:val="single"/>
        </w:rPr>
        <w:t xml:space="preserve">2. </w:t>
      </w:r>
      <w:r w:rsidRPr="00380056">
        <w:rPr>
          <w:u w:val="single"/>
        </w:rPr>
        <w:t>Aanpassen verklaring bij VN-</w:t>
      </w:r>
      <w:r w:rsidR="00380056">
        <w:rPr>
          <w:u w:val="single"/>
        </w:rPr>
        <w:t>V</w:t>
      </w:r>
      <w:r w:rsidRPr="00380056">
        <w:rPr>
          <w:u w:val="single"/>
        </w:rPr>
        <w:t>erdrag</w:t>
      </w:r>
    </w:p>
    <w:p w:rsidRPr="00E43A2D" w:rsidR="00380056" w:rsidP="00E43A2D" w14:paraId="78C521B2" w14:textId="77777777">
      <w:pPr>
        <w:rPr>
          <w:i/>
          <w:iCs/>
        </w:rPr>
      </w:pPr>
    </w:p>
    <w:p w:rsidR="00A05380" w:rsidP="00E43A2D" w14:paraId="3DAAACDD" w14:textId="77777777">
      <w:r w:rsidRPr="00E43A2D">
        <w:t>N</w:t>
      </w:r>
      <w:r w:rsidR="00CA4375">
        <w:t xml:space="preserve">ederland is, zoals hierboven toegelicht, </w:t>
      </w:r>
      <w:r w:rsidRPr="00E43A2D">
        <w:t>gebonden aan het toestaan van hulp in het stemhokje door een persoon van hun eigen keuze v</w:t>
      </w:r>
      <w:r w:rsidR="00CA4375">
        <w:t xml:space="preserve">oor wat betreft </w:t>
      </w:r>
      <w:r w:rsidRPr="00E43A2D">
        <w:t xml:space="preserve">kiezers met een fysieke </w:t>
      </w:r>
      <w:r w:rsidR="00CA4375">
        <w:t>handicap</w:t>
      </w:r>
      <w:r w:rsidRPr="00E43A2D">
        <w:t xml:space="preserve">. </w:t>
      </w:r>
      <w:r w:rsidR="00CA4375">
        <w:t xml:space="preserve">In uw Kamer is de vraag gerezen </w:t>
      </w:r>
      <w:r w:rsidRPr="00E43A2D">
        <w:t>of het mogelijk is om de interpretatieve verklaring</w:t>
      </w:r>
      <w:r w:rsidR="00CA4375">
        <w:t xml:space="preserve"> </w:t>
      </w:r>
      <w:r w:rsidRPr="00E43A2D">
        <w:t>aan te passen</w:t>
      </w:r>
      <w:r w:rsidRPr="00A05380">
        <w:t xml:space="preserve"> </w:t>
      </w:r>
      <w:r>
        <w:t xml:space="preserve">in die zin, dat </w:t>
      </w:r>
      <w:r w:rsidRPr="00E43A2D">
        <w:t xml:space="preserve">voor fysiek </w:t>
      </w:r>
      <w:r>
        <w:t>gehandicapten</w:t>
      </w:r>
      <w:r w:rsidRPr="00E43A2D">
        <w:t xml:space="preserve"> niet langer een bred</w:t>
      </w:r>
      <w:r>
        <w:t>e</w:t>
      </w:r>
      <w:r w:rsidRPr="00E43A2D">
        <w:t xml:space="preserve"> interpretatie </w:t>
      </w:r>
      <w:r>
        <w:t xml:space="preserve">zou gelden. Anders gezegd: is het mogelijk het recht op bijstand naar keuze voor fysiek gehandicapten </w:t>
      </w:r>
      <w:r w:rsidRPr="00E43A2D">
        <w:t>terug</w:t>
      </w:r>
      <w:r>
        <w:t xml:space="preserve"> te </w:t>
      </w:r>
      <w:r w:rsidRPr="00E43A2D">
        <w:t xml:space="preserve">brengen naar enkel </w:t>
      </w:r>
      <w:r>
        <w:t xml:space="preserve">een recht op </w:t>
      </w:r>
      <w:r w:rsidRPr="00E43A2D">
        <w:t xml:space="preserve">bijstand door een </w:t>
      </w:r>
      <w:r w:rsidRPr="00E43A2D">
        <w:t>stembureaulid</w:t>
      </w:r>
      <w:r>
        <w:t>?</w:t>
      </w:r>
    </w:p>
    <w:p w:rsidR="00A05380" w:rsidP="00E43A2D" w14:paraId="57B67639" w14:textId="77777777"/>
    <w:p w:rsidR="00F351D3" w:rsidP="00F351D3" w14:paraId="0DE23DAE" w14:textId="77777777">
      <w:r>
        <w:t xml:space="preserve">De Afdeling </w:t>
      </w:r>
      <w:r w:rsidR="00921825">
        <w:t>a</w:t>
      </w:r>
      <w:r>
        <w:t xml:space="preserve">dvisering van de Raad van State vraagt of er daadwerkelijk sprake zou zijn van een achteruitgang in rechtspositie </w:t>
      </w:r>
      <w:r w:rsidRPr="00CE56B6">
        <w:t>indien</w:t>
      </w:r>
      <w:r w:rsidRPr="00CE56B6">
        <w:t xml:space="preserve"> personen met een lichamelijke beperking </w:t>
      </w:r>
      <w:r>
        <w:t xml:space="preserve">enkel nog recht zouden hebben op hulp door een </w:t>
      </w:r>
      <w:r>
        <w:t>stembureaulid</w:t>
      </w:r>
      <w:r w:rsidRPr="00CE56B6">
        <w:t>. Ook voor hen kan immers gelden dat het verlenen van bijstand op een meer gewaarborgde manier voor de hand ligt</w:t>
      </w:r>
      <w:r>
        <w:t>, zo redeneert de Afdeling</w:t>
      </w:r>
      <w:r w:rsidRPr="00CE56B6">
        <w:t>.</w:t>
      </w:r>
      <w:r>
        <w:rPr>
          <w:rStyle w:val="FootnoteReference"/>
        </w:rPr>
        <w:footnoteReference w:id="4"/>
      </w:r>
    </w:p>
    <w:p w:rsidR="00F351D3" w:rsidP="00F351D3" w14:paraId="3B64EEF0" w14:textId="77777777"/>
    <w:p w:rsidR="006D2272" w:rsidP="00E43A2D" w14:paraId="2A2F45E7" w14:textId="77777777">
      <w:r>
        <w:t xml:space="preserve">Zoals in het nader rapport </w:t>
      </w:r>
      <w:r>
        <w:t>reeds</w:t>
      </w:r>
      <w:r>
        <w:t xml:space="preserve"> toegelicht, is er wel degelijk sprake van een achteruitgang in rechtspositie en is er geen ruimte om tot een andere conclusie te komen.</w:t>
      </w:r>
      <w:r w:rsidR="004D35E9">
        <w:t xml:space="preserve"> </w:t>
      </w:r>
      <w:r>
        <w:t xml:space="preserve">Het wijzigen van de </w:t>
      </w:r>
      <w:r w:rsidRPr="00E43A2D">
        <w:t xml:space="preserve">interpretatieve verklaring </w:t>
      </w:r>
      <w:r>
        <w:t>in de bovengenoemde zin, zou</w:t>
      </w:r>
      <w:r w:rsidRPr="00E43A2D">
        <w:rPr>
          <w:b/>
          <w:bCs/>
        </w:rPr>
        <w:t xml:space="preserve"> </w:t>
      </w:r>
      <w:r w:rsidRPr="00A05380">
        <w:t xml:space="preserve">in essentie de werking </w:t>
      </w:r>
      <w:r>
        <w:t xml:space="preserve">en het rechtsgevolg </w:t>
      </w:r>
      <w:r w:rsidRPr="00A05380">
        <w:t>van artikel 29 uitsluiten</w:t>
      </w:r>
      <w:r>
        <w:t>. Immers:</w:t>
      </w:r>
      <w:r w:rsidRPr="00E43A2D">
        <w:t xml:space="preserve"> dat artikel ziet op ondersteuning door een persoon van eigen keuze</w:t>
      </w:r>
      <w:r>
        <w:t xml:space="preserve">, </w:t>
      </w:r>
      <w:r w:rsidRPr="00E43A2D">
        <w:t xml:space="preserve">de ondersteuning door een lid van het stembureau </w:t>
      </w:r>
      <w:r>
        <w:t xml:space="preserve">komt </w:t>
      </w:r>
      <w:r w:rsidRPr="00E43A2D">
        <w:t>nee</w:t>
      </w:r>
      <w:r>
        <w:t xml:space="preserve">r </w:t>
      </w:r>
      <w:r w:rsidRPr="00E43A2D">
        <w:t>op het niet langer hebben van een vrije keuze</w:t>
      </w:r>
      <w:r>
        <w:t>. Zoals hierboven toegelicht is het enkel mogen kiezen uit een aantal stembureauleden niet hetzelfde als hulp door een persoon van hun eigen keuze.</w:t>
      </w:r>
    </w:p>
    <w:p w:rsidR="006D2272" w:rsidP="00E43A2D" w14:paraId="72998B27" w14:textId="77777777"/>
    <w:p w:rsidR="006D2272" w:rsidP="00E43A2D" w14:paraId="077C4804" w14:textId="77777777">
      <w:r>
        <w:t xml:space="preserve">Verdragsrechtelijk wordt </w:t>
      </w:r>
      <w:r>
        <w:t xml:space="preserve">uitsluiting van rechtsgevolg </w:t>
      </w:r>
      <w:r>
        <w:t xml:space="preserve">niet beschouwd als </w:t>
      </w:r>
      <w:r w:rsidRPr="00E43A2D" w:rsidR="00E43A2D">
        <w:t xml:space="preserve">een gewijzigde interpretatieve verklaring, maar </w:t>
      </w:r>
      <w:r>
        <w:t>als</w:t>
      </w:r>
      <w:r w:rsidRPr="00E43A2D" w:rsidR="00E43A2D">
        <w:t xml:space="preserve"> </w:t>
      </w:r>
      <w:r w:rsidRPr="00FC24B9" w:rsidR="00E43A2D">
        <w:t xml:space="preserve">een </w:t>
      </w:r>
      <w:r>
        <w:t xml:space="preserve">zogeheten </w:t>
      </w:r>
      <w:r w:rsidRPr="00FC24B9" w:rsidR="00E43A2D">
        <w:t>voorbehoud.</w:t>
      </w:r>
      <w:r w:rsidRPr="00E43A2D" w:rsidR="00E43A2D">
        <w:t xml:space="preserve"> </w:t>
      </w:r>
    </w:p>
    <w:p w:rsidR="00FC24B9" w:rsidP="00E43A2D" w14:paraId="45E363D8" w14:textId="77777777">
      <w:r w:rsidRPr="00E43A2D">
        <w:t xml:space="preserve">Het maken van een voorbehoud is </w:t>
      </w:r>
      <w:r>
        <w:t>ingevolge</w:t>
      </w:r>
      <w:r>
        <w:t xml:space="preserve"> </w:t>
      </w:r>
      <w:r w:rsidRPr="00E43A2D">
        <w:t xml:space="preserve">de algemene regels van het verdragenrecht alleen mogelijk </w:t>
      </w:r>
      <w:r w:rsidRPr="00FC24B9">
        <w:t xml:space="preserve">op het moment van het partij worden bij het verdrag. </w:t>
      </w:r>
      <w:r w:rsidR="00724DD7">
        <w:t>O</w:t>
      </w:r>
      <w:r w:rsidRPr="00E43A2D">
        <w:t xml:space="preserve">p een later moment </w:t>
      </w:r>
      <w:r w:rsidRPr="00E43A2D">
        <w:t>middels</w:t>
      </w:r>
      <w:r w:rsidRPr="00E43A2D">
        <w:t xml:space="preserve"> een voorbehoud uitsluiten van de werking van een verdragsartikel is niet toe</w:t>
      </w:r>
      <w:r w:rsidR="00724DD7">
        <w:t xml:space="preserve">gestaan. </w:t>
      </w:r>
      <w:r>
        <w:t xml:space="preserve">Nederland </w:t>
      </w:r>
      <w:r w:rsidRPr="00E43A2D">
        <w:t xml:space="preserve">maakt om die reden doorgaans bezwaar tegen te laat ingediende voorbehouden van andere staten. </w:t>
      </w:r>
    </w:p>
    <w:p w:rsidR="00FC24B9" w:rsidP="00E43A2D" w14:paraId="3F7A3D9F" w14:textId="77777777"/>
    <w:p w:rsidR="00AB70A6" w:rsidP="002C57AC" w14:paraId="4F9AC2AB" w14:textId="77777777">
      <w:r w:rsidRPr="00E43A2D">
        <w:t xml:space="preserve">Op het moment dat Nederland een te laat voorbehoud </w:t>
      </w:r>
      <w:r w:rsidR="00FC24B9">
        <w:t>zou maken,</w:t>
      </w:r>
      <w:r w:rsidRPr="00E43A2D">
        <w:t xml:space="preserve"> </w:t>
      </w:r>
      <w:r w:rsidR="00FC24B9">
        <w:t>kunnen</w:t>
      </w:r>
      <w:r w:rsidRPr="00E43A2D">
        <w:t xml:space="preserve"> de andere verdragspartijen daar binnen een termijn van 12 maanden bezwaar tegen kunnen maken. Gezien d</w:t>
      </w:r>
      <w:r w:rsidR="00FC24B9">
        <w:t xml:space="preserve">e </w:t>
      </w:r>
      <w:r w:rsidRPr="00E43A2D">
        <w:t>praktijk bij te laat gemaakte voorbehouden</w:t>
      </w:r>
      <w:r w:rsidR="00FC24B9">
        <w:t>,</w:t>
      </w:r>
      <w:r w:rsidRPr="00E43A2D">
        <w:t xml:space="preserve"> zal d</w:t>
      </w:r>
      <w:r w:rsidR="006D2272">
        <w:t xml:space="preserve">e VN </w:t>
      </w:r>
      <w:r w:rsidRPr="00E43A2D">
        <w:t xml:space="preserve">het voorbehoud niet aanvaarden </w:t>
      </w:r>
      <w:r w:rsidR="00FC24B9">
        <w:t xml:space="preserve">wanneer </w:t>
      </w:r>
      <w:r w:rsidRPr="00E43A2D">
        <w:t xml:space="preserve">een van de verdragspartijen bezwaar </w:t>
      </w:r>
      <w:r w:rsidRPr="002C57AC">
        <w:t>maakt en wordt het voorbehoud geacht niet te zijn gemaakt. Nederland zal zich er dan niet op kunnen beroepen.</w:t>
      </w:r>
    </w:p>
    <w:p w:rsidR="00AB70A6" w:rsidP="002C57AC" w14:paraId="7F2B0604" w14:textId="77777777"/>
    <w:p w:rsidRPr="002C57AC" w:rsidR="002C57AC" w:rsidP="002C57AC" w14:paraId="3092B6DF" w14:textId="77777777">
      <w:r w:rsidRPr="002C57AC">
        <w:t xml:space="preserve">In het geval </w:t>
      </w:r>
      <w:r w:rsidR="00AB70A6">
        <w:t xml:space="preserve">dat </w:t>
      </w:r>
      <w:r w:rsidRPr="002C57AC">
        <w:t xml:space="preserve">een </w:t>
      </w:r>
      <w:r w:rsidR="00FB25E4">
        <w:t xml:space="preserve">fysiek gehandicapte </w:t>
      </w:r>
      <w:r w:rsidRPr="002C57AC">
        <w:t xml:space="preserve">een beroep </w:t>
      </w:r>
      <w:r w:rsidR="00FB25E4">
        <w:t>doe</w:t>
      </w:r>
      <w:r w:rsidR="00D03123">
        <w:t>t</w:t>
      </w:r>
      <w:r w:rsidR="00FB25E4">
        <w:t xml:space="preserve"> </w:t>
      </w:r>
      <w:r w:rsidRPr="002C57AC">
        <w:t>op artikel 29 van het VN-</w:t>
      </w:r>
      <w:r w:rsidR="00FB25E4">
        <w:t>V</w:t>
      </w:r>
      <w:r w:rsidRPr="002C57AC">
        <w:t xml:space="preserve">erdrag </w:t>
      </w:r>
      <w:r w:rsidR="00FB25E4">
        <w:t>H</w:t>
      </w:r>
      <w:r w:rsidRPr="002C57AC">
        <w:t>andicap in een zaak voor de Nederlandse rechter,</w:t>
      </w:r>
      <w:r w:rsidR="00FB25E4">
        <w:t xml:space="preserve"> </w:t>
      </w:r>
      <w:r w:rsidRPr="002C57AC">
        <w:t xml:space="preserve">zou de rechter kunnen oordelen dat dit artikel rechtstreekse werking heeft (d.w.z. </w:t>
      </w:r>
      <w:r w:rsidRPr="002C57AC">
        <w:t>een ieder</w:t>
      </w:r>
      <w:r w:rsidRPr="002C57AC">
        <w:t xml:space="preserve"> verbindend is) en dat het bieden van ondersteuning door </w:t>
      </w:r>
      <w:r w:rsidR="00D03123">
        <w:t xml:space="preserve">louter </w:t>
      </w:r>
      <w:r w:rsidRPr="002C57AC">
        <w:t xml:space="preserve">een </w:t>
      </w:r>
      <w:r w:rsidR="00D03123">
        <w:t>stembureau</w:t>
      </w:r>
      <w:r w:rsidRPr="002C57AC">
        <w:t>lid</w:t>
      </w:r>
      <w:r w:rsidRPr="002C57AC">
        <w:t xml:space="preserve"> een inperking is van de rechten van die persoon</w:t>
      </w:r>
      <w:r w:rsidR="00E30ABB">
        <w:t>. D</w:t>
      </w:r>
      <w:r w:rsidRPr="002C57AC">
        <w:t xml:space="preserve">e nationale bepaling die daarmee in strijd is </w:t>
      </w:r>
      <w:r w:rsidR="00E30ABB">
        <w:t xml:space="preserve">kan dan </w:t>
      </w:r>
      <w:r w:rsidR="00E30ABB">
        <w:t>ingevolge</w:t>
      </w:r>
      <w:r w:rsidR="00E30ABB">
        <w:t xml:space="preserve"> </w:t>
      </w:r>
      <w:r w:rsidRPr="002C57AC" w:rsidR="00E30ABB">
        <w:t xml:space="preserve">artikel 94 Grondwet </w:t>
      </w:r>
      <w:r w:rsidRPr="002C57AC">
        <w:t xml:space="preserve">buiten toepassing </w:t>
      </w:r>
      <w:r w:rsidR="00E30ABB">
        <w:t xml:space="preserve">worden </w:t>
      </w:r>
      <w:r w:rsidRPr="002C57AC">
        <w:t>verkla</w:t>
      </w:r>
      <w:r w:rsidR="00E30ABB">
        <w:t>ard</w:t>
      </w:r>
      <w:r w:rsidRPr="002C57AC">
        <w:t xml:space="preserve">. </w:t>
      </w:r>
      <w:r w:rsidRPr="002C57AC">
        <w:br/>
      </w:r>
    </w:p>
    <w:p w:rsidRPr="00270D44" w:rsidR="00270D44" w:rsidP="00E43A2D" w14:paraId="077E66C0" w14:textId="77777777">
      <w:pPr>
        <w:rPr>
          <w:u w:val="single"/>
        </w:rPr>
      </w:pPr>
      <w:r w:rsidRPr="00270D44">
        <w:rPr>
          <w:u w:val="single"/>
        </w:rPr>
        <w:t>3. Conclusie</w:t>
      </w:r>
    </w:p>
    <w:p w:rsidR="00270D44" w:rsidP="00E43A2D" w14:paraId="17389025" w14:textId="77777777"/>
    <w:p w:rsidRPr="00E638EC" w:rsidR="00270D44" w:rsidP="00E43A2D" w14:paraId="6FFE9E5A" w14:textId="77777777">
      <w:pPr>
        <w:rPr>
          <w:rFonts w:eastAsiaTheme="majorEastAsia" w:cstheme="majorBidi"/>
          <w:szCs w:val="28"/>
        </w:rPr>
      </w:pPr>
      <w:r>
        <w:t xml:space="preserve">Gelet op het bovenstaande </w:t>
      </w:r>
      <w:r w:rsidR="003F06A0">
        <w:t xml:space="preserve">concludeer ik dat </w:t>
      </w:r>
      <w:r w:rsidRPr="00724DD7" w:rsidR="003F06A0">
        <w:t xml:space="preserve">alle </w:t>
      </w:r>
      <w:r w:rsidR="003F06A0">
        <w:t xml:space="preserve">kiezers </w:t>
      </w:r>
      <w:r w:rsidRPr="00E468FE" w:rsidR="003F06A0">
        <w:rPr>
          <w:rFonts w:eastAsiaTheme="majorEastAsia" w:cstheme="majorBidi"/>
          <w:szCs w:val="28"/>
        </w:rPr>
        <w:t xml:space="preserve">recht </w:t>
      </w:r>
      <w:r w:rsidR="003F06A0">
        <w:rPr>
          <w:rFonts w:eastAsiaTheme="majorEastAsia" w:cstheme="majorBidi"/>
          <w:szCs w:val="28"/>
        </w:rPr>
        <w:t xml:space="preserve">geven </w:t>
      </w:r>
      <w:r w:rsidRPr="00E468FE" w:rsidR="003F06A0">
        <w:rPr>
          <w:rFonts w:eastAsiaTheme="majorEastAsia" w:cstheme="majorBidi"/>
          <w:szCs w:val="28"/>
        </w:rPr>
        <w:t xml:space="preserve">op </w:t>
      </w:r>
      <w:r w:rsidR="003F06A0">
        <w:rPr>
          <w:rFonts w:eastAsiaTheme="majorEastAsia" w:cstheme="majorBidi"/>
          <w:szCs w:val="28"/>
        </w:rPr>
        <w:t xml:space="preserve">bijstand </w:t>
      </w:r>
      <w:r w:rsidRPr="00E468FE" w:rsidR="003F06A0">
        <w:rPr>
          <w:rFonts w:eastAsiaTheme="majorEastAsia" w:cstheme="majorBidi"/>
          <w:szCs w:val="28"/>
        </w:rPr>
        <w:t xml:space="preserve">door een </w:t>
      </w:r>
      <w:r w:rsidRPr="00E468FE" w:rsidR="003F06A0">
        <w:rPr>
          <w:rFonts w:eastAsiaTheme="majorEastAsia" w:cstheme="majorBidi"/>
          <w:szCs w:val="28"/>
        </w:rPr>
        <w:t>stembureaulid</w:t>
      </w:r>
      <w:r w:rsidR="003F06A0">
        <w:rPr>
          <w:rFonts w:eastAsiaTheme="majorEastAsia" w:cstheme="majorBidi"/>
          <w:szCs w:val="28"/>
        </w:rPr>
        <w:t xml:space="preserve">, waardoor fysiek gehandicapten hun wettelijke recht op hulp naar keuze verliezen, in strijd is met het VN-Verdrag Handicap. </w:t>
      </w:r>
      <w:r w:rsidR="00724DD7">
        <w:rPr>
          <w:rFonts w:eastAsiaTheme="majorEastAsia" w:cstheme="majorBidi"/>
          <w:szCs w:val="28"/>
        </w:rPr>
        <w:t xml:space="preserve">Aanpassing van de in 2016 afgelegde interpretatieve verklaring is niet mogelijk. </w:t>
      </w:r>
      <w:r w:rsidR="00E638EC">
        <w:rPr>
          <w:rFonts w:eastAsiaTheme="majorEastAsia" w:cstheme="majorBidi"/>
          <w:szCs w:val="28"/>
        </w:rPr>
        <w:t>Dit betekent dat a</w:t>
      </w:r>
      <w:r w:rsidR="00724DD7">
        <w:rPr>
          <w:rFonts w:eastAsiaTheme="majorEastAsia" w:cstheme="majorBidi"/>
          <w:szCs w:val="28"/>
        </w:rPr>
        <w:t>anvaarding van een amendement, waa</w:t>
      </w:r>
      <w:r w:rsidR="00E638EC">
        <w:rPr>
          <w:rFonts w:eastAsiaTheme="majorEastAsia" w:cstheme="majorBidi"/>
          <w:szCs w:val="28"/>
        </w:rPr>
        <w:t xml:space="preserve">rmee </w:t>
      </w:r>
      <w:r w:rsidRPr="00E468FE" w:rsidR="00724DD7">
        <w:rPr>
          <w:rFonts w:eastAsiaTheme="majorEastAsia" w:cstheme="majorBidi"/>
          <w:szCs w:val="28"/>
        </w:rPr>
        <w:t xml:space="preserve">iedereen recht </w:t>
      </w:r>
      <w:r w:rsidR="00E638EC">
        <w:rPr>
          <w:rFonts w:eastAsiaTheme="majorEastAsia" w:cstheme="majorBidi"/>
          <w:szCs w:val="28"/>
        </w:rPr>
        <w:t xml:space="preserve">op </w:t>
      </w:r>
      <w:r w:rsidR="00724DD7">
        <w:rPr>
          <w:rFonts w:eastAsiaTheme="majorEastAsia" w:cstheme="majorBidi"/>
          <w:szCs w:val="28"/>
        </w:rPr>
        <w:t xml:space="preserve">bijstand </w:t>
      </w:r>
      <w:r w:rsidRPr="00E468FE" w:rsidR="00724DD7">
        <w:rPr>
          <w:rFonts w:eastAsiaTheme="majorEastAsia" w:cstheme="majorBidi"/>
          <w:szCs w:val="28"/>
        </w:rPr>
        <w:t xml:space="preserve">door een </w:t>
      </w:r>
      <w:r w:rsidRPr="00E468FE" w:rsidR="00724DD7">
        <w:rPr>
          <w:rFonts w:eastAsiaTheme="majorEastAsia" w:cstheme="majorBidi"/>
          <w:szCs w:val="28"/>
        </w:rPr>
        <w:t>stembureaulid</w:t>
      </w:r>
      <w:r w:rsidR="00E638EC">
        <w:rPr>
          <w:rFonts w:eastAsiaTheme="majorEastAsia" w:cstheme="majorBidi"/>
          <w:szCs w:val="28"/>
        </w:rPr>
        <w:t xml:space="preserve"> zou krijgen, </w:t>
      </w:r>
      <w:r w:rsidR="00964AF9">
        <w:rPr>
          <w:rFonts w:eastAsiaTheme="majorEastAsia" w:cstheme="majorBidi"/>
          <w:szCs w:val="28"/>
        </w:rPr>
        <w:t>strijd zou opleveren met hogere rechtsnormen</w:t>
      </w:r>
      <w:r w:rsidR="001604FA">
        <w:rPr>
          <w:rFonts w:eastAsiaTheme="majorEastAsia" w:cstheme="majorBidi"/>
          <w:szCs w:val="28"/>
        </w:rPr>
        <w:t xml:space="preserve">. </w:t>
      </w:r>
      <w:r w:rsidR="00964AF9">
        <w:rPr>
          <w:rFonts w:eastAsiaTheme="majorEastAsia" w:cstheme="majorBidi"/>
          <w:szCs w:val="28"/>
        </w:rPr>
        <w:t>Intrekking van het wetsvoorstel ligt dan in de rede</w:t>
      </w:r>
      <w:r w:rsidR="001604FA">
        <w:rPr>
          <w:rFonts w:eastAsiaTheme="majorEastAsia" w:cstheme="majorBidi"/>
          <w:szCs w:val="28"/>
        </w:rPr>
        <w:t xml:space="preserve">. Hierdoor </w:t>
      </w:r>
      <w:r w:rsidR="00964AF9">
        <w:rPr>
          <w:rFonts w:eastAsiaTheme="majorEastAsia" w:cstheme="majorBidi"/>
          <w:szCs w:val="28"/>
        </w:rPr>
        <w:t xml:space="preserve">zou </w:t>
      </w:r>
      <w:r w:rsidR="001604FA">
        <w:rPr>
          <w:rFonts w:eastAsiaTheme="majorEastAsia" w:cstheme="majorBidi"/>
          <w:szCs w:val="28"/>
        </w:rPr>
        <w:t xml:space="preserve">een grote groep kwetsbare kiezers niet </w:t>
      </w:r>
      <w:r w:rsidR="00964AF9">
        <w:rPr>
          <w:rFonts w:eastAsiaTheme="majorEastAsia" w:cstheme="majorBidi"/>
          <w:szCs w:val="28"/>
        </w:rPr>
        <w:t xml:space="preserve">krijgen </w:t>
      </w:r>
      <w:r w:rsidR="001604FA">
        <w:rPr>
          <w:rFonts w:eastAsiaTheme="majorEastAsia" w:cstheme="majorBidi"/>
          <w:szCs w:val="28"/>
        </w:rPr>
        <w:t xml:space="preserve">waar </w:t>
      </w:r>
      <w:r w:rsidR="00F351D3">
        <w:rPr>
          <w:rFonts w:eastAsiaTheme="majorEastAsia" w:cstheme="majorBidi"/>
          <w:szCs w:val="28"/>
        </w:rPr>
        <w:t>zij juist zoveel behoefte aan hebben</w:t>
      </w:r>
      <w:r w:rsidR="001604FA">
        <w:rPr>
          <w:rFonts w:eastAsiaTheme="majorEastAsia" w:cstheme="majorBidi"/>
          <w:szCs w:val="28"/>
        </w:rPr>
        <w:t xml:space="preserve">: zelfstandig </w:t>
      </w:r>
      <w:r w:rsidR="00F351D3">
        <w:rPr>
          <w:rFonts w:eastAsiaTheme="majorEastAsia" w:cstheme="majorBidi"/>
          <w:szCs w:val="28"/>
        </w:rPr>
        <w:t xml:space="preserve">in het stemhokje </w:t>
      </w:r>
      <w:r w:rsidR="001604FA">
        <w:rPr>
          <w:rFonts w:eastAsiaTheme="majorEastAsia" w:cstheme="majorBidi"/>
          <w:szCs w:val="28"/>
        </w:rPr>
        <w:t xml:space="preserve">hun kiesrecht uitoefenen. </w:t>
      </w:r>
      <w:r w:rsidR="00D03123">
        <w:rPr>
          <w:rFonts w:eastAsiaTheme="majorEastAsia" w:cstheme="majorBidi"/>
          <w:szCs w:val="28"/>
        </w:rPr>
        <w:t xml:space="preserve">Dit wetsvoorstel biedt hiervoor de waarborgen. </w:t>
      </w:r>
    </w:p>
    <w:p w:rsidR="00270D44" w:rsidP="00E43A2D" w14:paraId="160DC468" w14:textId="77777777"/>
    <w:p w:rsidR="00E43A2D" w14:paraId="293477DD" w14:textId="77777777">
      <w:r>
        <w:t>Indien</w:t>
      </w:r>
      <w:r>
        <w:t xml:space="preserve"> het wetsvoorstel wordt aangenomen, zal </w:t>
      </w:r>
      <w:r w:rsidR="001604FA">
        <w:t>bij de eerste evaluatie zorgvuldig worden gekeken naar de uitvoerbaarheid ervan.</w:t>
      </w:r>
      <w:r w:rsidR="0037664C">
        <w:t xml:space="preserve"> </w:t>
      </w:r>
      <w:r w:rsidR="00CC604F">
        <w:t xml:space="preserve">De ervaringen van zowel </w:t>
      </w:r>
      <w:r w:rsidR="0037664C">
        <w:t xml:space="preserve">kiezers </w:t>
      </w:r>
      <w:r w:rsidR="0037664C">
        <w:t>als stembureauleden bij het verkrijgen en geven van hulp in het stemhokje</w:t>
      </w:r>
      <w:r w:rsidR="00CC604F">
        <w:t xml:space="preserve"> worden betrokken bij die evaluatie</w:t>
      </w:r>
      <w:r w:rsidR="0037664C">
        <w:t xml:space="preserve">. </w:t>
      </w:r>
    </w:p>
    <w:p w:rsidR="00E43A2D" w14:paraId="5CE727F5" w14:textId="77777777"/>
    <w:p w:rsidR="00E43A2D" w14:paraId="2AF4D791" w14:textId="77777777"/>
    <w:p w:rsidR="00E64FFC" w14:paraId="0DFEAF4B" w14:textId="77777777">
      <w:r>
        <w:t xml:space="preserve">De </w:t>
      </w:r>
      <w:r w:rsidR="00A47172">
        <w:t>m</w:t>
      </w:r>
      <w:r>
        <w:t>inister van Binnenlandse Zaken en Koninkrijksrelaties</w:t>
      </w:r>
      <w:r>
        <w:rPr>
          <w:i/>
        </w:rPr>
        <w:t>,</w:t>
      </w:r>
    </w:p>
    <w:p w:rsidR="00E64FFC" w14:paraId="7E978D02" w14:textId="77777777"/>
    <w:p w:rsidR="00E64FFC" w14:paraId="170991D8" w14:textId="77777777">
      <w:r>
        <w:br/>
      </w:r>
    </w:p>
    <w:p w:rsidR="00E64FFC" w14:paraId="652CD8B8" w14:textId="77777777"/>
    <w:p w:rsidR="00E64FFC" w14:paraId="0482EF1A" w14:textId="77777777">
      <w:r>
        <w:br/>
      </w:r>
    </w:p>
    <w:p w:rsidR="00E64FFC" w14:paraId="2E1B6D45" w14:textId="77777777">
      <w:r>
        <w:t>Pieter Heerma</w:t>
      </w:r>
    </w:p>
    <w:sectPr w:rsidSect="0013512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FFC" w14:paraId="2536E48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53EA" w14:paraId="0CA628D3" w14:textId="77777777">
      <w:pPr>
        <w:spacing w:line="240" w:lineRule="auto"/>
      </w:pPr>
      <w:r>
        <w:separator/>
      </w:r>
    </w:p>
  </w:footnote>
  <w:footnote w:type="continuationSeparator" w:id="1">
    <w:p w:rsidR="003E53EA" w14:paraId="00C7F07E" w14:textId="77777777">
      <w:pPr>
        <w:spacing w:line="240" w:lineRule="auto"/>
      </w:pPr>
      <w:r>
        <w:continuationSeparator/>
      </w:r>
    </w:p>
  </w:footnote>
  <w:footnote w:id="2">
    <w:p w:rsidR="00E43A2D" w:rsidP="00E43A2D" w14:paraId="4D907438" w14:textId="77777777">
      <w:pPr>
        <w:pStyle w:val="FootnoteText"/>
      </w:pPr>
      <w:r>
        <w:rPr>
          <w:rStyle w:val="FootnoteReference"/>
        </w:rPr>
        <w:footnoteRef/>
      </w:r>
      <w:r>
        <w:t xml:space="preserve"> </w:t>
      </w:r>
      <w:r w:rsidRPr="00CC4F54">
        <w:rPr>
          <w:sz w:val="16"/>
          <w:szCs w:val="16"/>
        </w:rPr>
        <w:t xml:space="preserve">De interpretatieve verklaring is te vinden op: </w:t>
      </w:r>
      <w:hyperlink r:id="rId1" w:anchor="EndDec" w:history="1">
        <w:r w:rsidRPr="00CC4F54">
          <w:rPr>
            <w:rStyle w:val="Hyperlink"/>
            <w:sz w:val="16"/>
            <w:szCs w:val="16"/>
          </w:rPr>
          <w:t>treaties.un.org</w:t>
        </w:r>
      </w:hyperlink>
      <w:r w:rsidRPr="00CC4F54">
        <w:rPr>
          <w:sz w:val="16"/>
          <w:szCs w:val="16"/>
        </w:rPr>
        <w:t xml:space="preserve">. </w:t>
      </w:r>
    </w:p>
  </w:footnote>
  <w:footnote w:id="3">
    <w:p w:rsidR="006D2272" w:rsidRPr="006D2272" w14:paraId="39C75A8A" w14:textId="77777777">
      <w:pPr>
        <w:pStyle w:val="FootnoteText"/>
        <w:rPr>
          <w:sz w:val="16"/>
          <w:szCs w:val="16"/>
        </w:rPr>
      </w:pPr>
      <w:r w:rsidRPr="006D2272">
        <w:rPr>
          <w:rStyle w:val="FootnoteReference"/>
          <w:sz w:val="16"/>
          <w:szCs w:val="16"/>
        </w:rPr>
        <w:footnoteRef/>
      </w:r>
      <w:r w:rsidRPr="006D2272">
        <w:rPr>
          <w:sz w:val="16"/>
          <w:szCs w:val="16"/>
        </w:rPr>
        <w:t xml:space="preserve"> Zie de </w:t>
      </w:r>
      <w:r>
        <w:rPr>
          <w:sz w:val="16"/>
          <w:szCs w:val="16"/>
        </w:rPr>
        <w:t xml:space="preserve">brief </w:t>
      </w:r>
      <w:r w:rsidRPr="006D2272">
        <w:rPr>
          <w:sz w:val="16"/>
          <w:szCs w:val="16"/>
        </w:rPr>
        <w:t xml:space="preserve">van het CRM aan uw Kamer </w:t>
      </w:r>
      <w:r>
        <w:rPr>
          <w:sz w:val="16"/>
          <w:szCs w:val="16"/>
        </w:rPr>
        <w:t xml:space="preserve">ter voorbereiding van de plenaire behandeling van het wetsvoorstel </w:t>
      </w:r>
      <w:r w:rsidRPr="006D2272">
        <w:rPr>
          <w:sz w:val="16"/>
          <w:szCs w:val="16"/>
        </w:rPr>
        <w:t>van 18 mei 2026.</w:t>
      </w:r>
    </w:p>
  </w:footnote>
  <w:footnote w:id="4">
    <w:p w:rsidR="00F351D3" w:rsidRPr="00921825" w:rsidP="00F351D3" w14:paraId="2FE943F0" w14:textId="77777777">
      <w:pPr>
        <w:pStyle w:val="FootnoteText"/>
        <w:rPr>
          <w:i/>
          <w:iCs/>
          <w:sz w:val="16"/>
          <w:szCs w:val="16"/>
        </w:rPr>
      </w:pPr>
      <w:r>
        <w:rPr>
          <w:rStyle w:val="FootnoteReference"/>
        </w:rPr>
        <w:footnoteRef/>
      </w:r>
      <w:r>
        <w:t xml:space="preserve"> </w:t>
      </w:r>
      <w:r w:rsidRPr="00D03123">
        <w:rPr>
          <w:sz w:val="16"/>
          <w:szCs w:val="16"/>
        </w:rPr>
        <w:t>Kamerstukken II, 2025/26, 36863, nr. 4, p. 8.</w:t>
      </w:r>
      <w:r>
        <w:rPr>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FFC" w14:paraId="2E7F904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706D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706D6" w14:paraId="0C1BE9D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4FFC" w14:textId="77777777">
                          <w:pPr>
                            <w:pStyle w:val="Referentiegegevensbold"/>
                          </w:pPr>
                          <w:r>
                            <w:t xml:space="preserve">DG Openbaar Bestuur &amp; </w:t>
                          </w:r>
                          <w:r>
                            <w:t>Democr</w:t>
                          </w:r>
                          <w:r>
                            <w:t xml:space="preserve"> Rechtsstaat</w:t>
                          </w:r>
                        </w:p>
                        <w:p w:rsidR="00E64FFC" w14:textId="77777777">
                          <w:pPr>
                            <w:pStyle w:val="Referentiegegevens"/>
                          </w:pPr>
                          <w:r>
                            <w:t>DGOBDR-CZW-</w:t>
                          </w:r>
                          <w:r>
                            <w:t>Wetgev</w:t>
                          </w:r>
                          <w:r>
                            <w:t xml:space="preserve">. </w:t>
                          </w:r>
                          <w:r>
                            <w:t>Staatsinricht</w:t>
                          </w:r>
                          <w:r>
                            <w:t xml:space="preserve"> &amp; Best</w:t>
                          </w:r>
                        </w:p>
                        <w:p w:rsidR="00E64FFC" w14:textId="77777777">
                          <w:pPr>
                            <w:pStyle w:val="WitregelW2"/>
                          </w:pPr>
                        </w:p>
                        <w:p w:rsidR="00E64FFC" w14:textId="77777777">
                          <w:pPr>
                            <w:pStyle w:val="Referentiegegevensbold"/>
                          </w:pPr>
                          <w:r>
                            <w:t>Datum</w:t>
                          </w:r>
                        </w:p>
                        <w:p w:rsidR="00EB4FB2" w14:textId="341A786D">
                          <w:pPr>
                            <w:pStyle w:val="Referentiegegevens"/>
                          </w:pPr>
                        </w:p>
                        <w:p w:rsidR="00E64FFC" w14:textId="77777777">
                          <w:pPr>
                            <w:pStyle w:val="WitregelW1"/>
                          </w:pPr>
                        </w:p>
                        <w:p w:rsidR="00E64FFC" w14:textId="77777777">
                          <w:pPr>
                            <w:pStyle w:val="Referentiegegevensbold"/>
                          </w:pPr>
                          <w:r>
                            <w:t>Onze referentie</w:t>
                          </w:r>
                        </w:p>
                        <w:p w:rsidR="00E64FFC" w14:textId="77777777">
                          <w:pPr>
                            <w:pStyle w:val="Referentiegegevens"/>
                          </w:pPr>
                          <w:r>
                            <w:fldChar w:fldCharType="begin"/>
                          </w:r>
                          <w:r>
                            <w:instrText xml:space="preserve"> DOCPROPERTY  "Kenmerk"  \* MERGEFORMAT </w:instrText>
                          </w:r>
                          <w:r>
                            <w:fldChar w:fldCharType="separate"/>
                          </w:r>
                          <w:r w:rsidR="004A32A1">
                            <w:t>2026-0000320442</w:t>
                          </w:r>
                          <w:r w:rsidR="004A32A1">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64FFC" w14:paraId="193FB610" w14:textId="77777777">
                    <w:pPr>
                      <w:pStyle w:val="Referentiegegevensbold"/>
                    </w:pPr>
                    <w:r>
                      <w:t xml:space="preserve">DG Openbaar Bestuur &amp; </w:t>
                    </w:r>
                    <w:r>
                      <w:t>Democr</w:t>
                    </w:r>
                    <w:r>
                      <w:t xml:space="preserve"> Rechtsstaat</w:t>
                    </w:r>
                  </w:p>
                  <w:p w:rsidR="00E64FFC" w14:paraId="3C383F15" w14:textId="77777777">
                    <w:pPr>
                      <w:pStyle w:val="Referentiegegevens"/>
                    </w:pPr>
                    <w:r>
                      <w:t>DGOBDR-CZW-</w:t>
                    </w:r>
                    <w:r>
                      <w:t>Wetgev</w:t>
                    </w:r>
                    <w:r>
                      <w:t xml:space="preserve">. </w:t>
                    </w:r>
                    <w:r>
                      <w:t>Staatsinricht</w:t>
                    </w:r>
                    <w:r>
                      <w:t xml:space="preserve"> &amp; Best</w:t>
                    </w:r>
                  </w:p>
                  <w:p w:rsidR="00E64FFC" w14:paraId="54D8D61B" w14:textId="77777777">
                    <w:pPr>
                      <w:pStyle w:val="WitregelW2"/>
                    </w:pPr>
                  </w:p>
                  <w:p w:rsidR="00E64FFC" w14:paraId="1D9A9C9B" w14:textId="77777777">
                    <w:pPr>
                      <w:pStyle w:val="Referentiegegevensbold"/>
                    </w:pPr>
                    <w:r>
                      <w:t>Datum</w:t>
                    </w:r>
                  </w:p>
                  <w:p w:rsidR="00EB4FB2" w14:paraId="4F76B522" w14:textId="341A786D">
                    <w:pPr>
                      <w:pStyle w:val="Referentiegegevens"/>
                    </w:pPr>
                  </w:p>
                  <w:p w:rsidR="00E64FFC" w14:paraId="180FB67D" w14:textId="77777777">
                    <w:pPr>
                      <w:pStyle w:val="WitregelW1"/>
                    </w:pPr>
                  </w:p>
                  <w:p w:rsidR="00E64FFC" w14:paraId="2DD8AAC9" w14:textId="77777777">
                    <w:pPr>
                      <w:pStyle w:val="Referentiegegevensbold"/>
                    </w:pPr>
                    <w:r>
                      <w:t>Onze referentie</w:t>
                    </w:r>
                  </w:p>
                  <w:p w:rsidR="00E64FFC" w14:paraId="6C1C9E89" w14:textId="77777777">
                    <w:pPr>
                      <w:pStyle w:val="Referentiegegevens"/>
                    </w:pPr>
                    <w:r>
                      <w:fldChar w:fldCharType="begin"/>
                    </w:r>
                    <w:r>
                      <w:instrText xml:space="preserve"> DOCPROPERTY  "Kenmerk"  \* MERGEFORMAT </w:instrText>
                    </w:r>
                    <w:r>
                      <w:fldChar w:fldCharType="separate"/>
                    </w:r>
                    <w:r w:rsidR="004A32A1">
                      <w:t>2026-0000320442</w:t>
                    </w:r>
                    <w:r w:rsidR="004A32A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706D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706D6" w14:paraId="508354F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B4FB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B4FB2" w14:paraId="12F95ED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FFC" w14:paraId="34C3EF6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64FFC" w14:textId="77777777">
                          <w:pPr>
                            <w:spacing w:line="240" w:lineRule="auto"/>
                          </w:pPr>
                          <w:r>
                            <w:rPr>
                              <w:noProof/>
                            </w:rPr>
                            <w:drawing>
                              <wp:inline distT="0" distB="0" distL="0" distR="0">
                                <wp:extent cx="467995" cy="1583865"/>
                                <wp:effectExtent l="0" t="0" r="0" b="0"/>
                                <wp:docPr id="9092545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092545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64FFC" w14:paraId="3A1C4D5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64FFC" w14:textId="77777777">
                          <w:pPr>
                            <w:spacing w:line="240" w:lineRule="auto"/>
                          </w:pPr>
                          <w:r>
                            <w:rPr>
                              <w:noProof/>
                            </w:rPr>
                            <w:drawing>
                              <wp:inline distT="0" distB="0" distL="0" distR="0">
                                <wp:extent cx="2339975" cy="1582834"/>
                                <wp:effectExtent l="0" t="0" r="0" b="0"/>
                                <wp:docPr id="4060814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060814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64FFC" w14:paraId="4B16993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4FF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64FFC" w14:paraId="4E9C369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64FFC" w14:textId="77777777">
                          <w:r>
                            <w:t xml:space="preserve">Aan de Voorzitter van de Tweede Kamer </w:t>
                          </w:r>
                        </w:p>
                        <w:p w:rsidR="00E64FFC" w:rsidRPr="00E43A2D" w14:textId="77777777">
                          <w:pPr>
                            <w:rPr>
                              <w:lang w:val="de-DE"/>
                            </w:rPr>
                          </w:pPr>
                          <w:r w:rsidRPr="00E43A2D">
                            <w:rPr>
                              <w:lang w:val="de-DE"/>
                            </w:rPr>
                            <w:t>Postbus</w:t>
                          </w:r>
                          <w:r w:rsidR="00E43A2D">
                            <w:rPr>
                              <w:lang w:val="de-DE"/>
                            </w:rPr>
                            <w:t xml:space="preserve"> 20018</w:t>
                          </w:r>
                        </w:p>
                        <w:p w:rsidR="00E64FFC" w:rsidRPr="00E43A2D" w14:textId="77777777">
                          <w:pPr>
                            <w:rPr>
                              <w:lang w:val="de-DE"/>
                            </w:rPr>
                          </w:pPr>
                          <w:r w:rsidRPr="00E43A2D">
                            <w:rPr>
                              <w:lang w:val="de-DE"/>
                            </w:rPr>
                            <w:t xml:space="preserve">2500 </w:t>
                          </w:r>
                          <w:r w:rsidR="00E43A2D">
                            <w:rPr>
                              <w:lang w:val="de-DE"/>
                            </w:rPr>
                            <w:t xml:space="preserve">EA </w:t>
                          </w:r>
                          <w:r w:rsidRPr="00E43A2D">
                            <w:rPr>
                              <w:lang w:val="de-DE"/>
                            </w:rPr>
                            <w:t>D</w:t>
                          </w:r>
                          <w:r w:rsidR="00E43A2D">
                            <w:rPr>
                              <w:lang w:val="de-DE"/>
                            </w:rPr>
                            <w:t>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64FFC" w14:paraId="3E16B6B9" w14:textId="77777777">
                    <w:r>
                      <w:t xml:space="preserve">Aan de Voorzitter van de Tweede Kamer </w:t>
                    </w:r>
                  </w:p>
                  <w:p w:rsidR="00E64FFC" w:rsidRPr="00E43A2D" w14:paraId="086CB219" w14:textId="77777777">
                    <w:pPr>
                      <w:rPr>
                        <w:lang w:val="de-DE"/>
                      </w:rPr>
                    </w:pPr>
                    <w:r w:rsidRPr="00E43A2D">
                      <w:rPr>
                        <w:lang w:val="de-DE"/>
                      </w:rPr>
                      <w:t>Postbus</w:t>
                    </w:r>
                    <w:r w:rsidR="00E43A2D">
                      <w:rPr>
                        <w:lang w:val="de-DE"/>
                      </w:rPr>
                      <w:t xml:space="preserve"> 20018</w:t>
                    </w:r>
                  </w:p>
                  <w:p w:rsidR="00E64FFC" w:rsidRPr="00E43A2D" w14:paraId="4CF92938" w14:textId="77777777">
                    <w:pPr>
                      <w:rPr>
                        <w:lang w:val="de-DE"/>
                      </w:rPr>
                    </w:pPr>
                    <w:r w:rsidRPr="00E43A2D">
                      <w:rPr>
                        <w:lang w:val="de-DE"/>
                      </w:rPr>
                      <w:t xml:space="preserve">2500 </w:t>
                    </w:r>
                    <w:r w:rsidR="00E43A2D">
                      <w:rPr>
                        <w:lang w:val="de-DE"/>
                      </w:rPr>
                      <w:t xml:space="preserve">EA </w:t>
                    </w:r>
                    <w:r w:rsidRPr="00E43A2D">
                      <w:rPr>
                        <w:lang w:val="de-DE"/>
                      </w:rPr>
                      <w:t>D</w:t>
                    </w:r>
                    <w:r w:rsidR="00E43A2D">
                      <w:rPr>
                        <w:lang w:val="de-DE"/>
                      </w:rPr>
                      <w:t>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57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57200"/>
                      </a:xfrm>
                      <a:prstGeom prst="rect">
                        <a:avLst/>
                      </a:prstGeom>
                      <a:noFill/>
                    </wps:spPr>
                    <wps:txbx>
                      <w:txbxContent>
                        <w:tbl>
                          <w:tblPr>
                            <w:tblW w:w="0" w:type="auto"/>
                            <w:tblInd w:w="-120" w:type="dxa"/>
                            <w:tblLayout w:type="fixed"/>
                            <w:tblLook w:val="07E0"/>
                          </w:tblPr>
                          <w:tblGrid>
                            <w:gridCol w:w="1140"/>
                            <w:gridCol w:w="5918"/>
                          </w:tblGrid>
                          <w:tr w14:paraId="53C055CF" w14:textId="77777777">
                            <w:tblPrEx>
                              <w:tblW w:w="0" w:type="auto"/>
                              <w:tblInd w:w="-120" w:type="dxa"/>
                              <w:tblLayout w:type="fixed"/>
                              <w:tblLook w:val="07E0"/>
                            </w:tblPrEx>
                            <w:trPr>
                              <w:trHeight w:val="240"/>
                            </w:trPr>
                            <w:tc>
                              <w:tcPr>
                                <w:tcW w:w="1140" w:type="dxa"/>
                              </w:tcPr>
                              <w:p w:rsidR="00E64FFC" w14:textId="77777777">
                                <w:r>
                                  <w:t>Datum</w:t>
                                </w:r>
                              </w:p>
                            </w:tc>
                            <w:tc>
                              <w:tcPr>
                                <w:tcW w:w="5918" w:type="dxa"/>
                              </w:tcPr>
                              <w:p w:rsidR="00EB4FB2" w14:textId="1A9BDA07">
                                <w:r>
                                  <w:t>2 juli 2026</w:t>
                                </w:r>
                              </w:p>
                            </w:tc>
                          </w:tr>
                          <w:tr w14:paraId="4608CE25" w14:textId="77777777">
                            <w:tblPrEx>
                              <w:tblW w:w="0" w:type="auto"/>
                              <w:tblInd w:w="-120" w:type="dxa"/>
                              <w:tblLayout w:type="fixed"/>
                              <w:tblLook w:val="07E0"/>
                            </w:tblPrEx>
                            <w:trPr>
                              <w:trHeight w:val="240"/>
                            </w:trPr>
                            <w:tc>
                              <w:tcPr>
                                <w:tcW w:w="1140" w:type="dxa"/>
                              </w:tcPr>
                              <w:p w:rsidR="00E64FFC" w14:textId="77777777">
                                <w:r>
                                  <w:t>Betreft</w:t>
                                </w:r>
                              </w:p>
                            </w:tc>
                            <w:bookmarkStart w:id="2" w:name="_Hlk233873728"/>
                            <w:tc>
                              <w:tcPr>
                                <w:tcW w:w="5918" w:type="dxa"/>
                              </w:tcPr>
                              <w:p w:rsidR="00E64FFC" w14:textId="77777777">
                                <w:r>
                                  <w:fldChar w:fldCharType="begin"/>
                                </w:r>
                                <w:r>
                                  <w:instrText xml:space="preserve"> DOCPROPERTY  "Onderwerp"  \* MERGEFORMAT </w:instrText>
                                </w:r>
                                <w:r>
                                  <w:fldChar w:fldCharType="separate"/>
                                </w:r>
                                <w:r w:rsidR="004A32A1">
                                  <w:t>Aanvullende vragen debat 1 juli bijstand in stemhokje</w:t>
                                </w:r>
                                <w:r>
                                  <w:fldChar w:fldCharType="end"/>
                                </w:r>
                                <w:bookmarkEnd w:id="2"/>
                              </w:p>
                            </w:tc>
                          </w:tr>
                        </w:tbl>
                        <w:p w:rsidR="009706D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6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3C055CE" w14:textId="77777777">
                      <w:tblPrEx>
                        <w:tblW w:w="0" w:type="auto"/>
                        <w:tblInd w:w="-120" w:type="dxa"/>
                        <w:tblLayout w:type="fixed"/>
                        <w:tblLook w:val="07E0"/>
                      </w:tblPrEx>
                      <w:trPr>
                        <w:trHeight w:val="240"/>
                      </w:trPr>
                      <w:tc>
                        <w:tcPr>
                          <w:tcW w:w="1140" w:type="dxa"/>
                        </w:tcPr>
                        <w:p w:rsidR="00E64FFC" w14:paraId="15AE73AD" w14:textId="77777777">
                          <w:r>
                            <w:t>Datum</w:t>
                          </w:r>
                        </w:p>
                      </w:tc>
                      <w:tc>
                        <w:tcPr>
                          <w:tcW w:w="5918" w:type="dxa"/>
                        </w:tcPr>
                        <w:p w:rsidR="00EB4FB2" w14:paraId="609874A9" w14:textId="1A9BDA07">
                          <w:r>
                            <w:t>2 juli 2026</w:t>
                          </w:r>
                        </w:p>
                      </w:tc>
                    </w:tr>
                    <w:tr w14:paraId="4608CE24" w14:textId="77777777">
                      <w:tblPrEx>
                        <w:tblW w:w="0" w:type="auto"/>
                        <w:tblInd w:w="-120" w:type="dxa"/>
                        <w:tblLayout w:type="fixed"/>
                        <w:tblLook w:val="07E0"/>
                      </w:tblPrEx>
                      <w:trPr>
                        <w:trHeight w:val="240"/>
                      </w:trPr>
                      <w:tc>
                        <w:tcPr>
                          <w:tcW w:w="1140" w:type="dxa"/>
                        </w:tcPr>
                        <w:p w:rsidR="00E64FFC" w14:paraId="14A89495" w14:textId="77777777">
                          <w:r>
                            <w:t>Betreft</w:t>
                          </w:r>
                        </w:p>
                      </w:tc>
                      <w:bookmarkStart w:id="2" w:name="_Hlk233873728"/>
                      <w:tc>
                        <w:tcPr>
                          <w:tcW w:w="5918" w:type="dxa"/>
                        </w:tcPr>
                        <w:p w:rsidR="00E64FFC" w14:paraId="2258DC51" w14:textId="77777777">
                          <w:r>
                            <w:fldChar w:fldCharType="begin"/>
                          </w:r>
                          <w:r>
                            <w:instrText xml:space="preserve"> DOCPROPERTY  "Onderwerp"  \* MERGEFORMAT </w:instrText>
                          </w:r>
                          <w:r>
                            <w:fldChar w:fldCharType="separate"/>
                          </w:r>
                          <w:r w:rsidR="004A32A1">
                            <w:t>Aanvullende vragen debat 1 juli bijstand in stemhokje</w:t>
                          </w:r>
                          <w:r>
                            <w:fldChar w:fldCharType="end"/>
                          </w:r>
                          <w:bookmarkEnd w:id="2"/>
                        </w:p>
                      </w:tc>
                    </w:tr>
                  </w:tbl>
                  <w:p w:rsidR="009706D6" w14:paraId="5AD9163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4FFC" w14:textId="77777777">
                          <w:pPr>
                            <w:pStyle w:val="Referentiegegevensbold"/>
                          </w:pPr>
                          <w:r>
                            <w:t xml:space="preserve">DG Openbaar Bestuur &amp; </w:t>
                          </w:r>
                          <w:r>
                            <w:t>Democr</w:t>
                          </w:r>
                          <w:r>
                            <w:t xml:space="preserve"> Rechtsstaat</w:t>
                          </w:r>
                        </w:p>
                        <w:p w:rsidR="00E64FFC" w14:textId="77777777">
                          <w:pPr>
                            <w:pStyle w:val="Referentiegegevens"/>
                          </w:pPr>
                          <w:r>
                            <w:t>DGOBDR-CZW-</w:t>
                          </w:r>
                          <w:r>
                            <w:t>Wetgev</w:t>
                          </w:r>
                          <w:r>
                            <w:t xml:space="preserve">. </w:t>
                          </w:r>
                          <w:r>
                            <w:t>Staatsinricht</w:t>
                          </w:r>
                          <w:r>
                            <w:t xml:space="preserve"> &amp; Best</w:t>
                          </w:r>
                        </w:p>
                        <w:p w:rsidR="00E64FFC" w14:textId="77777777">
                          <w:pPr>
                            <w:pStyle w:val="WitregelW1"/>
                          </w:pPr>
                        </w:p>
                        <w:p w:rsidR="00E64FFC" w14:textId="77777777">
                          <w:pPr>
                            <w:pStyle w:val="Referentiegegevens"/>
                          </w:pPr>
                          <w:r>
                            <w:t>Turfmarkt 147</w:t>
                          </w:r>
                        </w:p>
                        <w:p w:rsidR="00E64FFC" w14:textId="77777777">
                          <w:pPr>
                            <w:pStyle w:val="Referentiegegevens"/>
                          </w:pPr>
                          <w:r>
                            <w:t>2511 DP Den Haag</w:t>
                          </w:r>
                        </w:p>
                        <w:p w:rsidR="00E64FFC" w14:textId="77777777">
                          <w:pPr>
                            <w:pStyle w:val="Referentiegegevens"/>
                          </w:pPr>
                          <w:r>
                            <w:t>Postbus 20011</w:t>
                          </w:r>
                        </w:p>
                        <w:p w:rsidR="00E64FFC" w14:textId="77777777">
                          <w:pPr>
                            <w:pStyle w:val="Referentiegegevens"/>
                          </w:pPr>
                          <w:r>
                            <w:t>2500 EA  Den Haag</w:t>
                          </w:r>
                        </w:p>
                        <w:p w:rsidR="00E64FFC" w14:textId="77777777">
                          <w:pPr>
                            <w:pStyle w:val="WitregelW1"/>
                          </w:pPr>
                        </w:p>
                        <w:p w:rsidR="00E64FFC" w:rsidRPr="004A32A1" w14:textId="77777777">
                          <w:pPr>
                            <w:pStyle w:val="WitregelW2"/>
                          </w:pPr>
                        </w:p>
                        <w:p w:rsidR="00E64FFC" w:rsidRPr="004A32A1" w14:textId="77777777">
                          <w:pPr>
                            <w:pStyle w:val="Referentiegegevensbold"/>
                          </w:pPr>
                          <w:r w:rsidRPr="004A32A1">
                            <w:t>Onze referentie</w:t>
                          </w:r>
                        </w:p>
                        <w:bookmarkStart w:id="3" w:name="_Hlk233873711"/>
                        <w:p w:rsidR="00E64FFC" w14:textId="77777777">
                          <w:pPr>
                            <w:pStyle w:val="Referentiegegevens"/>
                          </w:pPr>
                          <w:r>
                            <w:fldChar w:fldCharType="begin"/>
                          </w:r>
                          <w:r>
                            <w:instrText xml:space="preserve"> DOCPROPERTY  "Kenmerk"  \* MERGEFORMAT </w:instrText>
                          </w:r>
                          <w:r>
                            <w:fldChar w:fldCharType="separate"/>
                          </w:r>
                          <w:r w:rsidR="004A32A1">
                            <w:t>2026-0000320442</w:t>
                          </w:r>
                          <w:r>
                            <w:fldChar w:fldCharType="end"/>
                          </w:r>
                        </w:p>
                        <w:bookmarkEnd w:id="3"/>
                        <w:p w:rsidR="00E64FFC" w14:textId="77777777">
                          <w:pPr>
                            <w:pStyle w:val="WitregelW1"/>
                          </w:pPr>
                        </w:p>
                        <w:p w:rsidR="00E64FF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64FFC" w14:paraId="73B98086" w14:textId="77777777">
                    <w:pPr>
                      <w:pStyle w:val="Referentiegegevensbold"/>
                    </w:pPr>
                    <w:r>
                      <w:t xml:space="preserve">DG Openbaar Bestuur &amp; </w:t>
                    </w:r>
                    <w:r>
                      <w:t>Democr</w:t>
                    </w:r>
                    <w:r>
                      <w:t xml:space="preserve"> Rechtsstaat</w:t>
                    </w:r>
                  </w:p>
                  <w:p w:rsidR="00E64FFC" w14:paraId="2E848FA3" w14:textId="77777777">
                    <w:pPr>
                      <w:pStyle w:val="Referentiegegevens"/>
                    </w:pPr>
                    <w:r>
                      <w:t>DGOBDR-CZW-</w:t>
                    </w:r>
                    <w:r>
                      <w:t>Wetgev</w:t>
                    </w:r>
                    <w:r>
                      <w:t xml:space="preserve">. </w:t>
                    </w:r>
                    <w:r>
                      <w:t>Staatsinricht</w:t>
                    </w:r>
                    <w:r>
                      <w:t xml:space="preserve"> &amp; Best</w:t>
                    </w:r>
                  </w:p>
                  <w:p w:rsidR="00E64FFC" w14:paraId="2E873CE7" w14:textId="77777777">
                    <w:pPr>
                      <w:pStyle w:val="WitregelW1"/>
                    </w:pPr>
                  </w:p>
                  <w:p w:rsidR="00E64FFC" w14:paraId="153837D9" w14:textId="77777777">
                    <w:pPr>
                      <w:pStyle w:val="Referentiegegevens"/>
                    </w:pPr>
                    <w:r>
                      <w:t>Turfmarkt 147</w:t>
                    </w:r>
                  </w:p>
                  <w:p w:rsidR="00E64FFC" w14:paraId="28C32FB7" w14:textId="77777777">
                    <w:pPr>
                      <w:pStyle w:val="Referentiegegevens"/>
                    </w:pPr>
                    <w:r>
                      <w:t>2511 DP Den Haag</w:t>
                    </w:r>
                  </w:p>
                  <w:p w:rsidR="00E64FFC" w14:paraId="630A3594" w14:textId="77777777">
                    <w:pPr>
                      <w:pStyle w:val="Referentiegegevens"/>
                    </w:pPr>
                    <w:r>
                      <w:t>Postbus 20011</w:t>
                    </w:r>
                  </w:p>
                  <w:p w:rsidR="00E64FFC" w14:paraId="19B64E27" w14:textId="77777777">
                    <w:pPr>
                      <w:pStyle w:val="Referentiegegevens"/>
                    </w:pPr>
                    <w:r>
                      <w:t>2500 EA  Den Haag</w:t>
                    </w:r>
                  </w:p>
                  <w:p w:rsidR="00E64FFC" w14:paraId="01E0EA6A" w14:textId="77777777">
                    <w:pPr>
                      <w:pStyle w:val="WitregelW1"/>
                    </w:pPr>
                  </w:p>
                  <w:p w:rsidR="00E64FFC" w:rsidRPr="004A32A1" w14:paraId="2C8D997C" w14:textId="77777777">
                    <w:pPr>
                      <w:pStyle w:val="WitregelW2"/>
                    </w:pPr>
                  </w:p>
                  <w:p w:rsidR="00E64FFC" w:rsidRPr="004A32A1" w14:paraId="4F45EDA2" w14:textId="77777777">
                    <w:pPr>
                      <w:pStyle w:val="Referentiegegevensbold"/>
                    </w:pPr>
                    <w:r w:rsidRPr="004A32A1">
                      <w:t>Onze referentie</w:t>
                    </w:r>
                  </w:p>
                  <w:bookmarkStart w:id="3" w:name="_Hlk233873711"/>
                  <w:p w:rsidR="00E64FFC" w14:paraId="48BA4A8D" w14:textId="77777777">
                    <w:pPr>
                      <w:pStyle w:val="Referentiegegevens"/>
                    </w:pPr>
                    <w:r>
                      <w:fldChar w:fldCharType="begin"/>
                    </w:r>
                    <w:r>
                      <w:instrText xml:space="preserve"> DOCPROPERTY  "Kenmerk"  \* MERGEFORMAT </w:instrText>
                    </w:r>
                    <w:r>
                      <w:fldChar w:fldCharType="separate"/>
                    </w:r>
                    <w:r w:rsidR="004A32A1">
                      <w:t>2026-0000320442</w:t>
                    </w:r>
                    <w:r>
                      <w:fldChar w:fldCharType="end"/>
                    </w:r>
                  </w:p>
                  <w:bookmarkEnd w:id="3"/>
                  <w:p w:rsidR="00E64FFC" w14:paraId="2DCACFE0" w14:textId="77777777">
                    <w:pPr>
                      <w:pStyle w:val="WitregelW1"/>
                    </w:pPr>
                  </w:p>
                  <w:p w:rsidR="00E64FFC" w14:paraId="5895973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B4FB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B4FB2" w14:paraId="6790E9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706D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706D6" w14:paraId="47145D4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6BEF97"/>
    <w:multiLevelType w:val="multilevel"/>
    <w:tmpl w:val="694128C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CEF4483"/>
    <w:multiLevelType w:val="multilevel"/>
    <w:tmpl w:val="334575B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B2E02E4"/>
    <w:multiLevelType w:val="multilevel"/>
    <w:tmpl w:val="DF16D9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2163298"/>
    <w:multiLevelType w:val="hybridMultilevel"/>
    <w:tmpl w:val="757CB5A0"/>
    <w:lvl w:ilvl="0">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17B1195B"/>
    <w:multiLevelType w:val="hybridMultilevel"/>
    <w:tmpl w:val="F1F4E506"/>
    <w:lvl w:ilvl="0">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44E99CA3"/>
    <w:multiLevelType w:val="multilevel"/>
    <w:tmpl w:val="E70C81C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5CCC4650"/>
    <w:multiLevelType w:val="hybridMultilevel"/>
    <w:tmpl w:val="559EEF3A"/>
    <w:lvl w:ilvl="0">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71824585"/>
    <w:multiLevelType w:val="hybridMultilevel"/>
    <w:tmpl w:val="0ABADF4C"/>
    <w:lvl w:ilvl="0">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469053054">
    <w:abstractNumId w:val="0"/>
  </w:num>
  <w:num w:numId="2" w16cid:durableId="930549243">
    <w:abstractNumId w:val="2"/>
  </w:num>
  <w:num w:numId="3" w16cid:durableId="644703340">
    <w:abstractNumId w:val="1"/>
  </w:num>
  <w:num w:numId="4" w16cid:durableId="1844783644">
    <w:abstractNumId w:val="5"/>
  </w:num>
  <w:num w:numId="5" w16cid:durableId="2037388369">
    <w:abstractNumId w:val="3"/>
  </w:num>
  <w:num w:numId="6" w16cid:durableId="297032714">
    <w:abstractNumId w:val="7"/>
  </w:num>
  <w:num w:numId="7" w16cid:durableId="1819028115">
    <w:abstractNumId w:val="6"/>
  </w:num>
  <w:num w:numId="8" w16cid:durableId="167479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FC"/>
    <w:rsid w:val="000B0D17"/>
    <w:rsid w:val="00101A87"/>
    <w:rsid w:val="0010439C"/>
    <w:rsid w:val="00135125"/>
    <w:rsid w:val="001457EC"/>
    <w:rsid w:val="001604FA"/>
    <w:rsid w:val="00220FB4"/>
    <w:rsid w:val="00270D44"/>
    <w:rsid w:val="002C20F2"/>
    <w:rsid w:val="002C57AC"/>
    <w:rsid w:val="0037664C"/>
    <w:rsid w:val="00380056"/>
    <w:rsid w:val="003D35F9"/>
    <w:rsid w:val="003E53EA"/>
    <w:rsid w:val="003F06A0"/>
    <w:rsid w:val="003F116C"/>
    <w:rsid w:val="00457EB0"/>
    <w:rsid w:val="004639F8"/>
    <w:rsid w:val="00480C40"/>
    <w:rsid w:val="004815CF"/>
    <w:rsid w:val="004911A9"/>
    <w:rsid w:val="004A32A1"/>
    <w:rsid w:val="004D35E9"/>
    <w:rsid w:val="005210A5"/>
    <w:rsid w:val="00597168"/>
    <w:rsid w:val="005B2C8C"/>
    <w:rsid w:val="005F37E9"/>
    <w:rsid w:val="00622CEE"/>
    <w:rsid w:val="006256DB"/>
    <w:rsid w:val="006B01FF"/>
    <w:rsid w:val="006D2272"/>
    <w:rsid w:val="007100D5"/>
    <w:rsid w:val="00724DD7"/>
    <w:rsid w:val="00790D4C"/>
    <w:rsid w:val="008125CD"/>
    <w:rsid w:val="00881A81"/>
    <w:rsid w:val="008D36BA"/>
    <w:rsid w:val="008E0B25"/>
    <w:rsid w:val="008F32FE"/>
    <w:rsid w:val="00921825"/>
    <w:rsid w:val="00940E8B"/>
    <w:rsid w:val="0095718E"/>
    <w:rsid w:val="009602C4"/>
    <w:rsid w:val="00964AF9"/>
    <w:rsid w:val="009706D6"/>
    <w:rsid w:val="009761CD"/>
    <w:rsid w:val="0097782F"/>
    <w:rsid w:val="009B5336"/>
    <w:rsid w:val="00A05380"/>
    <w:rsid w:val="00A47172"/>
    <w:rsid w:val="00A81137"/>
    <w:rsid w:val="00AB6E0E"/>
    <w:rsid w:val="00AB70A6"/>
    <w:rsid w:val="00AF260D"/>
    <w:rsid w:val="00B83E6A"/>
    <w:rsid w:val="00BA46DB"/>
    <w:rsid w:val="00BC20EF"/>
    <w:rsid w:val="00C449C2"/>
    <w:rsid w:val="00C56678"/>
    <w:rsid w:val="00CA4375"/>
    <w:rsid w:val="00CC4F54"/>
    <w:rsid w:val="00CC604F"/>
    <w:rsid w:val="00CE56B6"/>
    <w:rsid w:val="00CF1112"/>
    <w:rsid w:val="00CF54AD"/>
    <w:rsid w:val="00D03123"/>
    <w:rsid w:val="00D54A3F"/>
    <w:rsid w:val="00DC087C"/>
    <w:rsid w:val="00DD15BA"/>
    <w:rsid w:val="00E30ABB"/>
    <w:rsid w:val="00E31C0A"/>
    <w:rsid w:val="00E43A2D"/>
    <w:rsid w:val="00E45988"/>
    <w:rsid w:val="00E468FE"/>
    <w:rsid w:val="00E60417"/>
    <w:rsid w:val="00E638EC"/>
    <w:rsid w:val="00E64FFC"/>
    <w:rsid w:val="00EB4FB2"/>
    <w:rsid w:val="00EE7893"/>
    <w:rsid w:val="00F02D56"/>
    <w:rsid w:val="00F23F85"/>
    <w:rsid w:val="00F351D3"/>
    <w:rsid w:val="00F71703"/>
    <w:rsid w:val="00FB25E4"/>
    <w:rsid w:val="00FB552A"/>
    <w:rsid w:val="00FC24B9"/>
    <w:rsid w:val="00FE0959"/>
    <w:rsid w:val="77795D7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17E1243"/>
  <w15:docId w15:val="{16EDBF6B-64BF-4501-8ACC-2B883FA5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43A2D"/>
    <w:pPr>
      <w:tabs>
        <w:tab w:val="center" w:pos="4536"/>
        <w:tab w:val="right" w:pos="9072"/>
      </w:tabs>
      <w:spacing w:line="240" w:lineRule="auto"/>
    </w:pPr>
  </w:style>
  <w:style w:type="character" w:customStyle="1" w:styleId="KoptekstChar">
    <w:name w:val="Koptekst Char"/>
    <w:basedOn w:val="DefaultParagraphFont"/>
    <w:link w:val="Header"/>
    <w:uiPriority w:val="99"/>
    <w:rsid w:val="00E43A2D"/>
    <w:rPr>
      <w:rFonts w:ascii="Verdana" w:hAnsi="Verdana"/>
      <w:color w:val="000000"/>
      <w:sz w:val="18"/>
      <w:szCs w:val="18"/>
    </w:rPr>
  </w:style>
  <w:style w:type="paragraph" w:styleId="Footer">
    <w:name w:val="footer"/>
    <w:basedOn w:val="Normal"/>
    <w:link w:val="VoettekstChar"/>
    <w:uiPriority w:val="99"/>
    <w:unhideWhenUsed/>
    <w:rsid w:val="00E43A2D"/>
    <w:pPr>
      <w:tabs>
        <w:tab w:val="center" w:pos="4536"/>
        <w:tab w:val="right" w:pos="9072"/>
      </w:tabs>
      <w:spacing w:line="240" w:lineRule="auto"/>
    </w:pPr>
  </w:style>
  <w:style w:type="character" w:customStyle="1" w:styleId="VoettekstChar">
    <w:name w:val="Voettekst Char"/>
    <w:basedOn w:val="DefaultParagraphFont"/>
    <w:link w:val="Footer"/>
    <w:uiPriority w:val="99"/>
    <w:rsid w:val="00E43A2D"/>
    <w:rPr>
      <w:rFonts w:ascii="Verdana" w:hAnsi="Verdana"/>
      <w:color w:val="000000"/>
      <w:sz w:val="18"/>
      <w:szCs w:val="18"/>
    </w:rPr>
  </w:style>
  <w:style w:type="paragraph" w:styleId="FootnoteText">
    <w:name w:val="footnote text"/>
    <w:basedOn w:val="Normal"/>
    <w:link w:val="VoetnoottekstChar"/>
    <w:uiPriority w:val="99"/>
    <w:semiHidden/>
    <w:unhideWhenUsed/>
    <w:rsid w:val="00E43A2D"/>
    <w:pPr>
      <w:spacing w:line="240" w:lineRule="auto"/>
    </w:pPr>
    <w:rPr>
      <w:sz w:val="20"/>
      <w:szCs w:val="20"/>
    </w:rPr>
  </w:style>
  <w:style w:type="character" w:customStyle="1" w:styleId="VoetnoottekstChar">
    <w:name w:val="Voetnoottekst Char"/>
    <w:basedOn w:val="DefaultParagraphFont"/>
    <w:link w:val="FootnoteText"/>
    <w:uiPriority w:val="99"/>
    <w:semiHidden/>
    <w:rsid w:val="00E43A2D"/>
    <w:rPr>
      <w:rFonts w:ascii="Verdana" w:hAnsi="Verdana"/>
      <w:color w:val="000000"/>
    </w:rPr>
  </w:style>
  <w:style w:type="character" w:styleId="FootnoteReference">
    <w:name w:val="footnote reference"/>
    <w:basedOn w:val="DefaultParagraphFont"/>
    <w:uiPriority w:val="99"/>
    <w:semiHidden/>
    <w:unhideWhenUsed/>
    <w:rsid w:val="00E43A2D"/>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9761CD"/>
    <w:pPr>
      <w:autoSpaceDN/>
      <w:spacing w:after="11" w:line="251" w:lineRule="auto"/>
      <w:ind w:left="720" w:hanging="371"/>
      <w:contextualSpacing/>
      <w:textAlignment w:val="auto"/>
    </w:pPr>
    <w:rPr>
      <w:rFonts w:eastAsia="Verdana" w:cs="Verdana"/>
      <w:kern w:val="2"/>
      <w:sz w:val="28"/>
      <w:szCs w:val="24"/>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9761CD"/>
    <w:rPr>
      <w:rFonts w:ascii="Verdana" w:eastAsia="Verdana" w:hAnsi="Verdana" w:cs="Verdana"/>
      <w:color w:val="000000"/>
      <w:kern w:val="2"/>
      <w:sz w:val="28"/>
      <w:szCs w:val="24"/>
      <w14:ligatures w14:val="standardContextual"/>
    </w:rPr>
  </w:style>
  <w:style w:type="paragraph" w:styleId="Revision">
    <w:name w:val="Revision"/>
    <w:hidden/>
    <w:uiPriority w:val="99"/>
    <w:semiHidden/>
    <w:rsid w:val="00F351D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treaties.un.org/Pages/ViewDetails.aspx?src=TREATY&amp;mtdsg_no=IV-15&amp;chapter=4&amp;clang=_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1234</ap:Words>
  <ap:Characters>6788</ap:Characters>
  <ap:DocSecurity>0</ap:DocSecurity>
  <ap:Lines>56</ap:Lines>
  <ap:Paragraphs>16</ap:Paragraphs>
  <ap:ScaleCrop>false</ap:ScaleCrop>
  <ap:LinksUpToDate>false</ap:LinksUpToDate>
  <ap:CharactersWithSpaces>8006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2026-07-02T06:36:00.0000000Z</dcterms:created>
  <dcterms:modified xsi:type="dcterms:W3CDTF">2026-07-02T06:36:00.0000000Z</dcterms:modified>
  <dc:creator/>
  <lastModifiedBy/>
  <dc:description>------------------------</dc:description>
  <dc:subject/>
  <keywords/>
  <version/>
  <category/>
</coreProperties>
</file>