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8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ook w:val="01E0" w:firstRow="1" w:lastRow="1" w:firstColumn="1" w:lastColumn="1" w:noHBand="0" w:noVBand="0"/>
      </w:tblPr>
      <w:tblGrid>
        <w:gridCol w:w="2742"/>
        <w:gridCol w:w="6162"/>
      </w:tblGrid>
      <w:tr w:rsidRPr="00D27AE1" w:rsidR="00FC395F" w:rsidTr="00DE6D27" w14:paraId="2AFAD6D5" w14:textId="77777777">
        <w:trPr>
          <w:trHeight w:val="1059"/>
        </w:trPr>
        <w:tc>
          <w:tcPr>
            <w:tcW w:w="8970" w:type="dxa"/>
            <w:gridSpan w:val="2"/>
            <w:tcBorders>
              <w:left w:val="nil"/>
            </w:tcBorders>
            <w:shd w:val="clear" w:color="auto" w:fill="7A7A7A"/>
            <w:vAlign w:val="center"/>
          </w:tcPr>
          <w:p w:rsidRPr="00D27AE1" w:rsidR="00FC395F" w:rsidP="00DE6D27" w:rsidRDefault="00FC395F" w14:paraId="6EAA25A5" w14:textId="7B8AAF60">
            <w:pPr>
              <w:pStyle w:val="TableParagraph"/>
              <w:tabs>
                <w:tab w:val="left" w:pos="2060"/>
              </w:tabs>
              <w:ind w:left="103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Beleidskeuzes uitgelegd</w:t>
            </w:r>
            <w:r w:rsidR="00820616">
              <w:rPr>
                <w:rFonts w:cstheme="minorHAnsi"/>
                <w:b/>
                <w:color w:val="FFFFFF"/>
                <w:sz w:val="20"/>
                <w:szCs w:val="20"/>
              </w:rPr>
              <w:t xml:space="preserve">: bijdragen van zorgkantoren aan preventieve maatregelen </w:t>
            </w:r>
          </w:p>
          <w:p w:rsidRPr="00D27AE1" w:rsidR="00FC395F" w:rsidP="00DE6D27" w:rsidRDefault="00FC395F" w14:paraId="10731BB6" w14:textId="77777777">
            <w:pPr>
              <w:pStyle w:val="TableParagraph"/>
              <w:tabs>
                <w:tab w:val="left" w:pos="2060"/>
              </w:tabs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D27AE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Onderbouwing doeltreffendheid, doelmatigheid en evaluatie (CW3.1)</w:t>
            </w:r>
          </w:p>
        </w:tc>
      </w:tr>
      <w:tr w:rsidRPr="00D27AE1" w:rsidR="00FC395F" w:rsidTr="00DE6D27" w14:paraId="6C535BD6" w14:textId="77777777">
        <w:trPr>
          <w:trHeight w:val="666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2C7109" w:rsidR="00FC395F" w:rsidP="00DE6D27" w:rsidRDefault="00FC395F" w14:paraId="74106851" w14:textId="77777777">
            <w:pPr>
              <w:pStyle w:val="TableParagraph"/>
              <w:tabs>
                <w:tab w:val="left" w:pos="2060"/>
              </w:tabs>
              <w:ind w:left="103"/>
              <w:rPr>
                <w:rFonts w:cstheme="minorHAnsi"/>
                <w:b/>
                <w:color w:val="FFFFFF"/>
                <w:sz w:val="20"/>
                <w:szCs w:val="20"/>
              </w:rPr>
            </w:pPr>
          </w:p>
          <w:p w:rsidRPr="00D27AE1" w:rsidR="00FC395F" w:rsidP="00DE6D27" w:rsidRDefault="00FC395F" w14:paraId="347EDB72" w14:textId="77777777">
            <w:pPr>
              <w:pStyle w:val="TableParagraph"/>
              <w:tabs>
                <w:tab w:val="left" w:pos="2060"/>
              </w:tabs>
              <w:ind w:left="103"/>
              <w:rPr>
                <w:rFonts w:cstheme="minorHAnsi"/>
                <w:b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Doel</w:t>
            </w:r>
            <w:r>
              <w:rPr>
                <w:rFonts w:cstheme="minorHAnsi"/>
                <w:b/>
                <w:color w:val="FFFFFF"/>
                <w:sz w:val="20"/>
                <w:szCs w:val="20"/>
              </w:rPr>
              <w:t>(</w:t>
            </w: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en</w:t>
            </w:r>
            <w:r>
              <w:rPr>
                <w:rFonts w:cstheme="minorHAnsi"/>
                <w:b/>
                <w:color w:val="FFFFFF"/>
                <w:sz w:val="20"/>
                <w:szCs w:val="20"/>
              </w:rPr>
              <w:t xml:space="preserve">) 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D27AE1" w:rsidR="00FC395F" w:rsidP="008B626E" w:rsidRDefault="007D2326" w14:paraId="2829F2C6" w14:textId="23F41F4F">
            <w:pPr>
              <w:pStyle w:val="TableParagraph"/>
              <w:tabs>
                <w:tab w:val="left" w:pos="2060"/>
              </w:tabs>
              <w:spacing w:before="10" w:line="218" w:lineRule="exact"/>
              <w:ind w:right="15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Het doel is om</w:t>
            </w:r>
            <w:r w:rsidR="00177EA5">
              <w:rPr>
                <w:rFonts w:cstheme="minorHAnsi"/>
                <w:sz w:val="20"/>
                <w:szCs w:val="20"/>
              </w:rPr>
              <w:t xml:space="preserve"> de behoefte aan (</w:t>
            </w:r>
            <w:r>
              <w:rPr>
                <w:rFonts w:cstheme="minorHAnsi"/>
                <w:sz w:val="20"/>
                <w:szCs w:val="20"/>
              </w:rPr>
              <w:t>zwaardere</w:t>
            </w:r>
            <w:r w:rsidR="00177EA5">
              <w:rPr>
                <w:rFonts w:cstheme="minorHAnsi"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4A4844">
              <w:rPr>
                <w:rFonts w:cstheme="minorHAnsi"/>
                <w:sz w:val="20"/>
                <w:szCs w:val="20"/>
              </w:rPr>
              <w:t>Wlz</w:t>
            </w:r>
            <w:proofErr w:type="spellEnd"/>
            <w:r w:rsidR="004A4844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zorg te voorkomen</w:t>
            </w:r>
            <w:r w:rsidR="00177EA5">
              <w:rPr>
                <w:rFonts w:cstheme="minorHAnsi"/>
                <w:sz w:val="20"/>
                <w:szCs w:val="20"/>
              </w:rPr>
              <w:t xml:space="preserve">, verminderen </w:t>
            </w:r>
            <w:r>
              <w:rPr>
                <w:rFonts w:cstheme="minorHAnsi"/>
                <w:sz w:val="20"/>
                <w:szCs w:val="20"/>
              </w:rPr>
              <w:t xml:space="preserve">of uit te stellen </w:t>
            </w:r>
            <w:r w:rsidR="00177EA5">
              <w:rPr>
                <w:rFonts w:cstheme="minorHAnsi"/>
                <w:sz w:val="20"/>
                <w:szCs w:val="20"/>
              </w:rPr>
              <w:t>door het nemen van maatregelen door het zorgkantoor samen met</w:t>
            </w:r>
            <w:r w:rsidR="004A4844">
              <w:rPr>
                <w:rFonts w:cstheme="minorHAnsi"/>
                <w:sz w:val="20"/>
                <w:szCs w:val="20"/>
              </w:rPr>
              <w:t xml:space="preserve"> </w:t>
            </w:r>
            <w:r w:rsidR="00177EA5">
              <w:rPr>
                <w:rFonts w:cstheme="minorHAnsi"/>
                <w:sz w:val="20"/>
                <w:szCs w:val="20"/>
              </w:rPr>
              <w:t>een of meer</w:t>
            </w:r>
            <w:r w:rsidR="004A4844">
              <w:rPr>
                <w:rFonts w:cstheme="minorHAnsi"/>
                <w:sz w:val="20"/>
                <w:szCs w:val="20"/>
              </w:rPr>
              <w:t>dere</w:t>
            </w:r>
            <w:r w:rsidR="00177EA5">
              <w:rPr>
                <w:rFonts w:cstheme="minorHAnsi"/>
                <w:sz w:val="20"/>
                <w:szCs w:val="20"/>
              </w:rPr>
              <w:t xml:space="preserve"> gemeenten of zorgverzekeraars o</w:t>
            </w:r>
            <w:r w:rsidR="008B626E">
              <w:rPr>
                <w:rFonts w:cstheme="minorHAnsi"/>
                <w:sz w:val="20"/>
                <w:szCs w:val="20"/>
              </w:rPr>
              <w:t>f Justitie en Veiligheid</w:t>
            </w:r>
            <w:r w:rsidR="004A4844">
              <w:rPr>
                <w:rFonts w:cstheme="minorHAnsi"/>
                <w:sz w:val="20"/>
                <w:szCs w:val="20"/>
              </w:rPr>
              <w:t xml:space="preserve"> (forensische zorg)</w:t>
            </w:r>
            <w:r w:rsidR="0072667D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Pr="00D27AE1" w:rsidR="00FC395F" w:rsidTr="00DE6D27" w14:paraId="7535A184" w14:textId="77777777">
        <w:trPr>
          <w:trHeight w:val="694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D27AE1" w:rsidR="00FC395F" w:rsidP="00DE6D27" w:rsidRDefault="00FC395F" w14:paraId="54F723A4" w14:textId="77777777">
            <w:pPr>
              <w:pStyle w:val="TableParagraph"/>
              <w:tabs>
                <w:tab w:val="left" w:pos="2060"/>
              </w:tabs>
              <w:ind w:left="103" w:right="231"/>
              <w:rPr>
                <w:rFonts w:cstheme="minorHAnsi"/>
                <w:b/>
                <w:color w:val="FFFFFF"/>
                <w:sz w:val="20"/>
                <w:szCs w:val="20"/>
              </w:rPr>
            </w:pPr>
          </w:p>
          <w:p w:rsidRPr="00D27AE1" w:rsidR="00FC395F" w:rsidP="00DE6D27" w:rsidRDefault="00FC395F" w14:paraId="281F3102" w14:textId="77777777">
            <w:pPr>
              <w:pStyle w:val="TableParagraph"/>
              <w:tabs>
                <w:tab w:val="left" w:pos="2060"/>
              </w:tabs>
              <w:ind w:left="103" w:right="231"/>
              <w:rPr>
                <w:rFonts w:cstheme="minorHAnsi"/>
                <w:b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Beleidsinstrument(en)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D27AE1" w:rsidR="00FC395F" w:rsidP="007D2326" w:rsidRDefault="007D2326" w14:paraId="4FA7D8D1" w14:textId="677E2464">
            <w:pPr>
              <w:pStyle w:val="TableParagraph"/>
              <w:tabs>
                <w:tab w:val="left" w:pos="2060"/>
              </w:tabs>
              <w:spacing w:line="218" w:lineRule="exact"/>
              <w:ind w:right="54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Het betreft een aanpassing van de W</w:t>
            </w:r>
            <w:r w:rsidR="00177EA5">
              <w:rPr>
                <w:rFonts w:cstheme="minorHAnsi"/>
                <w:sz w:val="20"/>
                <w:szCs w:val="20"/>
              </w:rPr>
              <w:t xml:space="preserve">et langdurige zorg en de Wet financiering sociale </w:t>
            </w:r>
            <w:r w:rsidR="00260D25">
              <w:rPr>
                <w:rFonts w:cstheme="minorHAnsi"/>
                <w:sz w:val="20"/>
                <w:szCs w:val="20"/>
              </w:rPr>
              <w:t>verzekeringen</w:t>
            </w:r>
            <w:r w:rsidR="004A4844">
              <w:rPr>
                <w:rFonts w:cstheme="minorHAnsi"/>
                <w:sz w:val="20"/>
                <w:szCs w:val="20"/>
              </w:rPr>
              <w:t xml:space="preserve"> die per 1 januari 2026 in werking is getreden</w:t>
            </w:r>
            <w:r>
              <w:rPr>
                <w:rFonts w:cstheme="minorHAnsi"/>
                <w:sz w:val="20"/>
                <w:szCs w:val="20"/>
              </w:rPr>
              <w:t xml:space="preserve">, waardoor zorgkantoren rechtmatig vanuit het Fonds langdurige zorg </w:t>
            </w:r>
            <w:r w:rsidR="00177EA5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="00177EA5">
              <w:rPr>
                <w:rFonts w:cstheme="minorHAnsi"/>
                <w:sz w:val="20"/>
                <w:szCs w:val="20"/>
              </w:rPr>
              <w:t>Flz</w:t>
            </w:r>
            <w:proofErr w:type="spellEnd"/>
            <w:r w:rsidR="00177EA5">
              <w:rPr>
                <w:rFonts w:cstheme="minorHAnsi"/>
                <w:sz w:val="20"/>
                <w:szCs w:val="20"/>
              </w:rPr>
              <w:t xml:space="preserve">) </w:t>
            </w:r>
            <w:r>
              <w:rPr>
                <w:rFonts w:cstheme="minorHAnsi"/>
                <w:sz w:val="20"/>
                <w:szCs w:val="20"/>
              </w:rPr>
              <w:t xml:space="preserve">kunnen investeren in </w:t>
            </w:r>
            <w:r w:rsidR="00260D25">
              <w:rPr>
                <w:rFonts w:cstheme="minorHAnsi"/>
                <w:sz w:val="20"/>
                <w:szCs w:val="20"/>
              </w:rPr>
              <w:t>andere domeinen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="00177EA5">
              <w:rPr>
                <w:rFonts w:cstheme="minorHAnsi"/>
                <w:sz w:val="20"/>
                <w:szCs w:val="20"/>
              </w:rPr>
              <w:t>De wet voorziet daarmee in een uitbreiding van de</w:t>
            </w:r>
            <w:r w:rsidR="00820616">
              <w:rPr>
                <w:rFonts w:cstheme="minorHAnsi"/>
                <w:sz w:val="20"/>
                <w:szCs w:val="20"/>
              </w:rPr>
              <w:t xml:space="preserve"> b</w:t>
            </w:r>
            <w:r w:rsidR="00177EA5">
              <w:rPr>
                <w:rFonts w:cstheme="minorHAnsi"/>
                <w:sz w:val="20"/>
                <w:szCs w:val="20"/>
              </w:rPr>
              <w:t>ekostigingsmogelijkheden met middelen vanuit</w:t>
            </w:r>
            <w:r w:rsidR="00047A97">
              <w:rPr>
                <w:rFonts w:cstheme="minorHAnsi"/>
                <w:sz w:val="20"/>
                <w:szCs w:val="20"/>
              </w:rPr>
              <w:t xml:space="preserve"> het </w:t>
            </w:r>
            <w:proofErr w:type="spellStart"/>
            <w:r w:rsidR="00047A97">
              <w:rPr>
                <w:rFonts w:cstheme="minorHAnsi"/>
                <w:sz w:val="20"/>
                <w:szCs w:val="20"/>
              </w:rPr>
              <w:t>Flz</w:t>
            </w:r>
            <w:proofErr w:type="spellEnd"/>
            <w:r w:rsidR="00177EA5">
              <w:rPr>
                <w:rFonts w:cstheme="minorHAnsi"/>
                <w:sz w:val="20"/>
                <w:szCs w:val="20"/>
              </w:rPr>
              <w:t xml:space="preserve">. </w:t>
            </w:r>
          </w:p>
        </w:tc>
      </w:tr>
      <w:tr w:rsidRPr="00D27AE1" w:rsidR="00FC395F" w:rsidTr="00DE6D27" w14:paraId="4FC52858" w14:textId="77777777">
        <w:trPr>
          <w:trHeight w:val="805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D27AE1" w:rsidR="00FC395F" w:rsidP="00DE6D27" w:rsidRDefault="00FC395F" w14:paraId="25822BC2" w14:textId="77777777">
            <w:pPr>
              <w:pStyle w:val="TableParagraph"/>
              <w:tabs>
                <w:tab w:val="left" w:pos="2060"/>
              </w:tabs>
              <w:spacing w:before="144" w:line="242" w:lineRule="auto"/>
              <w:ind w:left="103" w:right="506"/>
              <w:rPr>
                <w:rFonts w:cstheme="minorHAnsi"/>
                <w:b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Financiële gevolgen voor het Rijk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261BAA" w:rsidR="0072667D" w:rsidP="0072667D" w:rsidRDefault="00261BAA" w14:paraId="48F83799" w14:textId="254FD5E3">
            <w:pPr>
              <w:pStyle w:val="TableParagraph"/>
              <w:tabs>
                <w:tab w:val="left" w:pos="2060"/>
              </w:tabs>
              <w:spacing w:before="3" w:line="218" w:lineRule="exact"/>
              <w:ind w:right="945"/>
              <w:rPr>
                <w:rFonts w:cstheme="minorHAnsi"/>
                <w:sz w:val="20"/>
                <w:szCs w:val="20"/>
              </w:rPr>
            </w:pPr>
            <w:r w:rsidRPr="00261BAA">
              <w:rPr>
                <w:rFonts w:cstheme="minorHAnsi"/>
                <w:sz w:val="20"/>
                <w:szCs w:val="20"/>
              </w:rPr>
              <w:t xml:space="preserve">Een belangrijke voorwaarde om preventieve maatregelen te bekostigen met middelen vanuit het </w:t>
            </w:r>
            <w:proofErr w:type="spellStart"/>
            <w:r w:rsidRPr="00261BAA">
              <w:rPr>
                <w:rFonts w:cstheme="minorHAnsi"/>
                <w:sz w:val="20"/>
                <w:szCs w:val="20"/>
              </w:rPr>
              <w:t>Flz</w:t>
            </w:r>
            <w:proofErr w:type="spellEnd"/>
            <w:r w:rsidRPr="00261BAA">
              <w:rPr>
                <w:rFonts w:cstheme="minorHAnsi"/>
                <w:sz w:val="20"/>
                <w:szCs w:val="20"/>
              </w:rPr>
              <w:t xml:space="preserve"> is dat het aantoonbaar leidt tot lagere zorguitgaven. </w:t>
            </w:r>
            <w:bookmarkStart w:name="_Hlk231388760" w:id="0"/>
            <w:r w:rsidR="0020266F">
              <w:rPr>
                <w:rFonts w:cstheme="minorHAnsi"/>
                <w:sz w:val="20"/>
                <w:szCs w:val="20"/>
              </w:rPr>
              <w:t xml:space="preserve">De uitgaven van zorgkantoren moeten een minstens net zo grote besparing opleveren in de </w:t>
            </w:r>
            <w:proofErr w:type="spellStart"/>
            <w:r w:rsidR="0020266F">
              <w:rPr>
                <w:rFonts w:cstheme="minorHAnsi"/>
                <w:sz w:val="20"/>
                <w:szCs w:val="20"/>
              </w:rPr>
              <w:t>Wlz</w:t>
            </w:r>
            <w:proofErr w:type="spellEnd"/>
            <w:r w:rsidR="0020266F">
              <w:rPr>
                <w:rFonts w:cstheme="minorHAnsi"/>
                <w:sz w:val="20"/>
                <w:szCs w:val="20"/>
              </w:rPr>
              <w:t xml:space="preserve"> door uitstel van zorg of door een verschuiving naar goedkopere zorg. Hiervoor wordt binnen het </w:t>
            </w:r>
            <w:proofErr w:type="spellStart"/>
            <w:r w:rsidR="0020266F">
              <w:rPr>
                <w:rFonts w:cstheme="minorHAnsi"/>
                <w:sz w:val="20"/>
                <w:szCs w:val="20"/>
              </w:rPr>
              <w:t>Wlz</w:t>
            </w:r>
            <w:proofErr w:type="spellEnd"/>
            <w:r w:rsidR="0020266F">
              <w:rPr>
                <w:rFonts w:cstheme="minorHAnsi"/>
                <w:sz w:val="20"/>
                <w:szCs w:val="20"/>
              </w:rPr>
              <w:t>-kader in 2027 en 2028</w:t>
            </w:r>
            <w:r w:rsidR="00047A97">
              <w:rPr>
                <w:rFonts w:cstheme="minorHAnsi"/>
                <w:sz w:val="20"/>
                <w:szCs w:val="20"/>
              </w:rPr>
              <w:t xml:space="preserve"> </w:t>
            </w:r>
            <w:r w:rsidR="0020266F">
              <w:rPr>
                <w:rFonts w:cstheme="minorHAnsi"/>
                <w:sz w:val="20"/>
                <w:szCs w:val="20"/>
              </w:rPr>
              <w:t xml:space="preserve">€ 47 miljoen beschikbaar gesteld vanuit de groeiruimte. </w:t>
            </w:r>
            <w:r w:rsidR="00E23400">
              <w:rPr>
                <w:rFonts w:cstheme="minorHAnsi"/>
                <w:sz w:val="20"/>
                <w:szCs w:val="20"/>
              </w:rPr>
              <w:t>Dit is gelijk aan het bedrag dat voor 2026 beschikbaar is o</w:t>
            </w:r>
            <w:r w:rsidR="0020266F">
              <w:rPr>
                <w:rFonts w:cstheme="minorHAnsi"/>
                <w:sz w:val="20"/>
                <w:szCs w:val="20"/>
              </w:rPr>
              <w:t xml:space="preserve">p grond van de definitieve kaderbrief </w:t>
            </w:r>
            <w:proofErr w:type="spellStart"/>
            <w:r w:rsidR="0020266F">
              <w:rPr>
                <w:rFonts w:cstheme="minorHAnsi"/>
                <w:sz w:val="20"/>
                <w:szCs w:val="20"/>
              </w:rPr>
              <w:t>Wlz</w:t>
            </w:r>
            <w:proofErr w:type="spellEnd"/>
            <w:r w:rsidR="0020266F">
              <w:rPr>
                <w:rFonts w:cstheme="minorHAnsi"/>
                <w:sz w:val="20"/>
                <w:szCs w:val="20"/>
              </w:rPr>
              <w:t xml:space="preserve"> 2026</w:t>
            </w:r>
            <w:r w:rsidR="00D8655C">
              <w:rPr>
                <w:rFonts w:cstheme="minorHAnsi"/>
                <w:sz w:val="20"/>
                <w:szCs w:val="20"/>
              </w:rPr>
              <w:t xml:space="preserve"> </w:t>
            </w:r>
            <w:r w:rsidR="00E23400">
              <w:rPr>
                <w:rFonts w:cstheme="minorHAnsi"/>
                <w:sz w:val="20"/>
                <w:szCs w:val="20"/>
              </w:rPr>
              <w:t>(TK 2025/2026, 34104, nr. 450)</w:t>
            </w:r>
            <w:r w:rsidR="0020266F">
              <w:rPr>
                <w:rFonts w:cstheme="minorHAnsi"/>
                <w:sz w:val="20"/>
                <w:szCs w:val="20"/>
              </w:rPr>
              <w:t xml:space="preserve">. </w:t>
            </w:r>
            <w:r w:rsidR="00E23400">
              <w:rPr>
                <w:rFonts w:cstheme="minorHAnsi"/>
                <w:sz w:val="20"/>
                <w:szCs w:val="20"/>
              </w:rPr>
              <w:t>I</w:t>
            </w:r>
            <w:r w:rsidR="0020266F">
              <w:rPr>
                <w:rFonts w:cstheme="minorHAnsi"/>
                <w:sz w:val="20"/>
                <w:szCs w:val="20"/>
              </w:rPr>
              <w:t xml:space="preserve">n aanloop naar de verruiming van de </w:t>
            </w:r>
            <w:r w:rsidR="00E23400">
              <w:rPr>
                <w:rFonts w:cstheme="minorHAnsi"/>
                <w:sz w:val="20"/>
                <w:szCs w:val="20"/>
              </w:rPr>
              <w:t xml:space="preserve">wettelijke </w:t>
            </w:r>
            <w:r w:rsidR="0020266F">
              <w:rPr>
                <w:rFonts w:cstheme="minorHAnsi"/>
                <w:sz w:val="20"/>
                <w:szCs w:val="20"/>
              </w:rPr>
              <w:t xml:space="preserve">mogelijkheden voor </w:t>
            </w:r>
            <w:proofErr w:type="spellStart"/>
            <w:r w:rsidR="0020266F">
              <w:rPr>
                <w:rFonts w:cstheme="minorHAnsi"/>
                <w:sz w:val="20"/>
                <w:szCs w:val="20"/>
              </w:rPr>
              <w:t>domeinoverstijgende</w:t>
            </w:r>
            <w:proofErr w:type="spellEnd"/>
            <w:r w:rsidR="0020266F">
              <w:rPr>
                <w:rFonts w:cstheme="minorHAnsi"/>
                <w:sz w:val="20"/>
                <w:szCs w:val="20"/>
              </w:rPr>
              <w:t xml:space="preserve"> samenwerking was er vanaf 2023 al een regeling op grond van de specifieke uitkering DOS (SPUK DOS).</w:t>
            </w:r>
          </w:p>
          <w:bookmarkEnd w:id="0"/>
          <w:p w:rsidRPr="00D27AE1" w:rsidR="00261BAA" w:rsidP="00047A97" w:rsidRDefault="00261BAA" w14:paraId="0DD56D0C" w14:textId="49721261">
            <w:pPr>
              <w:pStyle w:val="TableParagraph"/>
              <w:tabs>
                <w:tab w:val="left" w:pos="2060"/>
              </w:tabs>
              <w:spacing w:before="3" w:line="218" w:lineRule="exact"/>
              <w:ind w:right="945"/>
              <w:rPr>
                <w:rFonts w:cstheme="minorHAnsi"/>
                <w:sz w:val="20"/>
                <w:szCs w:val="20"/>
              </w:rPr>
            </w:pPr>
          </w:p>
        </w:tc>
      </w:tr>
      <w:tr w:rsidRPr="00D27AE1" w:rsidR="00FC395F" w:rsidTr="00DE6D27" w14:paraId="0B84C1C2" w14:textId="77777777">
        <w:trPr>
          <w:trHeight w:val="891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D27AE1" w:rsidR="00FC395F" w:rsidP="00DE6D27" w:rsidRDefault="00FC395F" w14:paraId="59A9A0A4" w14:textId="77777777">
            <w:pPr>
              <w:pStyle w:val="TableParagraph"/>
              <w:tabs>
                <w:tab w:val="left" w:pos="2060"/>
              </w:tabs>
              <w:spacing w:before="146"/>
              <w:ind w:left="103" w:right="92"/>
              <w:rPr>
                <w:rFonts w:cstheme="minorHAnsi"/>
                <w:b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Financiële gevolgen voor maatschappelijke sectoren</w:t>
            </w:r>
            <w:r>
              <w:rPr>
                <w:rFonts w:cstheme="minorHAnsi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D27AE1" w:rsidR="00FC395F" w:rsidP="00DE6D27" w:rsidRDefault="00060028" w14:paraId="5B84AA43" w14:textId="3EDE41C5">
            <w:pPr>
              <w:pStyle w:val="TableParagraph"/>
              <w:tabs>
                <w:tab w:val="left" w:pos="2060"/>
              </w:tabs>
              <w:ind w:left="101" w:right="3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Niet van toepassing</w:t>
            </w:r>
            <w:r w:rsidRPr="00D27AE1" w:rsidR="00FC395F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Pr="00D27AE1" w:rsidR="00FC395F" w:rsidTr="00DE6D27" w14:paraId="0F35B532" w14:textId="77777777">
        <w:trPr>
          <w:trHeight w:val="955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D27AE1" w:rsidR="00FC395F" w:rsidP="00DE6D27" w:rsidRDefault="00FC395F" w14:paraId="7F09D4CA" w14:textId="77777777">
            <w:pPr>
              <w:pStyle w:val="TableParagraph"/>
              <w:tabs>
                <w:tab w:val="left" w:pos="2060"/>
              </w:tabs>
              <w:spacing w:before="141"/>
              <w:ind w:left="103" w:right="829"/>
              <w:rPr>
                <w:rFonts w:cstheme="minorHAnsi"/>
                <w:b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Nagestreefde doeltreffendheid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D27AE1" w:rsidR="00FC395F" w:rsidP="00DE6D27" w:rsidRDefault="00D8655C" w14:paraId="373534C2" w14:textId="481F5DDD">
            <w:pPr>
              <w:pStyle w:val="TableParagraph"/>
              <w:tabs>
                <w:tab w:val="left" w:pos="2060"/>
              </w:tabs>
              <w:spacing w:before="4" w:line="218" w:lineRule="exact"/>
              <w:ind w:left="101" w:right="16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="00060028">
              <w:rPr>
                <w:rFonts w:cstheme="minorHAnsi"/>
                <w:sz w:val="20"/>
                <w:szCs w:val="20"/>
              </w:rPr>
              <w:t xml:space="preserve">e samenwerking tussen verschillende domeinen </w:t>
            </w:r>
            <w:r w:rsidR="0072667D">
              <w:rPr>
                <w:rFonts w:cstheme="minorHAnsi"/>
                <w:sz w:val="20"/>
                <w:szCs w:val="20"/>
              </w:rPr>
              <w:t>bevorderen</w:t>
            </w:r>
            <w:r>
              <w:rPr>
                <w:rFonts w:cstheme="minorHAnsi"/>
                <w:sz w:val="20"/>
                <w:szCs w:val="20"/>
              </w:rPr>
              <w:t>. D</w:t>
            </w:r>
            <w:r w:rsidR="00060028">
              <w:rPr>
                <w:rFonts w:cstheme="minorHAnsi"/>
                <w:sz w:val="20"/>
                <w:szCs w:val="20"/>
              </w:rPr>
              <w:t>oor zorgkantoren de mogelijkheid te geven om financieel bij te dragen</w:t>
            </w:r>
            <w:r>
              <w:rPr>
                <w:rFonts w:cstheme="minorHAnsi"/>
                <w:sz w:val="20"/>
                <w:szCs w:val="20"/>
              </w:rPr>
              <w:t xml:space="preserve"> aan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domeinoverstijgende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initiatieven</w:t>
            </w:r>
            <w:r w:rsidR="00060028">
              <w:rPr>
                <w:rFonts w:cstheme="minorHAnsi"/>
                <w:sz w:val="20"/>
                <w:szCs w:val="20"/>
              </w:rPr>
              <w:t xml:space="preserve"> is beoogd dat de zorg en ondersteuning meer in samenhang rondom de patiënt wordt georganiseerd. </w:t>
            </w:r>
            <w:r w:rsidR="00D47B90">
              <w:rPr>
                <w:rFonts w:cstheme="minorHAnsi"/>
                <w:sz w:val="20"/>
                <w:szCs w:val="20"/>
              </w:rPr>
              <w:t>Het is de bedoeling dat d</w:t>
            </w:r>
            <w:r w:rsidR="00060028">
              <w:rPr>
                <w:rFonts w:cstheme="minorHAnsi"/>
                <w:sz w:val="20"/>
                <w:szCs w:val="20"/>
              </w:rPr>
              <w:t>oor</w:t>
            </w:r>
            <w:r w:rsidR="0072667D">
              <w:rPr>
                <w:rFonts w:cstheme="minorHAnsi"/>
                <w:sz w:val="20"/>
                <w:szCs w:val="20"/>
              </w:rPr>
              <w:t xml:space="preserve"> bijvoorbeeld</w:t>
            </w:r>
            <w:r w:rsidR="00060028">
              <w:rPr>
                <w:rFonts w:cstheme="minorHAnsi"/>
                <w:sz w:val="20"/>
                <w:szCs w:val="20"/>
              </w:rPr>
              <w:t xml:space="preserve"> de ondersteuning in het sociaal domein op een andere manier</w:t>
            </w:r>
            <w:r w:rsidR="0072667D">
              <w:rPr>
                <w:rFonts w:cstheme="minorHAnsi"/>
                <w:sz w:val="20"/>
                <w:szCs w:val="20"/>
              </w:rPr>
              <w:t xml:space="preserve"> vorm te </w:t>
            </w:r>
            <w:r w:rsidR="00E23400">
              <w:rPr>
                <w:rFonts w:cstheme="minorHAnsi"/>
                <w:sz w:val="20"/>
                <w:szCs w:val="20"/>
              </w:rPr>
              <w:t>geven</w:t>
            </w:r>
            <w:r w:rsidR="00D47B90">
              <w:rPr>
                <w:rFonts w:cstheme="minorHAnsi"/>
                <w:sz w:val="20"/>
                <w:szCs w:val="20"/>
              </w:rPr>
              <w:t>,</w:t>
            </w:r>
            <w:r w:rsidR="00E23400">
              <w:rPr>
                <w:rFonts w:cstheme="minorHAnsi"/>
                <w:sz w:val="20"/>
                <w:szCs w:val="20"/>
              </w:rPr>
              <w:t xml:space="preserve"> </w:t>
            </w:r>
            <w:r w:rsidR="00060028">
              <w:rPr>
                <w:rFonts w:cstheme="minorHAnsi"/>
                <w:sz w:val="20"/>
                <w:szCs w:val="20"/>
              </w:rPr>
              <w:t>een beroep op zwaardere zorg wordt</w:t>
            </w:r>
            <w:r w:rsidR="0072667D">
              <w:rPr>
                <w:rFonts w:cstheme="minorHAnsi"/>
                <w:sz w:val="20"/>
                <w:szCs w:val="20"/>
              </w:rPr>
              <w:t xml:space="preserve"> voorkomen, verminderd of </w:t>
            </w:r>
            <w:r w:rsidR="0015136D">
              <w:rPr>
                <w:rFonts w:cstheme="minorHAnsi"/>
                <w:sz w:val="20"/>
                <w:szCs w:val="20"/>
              </w:rPr>
              <w:t>wordt</w:t>
            </w:r>
            <w:r w:rsidR="00060028">
              <w:rPr>
                <w:rFonts w:cstheme="minorHAnsi"/>
                <w:sz w:val="20"/>
                <w:szCs w:val="20"/>
              </w:rPr>
              <w:t xml:space="preserve"> uitgesteld.</w:t>
            </w:r>
          </w:p>
        </w:tc>
      </w:tr>
      <w:tr w:rsidRPr="00D27AE1" w:rsidR="00FC395F" w:rsidTr="00DE6D27" w14:paraId="1D436C41" w14:textId="77777777">
        <w:trPr>
          <w:trHeight w:val="983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D27AE1" w:rsidR="00FC395F" w:rsidP="00DE6D27" w:rsidRDefault="00FC395F" w14:paraId="1A74F3EB" w14:textId="44C4766B">
            <w:pPr>
              <w:pStyle w:val="TableParagraph"/>
              <w:tabs>
                <w:tab w:val="left" w:pos="2060"/>
              </w:tabs>
              <w:rPr>
                <w:rFonts w:cstheme="minorHAnsi"/>
                <w:i/>
                <w:sz w:val="20"/>
                <w:szCs w:val="20"/>
              </w:rPr>
            </w:pPr>
          </w:p>
          <w:p w:rsidRPr="00D27AE1" w:rsidR="00FC395F" w:rsidP="00DE6D27" w:rsidRDefault="00FC395F" w14:paraId="13BE2D0E" w14:textId="77777777">
            <w:pPr>
              <w:pStyle w:val="TableParagraph"/>
              <w:tabs>
                <w:tab w:val="left" w:pos="2060"/>
              </w:tabs>
              <w:ind w:left="103" w:right="1066"/>
              <w:rPr>
                <w:rFonts w:cstheme="minorHAnsi"/>
                <w:b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Nagestreefde doelmatigheid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D27AE1" w:rsidR="00FC395F" w:rsidP="0072667D" w:rsidRDefault="0086561A" w14:paraId="01D32BC9" w14:textId="1C9BE4A8">
            <w:pPr>
              <w:pStyle w:val="TableParagraph"/>
              <w:tabs>
                <w:tab w:val="left" w:pos="2060"/>
              </w:tabs>
              <w:spacing w:before="4" w:line="218" w:lineRule="exact"/>
              <w:ind w:left="101" w:right="166"/>
              <w:rPr>
                <w:rFonts w:cstheme="minorHAnsi"/>
                <w:sz w:val="20"/>
                <w:szCs w:val="20"/>
              </w:rPr>
            </w:pPr>
            <w:r w:rsidRPr="0086561A">
              <w:rPr>
                <w:rFonts w:cstheme="minorHAnsi"/>
                <w:sz w:val="20"/>
                <w:szCs w:val="20"/>
              </w:rPr>
              <w:t xml:space="preserve">Zoals eerder aangegeven is een voorwaarde dat de maatregelen waarin wordt geïnvesteerd leiden tot lagere zorguitgaven. </w:t>
            </w:r>
            <w:r w:rsidR="00D47B90">
              <w:rPr>
                <w:rFonts w:cstheme="minorHAnsi"/>
                <w:sz w:val="20"/>
                <w:szCs w:val="20"/>
              </w:rPr>
              <w:t>Z</w:t>
            </w:r>
            <w:r w:rsidRPr="0086561A">
              <w:rPr>
                <w:rFonts w:cstheme="minorHAnsi"/>
                <w:sz w:val="20"/>
                <w:szCs w:val="20"/>
              </w:rPr>
              <w:t>orgkantor</w:t>
            </w:r>
            <w:r w:rsidR="00D47B90">
              <w:rPr>
                <w:rFonts w:cstheme="minorHAnsi"/>
                <w:sz w:val="20"/>
                <w:szCs w:val="20"/>
              </w:rPr>
              <w:t>en</w:t>
            </w:r>
            <w:r w:rsidRPr="0086561A">
              <w:rPr>
                <w:rFonts w:cstheme="minorHAnsi"/>
                <w:sz w:val="20"/>
                <w:szCs w:val="20"/>
              </w:rPr>
              <w:t xml:space="preserve"> moet</w:t>
            </w:r>
            <w:r w:rsidR="00D47B90">
              <w:rPr>
                <w:rFonts w:cstheme="minorHAnsi"/>
                <w:sz w:val="20"/>
                <w:szCs w:val="20"/>
              </w:rPr>
              <w:t>en</w:t>
            </w:r>
            <w:r w:rsidRPr="0086561A">
              <w:rPr>
                <w:rFonts w:cstheme="minorHAnsi"/>
                <w:sz w:val="20"/>
                <w:szCs w:val="20"/>
              </w:rPr>
              <w:t xml:space="preserve"> jaarlijks zorgen voor monitoring van de maatregelen. De jaarlijkse monitoring moet een uiteenzetting bevatten over de gerealiseerde bijdrage aan het voorkomen, verminderen of het uitstellen van </w:t>
            </w:r>
            <w:proofErr w:type="spellStart"/>
            <w:r w:rsidRPr="0086561A">
              <w:rPr>
                <w:rFonts w:cstheme="minorHAnsi"/>
                <w:sz w:val="20"/>
                <w:szCs w:val="20"/>
              </w:rPr>
              <w:t>Wlz</w:t>
            </w:r>
            <w:proofErr w:type="spellEnd"/>
            <w:r w:rsidRPr="0086561A">
              <w:rPr>
                <w:rFonts w:cstheme="minorHAnsi"/>
                <w:sz w:val="20"/>
                <w:szCs w:val="20"/>
              </w:rPr>
              <w:t>-zorg. Wanneer uit deze monitor</w:t>
            </w:r>
            <w:r w:rsidR="00D47B90">
              <w:rPr>
                <w:rFonts w:cstheme="minorHAnsi"/>
                <w:sz w:val="20"/>
                <w:szCs w:val="20"/>
              </w:rPr>
              <w:t>ing</w:t>
            </w:r>
            <w:r w:rsidRPr="0086561A">
              <w:rPr>
                <w:rFonts w:cstheme="minorHAnsi"/>
                <w:sz w:val="20"/>
                <w:szCs w:val="20"/>
              </w:rPr>
              <w:t xml:space="preserve"> blijkt dat de business case onvoldoende wordt gerealiseerd</w:t>
            </w:r>
            <w:r w:rsidR="00D47B90">
              <w:rPr>
                <w:rFonts w:cstheme="minorHAnsi"/>
                <w:sz w:val="20"/>
                <w:szCs w:val="20"/>
              </w:rPr>
              <w:t>,</w:t>
            </w:r>
            <w:r w:rsidRPr="0086561A">
              <w:rPr>
                <w:rFonts w:cstheme="minorHAnsi"/>
                <w:sz w:val="20"/>
                <w:szCs w:val="20"/>
              </w:rPr>
              <w:t xml:space="preserve"> dan wordt verwacht dat zorgkantoren hierop bijsturen. De </w:t>
            </w:r>
            <w:proofErr w:type="spellStart"/>
            <w:r w:rsidRPr="0086561A">
              <w:rPr>
                <w:rFonts w:cstheme="minorHAnsi"/>
                <w:sz w:val="20"/>
                <w:szCs w:val="20"/>
              </w:rPr>
              <w:t>NZa</w:t>
            </w:r>
            <w:proofErr w:type="spellEnd"/>
            <w:r w:rsidRPr="0086561A">
              <w:rPr>
                <w:rFonts w:cstheme="minorHAnsi"/>
                <w:sz w:val="20"/>
                <w:szCs w:val="20"/>
              </w:rPr>
              <w:t xml:space="preserve"> houdt hier toezicht op.</w:t>
            </w:r>
          </w:p>
        </w:tc>
      </w:tr>
      <w:tr w:rsidRPr="00D27AE1" w:rsidR="00FC395F" w:rsidTr="00DE6D27" w14:paraId="6CE428FC" w14:textId="77777777">
        <w:trPr>
          <w:trHeight w:val="983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2C7109" w:rsidR="00FC395F" w:rsidP="00DE6D27" w:rsidRDefault="00FC395F" w14:paraId="3E9CAFDD" w14:textId="77777777">
            <w:pPr>
              <w:pStyle w:val="TableParagraph"/>
              <w:tabs>
                <w:tab w:val="left" w:pos="2060"/>
              </w:tabs>
              <w:ind w:left="103" w:right="1066"/>
              <w:rPr>
                <w:rFonts w:cstheme="minorHAnsi"/>
                <w:b/>
                <w:color w:val="FFFFFF"/>
                <w:sz w:val="20"/>
                <w:szCs w:val="20"/>
              </w:rPr>
            </w:pPr>
          </w:p>
          <w:p w:rsidRPr="00D27AE1" w:rsidR="00FC395F" w:rsidP="00DE6D27" w:rsidRDefault="00FC395F" w14:paraId="1C138F3F" w14:textId="77777777">
            <w:pPr>
              <w:pStyle w:val="TableParagraph"/>
              <w:tabs>
                <w:tab w:val="left" w:pos="2060"/>
              </w:tabs>
              <w:ind w:left="103" w:right="1066"/>
              <w:rPr>
                <w:rFonts w:cstheme="minorHAnsi"/>
                <w:i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Evaluatieparagraaf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="00806721" w:rsidP="00806721" w:rsidRDefault="00D47B90" w14:paraId="1368EB5D" w14:textId="02167B39">
            <w:pPr>
              <w:pStyle w:val="TableParagraph"/>
              <w:tabs>
                <w:tab w:val="left" w:pos="2060"/>
              </w:tabs>
              <w:spacing w:line="213" w:lineRule="exact"/>
              <w:ind w:left="10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Bij de wetsaanpassing is bepaald dat VWS</w:t>
            </w:r>
            <w:r w:rsidRPr="00260D25" w:rsidR="00260D25">
              <w:rPr>
                <w:rFonts w:cstheme="minorHAnsi"/>
                <w:sz w:val="20"/>
                <w:szCs w:val="20"/>
              </w:rPr>
              <w:t xml:space="preserve"> </w:t>
            </w:r>
            <w:r w:rsidR="002C7B8F">
              <w:rPr>
                <w:rFonts w:cstheme="minorHAnsi"/>
                <w:sz w:val="20"/>
                <w:szCs w:val="20"/>
              </w:rPr>
              <w:t>binnen</w:t>
            </w:r>
            <w:r w:rsidRPr="006002BD" w:rsidR="00260D25">
              <w:rPr>
                <w:rFonts w:cstheme="minorHAnsi"/>
                <w:sz w:val="20"/>
                <w:szCs w:val="20"/>
              </w:rPr>
              <w:t xml:space="preserve"> </w:t>
            </w:r>
            <w:r w:rsidR="00717EBF">
              <w:rPr>
                <w:rFonts w:cstheme="minorHAnsi"/>
                <w:sz w:val="20"/>
                <w:szCs w:val="20"/>
              </w:rPr>
              <w:t>drie</w:t>
            </w:r>
            <w:r w:rsidRPr="006002BD" w:rsidR="00260D25">
              <w:rPr>
                <w:rFonts w:cstheme="minorHAnsi"/>
                <w:sz w:val="20"/>
                <w:szCs w:val="20"/>
              </w:rPr>
              <w:t xml:space="preserve"> jaar</w:t>
            </w:r>
            <w:r w:rsidR="002C7B8F">
              <w:rPr>
                <w:rFonts w:cstheme="minorHAnsi"/>
                <w:sz w:val="20"/>
                <w:szCs w:val="20"/>
              </w:rPr>
              <w:t xml:space="preserve"> na de inwerkingtreding van de wet</w:t>
            </w:r>
            <w:r w:rsidR="00260D25">
              <w:rPr>
                <w:rFonts w:cstheme="minorHAnsi"/>
                <w:sz w:val="20"/>
                <w:szCs w:val="20"/>
              </w:rPr>
              <w:t xml:space="preserve"> </w:t>
            </w:r>
            <w:r w:rsidRPr="00260D25" w:rsidR="00260D25">
              <w:rPr>
                <w:rFonts w:cstheme="minorHAnsi"/>
                <w:sz w:val="20"/>
                <w:szCs w:val="20"/>
              </w:rPr>
              <w:t>een evaluatie uitvoer</w:t>
            </w:r>
            <w:r>
              <w:rPr>
                <w:rFonts w:cstheme="minorHAnsi"/>
                <w:sz w:val="20"/>
                <w:szCs w:val="20"/>
              </w:rPr>
              <w:t>t</w:t>
            </w:r>
            <w:r w:rsidRPr="00260D25" w:rsidR="00260D25">
              <w:rPr>
                <w:rFonts w:cstheme="minorHAnsi"/>
                <w:sz w:val="20"/>
                <w:szCs w:val="20"/>
              </w:rPr>
              <w:t>. Die evaluatie heeft tot doel een duidelijker beeld te krijgen welke preventieve maatregelen wel of niet succesvol zijn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Pr="00806721" w:rsidR="00D47B90" w:rsidP="00806721" w:rsidRDefault="00D47B90" w14:paraId="4FB1B602" w14:textId="640FDC3B">
            <w:pPr>
              <w:pStyle w:val="TableParagraph"/>
              <w:tabs>
                <w:tab w:val="left" w:pos="2060"/>
              </w:tabs>
              <w:spacing w:line="213" w:lineRule="exact"/>
              <w:ind w:left="101"/>
              <w:rPr>
                <w:rFonts w:cstheme="minorHAnsi"/>
                <w:sz w:val="20"/>
                <w:szCs w:val="20"/>
              </w:rPr>
            </w:pPr>
            <w:r w:rsidRPr="00261BAA">
              <w:rPr>
                <w:rFonts w:cstheme="minorHAnsi"/>
                <w:sz w:val="20"/>
                <w:szCs w:val="20"/>
              </w:rPr>
              <w:t>De VU heeft onderzoek verricht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61BAA">
              <w:rPr>
                <w:rFonts w:cstheme="minorHAnsi"/>
                <w:sz w:val="20"/>
                <w:szCs w:val="20"/>
              </w:rPr>
              <w:t xml:space="preserve">naar projecten met </w:t>
            </w:r>
            <w:proofErr w:type="spellStart"/>
            <w:r w:rsidRPr="00261BAA">
              <w:rPr>
                <w:rFonts w:cstheme="minorHAnsi"/>
                <w:sz w:val="20"/>
                <w:szCs w:val="20"/>
              </w:rPr>
              <w:t>domeinoverstijgende</w:t>
            </w:r>
            <w:proofErr w:type="spellEnd"/>
            <w:r w:rsidRPr="00261BAA">
              <w:rPr>
                <w:rFonts w:cstheme="minorHAnsi"/>
                <w:sz w:val="20"/>
                <w:szCs w:val="20"/>
              </w:rPr>
              <w:t xml:space="preserve"> samenwerking (DOS) die via </w:t>
            </w:r>
            <w:r>
              <w:rPr>
                <w:rFonts w:cstheme="minorHAnsi"/>
                <w:sz w:val="20"/>
                <w:szCs w:val="20"/>
              </w:rPr>
              <w:t xml:space="preserve">de SPUK DOS </w:t>
            </w:r>
            <w:r w:rsidRPr="00261BAA">
              <w:rPr>
                <w:rFonts w:cstheme="minorHAnsi"/>
                <w:sz w:val="20"/>
                <w:szCs w:val="20"/>
              </w:rPr>
              <w:t xml:space="preserve">van de grond gekomen zijn </w:t>
            </w:r>
            <w:r>
              <w:rPr>
                <w:rFonts w:cstheme="minorHAnsi"/>
                <w:sz w:val="20"/>
                <w:szCs w:val="20"/>
              </w:rPr>
              <w:t>vooruitlopend op de aanpassing van de wetgeving. In deze monitor concludeert de VU</w:t>
            </w:r>
            <w:r w:rsidRPr="00261BAA">
              <w:rPr>
                <w:rFonts w:cstheme="minorHAnsi"/>
                <w:sz w:val="20"/>
                <w:szCs w:val="20"/>
              </w:rPr>
              <w:t xml:space="preserve"> dat </w:t>
            </w:r>
            <w:proofErr w:type="spellStart"/>
            <w:r w:rsidRPr="00261BAA">
              <w:rPr>
                <w:rFonts w:cstheme="minorHAnsi"/>
                <w:sz w:val="20"/>
                <w:szCs w:val="20"/>
              </w:rPr>
              <w:t>domeinoverstijgende</w:t>
            </w:r>
            <w:proofErr w:type="spellEnd"/>
            <w:r w:rsidRPr="00261BAA">
              <w:rPr>
                <w:rFonts w:cstheme="minorHAnsi"/>
                <w:sz w:val="20"/>
                <w:szCs w:val="20"/>
              </w:rPr>
              <w:t xml:space="preserve"> samenwerking samenhangt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61BAA">
              <w:rPr>
                <w:rFonts w:cstheme="minorHAnsi"/>
                <w:sz w:val="20"/>
                <w:szCs w:val="20"/>
              </w:rPr>
              <w:t>met langer thuis wonen, kostenbesparing op lange termijn en een betere kwaliteit van leven</w:t>
            </w:r>
            <w:r>
              <w:rPr>
                <w:rFonts w:cstheme="minorHAnsi"/>
                <w:sz w:val="20"/>
                <w:szCs w:val="20"/>
              </w:rPr>
              <w:t xml:space="preserve">, maar ook dat het nog te vroeg is voor </w:t>
            </w:r>
            <w:r w:rsidR="00717EBF">
              <w:rPr>
                <w:rFonts w:cstheme="minorHAnsi"/>
                <w:sz w:val="20"/>
                <w:szCs w:val="20"/>
              </w:rPr>
              <w:t>definitieve conclusies</w:t>
            </w:r>
            <w:r w:rsidR="00DB6163">
              <w:rPr>
                <w:rFonts w:cstheme="minorHAnsi"/>
                <w:sz w:val="20"/>
                <w:szCs w:val="20"/>
              </w:rPr>
              <w:t>.</w:t>
            </w:r>
            <w:r w:rsidR="00717EBF">
              <w:rPr>
                <w:rFonts w:cstheme="minorHAnsi"/>
                <w:sz w:val="20"/>
                <w:szCs w:val="20"/>
              </w:rPr>
              <w:t xml:space="preserve"> </w:t>
            </w:r>
            <w:r w:rsidR="00DB6163">
              <w:rPr>
                <w:rFonts w:cstheme="minorHAnsi"/>
                <w:sz w:val="20"/>
                <w:szCs w:val="20"/>
              </w:rPr>
              <w:t xml:space="preserve">Het is </w:t>
            </w:r>
            <w:r w:rsidR="00717EBF">
              <w:rPr>
                <w:rFonts w:cstheme="minorHAnsi"/>
                <w:sz w:val="20"/>
                <w:szCs w:val="20"/>
              </w:rPr>
              <w:t xml:space="preserve">daarom </w:t>
            </w:r>
            <w:r>
              <w:rPr>
                <w:rFonts w:cstheme="minorHAnsi"/>
                <w:sz w:val="20"/>
                <w:szCs w:val="20"/>
              </w:rPr>
              <w:t>belangrijk hier onderzoek naar te blijven doen.</w:t>
            </w:r>
          </w:p>
          <w:p w:rsidRPr="00D27AE1" w:rsidR="00806721" w:rsidP="00806721" w:rsidRDefault="00806721" w14:paraId="356B352F" w14:textId="7B781243">
            <w:pPr>
              <w:pStyle w:val="TableParagraph"/>
              <w:tabs>
                <w:tab w:val="left" w:pos="2060"/>
              </w:tabs>
              <w:spacing w:line="213" w:lineRule="exact"/>
              <w:ind w:left="101"/>
              <w:rPr>
                <w:rFonts w:cstheme="minorHAnsi"/>
                <w:sz w:val="20"/>
                <w:szCs w:val="20"/>
              </w:rPr>
            </w:pPr>
          </w:p>
        </w:tc>
      </w:tr>
    </w:tbl>
    <w:p w:rsidR="00B06701" w:rsidRDefault="00B06701" w14:paraId="08052E62" w14:textId="77777777"/>
    <w:p w:rsidR="00147F9B" w:rsidRDefault="00147F9B" w14:paraId="35F9AFCA" w14:textId="0279174A"/>
    <w:sectPr w:rsidR="00147F9B" w:rsidSect="001E6A24"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95F"/>
    <w:rsid w:val="00012D0C"/>
    <w:rsid w:val="00015984"/>
    <w:rsid w:val="00047A97"/>
    <w:rsid w:val="00060028"/>
    <w:rsid w:val="00071C38"/>
    <w:rsid w:val="000B2B24"/>
    <w:rsid w:val="000B3BA6"/>
    <w:rsid w:val="000E4C56"/>
    <w:rsid w:val="00147F9B"/>
    <w:rsid w:val="0015136D"/>
    <w:rsid w:val="001739A9"/>
    <w:rsid w:val="00177EA5"/>
    <w:rsid w:val="001B46F0"/>
    <w:rsid w:val="001E33E8"/>
    <w:rsid w:val="001E6A24"/>
    <w:rsid w:val="0020266F"/>
    <w:rsid w:val="00260D25"/>
    <w:rsid w:val="00261BAA"/>
    <w:rsid w:val="002C7B8F"/>
    <w:rsid w:val="002D15AD"/>
    <w:rsid w:val="004A4844"/>
    <w:rsid w:val="005919D5"/>
    <w:rsid w:val="006002BD"/>
    <w:rsid w:val="00717EBF"/>
    <w:rsid w:val="0072667D"/>
    <w:rsid w:val="007D2326"/>
    <w:rsid w:val="007F5A87"/>
    <w:rsid w:val="00806721"/>
    <w:rsid w:val="00820616"/>
    <w:rsid w:val="0086561A"/>
    <w:rsid w:val="008B626E"/>
    <w:rsid w:val="00904DD6"/>
    <w:rsid w:val="009B4059"/>
    <w:rsid w:val="00B06701"/>
    <w:rsid w:val="00B26845"/>
    <w:rsid w:val="00C00BDB"/>
    <w:rsid w:val="00C65BCA"/>
    <w:rsid w:val="00CA3896"/>
    <w:rsid w:val="00D47B90"/>
    <w:rsid w:val="00D8655C"/>
    <w:rsid w:val="00DB6163"/>
    <w:rsid w:val="00E23400"/>
    <w:rsid w:val="00F8779E"/>
    <w:rsid w:val="00FC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50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C395F"/>
    <w:pPr>
      <w:autoSpaceDN w:val="0"/>
      <w:spacing w:after="0" w:line="240" w:lineRule="exact"/>
      <w:textAlignment w:val="baseline"/>
    </w:pPr>
    <w:rPr>
      <w:rFonts w:eastAsia="DejaVu Sans" w:cs="Lohit Hindi"/>
      <w:color w:val="000000"/>
      <w:szCs w:val="18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395F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FC395F"/>
    <w:pPr>
      <w:widowControl w:val="0"/>
      <w:autoSpaceDE w:val="0"/>
      <w:spacing w:line="240" w:lineRule="auto"/>
      <w:textAlignment w:val="auto"/>
    </w:pPr>
    <w:rPr>
      <w:rFonts w:eastAsia="Verdana" w:cs="Verdana"/>
      <w:color w:val="auto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4A4844"/>
    <w:pPr>
      <w:spacing w:after="0" w:line="240" w:lineRule="auto"/>
    </w:pPr>
    <w:rPr>
      <w:rFonts w:eastAsia="DejaVu Sans" w:cs="Lohit Hindi"/>
      <w:color w:val="000000"/>
      <w:szCs w:val="18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00BD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00BD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00BDB"/>
    <w:rPr>
      <w:rFonts w:eastAsia="DejaVu Sans" w:cs="Lohit Hindi"/>
      <w:color w:val="000000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00BD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00BDB"/>
    <w:rPr>
      <w:rFonts w:eastAsia="DejaVu Sans" w:cs="Lohit Hindi"/>
      <w:b/>
      <w:bCs/>
      <w:color w:val="000000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527</ap:Words>
  <ap:Characters>2899</ap:Characters>
  <ap:DocSecurity>0</ap:DocSecurity>
  <ap:Lines>24</ap:Lines>
  <ap:Paragraphs>6</ap:Paragraphs>
  <ap:ScaleCrop>false</ap:ScaleCrop>
  <ap:LinksUpToDate>false</ap:LinksUpToDate>
  <ap:CharactersWithSpaces>3420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2026-07-01T13:07:00.0000000Z</dcterms:created>
  <dcterms:modified xsi:type="dcterms:W3CDTF">2026-07-01T13:07:00.0000000Z</dcterms:modified>
  <version/>
  <category/>
</coreProperties>
</file>