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4FFD" w:rsidP="00595A56" w:rsidRDefault="00394FFD" w14:paraId="6F8DBA86" w14:textId="77777777">
      <w:pPr>
        <w:suppressAutoHyphens/>
      </w:pPr>
    </w:p>
    <w:p w:rsidR="00394FFD" w:rsidP="00595A56" w:rsidRDefault="00394FFD" w14:paraId="5A54656C" w14:textId="77777777">
      <w:pPr>
        <w:suppressAutoHyphens/>
      </w:pPr>
    </w:p>
    <w:p w:rsidR="00394FFD" w:rsidP="00595A56" w:rsidRDefault="00394FFD" w14:paraId="5A0299DB" w14:textId="77777777">
      <w:pPr>
        <w:suppressAutoHyphens/>
      </w:pPr>
    </w:p>
    <w:p w:rsidR="00B2224C" w:rsidP="00595A56" w:rsidRDefault="000101D2" w14:paraId="4F9C6006" w14:textId="72C3BBA5">
      <w:pPr>
        <w:suppressAutoHyphens/>
      </w:pPr>
      <w:r>
        <w:t>Geachte voorzitter,</w:t>
      </w:r>
    </w:p>
    <w:p w:rsidR="00B2224C" w:rsidP="00595A56" w:rsidRDefault="00B2224C" w14:paraId="3D1CB573" w14:textId="77777777">
      <w:pPr>
        <w:suppressAutoHyphens/>
      </w:pPr>
    </w:p>
    <w:p w:rsidRPr="00405616" w:rsidR="00394FFD" w:rsidP="00595A56" w:rsidRDefault="00394FFD" w14:paraId="3060457A" w14:textId="04243EF6">
      <w:pPr>
        <w:suppressAutoHyphens/>
      </w:pPr>
      <w:r>
        <w:t>In</w:t>
      </w:r>
      <w:r w:rsidRPr="00405616">
        <w:t xml:space="preserve"> mijn brief van 9 maart jl.</w:t>
      </w:r>
      <w:r>
        <w:rPr>
          <w:rStyle w:val="Voetnootmarkering"/>
        </w:rPr>
        <w:footnoteReference w:id="1"/>
      </w:r>
      <w:r w:rsidRPr="00405616">
        <w:t xml:space="preserve"> heb ik </w:t>
      </w:r>
      <w:r>
        <w:t xml:space="preserve">toegezegd om </w:t>
      </w:r>
      <w:r w:rsidRPr="00405616">
        <w:t xml:space="preserve">uw Kamer </w:t>
      </w:r>
      <w:r>
        <w:t xml:space="preserve">voor de zomer </w:t>
      </w:r>
      <w:r w:rsidRPr="00405616">
        <w:t>te informeren over de verdeling van de beschikbare groeiruimte binnen de Wet langdurige zorg (</w:t>
      </w:r>
      <w:proofErr w:type="spellStart"/>
      <w:r w:rsidRPr="00405616">
        <w:t>Wlz</w:t>
      </w:r>
      <w:proofErr w:type="spellEnd"/>
      <w:r w:rsidRPr="00405616">
        <w:t>) over de sectoren ouderenzorg, gehandicaptenzorg en langdurige ggz</w:t>
      </w:r>
      <w:r>
        <w:t xml:space="preserve"> voor de jaren 2028-2031. Om de toegankelijk en betaalbaarheid van de </w:t>
      </w:r>
      <w:proofErr w:type="spellStart"/>
      <w:r>
        <w:t>Wlz</w:t>
      </w:r>
      <w:proofErr w:type="spellEnd"/>
      <w:r>
        <w:t xml:space="preserve"> voor nu en in de toekomst te verbeteren heeft het kabinet de beschikbare groeiruimte aangepast </w:t>
      </w:r>
      <w:r w:rsidRPr="00405616">
        <w:t xml:space="preserve">met de maatregel ‘bestuurlijk akkoord </w:t>
      </w:r>
      <w:proofErr w:type="spellStart"/>
      <w:r w:rsidRPr="00405616">
        <w:t>Wlz</w:t>
      </w:r>
      <w:proofErr w:type="spellEnd"/>
      <w:r w:rsidRPr="00405616">
        <w:t xml:space="preserve">/scheiden wonen zorg’ uit het coalitieakkoord. Met deze brief </w:t>
      </w:r>
      <w:r>
        <w:t>geef</w:t>
      </w:r>
      <w:r w:rsidRPr="00405616">
        <w:t xml:space="preserve"> ik uw Kamer </w:t>
      </w:r>
      <w:r>
        <w:t xml:space="preserve">een toelichting </w:t>
      </w:r>
      <w:r w:rsidRPr="00405616">
        <w:t xml:space="preserve">over </w:t>
      </w:r>
      <w:r>
        <w:t>de verdeling van de groeiruimte</w:t>
      </w:r>
      <w:r w:rsidRPr="00405616">
        <w:t xml:space="preserve"> en de overwegingen die daaraan ten grondslag liggen.</w:t>
      </w:r>
      <w:r>
        <w:t xml:space="preserve"> Daarnaast stuur ik u zoals gebruikelijk een afschrift van de voorlopige kaderbrief </w:t>
      </w:r>
      <w:proofErr w:type="spellStart"/>
      <w:r>
        <w:t>Wlz</w:t>
      </w:r>
      <w:proofErr w:type="spellEnd"/>
      <w:r>
        <w:t xml:space="preserve"> aan de </w:t>
      </w:r>
      <w:proofErr w:type="spellStart"/>
      <w:r>
        <w:t>NZa</w:t>
      </w:r>
      <w:proofErr w:type="spellEnd"/>
      <w:r>
        <w:t xml:space="preserve">. Deze wordt door de </w:t>
      </w:r>
      <w:proofErr w:type="spellStart"/>
      <w:r>
        <w:t>NZa</w:t>
      </w:r>
      <w:proofErr w:type="spellEnd"/>
      <w:r>
        <w:t xml:space="preserve"> en zorgkantoren betrokken bij de voorbereiding op de zorginkoop 2027.</w:t>
      </w:r>
    </w:p>
    <w:p w:rsidRPr="00405616" w:rsidR="00394FFD" w:rsidP="00595A56" w:rsidRDefault="00394FFD" w14:paraId="78561C3A" w14:textId="77777777">
      <w:pPr>
        <w:suppressAutoHyphens/>
        <w:ind w:left="360"/>
      </w:pPr>
    </w:p>
    <w:p w:rsidR="00394FFD" w:rsidP="00595A56" w:rsidRDefault="00394FFD" w14:paraId="1A85E525" w14:textId="77777777">
      <w:pPr>
        <w:suppressAutoHyphens/>
      </w:pPr>
      <w:r>
        <w:t>M</w:t>
      </w:r>
      <w:r w:rsidRPr="00386EA1">
        <w:t xml:space="preserve">ensen met een indicatie voor de </w:t>
      </w:r>
      <w:proofErr w:type="spellStart"/>
      <w:r>
        <w:t>W</w:t>
      </w:r>
      <w:r w:rsidRPr="00386EA1">
        <w:t>lz</w:t>
      </w:r>
      <w:proofErr w:type="spellEnd"/>
      <w:r w:rsidRPr="00386EA1">
        <w:t xml:space="preserve"> (en daarmee ook hun naasten) zijn vanwege hun beperkingen voor de rest van hun leven afhankelijk van langdurige zorg en ondersteuning. </w:t>
      </w:r>
      <w:r>
        <w:t>I</w:t>
      </w:r>
      <w:r w:rsidRPr="00386EA1">
        <w:t xml:space="preserve">k zie het als mijn taak </w:t>
      </w:r>
      <w:r>
        <w:t>om liefdevolle zorg en ondersteuning</w:t>
      </w:r>
      <w:r w:rsidRPr="00386EA1">
        <w:t xml:space="preserve"> </w:t>
      </w:r>
      <w:r>
        <w:t>toegankelijk</w:t>
      </w:r>
      <w:r w:rsidRPr="00386EA1">
        <w:t xml:space="preserve"> te blijven </w:t>
      </w:r>
      <w:r>
        <w:t>houden</w:t>
      </w:r>
      <w:r w:rsidRPr="00386EA1">
        <w:t xml:space="preserve"> voor de cliënten van nu en in de toekomst. </w:t>
      </w:r>
      <w:r>
        <w:t>I</w:t>
      </w:r>
      <w:r w:rsidRPr="00386EA1">
        <w:t xml:space="preserve">k wil </w:t>
      </w:r>
      <w:r>
        <w:t xml:space="preserve">er </w:t>
      </w:r>
      <w:r w:rsidRPr="00386EA1">
        <w:t>daarom</w:t>
      </w:r>
      <w:r>
        <w:t xml:space="preserve"> voor</w:t>
      </w:r>
      <w:r w:rsidRPr="00386EA1">
        <w:t xml:space="preserve"> zorgen dat zorgaanbieders in staa</w:t>
      </w:r>
      <w:r>
        <w:t>t</w:t>
      </w:r>
      <w:r w:rsidRPr="00386EA1">
        <w:t xml:space="preserve"> </w:t>
      </w:r>
      <w:r>
        <w:t>zijn</w:t>
      </w:r>
      <w:r w:rsidRPr="00386EA1">
        <w:t xml:space="preserve"> deze </w:t>
      </w:r>
      <w:r>
        <w:t xml:space="preserve">passende zorg en ondersteuning </w:t>
      </w:r>
      <w:r w:rsidRPr="00386EA1">
        <w:t xml:space="preserve">te organiseren met voldoende </w:t>
      </w:r>
      <w:r>
        <w:t>zorgverleners. Kwaliteit van leven moet hierbij centraal staan</w:t>
      </w:r>
      <w:r w:rsidRPr="00386EA1">
        <w:t xml:space="preserve">. </w:t>
      </w:r>
      <w:r>
        <w:t>Een toereikende financiering is daarvoor een randvoorwaarde. Z</w:t>
      </w:r>
      <w:r w:rsidRPr="00386EA1">
        <w:t xml:space="preserve">orgkantoren </w:t>
      </w:r>
      <w:r>
        <w:t>moeten</w:t>
      </w:r>
      <w:r w:rsidRPr="00386EA1">
        <w:t xml:space="preserve"> met een passend budget regionaal voldoende zorg</w:t>
      </w:r>
      <w:r>
        <w:t xml:space="preserve"> en ondersteuning</w:t>
      </w:r>
      <w:r w:rsidRPr="00386EA1">
        <w:t xml:space="preserve"> </w:t>
      </w:r>
      <w:r>
        <w:t xml:space="preserve">kunnen </w:t>
      </w:r>
      <w:r w:rsidRPr="00386EA1">
        <w:t>inkopen voor hun cliënten en zo aan hun zorgplicht blijven voldoen</w:t>
      </w:r>
      <w:r>
        <w:t>.</w:t>
      </w:r>
    </w:p>
    <w:p w:rsidRPr="00386EA1" w:rsidR="00394FFD" w:rsidP="00595A56" w:rsidRDefault="00394FFD" w14:paraId="1DB46A86" w14:textId="77777777">
      <w:pPr>
        <w:suppressAutoHyphens/>
      </w:pPr>
    </w:p>
    <w:p w:rsidRPr="00405616" w:rsidR="00394FFD" w:rsidP="00595A56" w:rsidRDefault="00394FFD" w14:paraId="2D67655B" w14:textId="057134A7">
      <w:pPr>
        <w:suppressAutoHyphens/>
      </w:pPr>
      <w:r w:rsidRPr="00405616">
        <w:t xml:space="preserve">Zoals ik uw Kamer eerder heb laten weten, </w:t>
      </w:r>
      <w:r>
        <w:t xml:space="preserve">verdeel ik vanuit dit perspectief de beschikbare groeiruimte over de sectoren. </w:t>
      </w:r>
      <w:r w:rsidRPr="00405616">
        <w:t>Daar</w:t>
      </w:r>
      <w:r>
        <w:t>bij</w:t>
      </w:r>
      <w:r w:rsidRPr="00405616">
        <w:t xml:space="preserve"> </w:t>
      </w:r>
      <w:r>
        <w:t xml:space="preserve">zie ik het belang om te kijken naar </w:t>
      </w:r>
      <w:r w:rsidRPr="00405616">
        <w:t>ontwikkelingen</w:t>
      </w:r>
      <w:r>
        <w:t xml:space="preserve"> in demografie, zorgzwaarte</w:t>
      </w:r>
      <w:r w:rsidRPr="00405616">
        <w:t>, historische uitgaven, arbeidsmarkt</w:t>
      </w:r>
      <w:r>
        <w:t xml:space="preserve"> en</w:t>
      </w:r>
      <w:r w:rsidRPr="00405616">
        <w:t xml:space="preserve"> technologi</w:t>
      </w:r>
      <w:r>
        <w:t xml:space="preserve">e. Ook heb ik oog voor de </w:t>
      </w:r>
      <w:r w:rsidRPr="00405616">
        <w:t>mogelijkheden om passende zorg</w:t>
      </w:r>
      <w:r>
        <w:t xml:space="preserve"> (verder)</w:t>
      </w:r>
      <w:r w:rsidRPr="00405616">
        <w:t xml:space="preserve"> vorm te geven en de snelheid waarmee een sector een transformatie kan realiseren. </w:t>
      </w:r>
      <w:r>
        <w:t>De verdeling van de groeiruimte moet hierbij aansluiten. Dit vraagt ook kijken naar vraag en passend aanbod, zodat d</w:t>
      </w:r>
      <w:r w:rsidRPr="00405616">
        <w:t xml:space="preserve">e verdeling </w:t>
      </w:r>
      <w:r>
        <w:t xml:space="preserve">van de groeiruimte </w:t>
      </w:r>
      <w:r w:rsidRPr="00405616">
        <w:t>niet leid</w:t>
      </w:r>
      <w:r>
        <w:t>t</w:t>
      </w:r>
      <w:r w:rsidRPr="00405616">
        <w:t xml:space="preserve"> tot oplopende wachtlijsten of een toenemende druk op zorgmedewerkers. </w:t>
      </w:r>
      <w:r>
        <w:t>Tot slot</w:t>
      </w:r>
      <w:r w:rsidRPr="00405616">
        <w:t xml:space="preserve"> moet de kwaliteit van zorg en </w:t>
      </w:r>
      <w:r w:rsidRPr="00405616">
        <w:lastRenderedPageBreak/>
        <w:t xml:space="preserve">ondersteuning binnen de </w:t>
      </w:r>
      <w:proofErr w:type="spellStart"/>
      <w:r w:rsidRPr="00405616">
        <w:t>Wlz</w:t>
      </w:r>
      <w:proofErr w:type="spellEnd"/>
      <w:r w:rsidRPr="00405616">
        <w:t xml:space="preserve"> blijven voldoen aan </w:t>
      </w:r>
      <w:r>
        <w:t xml:space="preserve">de kwaliteitskaders </w:t>
      </w:r>
      <w:r w:rsidRPr="00405616">
        <w:t>zoals de sector</w:t>
      </w:r>
      <w:r>
        <w:t>en die hebben</w:t>
      </w:r>
      <w:r w:rsidRPr="00405616">
        <w:t xml:space="preserve"> geformuleerd. </w:t>
      </w:r>
      <w:r>
        <w:t xml:space="preserve">De verdeling van de groeiruimte kent </w:t>
      </w:r>
      <w:r w:rsidR="00B16440">
        <w:t xml:space="preserve">een </w:t>
      </w:r>
      <w:r>
        <w:t>directe samenhang met de</w:t>
      </w:r>
      <w:r w:rsidRPr="00405616">
        <w:t xml:space="preserve"> voorlopige kaderbrief </w:t>
      </w:r>
      <w:proofErr w:type="spellStart"/>
      <w:r w:rsidRPr="00405616">
        <w:t>Wlz</w:t>
      </w:r>
      <w:proofErr w:type="spellEnd"/>
      <w:r w:rsidRPr="00405616">
        <w:t xml:space="preserve"> 2027</w:t>
      </w:r>
      <w:r>
        <w:t xml:space="preserve"> en het </w:t>
      </w:r>
      <w:r w:rsidR="00AE690C">
        <w:t xml:space="preserve">daarin opgenomen </w:t>
      </w:r>
      <w:r>
        <w:t>indicatieve kader 2028-2031</w:t>
      </w:r>
      <w:r w:rsidRPr="00405616">
        <w:t>.</w:t>
      </w:r>
    </w:p>
    <w:p w:rsidRPr="00D7042C" w:rsidR="00394FFD" w:rsidP="00595A56" w:rsidRDefault="00394FFD" w14:paraId="72A82341" w14:textId="77777777">
      <w:pPr>
        <w:suppressAutoHyphens/>
        <w:ind w:left="360"/>
      </w:pPr>
    </w:p>
    <w:p w:rsidRPr="00405616" w:rsidR="00394FFD" w:rsidP="00595A56" w:rsidRDefault="00394FFD" w14:paraId="375D7497" w14:textId="77777777">
      <w:pPr>
        <w:suppressAutoHyphens/>
        <w:rPr>
          <w:b/>
          <w:bCs/>
        </w:rPr>
      </w:pPr>
      <w:r w:rsidRPr="00405616">
        <w:rPr>
          <w:b/>
          <w:bCs/>
        </w:rPr>
        <w:t xml:space="preserve">Voorlopige kaderbrief </w:t>
      </w:r>
      <w:proofErr w:type="spellStart"/>
      <w:r w:rsidRPr="00405616">
        <w:rPr>
          <w:b/>
          <w:bCs/>
        </w:rPr>
        <w:t>Wlz</w:t>
      </w:r>
      <w:proofErr w:type="spellEnd"/>
      <w:r w:rsidRPr="00405616">
        <w:rPr>
          <w:b/>
          <w:bCs/>
        </w:rPr>
        <w:t xml:space="preserve"> 2027</w:t>
      </w:r>
      <w:r w:rsidRPr="008C2D56">
        <w:t xml:space="preserve"> </w:t>
      </w:r>
      <w:r w:rsidRPr="008C2D56">
        <w:rPr>
          <w:b/>
          <w:bCs/>
        </w:rPr>
        <w:t>en het indicatieve kader 2028</w:t>
      </w:r>
      <w:r w:rsidRPr="00405616">
        <w:rPr>
          <w:b/>
          <w:bCs/>
        </w:rPr>
        <w:t>-2031</w:t>
      </w:r>
    </w:p>
    <w:p w:rsidRPr="00405616" w:rsidR="00394FFD" w:rsidP="00595A56" w:rsidRDefault="00394FFD" w14:paraId="174EA7FD" w14:textId="7981A884">
      <w:pPr>
        <w:suppressAutoHyphens/>
      </w:pPr>
      <w:r w:rsidRPr="00405616">
        <w:t xml:space="preserve">De voorlopige kaderbrief </w:t>
      </w:r>
      <w:proofErr w:type="spellStart"/>
      <w:r w:rsidRPr="00405616">
        <w:t>Wlz</w:t>
      </w:r>
      <w:proofErr w:type="spellEnd"/>
      <w:r w:rsidRPr="00405616">
        <w:t xml:space="preserve"> stuur ik jaarlijks vóór de zomer aan de </w:t>
      </w:r>
      <w:proofErr w:type="spellStart"/>
      <w:r w:rsidRPr="00405616">
        <w:t>NZa</w:t>
      </w:r>
      <w:proofErr w:type="spellEnd"/>
      <w:r w:rsidRPr="00405616">
        <w:t xml:space="preserve">, zodat deze kan worden betrokken bij de voorbereiding van de zorginkoop voor het volgende jaar. De Eerste en Tweede Kamer ontvangen hiervan jaarlijks een afschrift. </w:t>
      </w:r>
      <w:r>
        <w:t>Het voorlopig</w:t>
      </w:r>
      <w:r w:rsidR="00B16440">
        <w:t>e</w:t>
      </w:r>
      <w:r>
        <w:t xml:space="preserve"> kader wordt jaarlijks geactualiseerd op basis van het uitvoeringsbeeld in de julibrief van de </w:t>
      </w:r>
      <w:proofErr w:type="spellStart"/>
      <w:r>
        <w:t>NZa</w:t>
      </w:r>
      <w:proofErr w:type="spellEnd"/>
      <w:r>
        <w:t xml:space="preserve">. </w:t>
      </w:r>
      <w:r w:rsidRPr="00405616">
        <w:t xml:space="preserve">Op Prinsjesdag, of kort daarna, verstuur ik vervolgens de definitieve kaderbrief </w:t>
      </w:r>
      <w:proofErr w:type="spellStart"/>
      <w:r w:rsidRPr="00405616">
        <w:t>Wlz</w:t>
      </w:r>
      <w:proofErr w:type="spellEnd"/>
      <w:r w:rsidRPr="00405616">
        <w:t xml:space="preserve"> aan beide Kamers.</w:t>
      </w:r>
    </w:p>
    <w:p w:rsidRPr="00405616" w:rsidR="00394FFD" w:rsidP="00595A56" w:rsidRDefault="00394FFD" w14:paraId="3F8F544D" w14:textId="77777777">
      <w:pPr>
        <w:suppressAutoHyphens/>
      </w:pPr>
    </w:p>
    <w:p w:rsidRPr="00405616" w:rsidR="00394FFD" w:rsidP="00595A56" w:rsidRDefault="00394FFD" w14:paraId="78A1DB12" w14:textId="77777777">
      <w:pPr>
        <w:suppressAutoHyphens/>
      </w:pPr>
      <w:r w:rsidRPr="00405616">
        <w:t xml:space="preserve">Met de bijgevoegde voorlopige kaderbrief actualiseer ik het beschikbare </w:t>
      </w:r>
      <w:proofErr w:type="spellStart"/>
      <w:r w:rsidRPr="00405616">
        <w:t>Wlz</w:t>
      </w:r>
      <w:proofErr w:type="spellEnd"/>
      <w:r w:rsidRPr="00405616">
        <w:t xml:space="preserve">-kader voor 2026 en stel ik het voorlopige </w:t>
      </w:r>
      <w:proofErr w:type="spellStart"/>
      <w:r w:rsidRPr="00405616">
        <w:t>Wlz</w:t>
      </w:r>
      <w:proofErr w:type="spellEnd"/>
      <w:r w:rsidRPr="00405616">
        <w:t xml:space="preserve">-kader voor 2027 vast. </w:t>
      </w:r>
      <w:r w:rsidRPr="00D263F8">
        <w:t xml:space="preserve">Op grond van de februaribrief van de </w:t>
      </w:r>
      <w:proofErr w:type="spellStart"/>
      <w:r w:rsidRPr="00D263F8">
        <w:t>NZa</w:t>
      </w:r>
      <w:proofErr w:type="spellEnd"/>
      <w:r w:rsidRPr="00D263F8">
        <w:t xml:space="preserve"> </w:t>
      </w:r>
      <w:r>
        <w:t>kan worden</w:t>
      </w:r>
      <w:r w:rsidRPr="00D263F8">
        <w:t xml:space="preserve"> vastgesteld dat het beschikbare </w:t>
      </w:r>
      <w:proofErr w:type="spellStart"/>
      <w:r w:rsidRPr="00D263F8">
        <w:t>Wlz</w:t>
      </w:r>
      <w:proofErr w:type="spellEnd"/>
      <w:r w:rsidRPr="00D263F8">
        <w:t>-kader voor 2026 ruimschoots toereikend is.</w:t>
      </w:r>
      <w:r>
        <w:t xml:space="preserve"> </w:t>
      </w:r>
      <w:r w:rsidRPr="00405616">
        <w:t xml:space="preserve">Conform </w:t>
      </w:r>
      <w:r>
        <w:t>mijn</w:t>
      </w:r>
      <w:r w:rsidRPr="00405616">
        <w:t xml:space="preserve"> brief van 28 mei jl.</w:t>
      </w:r>
      <w:r>
        <w:rPr>
          <w:rStyle w:val="Voetnootmarkering"/>
        </w:rPr>
        <w:footnoteReference w:id="2"/>
      </w:r>
      <w:r w:rsidRPr="00405616">
        <w:t xml:space="preserve"> wordt in het budgettaire kader voor 2027 rekening gehouden met het niet doorvoeren van de drie tariefmaatregelen in dat jaar. Het betreft de volgende maatregelen:</w:t>
      </w:r>
    </w:p>
    <w:p w:rsidRPr="00405616" w:rsidR="00394FFD" w:rsidP="00595A56" w:rsidRDefault="00394FFD" w14:paraId="745E3E38" w14:textId="77777777">
      <w:pPr>
        <w:suppressAutoHyphens/>
      </w:pPr>
    </w:p>
    <w:p w:rsidRPr="00405616" w:rsidR="00394FFD" w:rsidP="00595A56" w:rsidRDefault="00394FFD" w14:paraId="5E85CDC6" w14:textId="77777777">
      <w:pPr>
        <w:pStyle w:val="Lijstalinea"/>
        <w:numPr>
          <w:ilvl w:val="0"/>
          <w:numId w:val="5"/>
        </w:numPr>
        <w:suppressAutoHyphens/>
      </w:pPr>
      <w:proofErr w:type="spellStart"/>
      <w:r w:rsidRPr="00405616">
        <w:t>Wlz</w:t>
      </w:r>
      <w:proofErr w:type="spellEnd"/>
      <w:r w:rsidRPr="00405616">
        <w:t>-behandeling (Rutte IV) voor de sector gehandicaptenzorg;</w:t>
      </w:r>
    </w:p>
    <w:p w:rsidRPr="00405616" w:rsidR="00394FFD" w:rsidP="00595A56" w:rsidRDefault="00394FFD" w14:paraId="4E340044" w14:textId="77777777">
      <w:pPr>
        <w:pStyle w:val="Lijstalinea"/>
        <w:numPr>
          <w:ilvl w:val="0"/>
          <w:numId w:val="5"/>
        </w:numPr>
        <w:suppressAutoHyphens/>
      </w:pPr>
      <w:r w:rsidRPr="00405616">
        <w:t>Meerjarig contracteren en budgetafspraken (Rutte IV) voor zowel de sector gehandicaptenzorg als de sector langdurige geestelijke gezondheidszorg;</w:t>
      </w:r>
    </w:p>
    <w:p w:rsidRPr="00405616" w:rsidR="00394FFD" w:rsidP="00595A56" w:rsidRDefault="00394FFD" w14:paraId="3BFB1AA7" w14:textId="77777777">
      <w:pPr>
        <w:pStyle w:val="Lijstalinea"/>
        <w:numPr>
          <w:ilvl w:val="0"/>
          <w:numId w:val="5"/>
        </w:numPr>
        <w:suppressAutoHyphens/>
      </w:pPr>
      <w:r w:rsidRPr="00405616">
        <w:t>Opschaling digitale zorg (Schoof) voor de sector gehandicaptenzorg.</w:t>
      </w:r>
    </w:p>
    <w:p w:rsidRPr="00405616" w:rsidR="00394FFD" w:rsidP="00595A56" w:rsidRDefault="00394FFD" w14:paraId="2B3A4C5D" w14:textId="77777777">
      <w:pPr>
        <w:suppressAutoHyphens/>
      </w:pPr>
    </w:p>
    <w:p w:rsidRPr="00A01020" w:rsidR="00394FFD" w:rsidP="00595A56" w:rsidRDefault="00394FFD" w14:paraId="76906180" w14:textId="77777777">
      <w:pPr>
        <w:suppressAutoHyphens/>
      </w:pPr>
      <w:r w:rsidRPr="00405616">
        <w:t xml:space="preserve">Daarnaast bevat deze brief </w:t>
      </w:r>
      <w:r>
        <w:t xml:space="preserve">aan de </w:t>
      </w:r>
      <w:proofErr w:type="spellStart"/>
      <w:r>
        <w:t>NZa</w:t>
      </w:r>
      <w:proofErr w:type="spellEnd"/>
      <w:r>
        <w:t xml:space="preserve"> </w:t>
      </w:r>
      <w:r w:rsidRPr="00405616">
        <w:t xml:space="preserve">een voorlopig meerjarig beeld van de ontwikkeling van het </w:t>
      </w:r>
      <w:proofErr w:type="spellStart"/>
      <w:r w:rsidRPr="00405616">
        <w:t>Wlz</w:t>
      </w:r>
      <w:proofErr w:type="spellEnd"/>
      <w:r w:rsidRPr="00405616">
        <w:t xml:space="preserve">-kader in de periode 2028-2031, inclusief een indicatieve verdeling </w:t>
      </w:r>
      <w:r>
        <w:t xml:space="preserve">van de deelkaders en de beschikbare groeiruimte </w:t>
      </w:r>
      <w:r w:rsidRPr="00405616">
        <w:t xml:space="preserve">over de drie sectoren. Het </w:t>
      </w:r>
      <w:proofErr w:type="spellStart"/>
      <w:r w:rsidRPr="00405616">
        <w:t>Wlz</w:t>
      </w:r>
      <w:proofErr w:type="spellEnd"/>
      <w:r w:rsidRPr="00405616">
        <w:t xml:space="preserve">-kader voor deze jaren wordt dit jaar nog niet definitief vastgesteld, gelet op het voornemen van het kabinet om voor de periode vanaf </w:t>
      </w:r>
      <w:r w:rsidRPr="00E37EAF">
        <w:t xml:space="preserve">2028 bestuurlijke akkoorden met de </w:t>
      </w:r>
      <w:r>
        <w:t xml:space="preserve">drie afzonderlijke </w:t>
      </w:r>
      <w:r w:rsidRPr="00E37EAF">
        <w:t>sectoren te sluiten</w:t>
      </w:r>
      <w:r>
        <w:t xml:space="preserve"> (voor de sector ouderenzorg is dit aanvullend op het Hoofdlijnenakkoord Ouderenzorg)</w:t>
      </w:r>
      <w:r w:rsidRPr="00E37EAF">
        <w:t xml:space="preserve">. De afspraken die uit deze akkoorden voortvloeien, zal ik volgend jaar vóór de zomer verwerken bij het vaststellen </w:t>
      </w:r>
      <w:r w:rsidRPr="00A01020">
        <w:t xml:space="preserve">van de voorlopige kaderbrief </w:t>
      </w:r>
      <w:proofErr w:type="spellStart"/>
      <w:r w:rsidRPr="00A01020">
        <w:t>Wlz</w:t>
      </w:r>
      <w:proofErr w:type="spellEnd"/>
      <w:r w:rsidRPr="00A01020">
        <w:t xml:space="preserve"> 2028-2032. </w:t>
      </w:r>
    </w:p>
    <w:p w:rsidRPr="00A01020" w:rsidR="00394FFD" w:rsidP="00595A56" w:rsidRDefault="00394FFD" w14:paraId="1BF963EA" w14:textId="77777777">
      <w:pPr>
        <w:suppressAutoHyphens/>
      </w:pPr>
    </w:p>
    <w:p w:rsidRPr="00F6742A" w:rsidR="00394FFD" w:rsidP="00595A56" w:rsidRDefault="00394FFD" w14:paraId="497AB796" w14:textId="77777777">
      <w:pPr>
        <w:suppressAutoHyphens/>
      </w:pPr>
      <w:r w:rsidRPr="00A01020">
        <w:t xml:space="preserve">Het </w:t>
      </w:r>
      <w:proofErr w:type="spellStart"/>
      <w:r w:rsidRPr="00A01020">
        <w:t>Wlz</w:t>
      </w:r>
      <w:proofErr w:type="spellEnd"/>
      <w:r w:rsidRPr="00A01020">
        <w:t>-kader is bestemd voor de inkoop van zorg in natura binnen de contracteerruimte, persoonsgebonden budgetten (pgb) en overige uitvoeringskosten</w:t>
      </w:r>
      <w:r>
        <w:t xml:space="preserve"> (zie ook hierna)</w:t>
      </w:r>
      <w:r w:rsidRPr="00A01020">
        <w:t xml:space="preserve">. De </w:t>
      </w:r>
      <w:r>
        <w:t xml:space="preserve">in de bijgevoegde voorlopige kaderbrief opgenomen </w:t>
      </w:r>
      <w:r w:rsidRPr="00A01020">
        <w:t>indicatieve deelkaders per sector betreffen de budgetten die zorgkantoren kunnen inzetten voor zorg in natura en pgb. Het deelkader voor overige uitvoeringskosten heb ik niet verdeeld over de sectoren, zodat zorgkantoren dit op basis van de inzichten over hun cliënten en het zorglandschap kunnen inzetten waar dit het meeste effect sorteert</w:t>
      </w:r>
      <w:r w:rsidRPr="00A01020">
        <w:rPr>
          <w:rStyle w:val="Voetnootmarkering"/>
        </w:rPr>
        <w:footnoteReference w:id="3"/>
      </w:r>
      <w:r w:rsidRPr="00A01020">
        <w:t xml:space="preserve">. De groeiruimte voor dit deelkader (circa 0,15% van de totale groeiruimte voor het </w:t>
      </w:r>
      <w:proofErr w:type="spellStart"/>
      <w:r w:rsidRPr="00A01020">
        <w:t>Wlz</w:t>
      </w:r>
      <w:proofErr w:type="spellEnd"/>
      <w:r w:rsidRPr="00A01020">
        <w:t xml:space="preserve">-kader) heb ik daarom afzonderlijk gespecificeerd in de voorlopige kaderbrief </w:t>
      </w:r>
      <w:proofErr w:type="spellStart"/>
      <w:r w:rsidRPr="00A01020">
        <w:t>Wlz</w:t>
      </w:r>
      <w:proofErr w:type="spellEnd"/>
      <w:r w:rsidRPr="00A01020">
        <w:t xml:space="preserve"> 2027. </w:t>
      </w:r>
      <w:r w:rsidRPr="00F6742A">
        <w:t xml:space="preserve">Als onderdeel van de overige uitvoeringskosten kunnen zorgkantoren vanaf 2026 investeren in preventieve maatregelen. In 2027 is daarmee € 47 miljoen gemoeid. </w:t>
      </w:r>
      <w:r w:rsidRPr="00F6742A">
        <w:lastRenderedPageBreak/>
        <w:t>Als bijlage bij deze brief wordt conform artikel 3.1 van de Comptabiliteitswet 2016 ingegaan op de doelen, beleidsinstrumenten, financiële gevolgen, nagestreefde doeltreffendheid en doelmatigheid en voorgenomen evaluatie en monitoring. </w:t>
      </w:r>
    </w:p>
    <w:p w:rsidR="00394FFD" w:rsidP="00595A56" w:rsidRDefault="00394FFD" w14:paraId="03E1DC73" w14:textId="77777777">
      <w:pPr>
        <w:suppressAutoHyphens/>
      </w:pPr>
    </w:p>
    <w:p w:rsidR="00394FFD" w:rsidP="00595A56" w:rsidRDefault="00394FFD" w14:paraId="0AD2CAEC" w14:textId="77777777">
      <w:pPr>
        <w:suppressAutoHyphens/>
      </w:pPr>
      <w:r w:rsidRPr="00A01020">
        <w:t xml:space="preserve">In deze brief licht ik </w:t>
      </w:r>
      <w:r>
        <w:t xml:space="preserve">uw Kamer </w:t>
      </w:r>
      <w:r w:rsidRPr="00A01020">
        <w:t xml:space="preserve">verder toe hoe ik de </w:t>
      </w:r>
      <w:r>
        <w:t xml:space="preserve">resterende </w:t>
      </w:r>
      <w:r w:rsidRPr="00A01020">
        <w:t>groeiruimte voor zorg in natura en pgb (circa 99,85% van de groeiruimte) verdeel over de drie sectoren.</w:t>
      </w:r>
      <w:r>
        <w:t xml:space="preserve"> </w:t>
      </w:r>
    </w:p>
    <w:p w:rsidRPr="00E37EAF" w:rsidR="00394FFD" w:rsidP="00595A56" w:rsidRDefault="00394FFD" w14:paraId="53BF7A7A" w14:textId="77777777">
      <w:pPr>
        <w:suppressAutoHyphens/>
      </w:pPr>
      <w:r w:rsidRPr="00E37EAF">
        <w:t xml:space="preserve"> </w:t>
      </w:r>
    </w:p>
    <w:p w:rsidRPr="00405616" w:rsidR="00394FFD" w:rsidP="00595A56" w:rsidRDefault="00394FFD" w14:paraId="73CA83BE" w14:textId="77777777">
      <w:pPr>
        <w:suppressAutoHyphens/>
        <w:rPr>
          <w:b/>
          <w:bCs/>
        </w:rPr>
      </w:pPr>
      <w:r w:rsidRPr="00E37EAF">
        <w:rPr>
          <w:b/>
          <w:bCs/>
        </w:rPr>
        <w:t>Verdeling van</w:t>
      </w:r>
      <w:r w:rsidRPr="00405616">
        <w:rPr>
          <w:b/>
          <w:bCs/>
        </w:rPr>
        <w:t xml:space="preserve"> de groeiruimte 2028-2031</w:t>
      </w:r>
      <w:r>
        <w:rPr>
          <w:b/>
          <w:bCs/>
        </w:rPr>
        <w:t xml:space="preserve"> (zorg in natura en pgb)</w:t>
      </w:r>
    </w:p>
    <w:p w:rsidR="00394FFD" w:rsidP="00595A56" w:rsidRDefault="00394FFD" w14:paraId="3B2CFFAB" w14:textId="45520980">
      <w:pPr>
        <w:suppressAutoHyphens/>
      </w:pPr>
      <w:r w:rsidRPr="00405616">
        <w:t xml:space="preserve">Voor de jaren 2028-2031 </w:t>
      </w:r>
      <w:r>
        <w:t xml:space="preserve">wil het kabinet in de </w:t>
      </w:r>
      <w:proofErr w:type="spellStart"/>
      <w:r>
        <w:t>Wlz</w:t>
      </w:r>
      <w:proofErr w:type="spellEnd"/>
      <w:r w:rsidRPr="00405616">
        <w:t xml:space="preserve"> bestuurlijke akkoorden sluiten</w:t>
      </w:r>
      <w:r>
        <w:t xml:space="preserve"> over de gewenste beweging naar de voorkant, passende zorg en vereenvoudiging. Deze akkoorden bevatten</w:t>
      </w:r>
      <w:r w:rsidRPr="00405616">
        <w:t xml:space="preserve"> per sector een </w:t>
      </w:r>
      <w:r>
        <w:t xml:space="preserve">beschikbare </w:t>
      </w:r>
      <w:r w:rsidRPr="00112516">
        <w:t xml:space="preserve">financiële (groei)ruimte </w:t>
      </w:r>
      <w:r>
        <w:t xml:space="preserve">waarbinnen de gemaakte afspraken moeten passen. Het geheel moet passen binnen het totaalkader dat in de periode 2028-2031 voor de </w:t>
      </w:r>
      <w:proofErr w:type="spellStart"/>
      <w:r>
        <w:t>Wlz</w:t>
      </w:r>
      <w:proofErr w:type="spellEnd"/>
      <w:r>
        <w:t xml:space="preserve"> beschikbaar is.</w:t>
      </w:r>
      <w:r w:rsidRPr="00405616">
        <w:t xml:space="preserve"> </w:t>
      </w:r>
      <w:r>
        <w:t xml:space="preserve"> </w:t>
      </w:r>
    </w:p>
    <w:p w:rsidR="00394FFD" w:rsidP="00595A56" w:rsidRDefault="00394FFD" w14:paraId="48590F79" w14:textId="77777777">
      <w:pPr>
        <w:suppressAutoHyphens/>
      </w:pPr>
    </w:p>
    <w:p w:rsidRPr="00405616" w:rsidR="00394FFD" w:rsidP="00595A56" w:rsidRDefault="00394FFD" w14:paraId="1BB37252" w14:textId="6B7CBBAD">
      <w:pPr>
        <w:suppressAutoHyphens/>
      </w:pPr>
      <w:r>
        <w:t>Ten overvloede: op basis van</w:t>
      </w:r>
      <w:r w:rsidRPr="00D9455F">
        <w:t xml:space="preserve"> de Wet marktordening gezondheidszorg </w:t>
      </w:r>
      <w:r>
        <w:t>stel ik</w:t>
      </w:r>
      <w:r w:rsidRPr="00D9455F">
        <w:t xml:space="preserve"> per kalenderjaar een totaal financieel kader </w:t>
      </w:r>
      <w:r>
        <w:t xml:space="preserve">vast </w:t>
      </w:r>
      <w:r w:rsidRPr="00D9455F">
        <w:t xml:space="preserve">voor zorg in natura, de verstrekking van persoonsgebonden budgetten </w:t>
      </w:r>
      <w:r>
        <w:t xml:space="preserve">(pgb) </w:t>
      </w:r>
      <w:r w:rsidRPr="00D9455F">
        <w:t xml:space="preserve">en de overige uitvoeringskosten. </w:t>
      </w:r>
      <w:r>
        <w:t>Ik</w:t>
      </w:r>
      <w:r w:rsidRPr="00D9455F">
        <w:t xml:space="preserve"> verdeel dit in drie </w:t>
      </w:r>
      <w:r>
        <w:t xml:space="preserve">landelijke </w:t>
      </w:r>
      <w:r w:rsidRPr="00D9455F">
        <w:t>deelkaders</w:t>
      </w:r>
      <w:r>
        <w:t xml:space="preserve"> en ik verdeel de beschikbare financiële kaders van de pgb’s en de overige uitvoeringskosten over de zorgkantoorregio’s. </w:t>
      </w:r>
      <w:r w:rsidRPr="00D9455F">
        <w:t xml:space="preserve">De </w:t>
      </w:r>
      <w:proofErr w:type="spellStart"/>
      <w:r w:rsidRPr="00D9455F">
        <w:t>NZa</w:t>
      </w:r>
      <w:proofErr w:type="spellEnd"/>
      <w:r w:rsidRPr="00D9455F">
        <w:t xml:space="preserve"> verdeelt het financieel kader voor zorg in natura over de regio’s</w:t>
      </w:r>
      <w:r>
        <w:t>. D</w:t>
      </w:r>
      <w:r w:rsidRPr="00FB5369">
        <w:t xml:space="preserve">e </w:t>
      </w:r>
      <w:proofErr w:type="spellStart"/>
      <w:r w:rsidRPr="00FB5369">
        <w:t>NZa</w:t>
      </w:r>
      <w:proofErr w:type="spellEnd"/>
      <w:r w:rsidRPr="00FB5369">
        <w:t xml:space="preserve"> </w:t>
      </w:r>
      <w:r>
        <w:t xml:space="preserve">kan </w:t>
      </w:r>
      <w:r w:rsidRPr="00FB5369">
        <w:t xml:space="preserve">op aanvraag van de betrokken </w:t>
      </w:r>
      <w:proofErr w:type="spellStart"/>
      <w:r w:rsidRPr="00FB5369">
        <w:t>Wlz</w:t>
      </w:r>
      <w:proofErr w:type="spellEnd"/>
      <w:r w:rsidRPr="00FB5369">
        <w:t>-uitvoerder de regionale contracteerruimte verlagen.</w:t>
      </w:r>
      <w:r>
        <w:rPr>
          <w:rStyle w:val="Voetnootmarkering"/>
        </w:rPr>
        <w:footnoteReference w:id="4"/>
      </w:r>
      <w:r>
        <w:t xml:space="preserve"> In verband met het behoud van een zekere mate van flexibiliteit, de sturingsmogelijkheden en </w:t>
      </w:r>
      <w:r w:rsidRPr="00EE7BE7">
        <w:t xml:space="preserve">de budgettaire beheersing van de langdurige zorg </w:t>
      </w:r>
      <w:r>
        <w:t>breng ik hier geen wijziging in aan. Dit is ook niet beoogd met de maatregel ‘</w:t>
      </w:r>
      <w:r w:rsidRPr="00C86107">
        <w:t xml:space="preserve">Bestuurlijk akkoord </w:t>
      </w:r>
      <w:proofErr w:type="spellStart"/>
      <w:r w:rsidRPr="00C86107">
        <w:t>Wlz</w:t>
      </w:r>
      <w:proofErr w:type="spellEnd"/>
      <w:r>
        <w:t>’</w:t>
      </w:r>
      <w:r w:rsidR="00AE690C">
        <w:t xml:space="preserve"> uit het coalitieakkoord</w:t>
      </w:r>
      <w:r>
        <w:t xml:space="preserve">.  </w:t>
      </w:r>
    </w:p>
    <w:p w:rsidR="00394FFD" w:rsidP="00595A56" w:rsidRDefault="00394FFD" w14:paraId="4E3573B4" w14:textId="77777777">
      <w:pPr>
        <w:suppressAutoHyphens/>
      </w:pPr>
    </w:p>
    <w:p w:rsidR="00394FFD" w:rsidP="00595A56" w:rsidRDefault="00394FFD" w14:paraId="73A497E7" w14:textId="77777777">
      <w:pPr>
        <w:suppressAutoHyphens/>
      </w:pPr>
      <w:r w:rsidRPr="00405616">
        <w:t xml:space="preserve">Om te komen tot een </w:t>
      </w:r>
      <w:r>
        <w:t xml:space="preserve">goede </w:t>
      </w:r>
      <w:r w:rsidRPr="00405616">
        <w:t>verdeling van de</w:t>
      </w:r>
      <w:r>
        <w:t xml:space="preserve"> beschikbare </w:t>
      </w:r>
      <w:r w:rsidRPr="00405616">
        <w:t xml:space="preserve">groeiruimte over de ouderenzorg, gehandicaptenzorg en langdurige ggz zijn </w:t>
      </w:r>
      <w:r>
        <w:t xml:space="preserve">de volgende </w:t>
      </w:r>
      <w:r w:rsidRPr="00405616">
        <w:t>stappen doorlopen</w:t>
      </w:r>
      <w:r>
        <w:t xml:space="preserve"> (A t/m D)</w:t>
      </w:r>
      <w:r w:rsidRPr="00405616">
        <w:t>.</w:t>
      </w:r>
    </w:p>
    <w:p w:rsidRPr="00405616" w:rsidR="00394FFD" w:rsidP="00595A56" w:rsidRDefault="00394FFD" w14:paraId="0C647F1E" w14:textId="77777777">
      <w:pPr>
        <w:suppressAutoHyphens/>
      </w:pPr>
    </w:p>
    <w:p w:rsidRPr="00CE03EF" w:rsidR="00394FFD" w:rsidP="00595A56" w:rsidRDefault="00394FFD" w14:paraId="066D61AB" w14:textId="77777777">
      <w:pPr>
        <w:pStyle w:val="Lijstalinea"/>
        <w:numPr>
          <w:ilvl w:val="0"/>
          <w:numId w:val="7"/>
        </w:numPr>
        <w:suppressAutoHyphens/>
        <w:rPr>
          <w:i/>
          <w:iCs/>
        </w:rPr>
      </w:pPr>
      <w:r w:rsidRPr="00CE03EF">
        <w:rPr>
          <w:i/>
          <w:iCs/>
        </w:rPr>
        <w:t>V</w:t>
      </w:r>
      <w:r>
        <w:rPr>
          <w:i/>
          <w:iCs/>
        </w:rPr>
        <w:t>aststel</w:t>
      </w:r>
      <w:r w:rsidRPr="00CE03EF">
        <w:rPr>
          <w:i/>
          <w:iCs/>
        </w:rPr>
        <w:t xml:space="preserve">ling beschikbare groeiruimte </w:t>
      </w:r>
      <w:r>
        <w:rPr>
          <w:i/>
          <w:iCs/>
        </w:rPr>
        <w:t xml:space="preserve">2027-2031 </w:t>
      </w:r>
      <w:r w:rsidRPr="00CE03EF">
        <w:rPr>
          <w:i/>
          <w:iCs/>
        </w:rPr>
        <w:t xml:space="preserve">in de </w:t>
      </w:r>
      <w:proofErr w:type="spellStart"/>
      <w:r w:rsidRPr="00CE03EF">
        <w:rPr>
          <w:i/>
          <w:iCs/>
        </w:rPr>
        <w:t>Wlz</w:t>
      </w:r>
      <w:proofErr w:type="spellEnd"/>
    </w:p>
    <w:p w:rsidRPr="00405616" w:rsidR="00394FFD" w:rsidP="00595A56" w:rsidRDefault="00394FFD" w14:paraId="2D488057" w14:textId="77777777">
      <w:pPr>
        <w:suppressAutoHyphens/>
      </w:pPr>
      <w:r w:rsidRPr="00405616">
        <w:t xml:space="preserve">De beschikbare groeiruimte in de </w:t>
      </w:r>
      <w:proofErr w:type="spellStart"/>
      <w:r w:rsidRPr="00405616">
        <w:t>Wlz</w:t>
      </w:r>
      <w:proofErr w:type="spellEnd"/>
      <w:r w:rsidRPr="00405616">
        <w:t xml:space="preserve"> voor de periode 2027-2031 </w:t>
      </w:r>
      <w:r>
        <w:t>volgt uit</w:t>
      </w:r>
      <w:r w:rsidRPr="00405616">
        <w:t xml:space="preserve"> de </w:t>
      </w:r>
      <w:proofErr w:type="spellStart"/>
      <w:r w:rsidRPr="00405616">
        <w:t>Middellangetermijnraming</w:t>
      </w:r>
      <w:proofErr w:type="spellEnd"/>
      <w:r w:rsidRPr="00405616">
        <w:t xml:space="preserve"> (MLT) van het Centraal Planbureau (CPB). Deze groeiruimte is in hoofdlijnen bedoeld om demografische ontwikkelingen en de daarmee samenhangende stijgende zorgvraag, zorgverzwaring van cliënten en kwaliteitsverbeteringen in de zorg op te vangen. Ook maakt zij het mogelijk dat de zorg kan blijven aansluiten bij ontwikkelingen in wetenschap en praktijk.</w:t>
      </w:r>
      <w:r>
        <w:t xml:space="preserve"> </w:t>
      </w:r>
      <w:r w:rsidRPr="00405616">
        <w:t xml:space="preserve">Zoals toegelicht in mijn brief </w:t>
      </w:r>
      <w:r w:rsidRPr="00A01020">
        <w:t>aan de Tweede Kamer van 29 mei jl.</w:t>
      </w:r>
      <w:r w:rsidRPr="00A01020">
        <w:rPr>
          <w:rStyle w:val="Voetnootmarkering"/>
        </w:rPr>
        <w:footnoteReference w:id="5"/>
      </w:r>
      <w:r w:rsidRPr="00A01020">
        <w:t xml:space="preserve"> loopt deze groeiruimte op de </w:t>
      </w:r>
      <w:proofErr w:type="spellStart"/>
      <w:r w:rsidRPr="00A01020">
        <w:t>Wlz</w:t>
      </w:r>
      <w:proofErr w:type="spellEnd"/>
      <w:r w:rsidRPr="00A01020">
        <w:t xml:space="preserve">-begroting bij ongewijzigd beleid op tot € 7,2 miljard in 2031. In termen van het </w:t>
      </w:r>
      <w:proofErr w:type="spellStart"/>
      <w:r w:rsidRPr="00A01020">
        <w:t>Wlz</w:t>
      </w:r>
      <w:proofErr w:type="spellEnd"/>
      <w:r w:rsidRPr="00A01020">
        <w:t>-kader (</w:t>
      </w:r>
      <w:r>
        <w:t xml:space="preserve">dat iets hoger wordt vastgesteld, </w:t>
      </w:r>
      <w:r w:rsidRPr="00A01020">
        <w:t xml:space="preserve">rekening houdend met </w:t>
      </w:r>
      <w:proofErr w:type="spellStart"/>
      <w:r w:rsidRPr="00A01020">
        <w:t>onderuitputting</w:t>
      </w:r>
      <w:proofErr w:type="spellEnd"/>
      <w:r w:rsidRPr="00A01020">
        <w:t>) gaat het om afgerond € 7,3 miljard</w:t>
      </w:r>
      <w:r>
        <w:t xml:space="preserve">. </w:t>
      </w:r>
      <w:r w:rsidRPr="00405616">
        <w:t>Ten opzichte van de MLT-raming bij ongewijzigd beleid houd ik rekening met de volgende twee beleidseffecten:</w:t>
      </w:r>
    </w:p>
    <w:p w:rsidRPr="00405616" w:rsidR="00394FFD" w:rsidP="00595A56" w:rsidRDefault="00394FFD" w14:paraId="51704B51" w14:textId="77777777">
      <w:pPr>
        <w:suppressAutoHyphens/>
      </w:pPr>
    </w:p>
    <w:p w:rsidR="00394FFD" w:rsidP="00595A56" w:rsidRDefault="00394FFD" w14:paraId="5C0647BA" w14:textId="202C0C09">
      <w:pPr>
        <w:pStyle w:val="Lijstalinea"/>
        <w:keepNext/>
        <w:keepLines/>
        <w:numPr>
          <w:ilvl w:val="0"/>
          <w:numId w:val="8"/>
        </w:numPr>
        <w:suppressAutoHyphens/>
        <w:ind w:left="357" w:hanging="357"/>
      </w:pPr>
      <w:r w:rsidRPr="00405616">
        <w:lastRenderedPageBreak/>
        <w:t>De taakstelling ‘</w:t>
      </w:r>
      <w:r>
        <w:t>B</w:t>
      </w:r>
      <w:r w:rsidRPr="00405616">
        <w:t xml:space="preserve">estuurlijk akkoord </w:t>
      </w:r>
      <w:proofErr w:type="spellStart"/>
      <w:r w:rsidRPr="00405616">
        <w:t>Wlz</w:t>
      </w:r>
      <w:proofErr w:type="spellEnd"/>
      <w:r w:rsidRPr="00405616">
        <w:t>/</w:t>
      </w:r>
      <w:r>
        <w:t>S</w:t>
      </w:r>
      <w:r w:rsidRPr="00405616">
        <w:t xml:space="preserve">cheiden wonen </w:t>
      </w:r>
      <w:r>
        <w:t xml:space="preserve">en </w:t>
      </w:r>
      <w:r w:rsidRPr="00405616">
        <w:t xml:space="preserve">zorg’. Deze loopt op grond van het coalitieakkoord op van € 130 miljoen in 2027 tot € 990 miljoen in 2031. Voor het jaar 2027 heb ik deze taakstelling alternatief ingevuld, zodat voldoende tijd en ruimte beschikbaar zijn om via een zorgvuldig proces bestuurlijke afspraken te maken en tot een invulling van de akkoorden te komen. </w:t>
      </w:r>
      <w:r>
        <w:t xml:space="preserve">Dit sluit ook aan bij de Kamerbrief van 9 maart jl. waarin ik reeds heb vermeld dat ik voor 2027 tot een alternatieve oplossing zou komen. </w:t>
      </w:r>
      <w:r w:rsidRPr="00405616">
        <w:t xml:space="preserve">De budgettaire dekking is gevonden binnen de middelen die het kabinet bij Voorjaarsnota voor 2027 en verder heeft gereserveerd voor mogelijke hogere uitgaven </w:t>
      </w:r>
      <w:r>
        <w:t>op grond</w:t>
      </w:r>
      <w:r w:rsidRPr="00405616">
        <w:t xml:space="preserve"> van lopende kostenonderzoeken van de </w:t>
      </w:r>
      <w:proofErr w:type="spellStart"/>
      <w:r w:rsidRPr="00405616">
        <w:t>NZa</w:t>
      </w:r>
      <w:proofErr w:type="spellEnd"/>
      <w:r w:rsidRPr="00405616">
        <w:t>.</w:t>
      </w:r>
      <w:r>
        <w:t xml:space="preserve"> Door de implementatie van </w:t>
      </w:r>
      <w:r w:rsidR="00AE690C">
        <w:t>een</w:t>
      </w:r>
      <w:r>
        <w:t xml:space="preserve"> onderzoek</w:t>
      </w:r>
      <w:r w:rsidR="00AE690C">
        <w:t xml:space="preserve"> naar de kosten van het aanhouden van eigen vermogen</w:t>
      </w:r>
      <w:r>
        <w:t xml:space="preserve"> in de tarieven uit te stellen is deze reservering voor 2027 niet meer nodig. </w:t>
      </w:r>
      <w:r w:rsidRPr="00405616">
        <w:t>Hierdoor gaat de taakstelling pas vanaf 2028 in.</w:t>
      </w:r>
    </w:p>
    <w:p w:rsidR="00394FFD" w:rsidP="00595A56" w:rsidRDefault="00394FFD" w14:paraId="77FA9A96" w14:textId="1BF90869">
      <w:pPr>
        <w:pStyle w:val="Lijstalinea"/>
        <w:numPr>
          <w:ilvl w:val="0"/>
          <w:numId w:val="8"/>
        </w:numPr>
        <w:suppressAutoHyphens/>
      </w:pPr>
      <w:r w:rsidRPr="00405616">
        <w:t xml:space="preserve">In de </w:t>
      </w:r>
      <w:r>
        <w:t xml:space="preserve">recent </w:t>
      </w:r>
      <w:r w:rsidRPr="00405616">
        <w:t>aangenomen motie-Dobbe (36915-XVI-19)</w:t>
      </w:r>
      <w:r w:rsidRPr="00770D9D">
        <w:t xml:space="preserve"> </w:t>
      </w:r>
      <w:r w:rsidRPr="00405616">
        <w:t xml:space="preserve">en naar aanleiding van de moties-Bikker c.s. </w:t>
      </w:r>
      <w:r w:rsidRPr="008A59D7">
        <w:t xml:space="preserve">(36848-107) </w:t>
      </w:r>
      <w:r w:rsidRPr="00405616">
        <w:t xml:space="preserve">en Westerveld c.s. </w:t>
      </w:r>
      <w:r w:rsidRPr="008A59D7">
        <w:t>(36800</w:t>
      </w:r>
      <w:r>
        <w:t>-</w:t>
      </w:r>
      <w:r w:rsidRPr="008A59D7">
        <w:t xml:space="preserve">XVI-160) </w:t>
      </w:r>
      <w:r>
        <w:t xml:space="preserve">zie ik de wens van uw Kamer om </w:t>
      </w:r>
      <w:r w:rsidRPr="00405616">
        <w:t xml:space="preserve">vanaf 2028 af </w:t>
      </w:r>
      <w:r>
        <w:t xml:space="preserve">te zien </w:t>
      </w:r>
      <w:r w:rsidRPr="00405616">
        <w:t xml:space="preserve">van de drie tariefmaatregelen op het terrein van de gehandicaptenzorg en langdurige ggz. </w:t>
      </w:r>
      <w:r>
        <w:t>Daarom ben ik bereid op dit moment van deze tariefmaatregelen af te zien</w:t>
      </w:r>
      <w:r w:rsidR="00AE690C">
        <w:t>,</w:t>
      </w:r>
      <w:r>
        <w:t xml:space="preserve"> en d</w:t>
      </w:r>
      <w:r w:rsidRPr="00405616">
        <w:t xml:space="preserve">e budgettaire opgave die hieruit voortvloeit </w:t>
      </w:r>
      <w:r>
        <w:t xml:space="preserve">te </w:t>
      </w:r>
      <w:r w:rsidRPr="00405616">
        <w:t>betrek</w:t>
      </w:r>
      <w:r>
        <w:t>ken</w:t>
      </w:r>
      <w:r w:rsidRPr="00405616">
        <w:t xml:space="preserve"> bij de bestuurlijke akkoorden. </w:t>
      </w:r>
      <w:r w:rsidRPr="00405616" w:rsidDel="008B405B">
        <w:t xml:space="preserve">Dit betekent dat ik, gegeven de resterende ruimte, met de sectoren wil komen tot goed onderbouwde afspraken. </w:t>
      </w:r>
      <w:r w:rsidRPr="00405616">
        <w:t xml:space="preserve">Ik ben mij ervan bewust dat hiermee de opgave voor de akkoorden groter wordt. </w:t>
      </w:r>
      <w:r>
        <w:t xml:space="preserve">Indien het niet mogelijk blijkt om deze </w:t>
      </w:r>
      <w:r w:rsidRPr="003A1B83">
        <w:t>hogere opgave met de afspraken in de akkoorden te realiseren, dan neem ik tarief- of andere maatregelen om zo de totale opgave in te vullen. Deze route</w:t>
      </w:r>
      <w:r>
        <w:t xml:space="preserve"> heeft uiteraard niet mijn voorkeur en ik zie voldoende mogelijkheden om te komen tot akkoorden.</w:t>
      </w:r>
    </w:p>
    <w:p w:rsidR="00394FFD" w:rsidP="00595A56" w:rsidRDefault="00394FFD" w14:paraId="64095B89" w14:textId="77777777">
      <w:pPr>
        <w:suppressAutoHyphens/>
      </w:pPr>
    </w:p>
    <w:p w:rsidR="00394FFD" w:rsidP="00595A56" w:rsidRDefault="00394FFD" w14:paraId="5609781A" w14:textId="77777777">
      <w:pPr>
        <w:suppressAutoHyphens/>
      </w:pPr>
      <w:r>
        <w:t xml:space="preserve">Tabel 1 laat zien dat de </w:t>
      </w:r>
      <w:r w:rsidRPr="00A01020">
        <w:t xml:space="preserve">groeiruimte voor zorg in natura en pgb binnen het </w:t>
      </w:r>
      <w:proofErr w:type="spellStart"/>
      <w:r w:rsidRPr="00A01020">
        <w:t>Wlz</w:t>
      </w:r>
      <w:proofErr w:type="spellEnd"/>
      <w:r w:rsidRPr="00A01020">
        <w:t>-kader rekening houdend met d</w:t>
      </w:r>
      <w:r>
        <w:t xml:space="preserve">eze twee effecten oploopt van € 1.461 miljoen in 2027 tot € 6.008 miljoen (afgerond € 6,0 miljard) in 2031. Dit bedrag is exclusief de loon- en prijscompensatie die jaarlijks aanvullend beschikbaar komt. </w:t>
      </w:r>
    </w:p>
    <w:p w:rsidR="00394FFD" w:rsidP="00595A56" w:rsidRDefault="00394FFD" w14:paraId="44515569" w14:textId="77777777">
      <w:pPr>
        <w:suppressAutoHyphens/>
      </w:pPr>
    </w:p>
    <w:tbl>
      <w:tblPr>
        <w:tblW w:w="8236" w:type="dxa"/>
        <w:tblCellMar>
          <w:left w:w="70" w:type="dxa"/>
          <w:right w:w="70" w:type="dxa"/>
        </w:tblCellMar>
        <w:tblLook w:val="04A0" w:firstRow="1" w:lastRow="0" w:firstColumn="1" w:lastColumn="0" w:noHBand="0" w:noVBand="1"/>
      </w:tblPr>
      <w:tblGrid>
        <w:gridCol w:w="252"/>
        <w:gridCol w:w="3772"/>
        <w:gridCol w:w="865"/>
        <w:gridCol w:w="865"/>
        <w:gridCol w:w="865"/>
        <w:gridCol w:w="865"/>
        <w:gridCol w:w="865"/>
      </w:tblGrid>
      <w:tr w:rsidRPr="00A01020" w:rsidR="00394FFD" w:rsidTr="001D13A0" w14:paraId="4EB9A2EC" w14:textId="77777777">
        <w:trPr>
          <w:trHeight w:val="300"/>
        </w:trPr>
        <w:tc>
          <w:tcPr>
            <w:tcW w:w="8236" w:type="dxa"/>
            <w:gridSpan w:val="7"/>
            <w:tcBorders>
              <w:top w:val="nil"/>
              <w:left w:val="nil"/>
              <w:bottom w:val="single" w:color="5B9BD5" w:sz="4" w:space="0"/>
              <w:right w:val="nil"/>
            </w:tcBorders>
            <w:shd w:val="clear" w:color="000000" w:fill="FFFFFF"/>
            <w:noWrap/>
            <w:vAlign w:val="center"/>
            <w:hideMark/>
          </w:tcPr>
          <w:p w:rsidRPr="00A01020" w:rsidR="00394FFD" w:rsidP="00595A56" w:rsidRDefault="00394FFD" w14:paraId="7F46806C" w14:textId="77777777">
            <w:pPr>
              <w:keepNext/>
              <w:keepLines/>
              <w:suppressAutoHyphens/>
              <w:autoSpaceDN/>
              <w:spacing w:line="240" w:lineRule="auto"/>
              <w:textAlignment w:val="auto"/>
              <w:rPr>
                <w:rFonts w:eastAsia="Times New Roman" w:cs="Times New Roman"/>
                <w:i/>
                <w:iCs/>
              </w:rPr>
            </w:pPr>
            <w:r w:rsidRPr="00A01020">
              <w:rPr>
                <w:rFonts w:eastAsia="Times New Roman" w:cs="Times New Roman"/>
                <w:i/>
                <w:iCs/>
              </w:rPr>
              <w:t xml:space="preserve">Tabel 1: Opbouw beschikbare groeiruimte </w:t>
            </w:r>
            <w:proofErr w:type="spellStart"/>
            <w:r w:rsidRPr="00A01020">
              <w:rPr>
                <w:rFonts w:eastAsia="Times New Roman" w:cs="Times New Roman"/>
                <w:i/>
                <w:iCs/>
              </w:rPr>
              <w:t>Wlz</w:t>
            </w:r>
            <w:proofErr w:type="spellEnd"/>
            <w:r w:rsidRPr="00A01020">
              <w:rPr>
                <w:rFonts w:eastAsia="Times New Roman" w:cs="Times New Roman"/>
                <w:i/>
                <w:iCs/>
              </w:rPr>
              <w:t xml:space="preserve"> zorg in natura en pgb 2027-2031</w:t>
            </w:r>
          </w:p>
        </w:tc>
      </w:tr>
      <w:tr w:rsidRPr="00A01020" w:rsidR="00394FFD" w:rsidTr="001D13A0" w14:paraId="4D18334E" w14:textId="77777777">
        <w:trPr>
          <w:trHeight w:val="300"/>
        </w:trPr>
        <w:tc>
          <w:tcPr>
            <w:tcW w:w="3911"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A01020" w:rsidR="00394FFD" w:rsidP="00595A56" w:rsidRDefault="00394FFD" w14:paraId="42AC22F5" w14:textId="77777777">
            <w:pPr>
              <w:keepNext/>
              <w:keepLines/>
              <w:suppressAutoHyphens/>
              <w:autoSpaceDN/>
              <w:spacing w:line="240" w:lineRule="auto"/>
              <w:textAlignment w:val="auto"/>
              <w:rPr>
                <w:rFonts w:ascii="Calibri" w:hAnsi="Calibri" w:eastAsia="Times New Roman" w:cs="Calibri"/>
                <w:i/>
                <w:iCs/>
                <w:color w:val="FFFFFF"/>
                <w:sz w:val="22"/>
                <w:szCs w:val="22"/>
              </w:rPr>
            </w:pPr>
            <w:r w:rsidRPr="00A01020">
              <w:rPr>
                <w:rFonts w:ascii="Calibri" w:hAnsi="Calibri" w:eastAsia="Times New Roman" w:cs="Calibri"/>
                <w:i/>
                <w:iCs/>
                <w:color w:val="FFFFFF"/>
                <w:sz w:val="22"/>
                <w:szCs w:val="22"/>
              </w:rPr>
              <w:t>bedragen x € 1 miljoen</w:t>
            </w:r>
          </w:p>
        </w:tc>
        <w:tc>
          <w:tcPr>
            <w:tcW w:w="865" w:type="dxa"/>
            <w:tcBorders>
              <w:top w:val="nil"/>
              <w:left w:val="nil"/>
              <w:bottom w:val="single" w:color="5B9BD5" w:sz="4" w:space="0"/>
              <w:right w:val="single" w:color="5B9BD5" w:sz="4" w:space="0"/>
            </w:tcBorders>
            <w:shd w:val="clear" w:color="000000" w:fill="4D93D9"/>
            <w:noWrap/>
            <w:vAlign w:val="center"/>
            <w:hideMark/>
          </w:tcPr>
          <w:p w:rsidRPr="00A01020" w:rsidR="00394FFD" w:rsidP="00595A56" w:rsidRDefault="00394FFD" w14:paraId="60C5E812"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A01020">
              <w:rPr>
                <w:rFonts w:ascii="Calibri" w:hAnsi="Calibri" w:eastAsia="Times New Roman" w:cs="Calibri"/>
                <w:color w:val="FFFFFF"/>
                <w:sz w:val="22"/>
                <w:szCs w:val="22"/>
              </w:rPr>
              <w:t>2027</w:t>
            </w:r>
          </w:p>
        </w:tc>
        <w:tc>
          <w:tcPr>
            <w:tcW w:w="865" w:type="dxa"/>
            <w:tcBorders>
              <w:top w:val="nil"/>
              <w:left w:val="nil"/>
              <w:bottom w:val="single" w:color="5B9BD5" w:sz="4" w:space="0"/>
              <w:right w:val="single" w:color="5B9BD5" w:sz="4" w:space="0"/>
            </w:tcBorders>
            <w:shd w:val="clear" w:color="000000" w:fill="4D93D9"/>
            <w:noWrap/>
            <w:vAlign w:val="center"/>
            <w:hideMark/>
          </w:tcPr>
          <w:p w:rsidRPr="00A01020" w:rsidR="00394FFD" w:rsidP="00595A56" w:rsidRDefault="00394FFD" w14:paraId="2364D6ED"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A01020">
              <w:rPr>
                <w:rFonts w:ascii="Calibri" w:hAnsi="Calibri" w:eastAsia="Times New Roman" w:cs="Calibri"/>
                <w:color w:val="FFFFFF"/>
                <w:sz w:val="22"/>
                <w:szCs w:val="22"/>
              </w:rPr>
              <w:t>2028</w:t>
            </w:r>
          </w:p>
        </w:tc>
        <w:tc>
          <w:tcPr>
            <w:tcW w:w="865" w:type="dxa"/>
            <w:tcBorders>
              <w:top w:val="nil"/>
              <w:left w:val="nil"/>
              <w:bottom w:val="single" w:color="5B9BD5" w:sz="4" w:space="0"/>
              <w:right w:val="single" w:color="5B9BD5" w:sz="4" w:space="0"/>
            </w:tcBorders>
            <w:shd w:val="clear" w:color="000000" w:fill="4D93D9"/>
            <w:noWrap/>
            <w:vAlign w:val="center"/>
            <w:hideMark/>
          </w:tcPr>
          <w:p w:rsidRPr="00A01020" w:rsidR="00394FFD" w:rsidP="00595A56" w:rsidRDefault="00394FFD" w14:paraId="6E961A83"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A01020">
              <w:rPr>
                <w:rFonts w:ascii="Calibri" w:hAnsi="Calibri" w:eastAsia="Times New Roman" w:cs="Calibri"/>
                <w:color w:val="FFFFFF"/>
                <w:sz w:val="22"/>
                <w:szCs w:val="22"/>
              </w:rPr>
              <w:t>2029</w:t>
            </w:r>
          </w:p>
        </w:tc>
        <w:tc>
          <w:tcPr>
            <w:tcW w:w="865" w:type="dxa"/>
            <w:tcBorders>
              <w:top w:val="nil"/>
              <w:left w:val="nil"/>
              <w:bottom w:val="single" w:color="5B9BD5" w:sz="4" w:space="0"/>
              <w:right w:val="single" w:color="5B9BD5" w:sz="4" w:space="0"/>
            </w:tcBorders>
            <w:shd w:val="clear" w:color="000000" w:fill="4D93D9"/>
            <w:noWrap/>
            <w:vAlign w:val="center"/>
            <w:hideMark/>
          </w:tcPr>
          <w:p w:rsidRPr="00A01020" w:rsidR="00394FFD" w:rsidP="00595A56" w:rsidRDefault="00394FFD" w14:paraId="0F83FA52"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A01020">
              <w:rPr>
                <w:rFonts w:ascii="Calibri" w:hAnsi="Calibri" w:eastAsia="Times New Roman" w:cs="Calibri"/>
                <w:color w:val="FFFFFF"/>
                <w:sz w:val="22"/>
                <w:szCs w:val="22"/>
              </w:rPr>
              <w:t>2030</w:t>
            </w:r>
          </w:p>
        </w:tc>
        <w:tc>
          <w:tcPr>
            <w:tcW w:w="865" w:type="dxa"/>
            <w:tcBorders>
              <w:top w:val="nil"/>
              <w:left w:val="nil"/>
              <w:bottom w:val="single" w:color="5B9BD5" w:sz="4" w:space="0"/>
              <w:right w:val="single" w:color="5B9BD5" w:sz="4" w:space="0"/>
            </w:tcBorders>
            <w:shd w:val="clear" w:color="000000" w:fill="4D93D9"/>
            <w:noWrap/>
            <w:vAlign w:val="center"/>
            <w:hideMark/>
          </w:tcPr>
          <w:p w:rsidRPr="00A01020" w:rsidR="00394FFD" w:rsidP="00595A56" w:rsidRDefault="00394FFD" w14:paraId="5526D076"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A01020">
              <w:rPr>
                <w:rFonts w:ascii="Calibri" w:hAnsi="Calibri" w:eastAsia="Times New Roman" w:cs="Calibri"/>
                <w:color w:val="FFFFFF"/>
                <w:sz w:val="22"/>
                <w:szCs w:val="22"/>
              </w:rPr>
              <w:t>2031</w:t>
            </w:r>
          </w:p>
        </w:tc>
      </w:tr>
      <w:tr w:rsidRPr="00A01020" w:rsidR="00394FFD" w:rsidTr="001D13A0" w14:paraId="09CAB07D" w14:textId="77777777">
        <w:trPr>
          <w:trHeight w:val="300"/>
        </w:trPr>
        <w:tc>
          <w:tcPr>
            <w:tcW w:w="139" w:type="dxa"/>
            <w:tcBorders>
              <w:top w:val="nil"/>
              <w:left w:val="single" w:color="5B9BD5" w:sz="4" w:space="0"/>
              <w:bottom w:val="single" w:color="5B9BD5" w:sz="4" w:space="0"/>
              <w:right w:val="single" w:color="5B9BD5" w:sz="4" w:space="0"/>
            </w:tcBorders>
            <w:shd w:val="clear" w:color="000000" w:fill="DDEBF7"/>
            <w:noWrap/>
            <w:vAlign w:val="bottom"/>
            <w:hideMark/>
          </w:tcPr>
          <w:p w:rsidRPr="00A01020" w:rsidR="00394FFD" w:rsidP="00595A56" w:rsidRDefault="00394FFD" w14:paraId="34751B84"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1</w:t>
            </w:r>
          </w:p>
        </w:tc>
        <w:tc>
          <w:tcPr>
            <w:tcW w:w="3772"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0BAD6B2D" w14:textId="77777777">
            <w:pPr>
              <w:keepNext/>
              <w:keepLines/>
              <w:suppressAutoHyphens/>
              <w:autoSpaceDN/>
              <w:spacing w:line="240" w:lineRule="auto"/>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 xml:space="preserve">Groeiruimte </w:t>
            </w:r>
            <w:r>
              <w:rPr>
                <w:rFonts w:ascii="Calibri" w:hAnsi="Calibri" w:eastAsia="Times New Roman" w:cs="Calibri"/>
                <w:color w:val="auto"/>
                <w:sz w:val="22"/>
                <w:szCs w:val="22"/>
              </w:rPr>
              <w:t>op basis van</w:t>
            </w:r>
            <w:r w:rsidRPr="00A01020">
              <w:rPr>
                <w:rFonts w:ascii="Calibri" w:hAnsi="Calibri" w:eastAsia="Times New Roman" w:cs="Calibri"/>
                <w:color w:val="auto"/>
                <w:sz w:val="22"/>
                <w:szCs w:val="22"/>
              </w:rPr>
              <w:t xml:space="preserve"> MLT</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16F5571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1.461</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5D1BF576"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2.874</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14A4885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4.240</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070FF8C2"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5.770</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0AC6DAF5"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7.259</w:t>
            </w:r>
          </w:p>
        </w:tc>
      </w:tr>
      <w:tr w:rsidRPr="00A01020" w:rsidR="00394FFD" w:rsidTr="001D13A0" w14:paraId="45BE4248" w14:textId="77777777">
        <w:trPr>
          <w:trHeight w:val="300"/>
        </w:trPr>
        <w:tc>
          <w:tcPr>
            <w:tcW w:w="139" w:type="dxa"/>
            <w:tcBorders>
              <w:top w:val="nil"/>
              <w:left w:val="single" w:color="5B9BD5" w:sz="4" w:space="0"/>
              <w:bottom w:val="single" w:color="5B9BD5" w:sz="4" w:space="0"/>
              <w:right w:val="single" w:color="5B9BD5" w:sz="4" w:space="0"/>
            </w:tcBorders>
            <w:shd w:val="clear" w:color="000000" w:fill="FFFFFF"/>
            <w:noWrap/>
            <w:vAlign w:val="bottom"/>
            <w:hideMark/>
          </w:tcPr>
          <w:p w:rsidRPr="00A01020" w:rsidR="00394FFD" w:rsidP="00595A56" w:rsidRDefault="00394FFD" w14:paraId="3FE169D3"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2</w:t>
            </w:r>
          </w:p>
        </w:tc>
        <w:tc>
          <w:tcPr>
            <w:tcW w:w="3772" w:type="dxa"/>
            <w:tcBorders>
              <w:top w:val="nil"/>
              <w:left w:val="nil"/>
              <w:bottom w:val="single" w:color="5B9BD5" w:sz="4" w:space="0"/>
              <w:right w:val="single" w:color="5B9BD5" w:sz="4" w:space="0"/>
            </w:tcBorders>
            <w:shd w:val="clear" w:color="000000" w:fill="FFFFFF"/>
            <w:noWrap/>
            <w:vAlign w:val="bottom"/>
            <w:hideMark/>
          </w:tcPr>
          <w:p w:rsidRPr="00A01020" w:rsidR="00394FFD" w:rsidP="00595A56" w:rsidRDefault="00394FFD" w14:paraId="45A5A941" w14:textId="77777777">
            <w:pPr>
              <w:keepNext/>
              <w:keepLines/>
              <w:suppressAutoHyphens/>
              <w:autoSpaceDN/>
              <w:spacing w:line="240" w:lineRule="auto"/>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Taakstelling CA</w:t>
            </w:r>
          </w:p>
        </w:tc>
        <w:tc>
          <w:tcPr>
            <w:tcW w:w="865" w:type="dxa"/>
            <w:tcBorders>
              <w:top w:val="nil"/>
              <w:left w:val="nil"/>
              <w:bottom w:val="single" w:color="5B9BD5" w:sz="4" w:space="0"/>
              <w:right w:val="single" w:color="5B9BD5" w:sz="4" w:space="0"/>
            </w:tcBorders>
            <w:shd w:val="clear" w:color="000000" w:fill="FFFFFF"/>
            <w:noWrap/>
            <w:vAlign w:val="bottom"/>
            <w:hideMark/>
          </w:tcPr>
          <w:p w:rsidRPr="00A01020" w:rsidR="00394FFD" w:rsidP="00595A56" w:rsidRDefault="00394FFD" w14:paraId="7F5B0823" w14:textId="77777777">
            <w:pPr>
              <w:keepNext/>
              <w:keepLines/>
              <w:suppressAutoHyphens/>
              <w:autoSpaceDN/>
              <w:spacing w:line="240" w:lineRule="auto"/>
              <w:jc w:val="right"/>
              <w:textAlignment w:val="auto"/>
              <w:rPr>
                <w:rFonts w:ascii="Calibri" w:hAnsi="Calibri" w:eastAsia="Times New Roman" w:cs="Calibri"/>
                <w:color w:val="auto"/>
                <w:sz w:val="22"/>
                <w:szCs w:val="22"/>
              </w:rPr>
            </w:pP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62542BA3"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-345</w:t>
            </w: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521AEF0B"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-560</w:t>
            </w: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6E51693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-775</w:t>
            </w: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443F26B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-990</w:t>
            </w:r>
          </w:p>
        </w:tc>
      </w:tr>
      <w:tr w:rsidRPr="00A01020" w:rsidR="00394FFD" w:rsidTr="001D13A0" w14:paraId="68934042" w14:textId="77777777">
        <w:trPr>
          <w:trHeight w:val="300"/>
        </w:trPr>
        <w:tc>
          <w:tcPr>
            <w:tcW w:w="139" w:type="dxa"/>
            <w:tcBorders>
              <w:top w:val="nil"/>
              <w:left w:val="single" w:color="5B9BD5" w:sz="4" w:space="0"/>
              <w:bottom w:val="single" w:color="5B9BD5" w:sz="4" w:space="0"/>
              <w:right w:val="single" w:color="5B9BD5" w:sz="4" w:space="0"/>
            </w:tcBorders>
            <w:shd w:val="clear" w:color="000000" w:fill="FFFFFF"/>
            <w:noWrap/>
            <w:vAlign w:val="bottom"/>
            <w:hideMark/>
          </w:tcPr>
          <w:p w:rsidRPr="00A01020" w:rsidR="00394FFD" w:rsidP="00595A56" w:rsidRDefault="00394FFD" w14:paraId="2F019647"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3</w:t>
            </w:r>
          </w:p>
        </w:tc>
        <w:tc>
          <w:tcPr>
            <w:tcW w:w="3772" w:type="dxa"/>
            <w:tcBorders>
              <w:top w:val="nil"/>
              <w:left w:val="nil"/>
              <w:bottom w:val="single" w:color="5B9BD5" w:sz="4" w:space="0"/>
              <w:right w:val="single" w:color="5B9BD5" w:sz="4" w:space="0"/>
            </w:tcBorders>
            <w:shd w:val="clear" w:color="000000" w:fill="FFFFFF"/>
            <w:noWrap/>
            <w:vAlign w:val="bottom"/>
            <w:hideMark/>
          </w:tcPr>
          <w:p w:rsidRPr="00A01020" w:rsidR="00394FFD" w:rsidP="00595A56" w:rsidRDefault="00394FFD" w14:paraId="6AEEFEA0" w14:textId="77777777">
            <w:pPr>
              <w:keepNext/>
              <w:keepLines/>
              <w:suppressAutoHyphens/>
              <w:autoSpaceDN/>
              <w:spacing w:line="240" w:lineRule="auto"/>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Schrappen tariefmaatregelen</w:t>
            </w:r>
          </w:p>
        </w:tc>
        <w:tc>
          <w:tcPr>
            <w:tcW w:w="865" w:type="dxa"/>
            <w:tcBorders>
              <w:top w:val="nil"/>
              <w:left w:val="nil"/>
              <w:bottom w:val="single" w:color="5B9BD5" w:sz="4" w:space="0"/>
              <w:right w:val="single" w:color="5B9BD5" w:sz="4" w:space="0"/>
            </w:tcBorders>
            <w:shd w:val="clear" w:color="000000" w:fill="FFFFFF"/>
            <w:noWrap/>
            <w:vAlign w:val="bottom"/>
            <w:hideMark/>
          </w:tcPr>
          <w:p w:rsidRPr="00A01020" w:rsidR="00394FFD" w:rsidP="00595A56" w:rsidRDefault="00394FFD" w14:paraId="6DAB4259" w14:textId="77777777">
            <w:pPr>
              <w:keepNext/>
              <w:keepLines/>
              <w:suppressAutoHyphens/>
              <w:autoSpaceDN/>
              <w:spacing w:line="240" w:lineRule="auto"/>
              <w:jc w:val="right"/>
              <w:textAlignment w:val="auto"/>
              <w:rPr>
                <w:rFonts w:ascii="Calibri" w:hAnsi="Calibri" w:eastAsia="Times New Roman" w:cs="Calibri"/>
                <w:color w:val="auto"/>
                <w:sz w:val="22"/>
                <w:szCs w:val="22"/>
              </w:rPr>
            </w:pP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5E1D44D8"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-197</w:t>
            </w: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23E6FDB1"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-226</w:t>
            </w: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6F9F465D"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-252</w:t>
            </w:r>
          </w:p>
        </w:tc>
        <w:tc>
          <w:tcPr>
            <w:tcW w:w="865" w:type="dxa"/>
            <w:tcBorders>
              <w:top w:val="nil"/>
              <w:left w:val="nil"/>
              <w:bottom w:val="single" w:color="5B9BD5" w:sz="4" w:space="0"/>
              <w:right w:val="single" w:color="5B9BD5" w:sz="4" w:space="0"/>
            </w:tcBorders>
            <w:shd w:val="clear" w:color="auto" w:fill="auto"/>
            <w:noWrap/>
            <w:vAlign w:val="bottom"/>
            <w:hideMark/>
          </w:tcPr>
          <w:p w:rsidRPr="00A01020" w:rsidR="00394FFD" w:rsidP="00595A56" w:rsidRDefault="00394FFD" w14:paraId="4C5B608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-261</w:t>
            </w:r>
          </w:p>
        </w:tc>
      </w:tr>
      <w:tr w:rsidRPr="00A01020" w:rsidR="00394FFD" w:rsidTr="001D13A0" w14:paraId="371CC214" w14:textId="77777777">
        <w:trPr>
          <w:trHeight w:val="300"/>
        </w:trPr>
        <w:tc>
          <w:tcPr>
            <w:tcW w:w="139" w:type="dxa"/>
            <w:tcBorders>
              <w:top w:val="nil"/>
              <w:left w:val="single" w:color="5B9BD5" w:sz="4" w:space="0"/>
              <w:bottom w:val="single" w:color="5B9BD5" w:sz="4" w:space="0"/>
              <w:right w:val="single" w:color="5B9BD5" w:sz="4" w:space="0"/>
            </w:tcBorders>
            <w:shd w:val="clear" w:color="000000" w:fill="DDEBF7"/>
            <w:noWrap/>
            <w:vAlign w:val="bottom"/>
            <w:hideMark/>
          </w:tcPr>
          <w:p w:rsidRPr="00A01020" w:rsidR="00394FFD" w:rsidP="00595A56" w:rsidRDefault="00394FFD" w14:paraId="741511AB"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4</w:t>
            </w:r>
          </w:p>
        </w:tc>
        <w:tc>
          <w:tcPr>
            <w:tcW w:w="3772"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6753CA53" w14:textId="77777777">
            <w:pPr>
              <w:keepNext/>
              <w:keepLines/>
              <w:suppressAutoHyphens/>
              <w:autoSpaceDN/>
              <w:spacing w:line="240" w:lineRule="auto"/>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 xml:space="preserve">Beschikbare groeiruimte </w:t>
            </w:r>
            <w:proofErr w:type="spellStart"/>
            <w:r w:rsidRPr="00A01020">
              <w:rPr>
                <w:rFonts w:ascii="Calibri" w:hAnsi="Calibri" w:eastAsia="Times New Roman" w:cs="Calibri"/>
                <w:color w:val="auto"/>
                <w:sz w:val="22"/>
                <w:szCs w:val="22"/>
              </w:rPr>
              <w:t>Wlz</w:t>
            </w:r>
            <w:proofErr w:type="spellEnd"/>
            <w:r w:rsidRPr="00A01020">
              <w:rPr>
                <w:rFonts w:ascii="Calibri" w:hAnsi="Calibri" w:eastAsia="Times New Roman" w:cs="Calibri"/>
                <w:color w:val="auto"/>
                <w:sz w:val="22"/>
                <w:szCs w:val="22"/>
              </w:rPr>
              <w:t xml:space="preserve"> (1+2+3)</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1485C013"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1.461</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6A265E4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2.331</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5CFBF800"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3.454</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4965FDE7"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4.743</w:t>
            </w:r>
          </w:p>
        </w:tc>
        <w:tc>
          <w:tcPr>
            <w:tcW w:w="865" w:type="dxa"/>
            <w:tcBorders>
              <w:top w:val="nil"/>
              <w:left w:val="nil"/>
              <w:bottom w:val="single" w:color="5B9BD5" w:sz="4" w:space="0"/>
              <w:right w:val="single" w:color="5B9BD5" w:sz="4" w:space="0"/>
            </w:tcBorders>
            <w:shd w:val="clear" w:color="000000" w:fill="DDEBF7"/>
            <w:noWrap/>
            <w:vAlign w:val="bottom"/>
            <w:hideMark/>
          </w:tcPr>
          <w:p w:rsidRPr="00A01020" w:rsidR="00394FFD" w:rsidP="00595A56" w:rsidRDefault="00394FFD" w14:paraId="68CA61F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A01020">
              <w:rPr>
                <w:rFonts w:ascii="Calibri" w:hAnsi="Calibri" w:eastAsia="Times New Roman" w:cs="Calibri"/>
                <w:color w:val="auto"/>
                <w:sz w:val="22"/>
                <w:szCs w:val="22"/>
              </w:rPr>
              <w:t>6.008</w:t>
            </w:r>
          </w:p>
        </w:tc>
      </w:tr>
    </w:tbl>
    <w:p w:rsidR="00394FFD" w:rsidP="00595A56" w:rsidRDefault="00394FFD" w14:paraId="654E5D71" w14:textId="77777777">
      <w:pPr>
        <w:suppressAutoHyphens/>
      </w:pPr>
    </w:p>
    <w:p w:rsidR="00394FFD" w:rsidP="00595A56" w:rsidRDefault="00394FFD" w14:paraId="0A63B2A3" w14:textId="77777777">
      <w:pPr>
        <w:suppressAutoHyphens/>
      </w:pPr>
      <w:r>
        <w:t xml:space="preserve"> </w:t>
      </w:r>
    </w:p>
    <w:p w:rsidRPr="00CE03EF" w:rsidR="00394FFD" w:rsidP="00595A56" w:rsidRDefault="00394FFD" w14:paraId="2DC8D0FC" w14:textId="77777777">
      <w:pPr>
        <w:pStyle w:val="Lijstalinea"/>
        <w:numPr>
          <w:ilvl w:val="0"/>
          <w:numId w:val="7"/>
        </w:numPr>
        <w:suppressAutoHyphens/>
        <w:rPr>
          <w:i/>
          <w:iCs/>
        </w:rPr>
      </w:pPr>
      <w:r w:rsidRPr="00CE03EF">
        <w:rPr>
          <w:i/>
          <w:iCs/>
        </w:rPr>
        <w:t xml:space="preserve">Verdeling </w:t>
      </w:r>
      <w:r>
        <w:rPr>
          <w:i/>
          <w:iCs/>
        </w:rPr>
        <w:t xml:space="preserve">groeiruimte 2027-2031 </w:t>
      </w:r>
      <w:r w:rsidRPr="00CE03EF">
        <w:rPr>
          <w:i/>
          <w:iCs/>
        </w:rPr>
        <w:t>naar sectoren</w:t>
      </w:r>
    </w:p>
    <w:p w:rsidR="00394FFD" w:rsidP="00595A56" w:rsidRDefault="00394FFD" w14:paraId="0C062F1D" w14:textId="77777777">
      <w:pPr>
        <w:suppressAutoHyphens/>
      </w:pPr>
      <w:r w:rsidRPr="00A01020">
        <w:t>De beschikbare groeiruimte heb ik</w:t>
      </w:r>
      <w:r>
        <w:t xml:space="preserve"> vanaf 2028 verdeeld op basis van een ramingsmethodiek die vergelijkbaar is met die van de </w:t>
      </w:r>
      <w:proofErr w:type="spellStart"/>
      <w:r>
        <w:t>Middellangetermijnraming</w:t>
      </w:r>
      <w:proofErr w:type="spellEnd"/>
      <w:r>
        <w:t xml:space="preserve"> (MLT) van het CPB. Deze methodiek houdt rekening met demografische ontwikkelingen, zorggebruik en zorgverzwaring per sector. Daarbij heb ik er rekening mee gehouden dat de beschikbare groei voor de komende jaren in lijn is met de gerealiseerde groei in de afgelopen jaren.</w:t>
      </w:r>
    </w:p>
    <w:p w:rsidR="00394FFD" w:rsidP="00595A56" w:rsidRDefault="00394FFD" w14:paraId="644A1DA9" w14:textId="77777777">
      <w:pPr>
        <w:suppressAutoHyphens/>
      </w:pPr>
    </w:p>
    <w:p w:rsidR="00394FFD" w:rsidP="00595A56" w:rsidRDefault="00394FFD" w14:paraId="0A60CA18" w14:textId="77777777">
      <w:pPr>
        <w:keepNext/>
        <w:keepLines/>
        <w:suppressAutoHyphens/>
      </w:pPr>
      <w:r>
        <w:lastRenderedPageBreak/>
        <w:t>Tabel 2 geeft</w:t>
      </w:r>
      <w:r w:rsidRPr="00A01020">
        <w:t xml:space="preserve"> </w:t>
      </w:r>
      <w:r>
        <w:t>eerst de grondslag per sector in 2026 voor de verdeling van de beschikbare groeiruimte vanaf 2027</w:t>
      </w:r>
      <w:r w:rsidRPr="00A01020">
        <w:t xml:space="preserve">. </w:t>
      </w:r>
      <w:r>
        <w:t>De ouderenzorg is met een aandeel van</w:t>
      </w:r>
      <w:r w:rsidRPr="00A01020">
        <w:t xml:space="preserve"> €</w:t>
      </w:r>
      <w:r>
        <w:t> </w:t>
      </w:r>
      <w:r w:rsidRPr="00A01020">
        <w:t xml:space="preserve">22.166 miljoen </w:t>
      </w:r>
      <w:r>
        <w:t>(</w:t>
      </w:r>
      <w:r w:rsidRPr="00A01020">
        <w:t>bijna 55%</w:t>
      </w:r>
      <w:r>
        <w:t>)</w:t>
      </w:r>
      <w:r w:rsidRPr="00A01020">
        <w:t xml:space="preserve"> </w:t>
      </w:r>
      <w:r>
        <w:t xml:space="preserve">de grootste sector, gevolgd door de </w:t>
      </w:r>
      <w:r w:rsidRPr="00A01020">
        <w:t xml:space="preserve">gehandicaptenzorg </w:t>
      </w:r>
      <w:r>
        <w:t>met € 15.575 miljoen (</w:t>
      </w:r>
      <w:r w:rsidRPr="00A01020">
        <w:t xml:space="preserve">circa 38%) en </w:t>
      </w:r>
      <w:r>
        <w:t xml:space="preserve">de </w:t>
      </w:r>
      <w:r w:rsidRPr="00A01020">
        <w:t>langdurige ggz</w:t>
      </w:r>
      <w:r w:rsidRPr="006F7551">
        <w:t xml:space="preserve"> </w:t>
      </w:r>
      <w:r>
        <w:t xml:space="preserve">met </w:t>
      </w:r>
      <w:r w:rsidRPr="00A01020">
        <w:t>€</w:t>
      </w:r>
      <w:r>
        <w:t> </w:t>
      </w:r>
      <w:r w:rsidRPr="00A01020">
        <w:t xml:space="preserve">3.005 miljoen </w:t>
      </w:r>
      <w:r>
        <w:t>(</w:t>
      </w:r>
      <w:r w:rsidRPr="00A01020">
        <w:t>circa 7%)</w:t>
      </w:r>
      <w:r>
        <w:t xml:space="preserve">. </w:t>
      </w:r>
    </w:p>
    <w:p w:rsidR="00394FFD" w:rsidP="00595A56" w:rsidRDefault="00394FFD" w14:paraId="3E35AB33" w14:textId="77777777">
      <w:pPr>
        <w:suppressAutoHyphens/>
      </w:pPr>
    </w:p>
    <w:p w:rsidR="00394FFD" w:rsidP="00595A56" w:rsidRDefault="00394FFD" w14:paraId="2BF58B03" w14:textId="78DC7F68">
      <w:pPr>
        <w:suppressAutoHyphens/>
      </w:pPr>
      <w:r>
        <w:t xml:space="preserve">Tabel 2 presenteert vervolgens de verdeling van de groeiruimte vanaf 2027. De verdeling in 2027 heeft uiteraard een fictief karakter, aangezien de bestuurlijke akkoorden per sector </w:t>
      </w:r>
      <w:r w:rsidR="00112271">
        <w:t xml:space="preserve">worden voorzien vanaf </w:t>
      </w:r>
      <w:r>
        <w:t xml:space="preserve">2028. Zonder deze fictieve verdeling voor het jaar 2027 is het echter niet mogelijk om nu al een indicatief beeld te geven van de deelkaders per sector voor de periode 2028-2031 (zoals opgenomen in tabel 5, 6 en 7 van bijgesloten voorlopige kaderbrief </w:t>
      </w:r>
      <w:proofErr w:type="spellStart"/>
      <w:r>
        <w:t>Wlz</w:t>
      </w:r>
      <w:proofErr w:type="spellEnd"/>
      <w:r>
        <w:t xml:space="preserve"> 2027). Tevens sluit ik op deze manier aan bij de opzet van mijn brief van 9 maart jl. waarin ik de groeiruimte voor de periode 2027-2031 heb toegelicht. </w:t>
      </w:r>
      <w:r w:rsidRPr="00E37EAF">
        <w:t xml:space="preserve">De groeiruimte voor de ouderenzorg loopt </w:t>
      </w:r>
      <w:r>
        <w:t xml:space="preserve">aldus </w:t>
      </w:r>
      <w:r w:rsidRPr="00E37EAF">
        <w:t>op tot € 3.</w:t>
      </w:r>
      <w:r>
        <w:t>898</w:t>
      </w:r>
      <w:r w:rsidRPr="00E37EAF">
        <w:t xml:space="preserve"> miljoen in 2031. Voor de gehandicaptenzorg bedraagt deze in 2031 € 1.6</w:t>
      </w:r>
      <w:r>
        <w:t>54</w:t>
      </w:r>
      <w:r w:rsidRPr="00E37EAF">
        <w:t xml:space="preserve"> miljoen en voor de langdurige ggz € 45</w:t>
      </w:r>
      <w:r>
        <w:t>6</w:t>
      </w:r>
      <w:r w:rsidRPr="00E37EAF">
        <w:t xml:space="preserve"> miljoen. </w:t>
      </w:r>
      <w:r>
        <w:t>Dit betreft voor alle sectoren de groeiruimte over de periode 2027-2031.</w:t>
      </w:r>
    </w:p>
    <w:p w:rsidR="00394FFD" w:rsidP="00595A56" w:rsidRDefault="00394FFD" w14:paraId="05E2B082" w14:textId="77777777">
      <w:pPr>
        <w:suppressAutoHyphens/>
      </w:pPr>
    </w:p>
    <w:p w:rsidR="00394FFD" w:rsidP="00595A56" w:rsidRDefault="00394FFD" w14:paraId="649A2A77" w14:textId="77777777">
      <w:pPr>
        <w:suppressAutoHyphens/>
      </w:pPr>
      <w:r w:rsidRPr="00E37EAF">
        <w:t>De groei in de ouderenzorg wordt daarbij voornamelijk bepaald door demografische ontwikkelingen, in het bijzonder de vergrijzing</w:t>
      </w:r>
      <w:r>
        <w:t xml:space="preserve"> en zorgverzwaring</w:t>
      </w:r>
      <w:r w:rsidRPr="00E37EAF">
        <w:t>. Voor de gehandicaptenzorg en</w:t>
      </w:r>
      <w:r>
        <w:t xml:space="preserve"> de langdurige ggz wordt de groei in sterkere mate bepaald door ontwikkelingen in zorggebruik en zorgverzwaring. </w:t>
      </w:r>
    </w:p>
    <w:p w:rsidR="00394FFD" w:rsidP="00595A56" w:rsidRDefault="00394FFD" w14:paraId="095BFCC3" w14:textId="77777777">
      <w:pPr>
        <w:suppressAutoHyphens/>
      </w:pPr>
    </w:p>
    <w:tbl>
      <w:tblPr>
        <w:tblW w:w="9156" w:type="dxa"/>
        <w:tblCellMar>
          <w:left w:w="70" w:type="dxa"/>
          <w:right w:w="70" w:type="dxa"/>
        </w:tblCellMar>
        <w:tblLook w:val="04A0" w:firstRow="1" w:lastRow="0" w:firstColumn="1" w:lastColumn="0" w:noHBand="0" w:noVBand="1"/>
      </w:tblPr>
      <w:tblGrid>
        <w:gridCol w:w="252"/>
        <w:gridCol w:w="2371"/>
        <w:gridCol w:w="1270"/>
        <w:gridCol w:w="1070"/>
        <w:gridCol w:w="1070"/>
        <w:gridCol w:w="1070"/>
        <w:gridCol w:w="1070"/>
        <w:gridCol w:w="1070"/>
      </w:tblGrid>
      <w:tr w:rsidRPr="00D172E2" w:rsidR="00394FFD" w:rsidTr="001D13A0" w14:paraId="7955A4F2" w14:textId="77777777">
        <w:trPr>
          <w:trHeight w:val="300"/>
        </w:trPr>
        <w:tc>
          <w:tcPr>
            <w:tcW w:w="9156" w:type="dxa"/>
            <w:gridSpan w:val="8"/>
            <w:tcBorders>
              <w:top w:val="nil"/>
              <w:left w:val="nil"/>
              <w:bottom w:val="single" w:color="5B9BD5" w:sz="4" w:space="0"/>
              <w:right w:val="nil"/>
            </w:tcBorders>
            <w:shd w:val="clear" w:color="auto" w:fill="auto"/>
            <w:noWrap/>
            <w:vAlign w:val="bottom"/>
            <w:hideMark/>
          </w:tcPr>
          <w:p w:rsidRPr="00D172E2" w:rsidR="00394FFD" w:rsidP="00595A56" w:rsidRDefault="00394FFD" w14:paraId="28FC7D0A" w14:textId="77777777">
            <w:pPr>
              <w:suppressAutoHyphens/>
              <w:autoSpaceDN/>
              <w:spacing w:line="240" w:lineRule="auto"/>
              <w:textAlignment w:val="auto"/>
              <w:rPr>
                <w:rFonts w:eastAsia="Times New Roman" w:cs="Times New Roman"/>
                <w:i/>
                <w:iCs/>
                <w:color w:val="auto"/>
              </w:rPr>
            </w:pPr>
            <w:r w:rsidRPr="00D172E2">
              <w:rPr>
                <w:rFonts w:eastAsia="Times New Roman" w:cs="Times New Roman"/>
                <w:i/>
                <w:iCs/>
                <w:color w:val="auto"/>
              </w:rPr>
              <w:t>Tabel 2: Verdeling beschikbare groeiruimte 2027-2031 naar sectoren</w:t>
            </w:r>
          </w:p>
        </w:tc>
      </w:tr>
      <w:tr w:rsidRPr="00D172E2" w:rsidR="00394FFD" w:rsidTr="001D13A0" w14:paraId="5D277E2D" w14:textId="77777777">
        <w:trPr>
          <w:trHeight w:val="300"/>
        </w:trPr>
        <w:tc>
          <w:tcPr>
            <w:tcW w:w="2536"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D172E2" w:rsidR="00394FFD" w:rsidP="00595A56" w:rsidRDefault="00394FFD" w14:paraId="65A5E095" w14:textId="77777777">
            <w:pPr>
              <w:suppressAutoHyphens/>
              <w:autoSpaceDN/>
              <w:spacing w:line="240" w:lineRule="auto"/>
              <w:textAlignment w:val="auto"/>
              <w:rPr>
                <w:rFonts w:ascii="Calibri" w:hAnsi="Calibri" w:eastAsia="Times New Roman" w:cs="Calibri"/>
                <w:i/>
                <w:iCs/>
                <w:color w:val="FFFFFF"/>
                <w:sz w:val="22"/>
                <w:szCs w:val="22"/>
              </w:rPr>
            </w:pPr>
            <w:r w:rsidRPr="00D172E2">
              <w:rPr>
                <w:rFonts w:ascii="Calibri" w:hAnsi="Calibri" w:eastAsia="Times New Roman" w:cs="Calibri"/>
                <w:i/>
                <w:iCs/>
                <w:color w:val="FFFFFF"/>
                <w:sz w:val="22"/>
                <w:szCs w:val="22"/>
              </w:rPr>
              <w:t>bedragen x € 1 miljoen</w:t>
            </w:r>
          </w:p>
        </w:tc>
        <w:tc>
          <w:tcPr>
            <w:tcW w:w="1270" w:type="dxa"/>
            <w:tcBorders>
              <w:top w:val="nil"/>
              <w:left w:val="nil"/>
              <w:bottom w:val="single" w:color="5B9BD5" w:sz="4" w:space="0"/>
              <w:right w:val="single" w:color="5B9BD5" w:sz="4" w:space="0"/>
            </w:tcBorders>
            <w:shd w:val="clear" w:color="000000" w:fill="4D93D9"/>
            <w:noWrap/>
            <w:vAlign w:val="center"/>
            <w:hideMark/>
          </w:tcPr>
          <w:p w:rsidRPr="00D172E2" w:rsidR="00394FFD" w:rsidP="00595A56" w:rsidRDefault="00394FFD" w14:paraId="27A599F5" w14:textId="77777777">
            <w:pPr>
              <w:suppressAutoHyphens/>
              <w:autoSpaceDN/>
              <w:spacing w:line="240" w:lineRule="auto"/>
              <w:jc w:val="right"/>
              <w:textAlignment w:val="auto"/>
              <w:rPr>
                <w:rFonts w:ascii="Calibri" w:hAnsi="Calibri" w:eastAsia="Times New Roman" w:cs="Calibri"/>
                <w:color w:val="FFFFFF"/>
                <w:sz w:val="22"/>
                <w:szCs w:val="22"/>
              </w:rPr>
            </w:pPr>
            <w:r w:rsidRPr="00D172E2">
              <w:rPr>
                <w:rFonts w:ascii="Calibri" w:hAnsi="Calibri" w:eastAsia="Times New Roman" w:cs="Calibri"/>
                <w:color w:val="FFFFFF"/>
                <w:sz w:val="22"/>
                <w:szCs w:val="22"/>
              </w:rPr>
              <w:t>2026</w:t>
            </w:r>
          </w:p>
        </w:tc>
        <w:tc>
          <w:tcPr>
            <w:tcW w:w="1070" w:type="dxa"/>
            <w:tcBorders>
              <w:top w:val="nil"/>
              <w:left w:val="nil"/>
              <w:bottom w:val="single" w:color="5B9BD5" w:sz="4" w:space="0"/>
              <w:right w:val="single" w:color="5B9BD5" w:sz="4" w:space="0"/>
            </w:tcBorders>
            <w:shd w:val="clear" w:color="000000" w:fill="4D93D9"/>
            <w:noWrap/>
            <w:vAlign w:val="center"/>
            <w:hideMark/>
          </w:tcPr>
          <w:p w:rsidRPr="00D172E2" w:rsidR="00394FFD" w:rsidP="00595A56" w:rsidRDefault="00394FFD" w14:paraId="17102014" w14:textId="77777777">
            <w:pPr>
              <w:suppressAutoHyphens/>
              <w:autoSpaceDN/>
              <w:spacing w:line="240" w:lineRule="auto"/>
              <w:jc w:val="right"/>
              <w:textAlignment w:val="auto"/>
              <w:rPr>
                <w:rFonts w:ascii="Calibri" w:hAnsi="Calibri" w:eastAsia="Times New Roman" w:cs="Calibri"/>
                <w:color w:val="FFFFFF"/>
                <w:sz w:val="22"/>
                <w:szCs w:val="22"/>
              </w:rPr>
            </w:pPr>
            <w:r w:rsidRPr="00D172E2">
              <w:rPr>
                <w:rFonts w:ascii="Calibri" w:hAnsi="Calibri" w:eastAsia="Times New Roman" w:cs="Calibri"/>
                <w:color w:val="FFFFFF"/>
                <w:sz w:val="22"/>
                <w:szCs w:val="22"/>
              </w:rPr>
              <w:t>2027</w:t>
            </w:r>
            <w:r>
              <w:rPr>
                <w:rFonts w:ascii="Calibri" w:hAnsi="Calibri" w:eastAsia="Times New Roman" w:cs="Calibri"/>
                <w:color w:val="FFFFFF"/>
                <w:sz w:val="22"/>
                <w:szCs w:val="22"/>
              </w:rPr>
              <w:t>*</w:t>
            </w:r>
          </w:p>
        </w:tc>
        <w:tc>
          <w:tcPr>
            <w:tcW w:w="1070" w:type="dxa"/>
            <w:tcBorders>
              <w:top w:val="nil"/>
              <w:left w:val="nil"/>
              <w:bottom w:val="single" w:color="5B9BD5" w:sz="4" w:space="0"/>
              <w:right w:val="single" w:color="5B9BD5" w:sz="4" w:space="0"/>
            </w:tcBorders>
            <w:shd w:val="clear" w:color="000000" w:fill="4D93D9"/>
            <w:noWrap/>
            <w:vAlign w:val="center"/>
            <w:hideMark/>
          </w:tcPr>
          <w:p w:rsidRPr="00D172E2" w:rsidR="00394FFD" w:rsidP="00595A56" w:rsidRDefault="00394FFD" w14:paraId="60AB4B19" w14:textId="77777777">
            <w:pPr>
              <w:suppressAutoHyphens/>
              <w:autoSpaceDN/>
              <w:spacing w:line="240" w:lineRule="auto"/>
              <w:jc w:val="right"/>
              <w:textAlignment w:val="auto"/>
              <w:rPr>
                <w:rFonts w:ascii="Calibri" w:hAnsi="Calibri" w:eastAsia="Times New Roman" w:cs="Calibri"/>
                <w:color w:val="FFFFFF"/>
                <w:sz w:val="22"/>
                <w:szCs w:val="22"/>
              </w:rPr>
            </w:pPr>
            <w:r w:rsidRPr="00D172E2">
              <w:rPr>
                <w:rFonts w:ascii="Calibri" w:hAnsi="Calibri" w:eastAsia="Times New Roman" w:cs="Calibri"/>
                <w:color w:val="FFFFFF"/>
                <w:sz w:val="22"/>
                <w:szCs w:val="22"/>
              </w:rPr>
              <w:t>2028</w:t>
            </w:r>
          </w:p>
        </w:tc>
        <w:tc>
          <w:tcPr>
            <w:tcW w:w="1070" w:type="dxa"/>
            <w:tcBorders>
              <w:top w:val="nil"/>
              <w:left w:val="nil"/>
              <w:bottom w:val="single" w:color="5B9BD5" w:sz="4" w:space="0"/>
              <w:right w:val="single" w:color="5B9BD5" w:sz="4" w:space="0"/>
            </w:tcBorders>
            <w:shd w:val="clear" w:color="000000" w:fill="4D93D9"/>
            <w:noWrap/>
            <w:vAlign w:val="center"/>
            <w:hideMark/>
          </w:tcPr>
          <w:p w:rsidRPr="00D172E2" w:rsidR="00394FFD" w:rsidP="00595A56" w:rsidRDefault="00394FFD" w14:paraId="266CE1E3" w14:textId="77777777">
            <w:pPr>
              <w:suppressAutoHyphens/>
              <w:autoSpaceDN/>
              <w:spacing w:line="240" w:lineRule="auto"/>
              <w:jc w:val="right"/>
              <w:textAlignment w:val="auto"/>
              <w:rPr>
                <w:rFonts w:ascii="Calibri" w:hAnsi="Calibri" w:eastAsia="Times New Roman" w:cs="Calibri"/>
                <w:color w:val="FFFFFF"/>
                <w:sz w:val="22"/>
                <w:szCs w:val="22"/>
              </w:rPr>
            </w:pPr>
            <w:r w:rsidRPr="00D172E2">
              <w:rPr>
                <w:rFonts w:ascii="Calibri" w:hAnsi="Calibri" w:eastAsia="Times New Roman" w:cs="Calibri"/>
                <w:color w:val="FFFFFF"/>
                <w:sz w:val="22"/>
                <w:szCs w:val="22"/>
              </w:rPr>
              <w:t>2029</w:t>
            </w:r>
          </w:p>
        </w:tc>
        <w:tc>
          <w:tcPr>
            <w:tcW w:w="1070" w:type="dxa"/>
            <w:tcBorders>
              <w:top w:val="nil"/>
              <w:left w:val="nil"/>
              <w:bottom w:val="single" w:color="5B9BD5" w:sz="4" w:space="0"/>
              <w:right w:val="single" w:color="5B9BD5" w:sz="4" w:space="0"/>
            </w:tcBorders>
            <w:shd w:val="clear" w:color="000000" w:fill="4D93D9"/>
            <w:noWrap/>
            <w:vAlign w:val="center"/>
            <w:hideMark/>
          </w:tcPr>
          <w:p w:rsidRPr="00D172E2" w:rsidR="00394FFD" w:rsidP="00595A56" w:rsidRDefault="00394FFD" w14:paraId="3A229935" w14:textId="77777777">
            <w:pPr>
              <w:suppressAutoHyphens/>
              <w:autoSpaceDN/>
              <w:spacing w:line="240" w:lineRule="auto"/>
              <w:jc w:val="right"/>
              <w:textAlignment w:val="auto"/>
              <w:rPr>
                <w:rFonts w:ascii="Calibri" w:hAnsi="Calibri" w:eastAsia="Times New Roman" w:cs="Calibri"/>
                <w:color w:val="FFFFFF"/>
                <w:sz w:val="22"/>
                <w:szCs w:val="22"/>
              </w:rPr>
            </w:pPr>
            <w:r w:rsidRPr="00D172E2">
              <w:rPr>
                <w:rFonts w:ascii="Calibri" w:hAnsi="Calibri" w:eastAsia="Times New Roman" w:cs="Calibri"/>
                <w:color w:val="FFFFFF"/>
                <w:sz w:val="22"/>
                <w:szCs w:val="22"/>
              </w:rPr>
              <w:t>2030</w:t>
            </w:r>
          </w:p>
        </w:tc>
        <w:tc>
          <w:tcPr>
            <w:tcW w:w="1070" w:type="dxa"/>
            <w:tcBorders>
              <w:top w:val="nil"/>
              <w:left w:val="nil"/>
              <w:bottom w:val="single" w:color="5B9BD5" w:sz="4" w:space="0"/>
              <w:right w:val="single" w:color="5B9BD5" w:sz="4" w:space="0"/>
            </w:tcBorders>
            <w:shd w:val="clear" w:color="000000" w:fill="4D93D9"/>
            <w:noWrap/>
            <w:vAlign w:val="center"/>
            <w:hideMark/>
          </w:tcPr>
          <w:p w:rsidRPr="00D172E2" w:rsidR="00394FFD" w:rsidP="00595A56" w:rsidRDefault="00394FFD" w14:paraId="5C5C54A1" w14:textId="77777777">
            <w:pPr>
              <w:suppressAutoHyphens/>
              <w:autoSpaceDN/>
              <w:spacing w:line="240" w:lineRule="auto"/>
              <w:jc w:val="right"/>
              <w:textAlignment w:val="auto"/>
              <w:rPr>
                <w:rFonts w:ascii="Calibri" w:hAnsi="Calibri" w:eastAsia="Times New Roman" w:cs="Calibri"/>
                <w:color w:val="FFFFFF"/>
                <w:sz w:val="22"/>
                <w:szCs w:val="22"/>
              </w:rPr>
            </w:pPr>
            <w:r w:rsidRPr="00D172E2">
              <w:rPr>
                <w:rFonts w:ascii="Calibri" w:hAnsi="Calibri" w:eastAsia="Times New Roman" w:cs="Calibri"/>
                <w:color w:val="FFFFFF"/>
                <w:sz w:val="22"/>
                <w:szCs w:val="22"/>
              </w:rPr>
              <w:t>2031</w:t>
            </w:r>
          </w:p>
        </w:tc>
      </w:tr>
      <w:tr w:rsidRPr="00D172E2" w:rsidR="00394FFD" w:rsidTr="001D13A0" w14:paraId="3BFD12F5" w14:textId="77777777">
        <w:trPr>
          <w:trHeight w:val="300"/>
        </w:trPr>
        <w:tc>
          <w:tcPr>
            <w:tcW w:w="165" w:type="dxa"/>
            <w:tcBorders>
              <w:top w:val="nil"/>
              <w:left w:val="single" w:color="5B9BD5" w:sz="4" w:space="0"/>
              <w:bottom w:val="single" w:color="5B9BD5" w:sz="4" w:space="0"/>
              <w:right w:val="single" w:color="5B9BD5" w:sz="4" w:space="0"/>
            </w:tcBorders>
            <w:shd w:val="clear" w:color="000000" w:fill="DDEBF7"/>
            <w:noWrap/>
            <w:vAlign w:val="bottom"/>
            <w:hideMark/>
          </w:tcPr>
          <w:p w:rsidRPr="00D172E2" w:rsidR="00394FFD" w:rsidP="00595A56" w:rsidRDefault="00394FFD" w14:paraId="4F206E72" w14:textId="77777777">
            <w:pPr>
              <w:suppressAutoHyphens/>
              <w:autoSpaceDN/>
              <w:spacing w:line="240" w:lineRule="auto"/>
              <w:textAlignment w:val="auto"/>
              <w:rPr>
                <w:rFonts w:ascii="Calibri" w:hAnsi="Calibri" w:eastAsia="Times New Roman" w:cs="Calibri"/>
                <w:b/>
                <w:bCs/>
                <w:color w:val="auto"/>
                <w:sz w:val="22"/>
                <w:szCs w:val="22"/>
              </w:rPr>
            </w:pPr>
            <w:r w:rsidRPr="00D172E2">
              <w:rPr>
                <w:rFonts w:ascii="Calibri" w:hAnsi="Calibri" w:eastAsia="Times New Roman" w:cs="Calibri"/>
                <w:b/>
                <w:bCs/>
                <w:color w:val="auto"/>
                <w:sz w:val="22"/>
                <w:szCs w:val="22"/>
              </w:rPr>
              <w:t> </w:t>
            </w:r>
          </w:p>
        </w:tc>
        <w:tc>
          <w:tcPr>
            <w:tcW w:w="2371"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2A39ED0C" w14:textId="77777777">
            <w:pPr>
              <w:suppressAutoHyphens/>
              <w:autoSpaceDN/>
              <w:spacing w:line="240" w:lineRule="auto"/>
              <w:textAlignment w:val="auto"/>
              <w:rPr>
                <w:rFonts w:ascii="Calibri" w:hAnsi="Calibri" w:eastAsia="Times New Roman" w:cs="Calibri"/>
                <w:b/>
                <w:bCs/>
                <w:color w:val="auto"/>
                <w:sz w:val="22"/>
                <w:szCs w:val="22"/>
              </w:rPr>
            </w:pPr>
            <w:r w:rsidRPr="00D172E2">
              <w:rPr>
                <w:rFonts w:ascii="Calibri" w:hAnsi="Calibri" w:eastAsia="Times New Roman" w:cs="Calibri"/>
                <w:b/>
                <w:bCs/>
                <w:color w:val="auto"/>
                <w:sz w:val="22"/>
                <w:szCs w:val="22"/>
              </w:rPr>
              <w:t> </w:t>
            </w:r>
          </w:p>
        </w:tc>
        <w:tc>
          <w:tcPr>
            <w:tcW w:w="1270" w:type="dxa"/>
            <w:tcBorders>
              <w:top w:val="nil"/>
              <w:left w:val="nil"/>
              <w:bottom w:val="single" w:color="5B9BD5" w:sz="4" w:space="0"/>
              <w:right w:val="single" w:color="5B9BD5" w:sz="4" w:space="0"/>
            </w:tcBorders>
            <w:shd w:val="clear" w:color="000000" w:fill="DDEBF7"/>
            <w:vAlign w:val="bottom"/>
            <w:hideMark/>
          </w:tcPr>
          <w:p w:rsidRPr="00D172E2" w:rsidR="00394FFD" w:rsidP="00595A56" w:rsidRDefault="00394FFD" w14:paraId="0B47B2D7" w14:textId="77777777">
            <w:pPr>
              <w:suppressAutoHyphens/>
              <w:autoSpaceDN/>
              <w:spacing w:line="240" w:lineRule="auto"/>
              <w:jc w:val="right"/>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grondslag</w:t>
            </w:r>
          </w:p>
        </w:tc>
        <w:tc>
          <w:tcPr>
            <w:tcW w:w="5350" w:type="dxa"/>
            <w:gridSpan w:val="5"/>
            <w:tcBorders>
              <w:top w:val="single" w:color="5B9BD5" w:sz="4" w:space="0"/>
              <w:left w:val="nil"/>
              <w:bottom w:val="single" w:color="5B9BD5" w:sz="4" w:space="0"/>
              <w:right w:val="single" w:color="5B9BD5" w:sz="4" w:space="0"/>
            </w:tcBorders>
            <w:shd w:val="clear" w:color="000000" w:fill="DDEBF7"/>
            <w:noWrap/>
            <w:vAlign w:val="center"/>
            <w:hideMark/>
          </w:tcPr>
          <w:p w:rsidRPr="00D172E2" w:rsidR="00394FFD" w:rsidP="00595A56" w:rsidRDefault="00394FFD" w14:paraId="58A48E89" w14:textId="77777777">
            <w:pPr>
              <w:suppressAutoHyphens/>
              <w:autoSpaceDN/>
              <w:spacing w:line="240" w:lineRule="auto"/>
              <w:jc w:val="center"/>
              <w:textAlignment w:val="auto"/>
              <w:rPr>
                <w:rFonts w:ascii="Calibri" w:hAnsi="Calibri" w:eastAsia="Times New Roman" w:cs="Calibri"/>
                <w:i/>
                <w:iCs/>
                <w:color w:val="auto"/>
                <w:sz w:val="22"/>
                <w:szCs w:val="22"/>
              </w:rPr>
            </w:pPr>
            <w:r w:rsidRPr="00D172E2">
              <w:rPr>
                <w:rFonts w:ascii="Calibri" w:hAnsi="Calibri" w:eastAsia="Times New Roman" w:cs="Calibri"/>
                <w:i/>
                <w:iCs/>
                <w:color w:val="auto"/>
                <w:sz w:val="22"/>
                <w:szCs w:val="22"/>
              </w:rPr>
              <w:t>groeiruimte</w:t>
            </w:r>
          </w:p>
        </w:tc>
      </w:tr>
      <w:tr w:rsidRPr="00D172E2" w:rsidR="00394FFD" w:rsidTr="001D13A0" w14:paraId="56E7E5AE" w14:textId="77777777">
        <w:trPr>
          <w:trHeight w:val="300"/>
        </w:trPr>
        <w:tc>
          <w:tcPr>
            <w:tcW w:w="165" w:type="dxa"/>
            <w:tcBorders>
              <w:top w:val="nil"/>
              <w:left w:val="single" w:color="5B9BD5" w:sz="4" w:space="0"/>
              <w:bottom w:val="single" w:color="5B9BD5" w:sz="4" w:space="0"/>
              <w:right w:val="single" w:color="5B9BD5" w:sz="4" w:space="0"/>
            </w:tcBorders>
            <w:shd w:val="clear" w:color="000000" w:fill="DDEBF7"/>
            <w:noWrap/>
            <w:vAlign w:val="bottom"/>
            <w:hideMark/>
          </w:tcPr>
          <w:p w:rsidRPr="00D172E2" w:rsidR="00394FFD" w:rsidP="00595A56" w:rsidRDefault="00394FFD" w14:paraId="76CD1E23" w14:textId="77777777">
            <w:pPr>
              <w:suppressAutoHyphens/>
              <w:autoSpaceDN/>
              <w:spacing w:line="240" w:lineRule="auto"/>
              <w:jc w:val="center"/>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1</w:t>
            </w:r>
          </w:p>
        </w:tc>
        <w:tc>
          <w:tcPr>
            <w:tcW w:w="2371"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360A1C74" w14:textId="77777777">
            <w:pPr>
              <w:suppressAutoHyphens/>
              <w:autoSpaceDN/>
              <w:spacing w:line="240" w:lineRule="auto"/>
              <w:textAlignment w:val="auto"/>
              <w:rPr>
                <w:rFonts w:ascii="Calibri" w:hAnsi="Calibri" w:eastAsia="Times New Roman" w:cs="Calibri"/>
                <w:color w:val="auto"/>
                <w:sz w:val="22"/>
                <w:szCs w:val="22"/>
              </w:rPr>
            </w:pPr>
            <w:proofErr w:type="spellStart"/>
            <w:r w:rsidRPr="00D172E2">
              <w:rPr>
                <w:rFonts w:ascii="Calibri" w:hAnsi="Calibri" w:eastAsia="Times New Roman" w:cs="Calibri"/>
                <w:color w:val="auto"/>
                <w:sz w:val="22"/>
                <w:szCs w:val="22"/>
              </w:rPr>
              <w:t>Wlz</w:t>
            </w:r>
            <w:proofErr w:type="spellEnd"/>
            <w:r w:rsidRPr="00D172E2">
              <w:rPr>
                <w:rFonts w:ascii="Calibri" w:hAnsi="Calibri" w:eastAsia="Times New Roman" w:cs="Calibri"/>
                <w:color w:val="auto"/>
                <w:sz w:val="22"/>
                <w:szCs w:val="22"/>
              </w:rPr>
              <w:t>-totaal</w:t>
            </w:r>
          </w:p>
        </w:tc>
        <w:tc>
          <w:tcPr>
            <w:tcW w:w="12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3CF24BCF" w14:textId="77777777">
            <w:pPr>
              <w:suppressAutoHyphens/>
              <w:autoSpaceDN/>
              <w:spacing w:line="240" w:lineRule="auto"/>
              <w:jc w:val="right"/>
              <w:textAlignment w:val="auto"/>
              <w:rPr>
                <w:rFonts w:ascii="Calibri" w:hAnsi="Calibri" w:eastAsia="Times New Roman" w:cs="Calibri"/>
                <w:b/>
                <w:bCs/>
                <w:color w:val="auto"/>
                <w:sz w:val="22"/>
                <w:szCs w:val="22"/>
              </w:rPr>
            </w:pPr>
            <w:r w:rsidRPr="00D172E2">
              <w:rPr>
                <w:rFonts w:ascii="Calibri" w:hAnsi="Calibri" w:eastAsia="Times New Roman" w:cs="Calibri"/>
                <w:b/>
                <w:bCs/>
                <w:color w:val="auto"/>
                <w:sz w:val="22"/>
                <w:szCs w:val="22"/>
              </w:rPr>
              <w:t>40.746</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36530A7C"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1.461 </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2AC5F90F" w14:textId="2125ED65">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2.33</w:t>
            </w:r>
            <w:r w:rsidR="00AE690C">
              <w:rPr>
                <w:rFonts w:ascii="Calibri" w:hAnsi="Calibri" w:eastAsia="Times New Roman" w:cs="Calibri"/>
                <w:color w:val="auto"/>
                <w:sz w:val="22"/>
                <w:szCs w:val="22"/>
              </w:rPr>
              <w:t>1</w:t>
            </w:r>
            <w:r w:rsidRPr="00D172E2">
              <w:rPr>
                <w:rFonts w:ascii="Calibri" w:hAnsi="Calibri" w:eastAsia="Times New Roman" w:cs="Calibri"/>
                <w:color w:val="auto"/>
                <w:sz w:val="22"/>
                <w:szCs w:val="22"/>
              </w:rPr>
              <w:t xml:space="preserve"> </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07F08F44" w14:textId="7018B1C4">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3.45</w:t>
            </w:r>
            <w:r w:rsidR="00AE690C">
              <w:rPr>
                <w:rFonts w:ascii="Calibri" w:hAnsi="Calibri" w:eastAsia="Times New Roman" w:cs="Calibri"/>
                <w:color w:val="auto"/>
                <w:sz w:val="22"/>
                <w:szCs w:val="22"/>
              </w:rPr>
              <w:t>4</w:t>
            </w:r>
            <w:r w:rsidRPr="00D172E2">
              <w:rPr>
                <w:rFonts w:ascii="Calibri" w:hAnsi="Calibri" w:eastAsia="Times New Roman" w:cs="Calibri"/>
                <w:color w:val="auto"/>
                <w:sz w:val="22"/>
                <w:szCs w:val="22"/>
              </w:rPr>
              <w:t xml:space="preserve"> </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32B4DCE0" w14:textId="0C3B768A">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4.74</w:t>
            </w:r>
            <w:r w:rsidR="00AE690C">
              <w:rPr>
                <w:rFonts w:ascii="Calibri" w:hAnsi="Calibri" w:eastAsia="Times New Roman" w:cs="Calibri"/>
                <w:color w:val="auto"/>
                <w:sz w:val="22"/>
                <w:szCs w:val="22"/>
              </w:rPr>
              <w:t>3</w:t>
            </w:r>
            <w:r w:rsidRPr="00D172E2">
              <w:rPr>
                <w:rFonts w:ascii="Calibri" w:hAnsi="Calibri" w:eastAsia="Times New Roman" w:cs="Calibri"/>
                <w:color w:val="auto"/>
                <w:sz w:val="22"/>
                <w:szCs w:val="22"/>
              </w:rPr>
              <w:t xml:space="preserve"> </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5F8A478D"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6.008 </w:t>
            </w:r>
          </w:p>
        </w:tc>
      </w:tr>
      <w:tr w:rsidRPr="00D172E2" w:rsidR="00394FFD" w:rsidTr="001D13A0" w14:paraId="75E69B1C" w14:textId="77777777">
        <w:trPr>
          <w:trHeight w:val="300"/>
        </w:trPr>
        <w:tc>
          <w:tcPr>
            <w:tcW w:w="165" w:type="dxa"/>
            <w:tcBorders>
              <w:top w:val="nil"/>
              <w:left w:val="single" w:color="5B9BD5" w:sz="4" w:space="0"/>
              <w:bottom w:val="single" w:color="5B9BD5" w:sz="4" w:space="0"/>
              <w:right w:val="single" w:color="5B9BD5" w:sz="4" w:space="0"/>
            </w:tcBorders>
            <w:shd w:val="clear" w:color="000000" w:fill="FFFFFF"/>
            <w:noWrap/>
            <w:vAlign w:val="bottom"/>
            <w:hideMark/>
          </w:tcPr>
          <w:p w:rsidRPr="00D172E2" w:rsidR="00394FFD" w:rsidP="00595A56" w:rsidRDefault="00394FFD" w14:paraId="19632EE9" w14:textId="77777777">
            <w:pPr>
              <w:suppressAutoHyphens/>
              <w:autoSpaceDN/>
              <w:spacing w:line="240" w:lineRule="auto"/>
              <w:jc w:val="center"/>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2</w:t>
            </w:r>
          </w:p>
        </w:tc>
        <w:tc>
          <w:tcPr>
            <w:tcW w:w="2371"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0D0B6D4D"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Ouderenzorg</w:t>
            </w:r>
          </w:p>
        </w:tc>
        <w:tc>
          <w:tcPr>
            <w:tcW w:w="12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0A6CCF7C" w14:textId="77777777">
            <w:pPr>
              <w:suppressAutoHyphens/>
              <w:autoSpaceDN/>
              <w:spacing w:line="240" w:lineRule="auto"/>
              <w:jc w:val="right"/>
              <w:textAlignment w:val="auto"/>
              <w:rPr>
                <w:rFonts w:ascii="Calibri" w:hAnsi="Calibri" w:eastAsia="Times New Roman" w:cs="Calibri"/>
                <w:b/>
                <w:bCs/>
                <w:color w:val="auto"/>
                <w:sz w:val="22"/>
                <w:szCs w:val="22"/>
              </w:rPr>
            </w:pPr>
            <w:r w:rsidRPr="00D172E2">
              <w:rPr>
                <w:rFonts w:ascii="Calibri" w:hAnsi="Calibri" w:eastAsia="Times New Roman" w:cs="Calibri"/>
                <w:b/>
                <w:bCs/>
                <w:color w:val="auto"/>
                <w:sz w:val="22"/>
                <w:szCs w:val="22"/>
              </w:rPr>
              <w:t>22.166</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0B60777B"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930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0ED45C57"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1.443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03E720FE"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2.192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54E96A44"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3.055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199EA32C"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3.898 </w:t>
            </w:r>
          </w:p>
        </w:tc>
      </w:tr>
      <w:tr w:rsidRPr="00D172E2" w:rsidR="00394FFD" w:rsidTr="001D13A0" w14:paraId="36507D55" w14:textId="77777777">
        <w:trPr>
          <w:trHeight w:val="300"/>
        </w:trPr>
        <w:tc>
          <w:tcPr>
            <w:tcW w:w="165" w:type="dxa"/>
            <w:tcBorders>
              <w:top w:val="nil"/>
              <w:left w:val="single" w:color="5B9BD5" w:sz="4" w:space="0"/>
              <w:bottom w:val="single" w:color="5B9BD5" w:sz="4" w:space="0"/>
              <w:right w:val="single" w:color="5B9BD5" w:sz="4" w:space="0"/>
            </w:tcBorders>
            <w:shd w:val="clear" w:color="000000" w:fill="FFFFFF"/>
            <w:noWrap/>
            <w:vAlign w:val="bottom"/>
            <w:hideMark/>
          </w:tcPr>
          <w:p w:rsidRPr="00D172E2" w:rsidR="00394FFD" w:rsidP="00595A56" w:rsidRDefault="00394FFD" w14:paraId="2AD96FFE" w14:textId="77777777">
            <w:pPr>
              <w:suppressAutoHyphens/>
              <w:autoSpaceDN/>
              <w:spacing w:line="240" w:lineRule="auto"/>
              <w:jc w:val="center"/>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3</w:t>
            </w:r>
          </w:p>
        </w:tc>
        <w:tc>
          <w:tcPr>
            <w:tcW w:w="2371"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72AA2F9F"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Gehandicaptenzorg</w:t>
            </w:r>
          </w:p>
        </w:tc>
        <w:tc>
          <w:tcPr>
            <w:tcW w:w="12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05F1EA7D" w14:textId="77777777">
            <w:pPr>
              <w:suppressAutoHyphens/>
              <w:autoSpaceDN/>
              <w:spacing w:line="240" w:lineRule="auto"/>
              <w:jc w:val="right"/>
              <w:textAlignment w:val="auto"/>
              <w:rPr>
                <w:rFonts w:ascii="Calibri" w:hAnsi="Calibri" w:eastAsia="Times New Roman" w:cs="Calibri"/>
                <w:b/>
                <w:bCs/>
                <w:color w:val="auto"/>
                <w:sz w:val="22"/>
                <w:szCs w:val="22"/>
              </w:rPr>
            </w:pPr>
            <w:r w:rsidRPr="00D172E2">
              <w:rPr>
                <w:rFonts w:ascii="Calibri" w:hAnsi="Calibri" w:eastAsia="Times New Roman" w:cs="Calibri"/>
                <w:b/>
                <w:bCs/>
                <w:color w:val="auto"/>
                <w:sz w:val="22"/>
                <w:szCs w:val="22"/>
              </w:rPr>
              <w:t>15.575</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2CBD7D7A"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417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7C837068"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708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597C43BC"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995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0F3F6A2D"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1.325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0ED902E3"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1.654 </w:t>
            </w:r>
          </w:p>
        </w:tc>
      </w:tr>
      <w:tr w:rsidRPr="00D172E2" w:rsidR="00394FFD" w:rsidTr="001D13A0" w14:paraId="44A9779D" w14:textId="77777777">
        <w:trPr>
          <w:trHeight w:val="300"/>
        </w:trPr>
        <w:tc>
          <w:tcPr>
            <w:tcW w:w="165" w:type="dxa"/>
            <w:tcBorders>
              <w:top w:val="nil"/>
              <w:left w:val="single" w:color="5B9BD5" w:sz="4" w:space="0"/>
              <w:bottom w:val="single" w:color="5B9BD5" w:sz="4" w:space="0"/>
              <w:right w:val="single" w:color="5B9BD5" w:sz="4" w:space="0"/>
            </w:tcBorders>
            <w:shd w:val="clear" w:color="000000" w:fill="FFFFFF"/>
            <w:noWrap/>
            <w:vAlign w:val="bottom"/>
            <w:hideMark/>
          </w:tcPr>
          <w:p w:rsidRPr="00D172E2" w:rsidR="00394FFD" w:rsidP="00595A56" w:rsidRDefault="00394FFD" w14:paraId="48E4E891" w14:textId="77777777">
            <w:pPr>
              <w:suppressAutoHyphens/>
              <w:autoSpaceDN/>
              <w:spacing w:line="240" w:lineRule="auto"/>
              <w:jc w:val="center"/>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4</w:t>
            </w:r>
          </w:p>
        </w:tc>
        <w:tc>
          <w:tcPr>
            <w:tcW w:w="2371"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10BACF7B"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Langdurige ggz</w:t>
            </w:r>
          </w:p>
        </w:tc>
        <w:tc>
          <w:tcPr>
            <w:tcW w:w="12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69B65C20" w14:textId="77777777">
            <w:pPr>
              <w:suppressAutoHyphens/>
              <w:autoSpaceDN/>
              <w:spacing w:line="240" w:lineRule="auto"/>
              <w:jc w:val="right"/>
              <w:textAlignment w:val="auto"/>
              <w:rPr>
                <w:rFonts w:ascii="Calibri" w:hAnsi="Calibri" w:eastAsia="Times New Roman" w:cs="Calibri"/>
                <w:b/>
                <w:bCs/>
                <w:color w:val="auto"/>
                <w:sz w:val="22"/>
                <w:szCs w:val="22"/>
              </w:rPr>
            </w:pPr>
            <w:r w:rsidRPr="00D172E2">
              <w:rPr>
                <w:rFonts w:ascii="Calibri" w:hAnsi="Calibri" w:eastAsia="Times New Roman" w:cs="Calibri"/>
                <w:b/>
                <w:bCs/>
                <w:color w:val="auto"/>
                <w:sz w:val="22"/>
                <w:szCs w:val="22"/>
              </w:rPr>
              <w:t>3.005</w:t>
            </w:r>
          </w:p>
        </w:tc>
        <w:tc>
          <w:tcPr>
            <w:tcW w:w="1070" w:type="dxa"/>
            <w:tcBorders>
              <w:top w:val="nil"/>
              <w:left w:val="nil"/>
              <w:bottom w:val="single" w:color="5B9BD5" w:sz="4" w:space="0"/>
              <w:right w:val="single" w:color="5B9BD5" w:sz="4" w:space="0"/>
            </w:tcBorders>
            <w:shd w:val="clear" w:color="000000" w:fill="DDEBF7"/>
            <w:noWrap/>
            <w:vAlign w:val="bottom"/>
            <w:hideMark/>
          </w:tcPr>
          <w:p w:rsidRPr="00D172E2" w:rsidR="00394FFD" w:rsidP="00595A56" w:rsidRDefault="00394FFD" w14:paraId="13F92B8B"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113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590826E5"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181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28C91043"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267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4481917D"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364 </w:t>
            </w:r>
          </w:p>
        </w:tc>
        <w:tc>
          <w:tcPr>
            <w:tcW w:w="1070" w:type="dxa"/>
            <w:tcBorders>
              <w:top w:val="nil"/>
              <w:left w:val="nil"/>
              <w:bottom w:val="single" w:color="5B9BD5" w:sz="4" w:space="0"/>
              <w:right w:val="single" w:color="5B9BD5" w:sz="4" w:space="0"/>
            </w:tcBorders>
            <w:shd w:val="clear" w:color="000000" w:fill="FFFFFF"/>
            <w:noWrap/>
            <w:vAlign w:val="bottom"/>
            <w:hideMark/>
          </w:tcPr>
          <w:p w:rsidRPr="00D172E2" w:rsidR="00394FFD" w:rsidP="00595A56" w:rsidRDefault="00394FFD" w14:paraId="39B73643" w14:textId="77777777">
            <w:pPr>
              <w:suppressAutoHyphens/>
              <w:autoSpaceDN/>
              <w:spacing w:line="240" w:lineRule="auto"/>
              <w:textAlignment w:val="auto"/>
              <w:rPr>
                <w:rFonts w:ascii="Calibri" w:hAnsi="Calibri" w:eastAsia="Times New Roman" w:cs="Calibri"/>
                <w:color w:val="auto"/>
                <w:sz w:val="22"/>
                <w:szCs w:val="22"/>
              </w:rPr>
            </w:pPr>
            <w:r w:rsidRPr="00D172E2">
              <w:rPr>
                <w:rFonts w:ascii="Calibri" w:hAnsi="Calibri" w:eastAsia="Times New Roman" w:cs="Calibri"/>
                <w:color w:val="auto"/>
                <w:sz w:val="22"/>
                <w:szCs w:val="22"/>
              </w:rPr>
              <w:t xml:space="preserve">         456 </w:t>
            </w:r>
          </w:p>
        </w:tc>
      </w:tr>
      <w:tr w:rsidRPr="00D172E2" w:rsidR="00394FFD" w:rsidTr="001D13A0" w14:paraId="2D916669" w14:textId="77777777">
        <w:trPr>
          <w:trHeight w:val="300"/>
        </w:trPr>
        <w:tc>
          <w:tcPr>
            <w:tcW w:w="9156" w:type="dxa"/>
            <w:gridSpan w:val="8"/>
            <w:tcBorders>
              <w:top w:val="single" w:color="5B9BD5" w:sz="4" w:space="0"/>
              <w:left w:val="nil"/>
              <w:bottom w:val="nil"/>
              <w:right w:val="nil"/>
            </w:tcBorders>
            <w:shd w:val="clear" w:color="000000" w:fill="FFFFFF"/>
            <w:noWrap/>
            <w:vAlign w:val="bottom"/>
            <w:hideMark/>
          </w:tcPr>
          <w:p w:rsidRPr="00D172E2" w:rsidR="00394FFD" w:rsidP="00595A56" w:rsidRDefault="00394FFD" w14:paraId="345EA29E" w14:textId="3185B851">
            <w:pPr>
              <w:suppressAutoHyphens/>
              <w:autoSpaceDN/>
              <w:spacing w:line="240" w:lineRule="auto"/>
              <w:textAlignment w:val="auto"/>
              <w:rPr>
                <w:rFonts w:ascii="Calibri" w:hAnsi="Calibri" w:eastAsia="Times New Roman" w:cs="Calibri"/>
                <w:i/>
                <w:iCs/>
                <w:color w:val="auto"/>
              </w:rPr>
            </w:pPr>
            <w:r w:rsidRPr="00D172E2">
              <w:rPr>
                <w:rFonts w:ascii="Calibri" w:hAnsi="Calibri" w:eastAsia="Times New Roman" w:cs="Calibri"/>
                <w:i/>
                <w:iCs/>
                <w:color w:val="auto"/>
              </w:rPr>
              <w:t>*Verdeling 2027 over sectoren is fictief, want bestuurlijke akkoorden</w:t>
            </w:r>
            <w:r w:rsidR="00AE690C">
              <w:rPr>
                <w:rFonts w:ascii="Calibri" w:hAnsi="Calibri" w:eastAsia="Times New Roman" w:cs="Calibri"/>
                <w:i/>
                <w:iCs/>
                <w:color w:val="auto"/>
              </w:rPr>
              <w:t xml:space="preserve"> worden voorzien vanaf</w:t>
            </w:r>
            <w:r w:rsidRPr="00D172E2">
              <w:rPr>
                <w:rFonts w:ascii="Calibri" w:hAnsi="Calibri" w:eastAsia="Times New Roman" w:cs="Calibri"/>
                <w:i/>
                <w:iCs/>
                <w:color w:val="auto"/>
              </w:rPr>
              <w:t xml:space="preserve"> 2028</w:t>
            </w:r>
          </w:p>
        </w:tc>
      </w:tr>
    </w:tbl>
    <w:p w:rsidR="00394FFD" w:rsidP="00595A56" w:rsidRDefault="00394FFD" w14:paraId="3E1289E9" w14:textId="77777777">
      <w:pPr>
        <w:suppressAutoHyphens/>
      </w:pPr>
    </w:p>
    <w:p w:rsidRPr="00963389" w:rsidR="00394FFD" w:rsidP="00595A56" w:rsidRDefault="00394FFD" w14:paraId="68417939" w14:textId="77777777">
      <w:pPr>
        <w:pStyle w:val="Lijstalinea"/>
        <w:numPr>
          <w:ilvl w:val="0"/>
          <w:numId w:val="7"/>
        </w:numPr>
        <w:suppressAutoHyphens/>
        <w:rPr>
          <w:i/>
          <w:iCs/>
        </w:rPr>
      </w:pPr>
      <w:r w:rsidRPr="00963389">
        <w:rPr>
          <w:i/>
          <w:iCs/>
        </w:rPr>
        <w:t>Groeiruimte 2028-2031 in procenten</w:t>
      </w:r>
    </w:p>
    <w:p w:rsidR="00394FFD" w:rsidP="00595A56" w:rsidRDefault="00394FFD" w14:paraId="199E48F6" w14:textId="77777777">
      <w:pPr>
        <w:suppressAutoHyphens/>
      </w:pPr>
      <w:r w:rsidRPr="00CB2C05">
        <w:t xml:space="preserve">Tabel 3 </w:t>
      </w:r>
      <w:r>
        <w:t>drukt</w:t>
      </w:r>
      <w:r w:rsidRPr="00CB2C05">
        <w:t xml:space="preserve"> de groeiruimte </w:t>
      </w:r>
      <w:r>
        <w:t>per sector uit in procenten</w:t>
      </w:r>
      <w:r w:rsidRPr="00CB2C05">
        <w:t xml:space="preserve"> ten opzichte van het </w:t>
      </w:r>
      <w:r>
        <w:t>beschikbare kader (</w:t>
      </w:r>
      <w:r w:rsidRPr="00CB2C05">
        <w:t>inclusief groeiruimte en beleid</w:t>
      </w:r>
      <w:r>
        <w:t>)</w:t>
      </w:r>
      <w:r w:rsidRPr="00CB2C05">
        <w:t xml:space="preserve"> </w:t>
      </w:r>
      <w:r>
        <w:t>in het voorgaande jaar</w:t>
      </w:r>
      <w:r w:rsidRPr="00CB2C05">
        <w:t>. Voor de periode 2028-2031 bedraagt de gemiddelde groeiruimte voor de drie</w:t>
      </w:r>
      <w:r w:rsidRPr="00405616">
        <w:t xml:space="preserve"> </w:t>
      </w:r>
      <w:proofErr w:type="spellStart"/>
      <w:r w:rsidRPr="00405616">
        <w:t>Wlz</w:t>
      </w:r>
      <w:proofErr w:type="spellEnd"/>
      <w:r w:rsidRPr="00405616">
        <w:t>-sectoren gezamenlijk 2,</w:t>
      </w:r>
      <w:r>
        <w:t>6</w:t>
      </w:r>
      <w:r w:rsidRPr="00405616">
        <w:t>% per jaar. Voor de ouderenzorg bedraagt deze gemiddeld 3,</w:t>
      </w:r>
      <w:r>
        <w:t>2</w:t>
      </w:r>
      <w:r w:rsidRPr="00405616">
        <w:t xml:space="preserve">%, voor de gehandicaptenzorg gemiddeld </w:t>
      </w:r>
      <w:r>
        <w:t>1,9</w:t>
      </w:r>
      <w:r w:rsidRPr="00405616">
        <w:t>% en voor de langdurige ggz gemiddeld 2,</w:t>
      </w:r>
      <w:r>
        <w:t>6</w:t>
      </w:r>
      <w:r w:rsidRPr="00405616">
        <w:t xml:space="preserve">% per jaar. </w:t>
      </w:r>
    </w:p>
    <w:p w:rsidR="00394FFD" w:rsidP="00595A56" w:rsidRDefault="00394FFD" w14:paraId="6861CF05" w14:textId="77777777">
      <w:pPr>
        <w:suppressAutoHyphens/>
      </w:pPr>
    </w:p>
    <w:tbl>
      <w:tblPr>
        <w:tblW w:w="7776" w:type="dxa"/>
        <w:tblCellMar>
          <w:left w:w="70" w:type="dxa"/>
          <w:right w:w="70" w:type="dxa"/>
        </w:tblCellMar>
        <w:tblLook w:val="04A0" w:firstRow="1" w:lastRow="0" w:firstColumn="1" w:lastColumn="0" w:noHBand="0" w:noVBand="1"/>
      </w:tblPr>
      <w:tblGrid>
        <w:gridCol w:w="252"/>
        <w:gridCol w:w="2821"/>
        <w:gridCol w:w="733"/>
        <w:gridCol w:w="733"/>
        <w:gridCol w:w="733"/>
        <w:gridCol w:w="733"/>
        <w:gridCol w:w="1826"/>
      </w:tblGrid>
      <w:tr w:rsidRPr="003C1949" w:rsidR="00394FFD" w:rsidTr="001D13A0" w14:paraId="1298961B" w14:textId="77777777">
        <w:trPr>
          <w:trHeight w:val="300"/>
        </w:trPr>
        <w:tc>
          <w:tcPr>
            <w:tcW w:w="7776" w:type="dxa"/>
            <w:gridSpan w:val="7"/>
            <w:tcBorders>
              <w:top w:val="nil"/>
              <w:left w:val="nil"/>
              <w:bottom w:val="single" w:color="5B9BD5" w:sz="4" w:space="0"/>
              <w:right w:val="nil"/>
            </w:tcBorders>
            <w:shd w:val="clear" w:color="000000" w:fill="FFFFFF"/>
            <w:noWrap/>
            <w:vAlign w:val="center"/>
            <w:hideMark/>
          </w:tcPr>
          <w:p w:rsidRPr="003C1949" w:rsidR="00394FFD" w:rsidP="00595A56" w:rsidRDefault="00394FFD" w14:paraId="0B4FE1DD" w14:textId="77777777">
            <w:pPr>
              <w:keepNext/>
              <w:keepLines/>
              <w:suppressAutoHyphens/>
              <w:autoSpaceDN/>
              <w:spacing w:line="240" w:lineRule="auto"/>
              <w:textAlignment w:val="auto"/>
              <w:rPr>
                <w:rFonts w:ascii="Calibri" w:hAnsi="Calibri" w:eastAsia="Times New Roman" w:cs="Calibri"/>
                <w:i/>
                <w:iCs/>
                <w:color w:val="auto"/>
                <w:sz w:val="22"/>
                <w:szCs w:val="22"/>
              </w:rPr>
            </w:pPr>
            <w:r w:rsidRPr="003C1949">
              <w:rPr>
                <w:rFonts w:ascii="Calibri" w:hAnsi="Calibri" w:eastAsia="Times New Roman" w:cs="Calibri"/>
                <w:i/>
                <w:iCs/>
                <w:color w:val="auto"/>
                <w:sz w:val="22"/>
                <w:szCs w:val="22"/>
              </w:rPr>
              <w:lastRenderedPageBreak/>
              <w:t xml:space="preserve">Tabel 3: Procentuele groeiruimte per sector 2028-2031 </w:t>
            </w:r>
          </w:p>
        </w:tc>
      </w:tr>
      <w:tr w:rsidRPr="003C1949" w:rsidR="00394FFD" w:rsidTr="001D13A0" w14:paraId="5DAE5387" w14:textId="77777777">
        <w:trPr>
          <w:trHeight w:val="600"/>
        </w:trPr>
        <w:tc>
          <w:tcPr>
            <w:tcW w:w="197" w:type="dxa"/>
            <w:tcBorders>
              <w:top w:val="nil"/>
              <w:left w:val="single" w:color="5B9BD5" w:sz="4" w:space="0"/>
              <w:bottom w:val="single" w:color="5B9BD5" w:sz="4" w:space="0"/>
              <w:right w:val="single" w:color="5B9BD5" w:sz="4" w:space="0"/>
            </w:tcBorders>
            <w:shd w:val="clear" w:color="000000" w:fill="4D93D9"/>
            <w:noWrap/>
            <w:vAlign w:val="center"/>
            <w:hideMark/>
          </w:tcPr>
          <w:p w:rsidRPr="003C1949" w:rsidR="00394FFD" w:rsidP="00595A56" w:rsidRDefault="00394FFD" w14:paraId="02C353D8" w14:textId="77777777">
            <w:pPr>
              <w:keepNext/>
              <w:keepLines/>
              <w:suppressAutoHyphens/>
              <w:autoSpaceDN/>
              <w:spacing w:line="240" w:lineRule="auto"/>
              <w:textAlignment w:val="auto"/>
              <w:rPr>
                <w:rFonts w:ascii="Calibri" w:hAnsi="Calibri" w:eastAsia="Times New Roman" w:cs="Calibri"/>
                <w:b/>
                <w:bCs/>
                <w:color w:val="FFFFFF"/>
                <w:sz w:val="22"/>
                <w:szCs w:val="22"/>
              </w:rPr>
            </w:pPr>
            <w:r w:rsidRPr="003C1949">
              <w:rPr>
                <w:rFonts w:ascii="Calibri" w:hAnsi="Calibri" w:eastAsia="Times New Roman" w:cs="Calibri"/>
                <w:b/>
                <w:bCs/>
                <w:color w:val="FFFFFF"/>
                <w:sz w:val="22"/>
                <w:szCs w:val="22"/>
              </w:rPr>
              <w:t> </w:t>
            </w:r>
          </w:p>
        </w:tc>
        <w:tc>
          <w:tcPr>
            <w:tcW w:w="2821" w:type="dxa"/>
            <w:tcBorders>
              <w:top w:val="nil"/>
              <w:left w:val="nil"/>
              <w:bottom w:val="single" w:color="5B9BD5" w:sz="4" w:space="0"/>
              <w:right w:val="single" w:color="5B9BD5" w:sz="4" w:space="0"/>
            </w:tcBorders>
            <w:shd w:val="clear" w:color="000000" w:fill="4D93D9"/>
            <w:noWrap/>
            <w:vAlign w:val="center"/>
            <w:hideMark/>
          </w:tcPr>
          <w:p w:rsidRPr="003C1949" w:rsidR="00394FFD" w:rsidP="00595A56" w:rsidRDefault="00394FFD" w14:paraId="1A742444" w14:textId="77777777">
            <w:pPr>
              <w:keepNext/>
              <w:keepLines/>
              <w:suppressAutoHyphens/>
              <w:autoSpaceDN/>
              <w:spacing w:line="240" w:lineRule="auto"/>
              <w:textAlignment w:val="auto"/>
              <w:rPr>
                <w:rFonts w:ascii="Calibri" w:hAnsi="Calibri" w:eastAsia="Times New Roman" w:cs="Calibri"/>
                <w:b/>
                <w:bCs/>
                <w:color w:val="FFFFFF"/>
                <w:sz w:val="22"/>
                <w:szCs w:val="22"/>
              </w:rPr>
            </w:pPr>
            <w:r w:rsidRPr="003C1949">
              <w:rPr>
                <w:rFonts w:ascii="Calibri" w:hAnsi="Calibri" w:eastAsia="Times New Roman" w:cs="Calibri"/>
                <w:b/>
                <w:bCs/>
                <w:color w:val="FFFFFF"/>
                <w:sz w:val="22"/>
                <w:szCs w:val="22"/>
              </w:rPr>
              <w:t> </w:t>
            </w:r>
          </w:p>
        </w:tc>
        <w:tc>
          <w:tcPr>
            <w:tcW w:w="733" w:type="dxa"/>
            <w:tcBorders>
              <w:top w:val="nil"/>
              <w:left w:val="nil"/>
              <w:bottom w:val="single" w:color="5B9BD5" w:sz="4" w:space="0"/>
              <w:right w:val="single" w:color="5B9BD5" w:sz="4" w:space="0"/>
            </w:tcBorders>
            <w:shd w:val="clear" w:color="000000" w:fill="4D93D9"/>
            <w:noWrap/>
            <w:vAlign w:val="center"/>
            <w:hideMark/>
          </w:tcPr>
          <w:p w:rsidRPr="003C1949" w:rsidR="00394FFD" w:rsidP="00595A56" w:rsidRDefault="00394FFD" w14:paraId="74A01147"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3C1949">
              <w:rPr>
                <w:rFonts w:ascii="Calibri" w:hAnsi="Calibri" w:eastAsia="Times New Roman" w:cs="Calibri"/>
                <w:color w:val="FFFFFF"/>
                <w:sz w:val="22"/>
                <w:szCs w:val="22"/>
              </w:rPr>
              <w:t>2028</w:t>
            </w:r>
          </w:p>
        </w:tc>
        <w:tc>
          <w:tcPr>
            <w:tcW w:w="733" w:type="dxa"/>
            <w:tcBorders>
              <w:top w:val="nil"/>
              <w:left w:val="nil"/>
              <w:bottom w:val="single" w:color="5B9BD5" w:sz="4" w:space="0"/>
              <w:right w:val="single" w:color="5B9BD5" w:sz="4" w:space="0"/>
            </w:tcBorders>
            <w:shd w:val="clear" w:color="000000" w:fill="4D93D9"/>
            <w:noWrap/>
            <w:vAlign w:val="center"/>
            <w:hideMark/>
          </w:tcPr>
          <w:p w:rsidRPr="003C1949" w:rsidR="00394FFD" w:rsidP="00595A56" w:rsidRDefault="00394FFD" w14:paraId="3BC3DA10"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3C1949">
              <w:rPr>
                <w:rFonts w:ascii="Calibri" w:hAnsi="Calibri" w:eastAsia="Times New Roman" w:cs="Calibri"/>
                <w:color w:val="FFFFFF"/>
                <w:sz w:val="22"/>
                <w:szCs w:val="22"/>
              </w:rPr>
              <w:t>2029</w:t>
            </w:r>
          </w:p>
        </w:tc>
        <w:tc>
          <w:tcPr>
            <w:tcW w:w="733" w:type="dxa"/>
            <w:tcBorders>
              <w:top w:val="nil"/>
              <w:left w:val="nil"/>
              <w:bottom w:val="single" w:color="5B9BD5" w:sz="4" w:space="0"/>
              <w:right w:val="single" w:color="5B9BD5" w:sz="4" w:space="0"/>
            </w:tcBorders>
            <w:shd w:val="clear" w:color="000000" w:fill="4D93D9"/>
            <w:noWrap/>
            <w:vAlign w:val="center"/>
            <w:hideMark/>
          </w:tcPr>
          <w:p w:rsidRPr="003C1949" w:rsidR="00394FFD" w:rsidP="00595A56" w:rsidRDefault="00394FFD" w14:paraId="639168A9"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3C1949">
              <w:rPr>
                <w:rFonts w:ascii="Calibri" w:hAnsi="Calibri" w:eastAsia="Times New Roman" w:cs="Calibri"/>
                <w:color w:val="FFFFFF"/>
                <w:sz w:val="22"/>
                <w:szCs w:val="22"/>
              </w:rPr>
              <w:t>2030</w:t>
            </w:r>
          </w:p>
        </w:tc>
        <w:tc>
          <w:tcPr>
            <w:tcW w:w="733" w:type="dxa"/>
            <w:tcBorders>
              <w:top w:val="nil"/>
              <w:left w:val="nil"/>
              <w:bottom w:val="single" w:color="5B9BD5" w:sz="4" w:space="0"/>
              <w:right w:val="single" w:color="5B9BD5" w:sz="4" w:space="0"/>
            </w:tcBorders>
            <w:shd w:val="clear" w:color="000000" w:fill="4D93D9"/>
            <w:noWrap/>
            <w:vAlign w:val="center"/>
            <w:hideMark/>
          </w:tcPr>
          <w:p w:rsidRPr="003C1949" w:rsidR="00394FFD" w:rsidP="00595A56" w:rsidRDefault="00394FFD" w14:paraId="5C68F4DC"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3C1949">
              <w:rPr>
                <w:rFonts w:ascii="Calibri" w:hAnsi="Calibri" w:eastAsia="Times New Roman" w:cs="Calibri"/>
                <w:color w:val="FFFFFF"/>
                <w:sz w:val="22"/>
                <w:szCs w:val="22"/>
              </w:rPr>
              <w:t>2031</w:t>
            </w:r>
          </w:p>
        </w:tc>
        <w:tc>
          <w:tcPr>
            <w:tcW w:w="1826" w:type="dxa"/>
            <w:tcBorders>
              <w:top w:val="nil"/>
              <w:left w:val="nil"/>
              <w:bottom w:val="single" w:color="5B9BD5" w:sz="4" w:space="0"/>
              <w:right w:val="single" w:color="5B9BD5" w:sz="4" w:space="0"/>
            </w:tcBorders>
            <w:shd w:val="clear" w:color="000000" w:fill="4D93D9"/>
            <w:vAlign w:val="center"/>
            <w:hideMark/>
          </w:tcPr>
          <w:p w:rsidRPr="003C1949" w:rsidR="00394FFD" w:rsidP="00595A56" w:rsidRDefault="00394FFD" w14:paraId="4186711E"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3C1949">
              <w:rPr>
                <w:rFonts w:ascii="Calibri" w:hAnsi="Calibri" w:eastAsia="Times New Roman" w:cs="Calibri"/>
                <w:color w:val="FFFFFF"/>
                <w:sz w:val="22"/>
                <w:szCs w:val="22"/>
              </w:rPr>
              <w:t>gemiddeld 2028-2031</w:t>
            </w:r>
          </w:p>
        </w:tc>
      </w:tr>
      <w:tr w:rsidRPr="003C1949" w:rsidR="00394FFD" w:rsidTr="001D13A0" w14:paraId="2017176B" w14:textId="77777777">
        <w:trPr>
          <w:trHeight w:val="300"/>
        </w:trPr>
        <w:tc>
          <w:tcPr>
            <w:tcW w:w="197" w:type="dxa"/>
            <w:tcBorders>
              <w:top w:val="nil"/>
              <w:left w:val="single" w:color="5B9BD5" w:sz="4" w:space="0"/>
              <w:bottom w:val="single" w:color="5B9BD5" w:sz="4" w:space="0"/>
              <w:right w:val="single" w:color="5B9BD5" w:sz="4" w:space="0"/>
            </w:tcBorders>
            <w:shd w:val="clear" w:color="000000" w:fill="DDEBF7"/>
            <w:noWrap/>
            <w:vAlign w:val="bottom"/>
            <w:hideMark/>
          </w:tcPr>
          <w:p w:rsidRPr="003C1949" w:rsidR="00394FFD" w:rsidP="00595A56" w:rsidRDefault="00394FFD" w14:paraId="03C754C3" w14:textId="77777777">
            <w:pPr>
              <w:keepNext/>
              <w:keepLines/>
              <w:suppressAutoHyphens/>
              <w:autoSpaceDN/>
              <w:spacing w:line="240" w:lineRule="auto"/>
              <w:jc w:val="center"/>
              <w:textAlignment w:val="auto"/>
              <w:rPr>
                <w:rFonts w:ascii="Calibri" w:hAnsi="Calibri" w:eastAsia="Times New Roman" w:cs="Calibri"/>
                <w:b/>
                <w:bCs/>
                <w:color w:val="auto"/>
                <w:sz w:val="22"/>
                <w:szCs w:val="22"/>
              </w:rPr>
            </w:pPr>
            <w:r w:rsidRPr="003C1949">
              <w:rPr>
                <w:rFonts w:ascii="Calibri" w:hAnsi="Calibri" w:eastAsia="Times New Roman" w:cs="Calibri"/>
                <w:b/>
                <w:bCs/>
                <w:color w:val="auto"/>
                <w:sz w:val="22"/>
                <w:szCs w:val="22"/>
              </w:rPr>
              <w:t>1</w:t>
            </w:r>
          </w:p>
        </w:tc>
        <w:tc>
          <w:tcPr>
            <w:tcW w:w="2821"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110B73D7" w14:textId="77777777">
            <w:pPr>
              <w:keepNext/>
              <w:keepLines/>
              <w:suppressAutoHyphens/>
              <w:autoSpaceDN/>
              <w:spacing w:line="240" w:lineRule="auto"/>
              <w:textAlignment w:val="auto"/>
              <w:rPr>
                <w:rFonts w:ascii="Calibri" w:hAnsi="Calibri" w:eastAsia="Times New Roman" w:cs="Calibri"/>
                <w:b/>
                <w:bCs/>
                <w:color w:val="auto"/>
                <w:sz w:val="22"/>
                <w:szCs w:val="22"/>
              </w:rPr>
            </w:pPr>
            <w:proofErr w:type="spellStart"/>
            <w:r w:rsidRPr="003C1949">
              <w:rPr>
                <w:rFonts w:ascii="Calibri" w:hAnsi="Calibri" w:eastAsia="Times New Roman" w:cs="Calibri"/>
                <w:b/>
                <w:bCs/>
                <w:color w:val="auto"/>
                <w:sz w:val="22"/>
                <w:szCs w:val="22"/>
              </w:rPr>
              <w:t>Wlz</w:t>
            </w:r>
            <w:proofErr w:type="spellEnd"/>
            <w:r w:rsidRPr="003C1949">
              <w:rPr>
                <w:rFonts w:ascii="Calibri" w:hAnsi="Calibri" w:eastAsia="Times New Roman" w:cs="Calibri"/>
                <w:b/>
                <w:bCs/>
                <w:color w:val="auto"/>
                <w:sz w:val="22"/>
                <w:szCs w:val="22"/>
              </w:rPr>
              <w:t>-totaal</w:t>
            </w:r>
          </w:p>
        </w:tc>
        <w:tc>
          <w:tcPr>
            <w:tcW w:w="733"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7F67BF04"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3C1949">
              <w:rPr>
                <w:rFonts w:ascii="Calibri" w:hAnsi="Calibri" w:eastAsia="Times New Roman" w:cs="Calibri"/>
                <w:b/>
                <w:bCs/>
                <w:color w:val="auto"/>
                <w:sz w:val="22"/>
                <w:szCs w:val="22"/>
              </w:rPr>
              <w:t>2,1%</w:t>
            </w:r>
          </w:p>
        </w:tc>
        <w:tc>
          <w:tcPr>
            <w:tcW w:w="733"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4A17FA55"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3C1949">
              <w:rPr>
                <w:rFonts w:ascii="Calibri" w:hAnsi="Calibri" w:eastAsia="Times New Roman" w:cs="Calibri"/>
                <w:b/>
                <w:bCs/>
                <w:color w:val="auto"/>
                <w:sz w:val="22"/>
                <w:szCs w:val="22"/>
              </w:rPr>
              <w:t>2,6%</w:t>
            </w:r>
          </w:p>
        </w:tc>
        <w:tc>
          <w:tcPr>
            <w:tcW w:w="733"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14EB6EB7"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3C1949">
              <w:rPr>
                <w:rFonts w:ascii="Calibri" w:hAnsi="Calibri" w:eastAsia="Times New Roman" w:cs="Calibri"/>
                <w:b/>
                <w:bCs/>
                <w:color w:val="auto"/>
                <w:sz w:val="22"/>
                <w:szCs w:val="22"/>
              </w:rPr>
              <w:t>3,0%</w:t>
            </w:r>
          </w:p>
        </w:tc>
        <w:tc>
          <w:tcPr>
            <w:tcW w:w="733"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2703222C"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3C1949">
              <w:rPr>
                <w:rFonts w:ascii="Calibri" w:hAnsi="Calibri" w:eastAsia="Times New Roman" w:cs="Calibri"/>
                <w:b/>
                <w:bCs/>
                <w:color w:val="auto"/>
                <w:sz w:val="22"/>
                <w:szCs w:val="22"/>
              </w:rPr>
              <w:t>2,8%</w:t>
            </w:r>
          </w:p>
        </w:tc>
        <w:tc>
          <w:tcPr>
            <w:tcW w:w="1826"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3E42B499"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3C1949">
              <w:rPr>
                <w:rFonts w:ascii="Calibri" w:hAnsi="Calibri" w:eastAsia="Times New Roman" w:cs="Calibri"/>
                <w:b/>
                <w:bCs/>
                <w:color w:val="auto"/>
                <w:sz w:val="22"/>
                <w:szCs w:val="22"/>
              </w:rPr>
              <w:t>2,6%</w:t>
            </w:r>
          </w:p>
        </w:tc>
      </w:tr>
      <w:tr w:rsidRPr="003C1949" w:rsidR="00394FFD" w:rsidTr="001D13A0" w14:paraId="5B2EF137" w14:textId="77777777">
        <w:trPr>
          <w:trHeight w:val="300"/>
        </w:trPr>
        <w:tc>
          <w:tcPr>
            <w:tcW w:w="197" w:type="dxa"/>
            <w:tcBorders>
              <w:top w:val="nil"/>
              <w:left w:val="single" w:color="5B9BD5" w:sz="4" w:space="0"/>
              <w:bottom w:val="single" w:color="5B9BD5" w:sz="4" w:space="0"/>
              <w:right w:val="single" w:color="5B9BD5" w:sz="4" w:space="0"/>
            </w:tcBorders>
            <w:shd w:val="clear" w:color="auto" w:fill="auto"/>
            <w:noWrap/>
            <w:vAlign w:val="bottom"/>
            <w:hideMark/>
          </w:tcPr>
          <w:p w:rsidRPr="003C1949" w:rsidR="00394FFD" w:rsidP="00595A56" w:rsidRDefault="00394FFD" w14:paraId="30EA2270"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w:t>
            </w:r>
          </w:p>
        </w:tc>
        <w:tc>
          <w:tcPr>
            <w:tcW w:w="2821"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2137EFDE" w14:textId="77777777">
            <w:pPr>
              <w:keepNext/>
              <w:keepLines/>
              <w:suppressAutoHyphens/>
              <w:autoSpaceDN/>
              <w:spacing w:line="240" w:lineRule="auto"/>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Ouderenzorg</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79F9CE91"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2,3%</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7F769658"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3,3%</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0372AFF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3,7%</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61D59CA0"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3,5%</w:t>
            </w:r>
          </w:p>
        </w:tc>
        <w:tc>
          <w:tcPr>
            <w:tcW w:w="1826"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5AE696A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3,2%</w:t>
            </w:r>
          </w:p>
        </w:tc>
      </w:tr>
      <w:tr w:rsidRPr="003C1949" w:rsidR="00394FFD" w:rsidTr="001D13A0" w14:paraId="55A97C54" w14:textId="77777777">
        <w:trPr>
          <w:trHeight w:val="300"/>
        </w:trPr>
        <w:tc>
          <w:tcPr>
            <w:tcW w:w="197" w:type="dxa"/>
            <w:tcBorders>
              <w:top w:val="nil"/>
              <w:left w:val="single" w:color="5B9BD5" w:sz="4" w:space="0"/>
              <w:bottom w:val="single" w:color="5B9BD5" w:sz="4" w:space="0"/>
              <w:right w:val="single" w:color="5B9BD5" w:sz="4" w:space="0"/>
            </w:tcBorders>
            <w:shd w:val="clear" w:color="auto" w:fill="auto"/>
            <w:noWrap/>
            <w:vAlign w:val="bottom"/>
            <w:hideMark/>
          </w:tcPr>
          <w:p w:rsidRPr="003C1949" w:rsidR="00394FFD" w:rsidP="00595A56" w:rsidRDefault="00394FFD" w14:paraId="32E8B5AE"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3</w:t>
            </w:r>
          </w:p>
        </w:tc>
        <w:tc>
          <w:tcPr>
            <w:tcW w:w="2821"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248EA0DD" w14:textId="77777777">
            <w:pPr>
              <w:keepNext/>
              <w:keepLines/>
              <w:suppressAutoHyphens/>
              <w:autoSpaceDN/>
              <w:spacing w:line="240" w:lineRule="auto"/>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Gehandicaptenzorg</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0EBE1129"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1,8%</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2CA50153"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1,8%</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5130A62B"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2,0%</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5263915E"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1,9%</w:t>
            </w:r>
          </w:p>
        </w:tc>
        <w:tc>
          <w:tcPr>
            <w:tcW w:w="1826"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50CCA381"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1,9%</w:t>
            </w:r>
          </w:p>
        </w:tc>
      </w:tr>
      <w:tr w:rsidRPr="003C1949" w:rsidR="00394FFD" w:rsidTr="001D13A0" w14:paraId="76EA64BB" w14:textId="77777777">
        <w:trPr>
          <w:trHeight w:val="300"/>
        </w:trPr>
        <w:tc>
          <w:tcPr>
            <w:tcW w:w="197" w:type="dxa"/>
            <w:tcBorders>
              <w:top w:val="nil"/>
              <w:left w:val="single" w:color="5B9BD5" w:sz="4" w:space="0"/>
              <w:bottom w:val="single" w:color="5B9BD5" w:sz="4" w:space="0"/>
              <w:right w:val="single" w:color="5B9BD5" w:sz="4" w:space="0"/>
            </w:tcBorders>
            <w:shd w:val="clear" w:color="auto" w:fill="auto"/>
            <w:noWrap/>
            <w:vAlign w:val="bottom"/>
            <w:hideMark/>
          </w:tcPr>
          <w:p w:rsidRPr="003C1949" w:rsidR="00394FFD" w:rsidP="00595A56" w:rsidRDefault="00394FFD" w14:paraId="62139501"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4</w:t>
            </w:r>
          </w:p>
        </w:tc>
        <w:tc>
          <w:tcPr>
            <w:tcW w:w="2821"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2448362F" w14:textId="77777777">
            <w:pPr>
              <w:keepNext/>
              <w:keepLines/>
              <w:suppressAutoHyphens/>
              <w:autoSpaceDN/>
              <w:spacing w:line="240" w:lineRule="auto"/>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Langdurige ggz</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0153755B"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2,2%</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79C9D416"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2,7%</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4EDA3A6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3,0%</w:t>
            </w:r>
          </w:p>
        </w:tc>
        <w:tc>
          <w:tcPr>
            <w:tcW w:w="733" w:type="dxa"/>
            <w:tcBorders>
              <w:top w:val="nil"/>
              <w:left w:val="nil"/>
              <w:bottom w:val="single" w:color="5B9BD5" w:sz="4" w:space="0"/>
              <w:right w:val="single" w:color="5B9BD5" w:sz="4" w:space="0"/>
            </w:tcBorders>
            <w:shd w:val="clear" w:color="auto" w:fill="auto"/>
            <w:noWrap/>
            <w:vAlign w:val="bottom"/>
            <w:hideMark/>
          </w:tcPr>
          <w:p w:rsidRPr="003C1949" w:rsidR="00394FFD" w:rsidP="00595A56" w:rsidRDefault="00394FFD" w14:paraId="24FEF103"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2,8%</w:t>
            </w:r>
          </w:p>
        </w:tc>
        <w:tc>
          <w:tcPr>
            <w:tcW w:w="1826" w:type="dxa"/>
            <w:tcBorders>
              <w:top w:val="nil"/>
              <w:left w:val="nil"/>
              <w:bottom w:val="single" w:color="5B9BD5" w:sz="4" w:space="0"/>
              <w:right w:val="single" w:color="5B9BD5" w:sz="4" w:space="0"/>
            </w:tcBorders>
            <w:shd w:val="clear" w:color="000000" w:fill="DDEBF7"/>
            <w:noWrap/>
            <w:vAlign w:val="bottom"/>
            <w:hideMark/>
          </w:tcPr>
          <w:p w:rsidRPr="003C1949" w:rsidR="00394FFD" w:rsidP="00595A56" w:rsidRDefault="00394FFD" w14:paraId="6370BC08"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3C1949">
              <w:rPr>
                <w:rFonts w:ascii="Calibri" w:hAnsi="Calibri" w:eastAsia="Times New Roman" w:cs="Calibri"/>
                <w:color w:val="auto"/>
                <w:sz w:val="22"/>
                <w:szCs w:val="22"/>
              </w:rPr>
              <w:t>2,6%</w:t>
            </w:r>
          </w:p>
        </w:tc>
      </w:tr>
    </w:tbl>
    <w:p w:rsidR="00394FFD" w:rsidP="00595A56" w:rsidRDefault="00394FFD" w14:paraId="1927545E" w14:textId="77777777">
      <w:pPr>
        <w:suppressAutoHyphens/>
      </w:pPr>
    </w:p>
    <w:p w:rsidRPr="00CE03EF" w:rsidR="00394FFD" w:rsidP="00595A56" w:rsidRDefault="00394FFD" w14:paraId="14DC6C7F" w14:textId="77777777">
      <w:pPr>
        <w:pStyle w:val="Lijstalinea"/>
        <w:keepNext/>
        <w:keepLines/>
        <w:numPr>
          <w:ilvl w:val="0"/>
          <w:numId w:val="7"/>
        </w:numPr>
        <w:suppressAutoHyphens/>
        <w:rPr>
          <w:i/>
          <w:iCs/>
        </w:rPr>
      </w:pPr>
      <w:r w:rsidRPr="00CE03EF">
        <w:rPr>
          <w:i/>
          <w:iCs/>
        </w:rPr>
        <w:t>Validatie v</w:t>
      </w:r>
      <w:r>
        <w:rPr>
          <w:i/>
          <w:iCs/>
        </w:rPr>
        <w:t xml:space="preserve">erdeling </w:t>
      </w:r>
      <w:r w:rsidRPr="00CE03EF">
        <w:rPr>
          <w:i/>
          <w:iCs/>
        </w:rPr>
        <w:t xml:space="preserve">groeiruimte </w:t>
      </w:r>
    </w:p>
    <w:p w:rsidR="00394FFD" w:rsidP="00595A56" w:rsidRDefault="00394FFD" w14:paraId="673B0F83" w14:textId="77777777">
      <w:pPr>
        <w:keepNext/>
        <w:keepLines/>
        <w:suppressAutoHyphens/>
      </w:pPr>
      <w:r>
        <w:t xml:space="preserve">Zoals ik hiervoor aangaf, heb ik er bij de verdeling rekening mee gehouden dat de beschikbare groei in lijn is met de gerealiseerde groei in de afgelopen jaren. Daarom heb ik de </w:t>
      </w:r>
      <w:proofErr w:type="spellStart"/>
      <w:r>
        <w:t>NZa</w:t>
      </w:r>
      <w:proofErr w:type="spellEnd"/>
      <w:r>
        <w:t xml:space="preserve"> gevraagd een analyse te maken van de uitgavenontwikkeling per sector in de afgelopen jaren.</w:t>
      </w:r>
    </w:p>
    <w:p w:rsidR="00394FFD" w:rsidP="00595A56" w:rsidRDefault="00394FFD" w14:paraId="5FCF0A73" w14:textId="77777777">
      <w:pPr>
        <w:suppressAutoHyphens/>
      </w:pPr>
    </w:p>
    <w:p w:rsidR="00394FFD" w:rsidP="00595A56" w:rsidRDefault="00394FFD" w14:paraId="24D0D344" w14:textId="77777777">
      <w:pPr>
        <w:suppressAutoHyphens/>
      </w:pPr>
      <w:r>
        <w:t>Tabel 4 bevat de uitkomsten van deze analyse. Het betreft de gerealiseerde procentuele uitgavengroei in de periode 2023-2025 in prijspeil 2026. Daarmee zijn deze percentages goed vergelijkbaar met de beschikbare groeipercentages voor de periode 2028-2031, die eveneens in prijspeil 2026 zijn.</w:t>
      </w:r>
    </w:p>
    <w:p w:rsidR="00394FFD" w:rsidP="00595A56" w:rsidRDefault="00394FFD" w14:paraId="7A45AA59" w14:textId="77777777">
      <w:pPr>
        <w:suppressAutoHyphens/>
      </w:pPr>
    </w:p>
    <w:p w:rsidR="00394FFD" w:rsidP="00595A56" w:rsidRDefault="00394FFD" w14:paraId="5DA4FF95" w14:textId="77777777">
      <w:pPr>
        <w:suppressAutoHyphens/>
      </w:pPr>
      <w:r>
        <w:t xml:space="preserve">De zorgkantoren herkennen de uitkomsten van de </w:t>
      </w:r>
      <w:proofErr w:type="spellStart"/>
      <w:r>
        <w:t>NZa</w:t>
      </w:r>
      <w:proofErr w:type="spellEnd"/>
      <w:r>
        <w:t>-analyse en geven aan dat deze mede het resultaat zijn van hun inspanningen om de uitgavengroei te beheersen. H</w:t>
      </w:r>
      <w:r w:rsidRPr="009C4B32">
        <w:t xml:space="preserve">et aantal indicaties en </w:t>
      </w:r>
      <w:r>
        <w:t xml:space="preserve">de gemiddelde zorgzwaarte zijn de afgelopen jaren gestegen. </w:t>
      </w:r>
      <w:r w:rsidRPr="009C4B32">
        <w:t>Daar</w:t>
      </w:r>
      <w:r>
        <w:t>bij</w:t>
      </w:r>
      <w:r w:rsidRPr="009C4B32">
        <w:t xml:space="preserve"> hebben zorgkantoren de </w:t>
      </w:r>
      <w:r>
        <w:t xml:space="preserve">groei van de </w:t>
      </w:r>
      <w:r w:rsidRPr="009C4B32">
        <w:t xml:space="preserve">benodigde financiële middelen voor </w:t>
      </w:r>
      <w:r>
        <w:t xml:space="preserve">de </w:t>
      </w:r>
      <w:r w:rsidRPr="009C4B32">
        <w:t>zorgplicht weten af te remmen door o</w:t>
      </w:r>
      <w:r>
        <w:t>nder andere</w:t>
      </w:r>
      <w:r w:rsidRPr="009C4B32">
        <w:t xml:space="preserve"> in te zetten op vormen van zorg thuis </w:t>
      </w:r>
      <w:r>
        <w:t>in plaats van zorg met</w:t>
      </w:r>
      <w:r w:rsidRPr="009C4B32">
        <w:t xml:space="preserve"> verblijf</w:t>
      </w:r>
      <w:r>
        <w:t>.</w:t>
      </w:r>
    </w:p>
    <w:p w:rsidR="00394FFD" w:rsidP="00595A56" w:rsidRDefault="00394FFD" w14:paraId="1DEDDCA9" w14:textId="77777777">
      <w:pPr>
        <w:suppressAutoHyphens/>
      </w:pPr>
    </w:p>
    <w:p w:rsidRPr="00FF16D7" w:rsidR="00394FFD" w:rsidP="00595A56" w:rsidRDefault="00394FFD" w14:paraId="4936F797" w14:textId="77777777">
      <w:pPr>
        <w:keepNext/>
        <w:keepLines/>
        <w:suppressAutoHyphens/>
        <w:rPr>
          <w:i/>
          <w:iCs/>
        </w:rPr>
      </w:pPr>
      <w:r w:rsidRPr="00FF16D7">
        <w:rPr>
          <w:i/>
          <w:iCs/>
        </w:rPr>
        <w:t xml:space="preserve">Tabel </w:t>
      </w:r>
      <w:r>
        <w:rPr>
          <w:i/>
          <w:iCs/>
        </w:rPr>
        <w:t>4</w:t>
      </w:r>
      <w:r w:rsidRPr="00FF16D7">
        <w:rPr>
          <w:i/>
          <w:iCs/>
        </w:rPr>
        <w:t xml:space="preserve">: </w:t>
      </w:r>
      <w:r>
        <w:rPr>
          <w:i/>
          <w:iCs/>
        </w:rPr>
        <w:t>P</w:t>
      </w:r>
      <w:r w:rsidRPr="00FF16D7">
        <w:rPr>
          <w:i/>
          <w:iCs/>
        </w:rPr>
        <w:t xml:space="preserve">rocentuele </w:t>
      </w:r>
      <w:r>
        <w:rPr>
          <w:i/>
          <w:iCs/>
        </w:rPr>
        <w:t xml:space="preserve">groei per sector 2023-2025 (bron </w:t>
      </w:r>
      <w:proofErr w:type="spellStart"/>
      <w:r>
        <w:rPr>
          <w:i/>
          <w:iCs/>
        </w:rPr>
        <w:t>NZa</w:t>
      </w:r>
      <w:proofErr w:type="spellEnd"/>
      <w:r>
        <w:rPr>
          <w:i/>
          <w:iCs/>
        </w:rPr>
        <w:t>)</w:t>
      </w:r>
    </w:p>
    <w:tbl>
      <w:tblPr>
        <w:tblW w:w="8991" w:type="dxa"/>
        <w:tblCellMar>
          <w:left w:w="70" w:type="dxa"/>
          <w:right w:w="70" w:type="dxa"/>
        </w:tblCellMar>
        <w:tblLook w:val="04A0" w:firstRow="1" w:lastRow="0" w:firstColumn="1" w:lastColumn="0" w:noHBand="0" w:noVBand="1"/>
      </w:tblPr>
      <w:tblGrid>
        <w:gridCol w:w="421"/>
        <w:gridCol w:w="3597"/>
        <w:gridCol w:w="1124"/>
        <w:gridCol w:w="1124"/>
        <w:gridCol w:w="1124"/>
        <w:gridCol w:w="1601"/>
      </w:tblGrid>
      <w:tr w:rsidRPr="00FF16D7" w:rsidR="00394FFD" w:rsidTr="001D13A0" w14:paraId="6FC078DB" w14:textId="77777777">
        <w:trPr>
          <w:trHeight w:val="601"/>
        </w:trPr>
        <w:tc>
          <w:tcPr>
            <w:tcW w:w="421" w:type="dxa"/>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FF16D7" w:rsidR="00394FFD" w:rsidP="00595A56" w:rsidRDefault="00394FFD" w14:paraId="5CC53E89" w14:textId="77777777">
            <w:pPr>
              <w:keepNext/>
              <w:keepLines/>
              <w:suppressAutoHyphens/>
              <w:autoSpaceDN/>
              <w:spacing w:line="240" w:lineRule="auto"/>
              <w:textAlignment w:val="auto"/>
              <w:rPr>
                <w:rFonts w:ascii="Calibri" w:hAnsi="Calibri" w:eastAsia="Times New Roman" w:cs="Calibri"/>
                <w:b/>
                <w:bCs/>
                <w:color w:val="FFFFFF"/>
                <w:sz w:val="22"/>
                <w:szCs w:val="22"/>
              </w:rPr>
            </w:pPr>
            <w:r w:rsidRPr="00FF16D7">
              <w:rPr>
                <w:rFonts w:ascii="Calibri" w:hAnsi="Calibri" w:eastAsia="Times New Roman" w:cs="Calibri"/>
                <w:b/>
                <w:bCs/>
                <w:color w:val="FFFFFF"/>
                <w:sz w:val="22"/>
                <w:szCs w:val="22"/>
              </w:rPr>
              <w:t> </w:t>
            </w:r>
          </w:p>
        </w:tc>
        <w:tc>
          <w:tcPr>
            <w:tcW w:w="3597" w:type="dxa"/>
            <w:tcBorders>
              <w:top w:val="single" w:color="5B9BD5" w:sz="4" w:space="0"/>
              <w:left w:val="nil"/>
              <w:bottom w:val="single" w:color="5B9BD5" w:sz="4" w:space="0"/>
              <w:right w:val="single" w:color="5B9BD5" w:sz="4" w:space="0"/>
            </w:tcBorders>
            <w:shd w:val="clear" w:color="000000" w:fill="4D93D9"/>
            <w:noWrap/>
            <w:vAlign w:val="center"/>
            <w:hideMark/>
          </w:tcPr>
          <w:p w:rsidRPr="00FF16D7" w:rsidR="00394FFD" w:rsidP="00595A56" w:rsidRDefault="00394FFD" w14:paraId="15FCF014" w14:textId="77777777">
            <w:pPr>
              <w:keepNext/>
              <w:keepLines/>
              <w:suppressAutoHyphens/>
              <w:autoSpaceDN/>
              <w:spacing w:line="240" w:lineRule="auto"/>
              <w:textAlignment w:val="auto"/>
              <w:rPr>
                <w:rFonts w:ascii="Calibri" w:hAnsi="Calibri" w:eastAsia="Times New Roman" w:cs="Calibri"/>
                <w:b/>
                <w:bCs/>
                <w:color w:val="FFFFFF"/>
                <w:sz w:val="22"/>
                <w:szCs w:val="22"/>
              </w:rPr>
            </w:pPr>
            <w:r w:rsidRPr="00FF16D7">
              <w:rPr>
                <w:rFonts w:ascii="Calibri" w:hAnsi="Calibri" w:eastAsia="Times New Roman" w:cs="Calibri"/>
                <w:b/>
                <w:bCs/>
                <w:color w:val="FFFFFF"/>
                <w:sz w:val="22"/>
                <w:szCs w:val="22"/>
              </w:rPr>
              <w:t> </w:t>
            </w:r>
          </w:p>
        </w:tc>
        <w:tc>
          <w:tcPr>
            <w:tcW w:w="1124" w:type="dxa"/>
            <w:tcBorders>
              <w:top w:val="single" w:color="5B9BD5" w:sz="4" w:space="0"/>
              <w:left w:val="nil"/>
              <w:bottom w:val="single" w:color="5B9BD5" w:sz="4" w:space="0"/>
              <w:right w:val="single" w:color="5B9BD5" w:sz="4" w:space="0"/>
            </w:tcBorders>
            <w:shd w:val="clear" w:color="000000" w:fill="4D93D9"/>
            <w:noWrap/>
            <w:vAlign w:val="center"/>
            <w:hideMark/>
          </w:tcPr>
          <w:p w:rsidRPr="00FF16D7" w:rsidR="00394FFD" w:rsidP="00595A56" w:rsidRDefault="00394FFD" w14:paraId="2392EEBB"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FF16D7">
              <w:rPr>
                <w:rFonts w:ascii="Calibri" w:hAnsi="Calibri" w:eastAsia="Times New Roman" w:cs="Calibri"/>
                <w:color w:val="FFFFFF"/>
                <w:sz w:val="22"/>
                <w:szCs w:val="22"/>
              </w:rPr>
              <w:t>2023</w:t>
            </w:r>
          </w:p>
        </w:tc>
        <w:tc>
          <w:tcPr>
            <w:tcW w:w="1124" w:type="dxa"/>
            <w:tcBorders>
              <w:top w:val="single" w:color="5B9BD5" w:sz="4" w:space="0"/>
              <w:left w:val="nil"/>
              <w:bottom w:val="single" w:color="5B9BD5" w:sz="4" w:space="0"/>
              <w:right w:val="single" w:color="5B9BD5" w:sz="4" w:space="0"/>
            </w:tcBorders>
            <w:shd w:val="clear" w:color="000000" w:fill="4D93D9"/>
            <w:noWrap/>
            <w:vAlign w:val="center"/>
            <w:hideMark/>
          </w:tcPr>
          <w:p w:rsidRPr="00FF16D7" w:rsidR="00394FFD" w:rsidP="00595A56" w:rsidRDefault="00394FFD" w14:paraId="56DD5001"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FF16D7">
              <w:rPr>
                <w:rFonts w:ascii="Calibri" w:hAnsi="Calibri" w:eastAsia="Times New Roman" w:cs="Calibri"/>
                <w:color w:val="FFFFFF"/>
                <w:sz w:val="22"/>
                <w:szCs w:val="22"/>
              </w:rPr>
              <w:t>2024</w:t>
            </w:r>
          </w:p>
        </w:tc>
        <w:tc>
          <w:tcPr>
            <w:tcW w:w="1124" w:type="dxa"/>
            <w:tcBorders>
              <w:top w:val="single" w:color="5B9BD5" w:sz="4" w:space="0"/>
              <w:left w:val="nil"/>
              <w:bottom w:val="single" w:color="5B9BD5" w:sz="4" w:space="0"/>
              <w:right w:val="single" w:color="5B9BD5" w:sz="4" w:space="0"/>
            </w:tcBorders>
            <w:shd w:val="clear" w:color="000000" w:fill="4D93D9"/>
            <w:noWrap/>
            <w:vAlign w:val="center"/>
            <w:hideMark/>
          </w:tcPr>
          <w:p w:rsidRPr="00FF16D7" w:rsidR="00394FFD" w:rsidP="00595A56" w:rsidRDefault="00394FFD" w14:paraId="03530890"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FF16D7">
              <w:rPr>
                <w:rFonts w:ascii="Calibri" w:hAnsi="Calibri" w:eastAsia="Times New Roman" w:cs="Calibri"/>
                <w:color w:val="FFFFFF"/>
                <w:sz w:val="22"/>
                <w:szCs w:val="22"/>
              </w:rPr>
              <w:t>2025</w:t>
            </w:r>
          </w:p>
        </w:tc>
        <w:tc>
          <w:tcPr>
            <w:tcW w:w="1601" w:type="dxa"/>
            <w:tcBorders>
              <w:top w:val="single" w:color="5B9BD5" w:sz="4" w:space="0"/>
              <w:left w:val="nil"/>
              <w:bottom w:val="single" w:color="5B9BD5" w:sz="4" w:space="0"/>
              <w:right w:val="single" w:color="5B9BD5" w:sz="4" w:space="0"/>
            </w:tcBorders>
            <w:shd w:val="clear" w:color="000000" w:fill="4D93D9"/>
            <w:vAlign w:val="center"/>
            <w:hideMark/>
          </w:tcPr>
          <w:p w:rsidRPr="00FF16D7" w:rsidR="00394FFD" w:rsidP="00595A56" w:rsidRDefault="00394FFD" w14:paraId="237C39C1" w14:textId="77777777">
            <w:pPr>
              <w:keepNext/>
              <w:keepLines/>
              <w:suppressAutoHyphens/>
              <w:autoSpaceDN/>
              <w:spacing w:line="240" w:lineRule="auto"/>
              <w:jc w:val="right"/>
              <w:textAlignment w:val="auto"/>
              <w:rPr>
                <w:rFonts w:ascii="Calibri" w:hAnsi="Calibri" w:eastAsia="Times New Roman" w:cs="Calibri"/>
                <w:color w:val="FFFFFF"/>
                <w:sz w:val="22"/>
                <w:szCs w:val="22"/>
              </w:rPr>
            </w:pPr>
            <w:r w:rsidRPr="00FF16D7">
              <w:rPr>
                <w:rFonts w:ascii="Calibri" w:hAnsi="Calibri" w:eastAsia="Times New Roman" w:cs="Calibri"/>
                <w:color w:val="FFFFFF"/>
                <w:sz w:val="22"/>
                <w:szCs w:val="22"/>
              </w:rPr>
              <w:t>gemiddeld 202</w:t>
            </w:r>
            <w:r>
              <w:rPr>
                <w:rFonts w:ascii="Calibri" w:hAnsi="Calibri" w:eastAsia="Times New Roman" w:cs="Calibri"/>
                <w:color w:val="FFFFFF"/>
                <w:sz w:val="22"/>
                <w:szCs w:val="22"/>
              </w:rPr>
              <w:t>3</w:t>
            </w:r>
            <w:r w:rsidRPr="00FF16D7">
              <w:rPr>
                <w:rFonts w:ascii="Calibri" w:hAnsi="Calibri" w:eastAsia="Times New Roman" w:cs="Calibri"/>
                <w:color w:val="FFFFFF"/>
                <w:sz w:val="22"/>
                <w:szCs w:val="22"/>
              </w:rPr>
              <w:t>-2025</w:t>
            </w:r>
          </w:p>
        </w:tc>
      </w:tr>
      <w:tr w:rsidRPr="00FF16D7" w:rsidR="00394FFD" w:rsidTr="001D13A0" w14:paraId="253D57E7" w14:textId="77777777">
        <w:trPr>
          <w:trHeight w:val="301"/>
        </w:trPr>
        <w:tc>
          <w:tcPr>
            <w:tcW w:w="421" w:type="dxa"/>
            <w:tcBorders>
              <w:top w:val="nil"/>
              <w:left w:val="single" w:color="5B9BD5" w:sz="4" w:space="0"/>
              <w:bottom w:val="single" w:color="5B9BD5" w:sz="4" w:space="0"/>
              <w:right w:val="single" w:color="5B9BD5" w:sz="4" w:space="0"/>
            </w:tcBorders>
            <w:shd w:val="clear" w:color="000000" w:fill="DDEBF7"/>
            <w:noWrap/>
            <w:vAlign w:val="bottom"/>
            <w:hideMark/>
          </w:tcPr>
          <w:p w:rsidRPr="00FF16D7" w:rsidR="00394FFD" w:rsidP="00595A56" w:rsidRDefault="00394FFD" w14:paraId="45E94EF0" w14:textId="77777777">
            <w:pPr>
              <w:keepNext/>
              <w:keepLines/>
              <w:suppressAutoHyphens/>
              <w:autoSpaceDN/>
              <w:spacing w:line="240" w:lineRule="auto"/>
              <w:jc w:val="center"/>
              <w:textAlignment w:val="auto"/>
              <w:rPr>
                <w:rFonts w:ascii="Calibri" w:hAnsi="Calibri" w:eastAsia="Times New Roman" w:cs="Calibri"/>
                <w:b/>
                <w:bCs/>
                <w:color w:val="auto"/>
                <w:sz w:val="22"/>
                <w:szCs w:val="22"/>
              </w:rPr>
            </w:pPr>
            <w:r w:rsidRPr="00FF16D7">
              <w:rPr>
                <w:rFonts w:ascii="Calibri" w:hAnsi="Calibri" w:eastAsia="Times New Roman" w:cs="Calibri"/>
                <w:b/>
                <w:bCs/>
                <w:color w:val="auto"/>
                <w:sz w:val="22"/>
                <w:szCs w:val="22"/>
              </w:rPr>
              <w:t>1</w:t>
            </w:r>
          </w:p>
        </w:tc>
        <w:tc>
          <w:tcPr>
            <w:tcW w:w="3597" w:type="dxa"/>
            <w:tcBorders>
              <w:top w:val="nil"/>
              <w:left w:val="nil"/>
              <w:bottom w:val="single" w:color="5B9BD5" w:sz="4" w:space="0"/>
              <w:right w:val="single" w:color="5B9BD5" w:sz="4" w:space="0"/>
            </w:tcBorders>
            <w:shd w:val="clear" w:color="000000" w:fill="DDEBF7"/>
            <w:noWrap/>
            <w:vAlign w:val="bottom"/>
            <w:hideMark/>
          </w:tcPr>
          <w:p w:rsidRPr="00FF16D7" w:rsidR="00394FFD" w:rsidP="00595A56" w:rsidRDefault="00394FFD" w14:paraId="22861DE3" w14:textId="77777777">
            <w:pPr>
              <w:keepNext/>
              <w:keepLines/>
              <w:suppressAutoHyphens/>
              <w:autoSpaceDN/>
              <w:spacing w:line="240" w:lineRule="auto"/>
              <w:textAlignment w:val="auto"/>
              <w:rPr>
                <w:rFonts w:ascii="Calibri" w:hAnsi="Calibri" w:eastAsia="Times New Roman" w:cs="Calibri"/>
                <w:b/>
                <w:bCs/>
                <w:color w:val="auto"/>
                <w:sz w:val="22"/>
                <w:szCs w:val="22"/>
              </w:rPr>
            </w:pPr>
            <w:proofErr w:type="spellStart"/>
            <w:r w:rsidRPr="00FF16D7">
              <w:rPr>
                <w:rFonts w:ascii="Calibri" w:hAnsi="Calibri" w:eastAsia="Times New Roman" w:cs="Calibri"/>
                <w:b/>
                <w:bCs/>
                <w:color w:val="auto"/>
                <w:sz w:val="22"/>
                <w:szCs w:val="22"/>
              </w:rPr>
              <w:t>Wlz</w:t>
            </w:r>
            <w:proofErr w:type="spellEnd"/>
            <w:r w:rsidRPr="00FF16D7">
              <w:rPr>
                <w:rFonts w:ascii="Calibri" w:hAnsi="Calibri" w:eastAsia="Times New Roman" w:cs="Calibri"/>
                <w:b/>
                <w:bCs/>
                <w:color w:val="auto"/>
                <w:sz w:val="22"/>
                <w:szCs w:val="22"/>
              </w:rPr>
              <w:t>-totaal</w:t>
            </w:r>
          </w:p>
        </w:tc>
        <w:tc>
          <w:tcPr>
            <w:tcW w:w="1124" w:type="dxa"/>
            <w:tcBorders>
              <w:top w:val="nil"/>
              <w:left w:val="nil"/>
              <w:bottom w:val="single" w:color="5B9BD5" w:sz="4" w:space="0"/>
              <w:right w:val="single" w:color="5B9BD5" w:sz="4" w:space="0"/>
            </w:tcBorders>
            <w:shd w:val="clear" w:color="000000" w:fill="DDEBF7"/>
            <w:noWrap/>
            <w:vAlign w:val="bottom"/>
            <w:hideMark/>
          </w:tcPr>
          <w:p w:rsidRPr="00FF16D7" w:rsidR="00394FFD" w:rsidP="00595A56" w:rsidRDefault="00394FFD" w14:paraId="0E3558FF"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FF16D7">
              <w:rPr>
                <w:rFonts w:ascii="Calibri" w:hAnsi="Calibri" w:eastAsia="Times New Roman" w:cs="Calibri"/>
                <w:b/>
                <w:bCs/>
                <w:color w:val="auto"/>
                <w:sz w:val="22"/>
                <w:szCs w:val="22"/>
              </w:rPr>
              <w:t>3,8%</w:t>
            </w:r>
          </w:p>
        </w:tc>
        <w:tc>
          <w:tcPr>
            <w:tcW w:w="1124" w:type="dxa"/>
            <w:tcBorders>
              <w:top w:val="nil"/>
              <w:left w:val="nil"/>
              <w:bottom w:val="single" w:color="5B9BD5" w:sz="4" w:space="0"/>
              <w:right w:val="single" w:color="5B9BD5" w:sz="4" w:space="0"/>
            </w:tcBorders>
            <w:shd w:val="clear" w:color="000000" w:fill="DDEBF7"/>
            <w:noWrap/>
            <w:vAlign w:val="bottom"/>
            <w:hideMark/>
          </w:tcPr>
          <w:p w:rsidRPr="00FF16D7" w:rsidR="00394FFD" w:rsidP="00595A56" w:rsidRDefault="00394FFD" w14:paraId="2FA3E5B6"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FF16D7">
              <w:rPr>
                <w:rFonts w:ascii="Calibri" w:hAnsi="Calibri" w:eastAsia="Times New Roman" w:cs="Calibri"/>
                <w:b/>
                <w:bCs/>
                <w:color w:val="auto"/>
                <w:sz w:val="22"/>
                <w:szCs w:val="22"/>
              </w:rPr>
              <w:t>3,4%</w:t>
            </w:r>
          </w:p>
        </w:tc>
        <w:tc>
          <w:tcPr>
            <w:tcW w:w="1124" w:type="dxa"/>
            <w:tcBorders>
              <w:top w:val="nil"/>
              <w:left w:val="nil"/>
              <w:bottom w:val="single" w:color="5B9BD5" w:sz="4" w:space="0"/>
              <w:right w:val="single" w:color="5B9BD5" w:sz="4" w:space="0"/>
            </w:tcBorders>
            <w:shd w:val="clear" w:color="000000" w:fill="DDEBF7"/>
            <w:noWrap/>
            <w:vAlign w:val="bottom"/>
            <w:hideMark/>
          </w:tcPr>
          <w:p w:rsidRPr="00FF16D7" w:rsidR="00394FFD" w:rsidP="00595A56" w:rsidRDefault="00394FFD" w14:paraId="3DB03E00"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FF16D7">
              <w:rPr>
                <w:rFonts w:ascii="Calibri" w:hAnsi="Calibri" w:eastAsia="Times New Roman" w:cs="Calibri"/>
                <w:b/>
                <w:bCs/>
                <w:color w:val="auto"/>
                <w:sz w:val="22"/>
                <w:szCs w:val="22"/>
              </w:rPr>
              <w:t>1,1%</w:t>
            </w:r>
          </w:p>
        </w:tc>
        <w:tc>
          <w:tcPr>
            <w:tcW w:w="1601" w:type="dxa"/>
            <w:tcBorders>
              <w:top w:val="nil"/>
              <w:left w:val="nil"/>
              <w:bottom w:val="single" w:color="5B9BD5" w:sz="4" w:space="0"/>
              <w:right w:val="single" w:color="5B9BD5" w:sz="4" w:space="0"/>
            </w:tcBorders>
            <w:shd w:val="clear" w:color="000000" w:fill="DDEBF7"/>
            <w:noWrap/>
            <w:vAlign w:val="bottom"/>
            <w:hideMark/>
          </w:tcPr>
          <w:p w:rsidRPr="00FF16D7" w:rsidR="00394FFD" w:rsidP="00595A56" w:rsidRDefault="00394FFD" w14:paraId="2D475966" w14:textId="77777777">
            <w:pPr>
              <w:keepNext/>
              <w:keepLines/>
              <w:suppressAutoHyphens/>
              <w:autoSpaceDN/>
              <w:spacing w:line="240" w:lineRule="auto"/>
              <w:jc w:val="right"/>
              <w:textAlignment w:val="auto"/>
              <w:rPr>
                <w:rFonts w:ascii="Calibri" w:hAnsi="Calibri" w:eastAsia="Times New Roman" w:cs="Calibri"/>
                <w:b/>
                <w:bCs/>
                <w:color w:val="auto"/>
                <w:sz w:val="22"/>
                <w:szCs w:val="22"/>
              </w:rPr>
            </w:pPr>
            <w:r w:rsidRPr="00FF16D7">
              <w:rPr>
                <w:rFonts w:ascii="Calibri" w:hAnsi="Calibri" w:eastAsia="Times New Roman" w:cs="Calibri"/>
                <w:b/>
                <w:bCs/>
                <w:color w:val="auto"/>
                <w:sz w:val="22"/>
                <w:szCs w:val="22"/>
              </w:rPr>
              <w:t>2,8%</w:t>
            </w:r>
          </w:p>
        </w:tc>
      </w:tr>
      <w:tr w:rsidRPr="00FF16D7" w:rsidR="00394FFD" w:rsidTr="001D13A0" w14:paraId="4FA1903A" w14:textId="77777777">
        <w:trPr>
          <w:trHeight w:val="301"/>
        </w:trPr>
        <w:tc>
          <w:tcPr>
            <w:tcW w:w="421" w:type="dxa"/>
            <w:tcBorders>
              <w:top w:val="nil"/>
              <w:left w:val="single" w:color="5B9BD5" w:sz="4" w:space="0"/>
              <w:bottom w:val="single" w:color="5B9BD5" w:sz="4" w:space="0"/>
              <w:right w:val="single" w:color="5B9BD5" w:sz="4" w:space="0"/>
            </w:tcBorders>
            <w:shd w:val="clear" w:color="auto" w:fill="auto"/>
            <w:noWrap/>
            <w:vAlign w:val="bottom"/>
            <w:hideMark/>
          </w:tcPr>
          <w:p w:rsidRPr="00FF16D7" w:rsidR="00394FFD" w:rsidP="00595A56" w:rsidRDefault="00394FFD" w14:paraId="3D61F516"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2</w:t>
            </w:r>
          </w:p>
        </w:tc>
        <w:tc>
          <w:tcPr>
            <w:tcW w:w="3597"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7204215C" w14:textId="77777777">
            <w:pPr>
              <w:keepNext/>
              <w:keepLines/>
              <w:suppressAutoHyphens/>
              <w:autoSpaceDN/>
              <w:spacing w:line="240" w:lineRule="auto"/>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Ouderenzorg</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2380B47E"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4,1%</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1B99192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3,6%</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5B6766D4"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1,2%</w:t>
            </w:r>
          </w:p>
        </w:tc>
        <w:tc>
          <w:tcPr>
            <w:tcW w:w="1601" w:type="dxa"/>
            <w:tcBorders>
              <w:top w:val="nil"/>
              <w:left w:val="nil"/>
              <w:bottom w:val="single" w:color="5B9BD5" w:sz="4" w:space="0"/>
              <w:right w:val="single" w:color="5B9BD5" w:sz="4" w:space="0"/>
            </w:tcBorders>
            <w:shd w:val="clear" w:color="auto" w:fill="DDEBF7"/>
            <w:noWrap/>
            <w:vAlign w:val="bottom"/>
            <w:hideMark/>
          </w:tcPr>
          <w:p w:rsidRPr="00FF16D7" w:rsidR="00394FFD" w:rsidP="00595A56" w:rsidRDefault="00394FFD" w14:paraId="28E0B58C"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3,0%</w:t>
            </w:r>
          </w:p>
        </w:tc>
      </w:tr>
      <w:tr w:rsidRPr="00FF16D7" w:rsidR="00394FFD" w:rsidTr="001D13A0" w14:paraId="38F8367C" w14:textId="77777777">
        <w:trPr>
          <w:trHeight w:val="301"/>
        </w:trPr>
        <w:tc>
          <w:tcPr>
            <w:tcW w:w="421" w:type="dxa"/>
            <w:tcBorders>
              <w:top w:val="nil"/>
              <w:left w:val="single" w:color="5B9BD5" w:sz="4" w:space="0"/>
              <w:bottom w:val="single" w:color="5B9BD5" w:sz="4" w:space="0"/>
              <w:right w:val="single" w:color="5B9BD5" w:sz="4" w:space="0"/>
            </w:tcBorders>
            <w:shd w:val="clear" w:color="auto" w:fill="auto"/>
            <w:noWrap/>
            <w:vAlign w:val="bottom"/>
            <w:hideMark/>
          </w:tcPr>
          <w:p w:rsidRPr="00FF16D7" w:rsidR="00394FFD" w:rsidP="00595A56" w:rsidRDefault="00394FFD" w14:paraId="0426EF25"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3</w:t>
            </w:r>
          </w:p>
        </w:tc>
        <w:tc>
          <w:tcPr>
            <w:tcW w:w="3597"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64B10B65" w14:textId="77777777">
            <w:pPr>
              <w:keepNext/>
              <w:keepLines/>
              <w:suppressAutoHyphens/>
              <w:autoSpaceDN/>
              <w:spacing w:line="240" w:lineRule="auto"/>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Gehandicaptenzorg</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770F214B"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2,4%</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1A7D20E7"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2,7%</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4D63EBB3"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0,6%</w:t>
            </w:r>
          </w:p>
        </w:tc>
        <w:tc>
          <w:tcPr>
            <w:tcW w:w="1601" w:type="dxa"/>
            <w:tcBorders>
              <w:top w:val="nil"/>
              <w:left w:val="nil"/>
              <w:bottom w:val="single" w:color="5B9BD5" w:sz="4" w:space="0"/>
              <w:right w:val="single" w:color="5B9BD5" w:sz="4" w:space="0"/>
            </w:tcBorders>
            <w:shd w:val="clear" w:color="auto" w:fill="DDEBF7"/>
            <w:noWrap/>
            <w:vAlign w:val="bottom"/>
            <w:hideMark/>
          </w:tcPr>
          <w:p w:rsidRPr="00FF16D7" w:rsidR="00394FFD" w:rsidP="00595A56" w:rsidRDefault="00394FFD" w14:paraId="0D560B32"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1,9%</w:t>
            </w:r>
          </w:p>
        </w:tc>
      </w:tr>
      <w:tr w:rsidRPr="00FF16D7" w:rsidR="00394FFD" w:rsidTr="001D13A0" w14:paraId="121576DD" w14:textId="77777777">
        <w:trPr>
          <w:trHeight w:val="301"/>
        </w:trPr>
        <w:tc>
          <w:tcPr>
            <w:tcW w:w="421" w:type="dxa"/>
            <w:tcBorders>
              <w:top w:val="nil"/>
              <w:left w:val="single" w:color="5B9BD5" w:sz="4" w:space="0"/>
              <w:bottom w:val="single" w:color="5B9BD5" w:sz="4" w:space="0"/>
              <w:right w:val="single" w:color="5B9BD5" w:sz="4" w:space="0"/>
            </w:tcBorders>
            <w:shd w:val="clear" w:color="auto" w:fill="auto"/>
            <w:noWrap/>
            <w:vAlign w:val="bottom"/>
            <w:hideMark/>
          </w:tcPr>
          <w:p w:rsidRPr="00FF16D7" w:rsidR="00394FFD" w:rsidP="00595A56" w:rsidRDefault="00394FFD" w14:paraId="254F0B2A" w14:textId="77777777">
            <w:pPr>
              <w:keepNext/>
              <w:keepLines/>
              <w:suppressAutoHyphens/>
              <w:autoSpaceDN/>
              <w:spacing w:line="240" w:lineRule="auto"/>
              <w:jc w:val="center"/>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4</w:t>
            </w:r>
          </w:p>
        </w:tc>
        <w:tc>
          <w:tcPr>
            <w:tcW w:w="3597"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646C151C" w14:textId="77777777">
            <w:pPr>
              <w:keepNext/>
              <w:keepLines/>
              <w:suppressAutoHyphens/>
              <w:autoSpaceDN/>
              <w:spacing w:line="240" w:lineRule="auto"/>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Langdurige ggz</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2172BE9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10,0%</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4A079F5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6,1%</w:t>
            </w:r>
          </w:p>
        </w:tc>
        <w:tc>
          <w:tcPr>
            <w:tcW w:w="1124" w:type="dxa"/>
            <w:tcBorders>
              <w:top w:val="nil"/>
              <w:left w:val="nil"/>
              <w:bottom w:val="single" w:color="5B9BD5" w:sz="4" w:space="0"/>
              <w:right w:val="single" w:color="5B9BD5" w:sz="4" w:space="0"/>
            </w:tcBorders>
            <w:shd w:val="clear" w:color="auto" w:fill="auto"/>
            <w:noWrap/>
            <w:vAlign w:val="bottom"/>
            <w:hideMark/>
          </w:tcPr>
          <w:p w:rsidRPr="00FF16D7" w:rsidR="00394FFD" w:rsidP="00595A56" w:rsidRDefault="00394FFD" w14:paraId="2179CF8A"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3,7%</w:t>
            </w:r>
          </w:p>
        </w:tc>
        <w:tc>
          <w:tcPr>
            <w:tcW w:w="1601" w:type="dxa"/>
            <w:tcBorders>
              <w:top w:val="nil"/>
              <w:left w:val="nil"/>
              <w:bottom w:val="single" w:color="5B9BD5" w:sz="4" w:space="0"/>
              <w:right w:val="single" w:color="5B9BD5" w:sz="4" w:space="0"/>
            </w:tcBorders>
            <w:shd w:val="clear" w:color="auto" w:fill="DDEBF7"/>
            <w:noWrap/>
            <w:vAlign w:val="bottom"/>
            <w:hideMark/>
          </w:tcPr>
          <w:p w:rsidRPr="00FF16D7" w:rsidR="00394FFD" w:rsidP="00595A56" w:rsidRDefault="00394FFD" w14:paraId="591B944F" w14:textId="77777777">
            <w:pPr>
              <w:keepNext/>
              <w:keepLines/>
              <w:suppressAutoHyphens/>
              <w:autoSpaceDN/>
              <w:spacing w:line="240" w:lineRule="auto"/>
              <w:jc w:val="right"/>
              <w:textAlignment w:val="auto"/>
              <w:rPr>
                <w:rFonts w:ascii="Calibri" w:hAnsi="Calibri" w:eastAsia="Times New Roman" w:cs="Calibri"/>
                <w:color w:val="auto"/>
                <w:sz w:val="22"/>
                <w:szCs w:val="22"/>
              </w:rPr>
            </w:pPr>
            <w:r w:rsidRPr="00FF16D7">
              <w:rPr>
                <w:rFonts w:ascii="Calibri" w:hAnsi="Calibri" w:eastAsia="Times New Roman" w:cs="Calibri"/>
                <w:color w:val="auto"/>
                <w:sz w:val="22"/>
                <w:szCs w:val="22"/>
              </w:rPr>
              <w:t>6,6%</w:t>
            </w:r>
          </w:p>
        </w:tc>
      </w:tr>
    </w:tbl>
    <w:p w:rsidR="00394FFD" w:rsidP="00595A56" w:rsidRDefault="00394FFD" w14:paraId="5C7DBFCB" w14:textId="77777777">
      <w:pPr>
        <w:suppressAutoHyphens/>
      </w:pPr>
    </w:p>
    <w:p w:rsidRPr="00AE690C" w:rsidR="00AE690C" w:rsidP="00595A56" w:rsidRDefault="00394FFD" w14:paraId="4AA9C943" w14:textId="77777777">
      <w:pPr>
        <w:suppressAutoHyphens/>
      </w:pPr>
      <w:r w:rsidRPr="00405616">
        <w:t xml:space="preserve">Uit tabel 4 blijkt dat de totale groei van de </w:t>
      </w:r>
      <w:proofErr w:type="spellStart"/>
      <w:r w:rsidRPr="00405616">
        <w:t>Wlz</w:t>
      </w:r>
      <w:proofErr w:type="spellEnd"/>
      <w:r w:rsidRPr="00405616">
        <w:t xml:space="preserve">-uitgaven in de periode 2023-2025 gemiddeld 2,8% per jaar bedroeg. Daarbij is sprake van een dalende trend: de groei kwam in 2025 uit op 1,1%. De beschikbare groeiruimte voor de periode 2028-2031 ligt </w:t>
      </w:r>
      <w:r w:rsidR="00B16440">
        <w:t>hier</w:t>
      </w:r>
      <w:r>
        <w:t xml:space="preserve"> </w:t>
      </w:r>
      <w:r w:rsidRPr="00405616">
        <w:t>me</w:t>
      </w:r>
      <w:r>
        <w:t xml:space="preserve">t gemiddeld 2,6% licht onder. </w:t>
      </w:r>
      <w:r w:rsidRPr="00405616">
        <w:t xml:space="preserve">In </w:t>
      </w:r>
      <w:r>
        <w:t xml:space="preserve">het beginjaar </w:t>
      </w:r>
      <w:r w:rsidRPr="00405616">
        <w:t xml:space="preserve">2028 ligt de groei iets lager. </w:t>
      </w:r>
      <w:r w:rsidRPr="00EE6DA0">
        <w:t>Daarbij geldt dat beleidsinitiatieven en investeringen in het eerste jaar van een akkoord tijd nodig hebben om tot uitvoering te komen en daardoor niet direct volledig zichtbaar zijn in de uitgaven.</w:t>
      </w:r>
      <w:r w:rsidR="00AE690C">
        <w:t xml:space="preserve"> </w:t>
      </w:r>
      <w:r w:rsidRPr="00AE690C" w:rsidR="00AE690C">
        <w:t xml:space="preserve">De </w:t>
      </w:r>
      <w:proofErr w:type="spellStart"/>
      <w:r w:rsidRPr="00AE690C" w:rsidR="00AE690C">
        <w:t>NZa</w:t>
      </w:r>
      <w:proofErr w:type="spellEnd"/>
      <w:r w:rsidRPr="00AE690C" w:rsidR="00AE690C">
        <w:t xml:space="preserve"> voert nog een controleanalyse op de cijfers uit. Eventuele wijzigingen publiceert de </w:t>
      </w:r>
      <w:proofErr w:type="spellStart"/>
      <w:r w:rsidRPr="00AE690C" w:rsidR="00AE690C">
        <w:t>NZa</w:t>
      </w:r>
      <w:proofErr w:type="spellEnd"/>
      <w:r w:rsidRPr="00AE690C" w:rsidR="00AE690C">
        <w:t xml:space="preserve"> bij haar brief aan mij in juli over de benutting van het budgettair kader </w:t>
      </w:r>
      <w:proofErr w:type="spellStart"/>
      <w:r w:rsidRPr="00AE690C" w:rsidR="00AE690C">
        <w:t>Wlz</w:t>
      </w:r>
      <w:proofErr w:type="spellEnd"/>
      <w:r w:rsidRPr="00AE690C" w:rsidR="00AE690C">
        <w:t>.</w:t>
      </w:r>
    </w:p>
    <w:p w:rsidR="00394FFD" w:rsidP="00595A56" w:rsidRDefault="00394FFD" w14:paraId="5FA00894" w14:textId="77777777">
      <w:pPr>
        <w:suppressAutoHyphens/>
      </w:pPr>
    </w:p>
    <w:p w:rsidRPr="009C4B32" w:rsidR="00394FFD" w:rsidP="00595A56" w:rsidRDefault="00394FFD" w14:paraId="19760DCE" w14:textId="77777777">
      <w:pPr>
        <w:suppressAutoHyphens/>
      </w:pPr>
      <w:r w:rsidRPr="00CE03EF">
        <w:t>Bezien per sector is het beeld als volgt:</w:t>
      </w:r>
    </w:p>
    <w:p w:rsidR="00394FFD" w:rsidP="00595A56" w:rsidRDefault="00394FFD" w14:paraId="60FC4ADC" w14:textId="77777777">
      <w:pPr>
        <w:pStyle w:val="Lijstalinea"/>
        <w:numPr>
          <w:ilvl w:val="0"/>
          <w:numId w:val="6"/>
        </w:numPr>
        <w:suppressAutoHyphens/>
      </w:pPr>
      <w:r w:rsidRPr="00405616">
        <w:t>Voor de ouderenzorg ligt de beschikbare groeiruimte voor de komende jaren (gemiddeld 3,</w:t>
      </w:r>
      <w:r>
        <w:t>2</w:t>
      </w:r>
      <w:r w:rsidRPr="00405616">
        <w:t xml:space="preserve">%) iets boven de gemiddelde gerealiseerde groei van 3,0% in de periode 2023-2025, waarbij de groei in 2025 uitkwam op 1,2%. Het beleid van scheiden van wonen en zorg heeft in de ouderenzorg bijgedragen aan een </w:t>
      </w:r>
      <w:r w:rsidRPr="00405616">
        <w:lastRenderedPageBreak/>
        <w:t>beheerste kostenontwikkeling. Het kabinet is voornemens dit beleid voort te zetten binnen de context van het Hoofdlijnenakkoord Ouderenzorg (HLO) en hierover aanvullende afspraken te maken.</w:t>
      </w:r>
    </w:p>
    <w:p w:rsidR="00394FFD" w:rsidP="00595A56" w:rsidRDefault="00394FFD" w14:paraId="49D0CE83" w14:textId="69CE942A">
      <w:pPr>
        <w:pStyle w:val="Lijstalinea"/>
        <w:numPr>
          <w:ilvl w:val="0"/>
          <w:numId w:val="6"/>
        </w:numPr>
        <w:suppressAutoHyphens/>
      </w:pPr>
      <w:r>
        <w:t>V</w:t>
      </w:r>
      <w:r w:rsidRPr="00405616">
        <w:t xml:space="preserve">oor de gehandicaptenzorg </w:t>
      </w:r>
      <w:r>
        <w:t>is</w:t>
      </w:r>
      <w:r w:rsidRPr="00405616">
        <w:t xml:space="preserve"> de beschikbare groeiruimte (gemiddeld </w:t>
      </w:r>
      <w:r>
        <w:t>1,9</w:t>
      </w:r>
      <w:r w:rsidRPr="00405616">
        <w:t xml:space="preserve">%) </w:t>
      </w:r>
      <w:r>
        <w:t>vergelijkbaar met</w:t>
      </w:r>
      <w:r w:rsidRPr="00405616">
        <w:t xml:space="preserve"> de gemiddelde gerealiseerde groei van 1,9%. Daarbij </w:t>
      </w:r>
      <w:r>
        <w:t>geldt dat</w:t>
      </w:r>
      <w:r w:rsidRPr="00405616">
        <w:t xml:space="preserve"> de voorgenomen bezuinigingen op de </w:t>
      </w:r>
      <w:r>
        <w:t>gehandicaptenzorg</w:t>
      </w:r>
      <w:r w:rsidRPr="00405616">
        <w:t xml:space="preserve"> vanaf 2027</w:t>
      </w:r>
      <w:r w:rsidR="00112271">
        <w:t xml:space="preserve"> geen onderdeel meer uitmaken van het </w:t>
      </w:r>
      <w:proofErr w:type="spellStart"/>
      <w:r w:rsidR="00112271">
        <w:t>basispad</w:t>
      </w:r>
      <w:proofErr w:type="spellEnd"/>
      <w:r w:rsidR="00112271">
        <w:t xml:space="preserve"> </w:t>
      </w:r>
      <w:r>
        <w:t>waardoor de groeiruimte voor de komende jaren volledig kan worden ingezet voor passende zorg en ondersteuning voor cliënten in de gehandicaptenzorg</w:t>
      </w:r>
      <w:r w:rsidRPr="00405616">
        <w:t>.</w:t>
      </w:r>
      <w:r>
        <w:t xml:space="preserve"> </w:t>
      </w:r>
    </w:p>
    <w:p w:rsidRPr="00405616" w:rsidR="00394FFD" w:rsidP="00595A56" w:rsidRDefault="00394FFD" w14:paraId="6A8F4357" w14:textId="77777777">
      <w:pPr>
        <w:pStyle w:val="Lijstalinea"/>
        <w:numPr>
          <w:ilvl w:val="0"/>
          <w:numId w:val="6"/>
        </w:numPr>
        <w:suppressAutoHyphens/>
      </w:pPr>
      <w:r w:rsidRPr="00405616">
        <w:t xml:space="preserve">Voor de langdurige ggz bedroeg de gemiddelde groei 6,6%, </w:t>
      </w:r>
      <w:r>
        <w:t xml:space="preserve">waarbij de jaarlijkse groei afnam van 10,0% in 2023 tot </w:t>
      </w:r>
      <w:r w:rsidRPr="00405616">
        <w:t>3,7%</w:t>
      </w:r>
      <w:r>
        <w:t xml:space="preserve"> in 2025</w:t>
      </w:r>
      <w:r w:rsidRPr="00405616">
        <w:t xml:space="preserve">. Deze relatief hoge groei hangt samen met de openstelling van de </w:t>
      </w:r>
      <w:proofErr w:type="spellStart"/>
      <w:r w:rsidRPr="00405616">
        <w:t>Wlz</w:t>
      </w:r>
      <w:proofErr w:type="spellEnd"/>
      <w:r w:rsidRPr="00405616">
        <w:t xml:space="preserve"> in 2021 voor cliënten met een psychische stoornis. In de eerste jaren was de instroom relatief hoog, maar inmiddels is sprake van een duidelijk dalende trend</w:t>
      </w:r>
      <w:r>
        <w:t xml:space="preserve">. Daarbij </w:t>
      </w:r>
      <w:r w:rsidRPr="00405616">
        <w:t>stromen vooral cliënten in met lichtere zorgprofielen, waardoor ook de gemiddelde kosten per cliënt dalen.</w:t>
      </w:r>
      <w:r>
        <w:t xml:space="preserve"> Voor de periode 2028-2031 ga ik uit van een uitgavengroei met gemiddeld 2,6% per jaar (conform het gemiddelde van de gehele </w:t>
      </w:r>
      <w:proofErr w:type="spellStart"/>
      <w:r>
        <w:t>Wlz</w:t>
      </w:r>
      <w:proofErr w:type="spellEnd"/>
      <w:r>
        <w:t xml:space="preserve">). Daarbij heb ik de voorgenomen tariefmaatregel op het terrein van de langdurige ggz vanaf 2027 geschrapt uit het </w:t>
      </w:r>
      <w:proofErr w:type="spellStart"/>
      <w:r>
        <w:t>basispad</w:t>
      </w:r>
      <w:proofErr w:type="spellEnd"/>
      <w:r>
        <w:t>.</w:t>
      </w:r>
    </w:p>
    <w:p w:rsidRPr="00405616" w:rsidR="00394FFD" w:rsidP="00595A56" w:rsidRDefault="00394FFD" w14:paraId="151752F3" w14:textId="77777777">
      <w:pPr>
        <w:suppressAutoHyphens/>
      </w:pPr>
    </w:p>
    <w:p w:rsidR="00394FFD" w:rsidP="00595A56" w:rsidRDefault="00394FFD" w14:paraId="3AD5EECC" w14:textId="64B630EA">
      <w:pPr>
        <w:suppressAutoHyphens/>
      </w:pPr>
      <w:r>
        <w:t xml:space="preserve">Bij de validatie van de beschikbare groeiruimte per sector past ook de constatering dat in de afgelopen jaren belangrijke investeringen zijn gedaan om de tarieven in de langdurige zorg op orde te brengen. Zo heeft de </w:t>
      </w:r>
      <w:proofErr w:type="spellStart"/>
      <w:r>
        <w:t>NZa</w:t>
      </w:r>
      <w:proofErr w:type="spellEnd"/>
      <w:r>
        <w:t xml:space="preserve"> in zowel 2025 als 2026 de maximumtarieven voor de gehandicaptenzorg verhoogd en in 2026 ook die voor de langdurige ggz. Daarnaast is vanaf 2026 voor alle sectoren de normatieve huisvestingscomponent verhoogd, zodat deze voldoende ruimte bevat om te investeren in duurzaamheid van het vastgoed. Deze tariefsverhogingen tellen </w:t>
      </w:r>
      <w:proofErr w:type="spellStart"/>
      <w:r>
        <w:t>Wlz</w:t>
      </w:r>
      <w:proofErr w:type="spellEnd"/>
      <w:r>
        <w:t>-breed op tot ruim € 700 miljoen</w:t>
      </w:r>
      <w:r>
        <w:rPr>
          <w:rStyle w:val="Voetnootmarkering"/>
        </w:rPr>
        <w:footnoteReference w:id="6"/>
      </w:r>
      <w:r>
        <w:t xml:space="preserve"> en leiden structureel tot hogere inkomsten voor zorgaanbieders en meer ruimte in hun bedrijfsvoering dan voorheen om goede zorg te verlenen. Al deze investeringen in het op orde brengen van de tarieven betekenen een goede startpositie voor de akkoorden vanaf 2028. Doordat dit nu op orde is gebracht zal dit de komende jaren relatief minder investeringen vragen waardoor ik de beschikbare groeiruimte realistisch vind om, in combinatie met goede inhoudelijke afspraken in een akkoord, passende zorg te blijven realiseren. </w:t>
      </w:r>
    </w:p>
    <w:p w:rsidR="00394FFD" w:rsidP="00595A56" w:rsidRDefault="00394FFD" w14:paraId="3C36DCA1" w14:textId="77777777">
      <w:pPr>
        <w:suppressAutoHyphens/>
      </w:pPr>
    </w:p>
    <w:tbl>
      <w:tblPr>
        <w:tblStyle w:val="Tabelraster"/>
        <w:tblW w:w="0" w:type="auto"/>
        <w:tblInd w:w="0" w:type="dxa"/>
        <w:shd w:val="clear" w:color="auto" w:fill="C1E4F5" w:themeFill="accent1" w:themeFillTint="33"/>
        <w:tblLook w:val="04A0" w:firstRow="1" w:lastRow="0" w:firstColumn="1" w:lastColumn="0" w:noHBand="0" w:noVBand="1"/>
      </w:tblPr>
      <w:tblGrid>
        <w:gridCol w:w="7531"/>
      </w:tblGrid>
      <w:tr w:rsidR="00394FFD" w:rsidTr="001D13A0" w14:paraId="074FCFE4" w14:textId="77777777">
        <w:tc>
          <w:tcPr>
            <w:tcW w:w="7531" w:type="dxa"/>
            <w:shd w:val="clear" w:color="auto" w:fill="DDEBF7"/>
          </w:tcPr>
          <w:p w:rsidR="00394FFD" w:rsidP="00595A56" w:rsidRDefault="00394FFD" w14:paraId="1FBAE222" w14:textId="77777777">
            <w:pPr>
              <w:keepNext/>
              <w:keepLines/>
              <w:suppressAutoHyphens/>
            </w:pPr>
          </w:p>
          <w:p w:rsidRPr="00405616" w:rsidR="00394FFD" w:rsidP="00595A56" w:rsidRDefault="00394FFD" w14:paraId="5F81FD6E" w14:textId="77777777">
            <w:pPr>
              <w:keepNext/>
              <w:keepLines/>
              <w:suppressAutoHyphens/>
            </w:pPr>
            <w:r w:rsidRPr="00433330">
              <w:t xml:space="preserve">Naast de groeiruimte wordt het </w:t>
            </w:r>
            <w:proofErr w:type="spellStart"/>
            <w:r w:rsidRPr="00433330">
              <w:t>Wlz</w:t>
            </w:r>
            <w:proofErr w:type="spellEnd"/>
            <w:r w:rsidRPr="00433330">
              <w:t xml:space="preserve">-kader ook gecompenseerd voor loon- en prijsontwikkelingen (LPO). Deze middelen komen bovenop de groeiruimte en worden jaarlijks vastgesteld op basis van de meest actuele inzichten uit de Macro-Economische Verkenning (MEV) van het CPB. De extra middelen voor de loon- en prijsbijstelling zijn dus nog niet opgenomen in deze brief, maar zullen jaarlijks structureel worden toegevoegd aan het </w:t>
            </w:r>
            <w:proofErr w:type="spellStart"/>
            <w:r w:rsidRPr="00433330">
              <w:t>Wlz</w:t>
            </w:r>
            <w:proofErr w:type="spellEnd"/>
            <w:r w:rsidRPr="00433330">
              <w:t>-kader. De loon- en prijscompensatie zorgt ervoor dat zorgaanbieders en budgethouders ook bij stijgende lonen en prijzen goede zorg kunnen blijven leveren.</w:t>
            </w:r>
          </w:p>
          <w:p w:rsidR="00394FFD" w:rsidP="00595A56" w:rsidRDefault="00394FFD" w14:paraId="18E43EF4" w14:textId="77777777">
            <w:pPr>
              <w:keepNext/>
              <w:keepLines/>
              <w:suppressAutoHyphens/>
            </w:pPr>
          </w:p>
        </w:tc>
      </w:tr>
    </w:tbl>
    <w:p w:rsidR="00394FFD" w:rsidP="00595A56" w:rsidRDefault="00394FFD" w14:paraId="1BE7089D" w14:textId="77777777">
      <w:pPr>
        <w:suppressAutoHyphens/>
      </w:pPr>
    </w:p>
    <w:p w:rsidR="00394FFD" w:rsidP="00595A56" w:rsidRDefault="00394FFD" w14:paraId="09423E03" w14:textId="77777777">
      <w:pPr>
        <w:suppressAutoHyphens/>
      </w:pPr>
    </w:p>
    <w:p w:rsidRPr="00016C25" w:rsidR="00394FFD" w:rsidP="00595A56" w:rsidRDefault="00394FFD" w14:paraId="4D51BDCC" w14:textId="77777777">
      <w:pPr>
        <w:keepNext/>
        <w:keepLines/>
        <w:suppressAutoHyphens/>
        <w:rPr>
          <w:b/>
          <w:bCs/>
        </w:rPr>
      </w:pPr>
      <w:r w:rsidRPr="00016C25">
        <w:rPr>
          <w:b/>
          <w:bCs/>
        </w:rPr>
        <w:lastRenderedPageBreak/>
        <w:t>Naar bestuurlijke afspraken</w:t>
      </w:r>
      <w:r>
        <w:rPr>
          <w:b/>
          <w:bCs/>
        </w:rPr>
        <w:t xml:space="preserve"> met oog op de toekomst</w:t>
      </w:r>
    </w:p>
    <w:p w:rsidR="00394FFD" w:rsidP="00595A56" w:rsidRDefault="00394FFD" w14:paraId="53EB2A9A" w14:textId="77777777">
      <w:pPr>
        <w:keepNext/>
        <w:keepLines/>
        <w:suppressAutoHyphens/>
      </w:pPr>
      <w:r>
        <w:t xml:space="preserve">Het is de wens van het kabinet om samen met de sectoren afspraken te maken over een andere organisatie van de zorg en ondersteuning die passend is voor cliënten en bijdraagt aan het afremmen van de groei van de zorguitgaven. Dat is van belang voor de toegankelijkheid, betaalbaarheid en kwaliteit van de zorg, maar ook vanwege de dreigende personeelstekorten. Zelfs wanneer onbeperkte financiële middelen beschikbaar zouden zijn, stuiten we immers op de grenzen van wat de zorg aankan als gevolg van de toenemende schaarste aan personeel. Daarbij geldt dat de personeelsinzet en personeelskosten voor de </w:t>
      </w:r>
      <w:proofErr w:type="spellStart"/>
      <w:r>
        <w:t>Wlz</w:t>
      </w:r>
      <w:proofErr w:type="spellEnd"/>
      <w:r>
        <w:t xml:space="preserve"> de meest bepalende factor zijn voor de uitgaven. Deze brief past in de voorfase op weg naar bestuurlijke akkoorden. </w:t>
      </w:r>
    </w:p>
    <w:p w:rsidR="00394FFD" w:rsidP="00595A56" w:rsidRDefault="00394FFD" w14:paraId="7FCE3A92" w14:textId="77777777">
      <w:pPr>
        <w:suppressAutoHyphens/>
      </w:pPr>
    </w:p>
    <w:p w:rsidR="00394FFD" w:rsidP="00595A56" w:rsidRDefault="00394FFD" w14:paraId="25A9F112" w14:textId="77777777">
      <w:pPr>
        <w:suppressAutoHyphens/>
      </w:pPr>
      <w:r w:rsidRPr="00405616">
        <w:t xml:space="preserve">Naar mijn oordeel laat de vergelijking </w:t>
      </w:r>
      <w:r>
        <w:t xml:space="preserve">van de beschikbare groeiruimte met de gerealiseerde groei in de afgelopen jaren </w:t>
      </w:r>
      <w:r w:rsidRPr="00405616">
        <w:t xml:space="preserve">zien dat de </w:t>
      </w:r>
      <w:r>
        <w:t>beschikbare groeiruimte</w:t>
      </w:r>
      <w:r w:rsidRPr="00405616">
        <w:t xml:space="preserve"> realistisch is</w:t>
      </w:r>
      <w:r>
        <w:t xml:space="preserve"> voor iedere sector</w:t>
      </w:r>
      <w:r w:rsidRPr="00405616">
        <w:t xml:space="preserve"> en dat de sectoren de transitieopgave moeten kunnen dragen.</w:t>
      </w:r>
      <w:r>
        <w:t xml:space="preserve"> </w:t>
      </w:r>
    </w:p>
    <w:p w:rsidR="00394FFD" w:rsidP="00595A56" w:rsidRDefault="00394FFD" w14:paraId="03920719" w14:textId="77777777">
      <w:pPr>
        <w:suppressAutoHyphens/>
      </w:pPr>
    </w:p>
    <w:p w:rsidR="00A16652" w:rsidP="00595A56" w:rsidRDefault="00A16652" w14:paraId="35D565DF" w14:textId="00F1B8C9">
      <w:pPr>
        <w:suppressAutoHyphens/>
      </w:pPr>
      <w:r>
        <w:t xml:space="preserve">Daarom is het noodzakelijk om gezamenlijk afspraken te maken over </w:t>
      </w:r>
      <w:r w:rsidRPr="00F04F2C">
        <w:t xml:space="preserve">welke veranderingen nodig zijn in de organisatie van de langdurige zorg. </w:t>
      </w:r>
      <w:r>
        <w:t>D</w:t>
      </w:r>
      <w:r w:rsidRPr="00F04F2C">
        <w:t xml:space="preserve">aarbij wil ik de richting </w:t>
      </w:r>
      <w:r>
        <w:t xml:space="preserve">voortzetten </w:t>
      </w:r>
      <w:r w:rsidRPr="00F04F2C">
        <w:t xml:space="preserve">die is ingezet met het </w:t>
      </w:r>
      <w:r>
        <w:t>HLO</w:t>
      </w:r>
      <w:r w:rsidRPr="00F04F2C">
        <w:t xml:space="preserve"> en het </w:t>
      </w:r>
      <w:r>
        <w:t>IZA/AZWA</w:t>
      </w:r>
      <w:r w:rsidRPr="00F04F2C">
        <w:t xml:space="preserve"> en </w:t>
      </w:r>
      <w:r>
        <w:t xml:space="preserve">die </w:t>
      </w:r>
      <w:r w:rsidRPr="00F04F2C">
        <w:t xml:space="preserve">door het kabinet is bevestigd in het </w:t>
      </w:r>
      <w:r>
        <w:t>coalitieakkoord</w:t>
      </w:r>
      <w:r w:rsidRPr="00F04F2C">
        <w:t>: de beweging naar gezondheid en kwaliteit van leven</w:t>
      </w:r>
      <w:r w:rsidR="00A8083E">
        <w:t>,</w:t>
      </w:r>
      <w:r w:rsidRPr="00F04F2C">
        <w:t xml:space="preserve"> inzetten op passende zorg en vereenvoudiging</w:t>
      </w:r>
      <w:r>
        <w:t xml:space="preserve">. Op die manier kunnen we passende zorg en ondersteuning borgen voor degenen die deze nodig hebben, juist ook waar sprake is van complexe zorg. </w:t>
      </w:r>
      <w:bookmarkStart w:name="_Hlk233324720" w:id="0"/>
      <w:r>
        <w:t xml:space="preserve">Ook wil ik vaart maken om te komen tot </w:t>
      </w:r>
      <w:r w:rsidRPr="00B4756C">
        <w:t xml:space="preserve">afspraken in de </w:t>
      </w:r>
      <w:r>
        <w:t xml:space="preserve">gehandicaptenzorg, </w:t>
      </w:r>
      <w:r w:rsidRPr="00B4756C">
        <w:t xml:space="preserve">omdat naast een financieel perspectief vooral het gebrek aan personeel begint te knellen en </w:t>
      </w:r>
      <w:r>
        <w:t>om</w:t>
      </w:r>
      <w:r w:rsidRPr="00B4756C">
        <w:t xml:space="preserve"> noodzakelijke veranderingen vraagt</w:t>
      </w:r>
      <w:r>
        <w:t>.</w:t>
      </w:r>
      <w:r w:rsidRPr="00DA60EE">
        <w:t xml:space="preserve"> </w:t>
      </w:r>
      <w:r>
        <w:t>Daarbij wil ik</w:t>
      </w:r>
      <w:r w:rsidRPr="00405616">
        <w:t xml:space="preserve"> </w:t>
      </w:r>
      <w:r>
        <w:t xml:space="preserve">binnen de kaders ook enige ruimte bieden voor investeringen </w:t>
      </w:r>
      <w:r w:rsidRPr="00405616">
        <w:t>die bijdragen aan de organiseerbaarheid van de zorg en aan de beweging naar de voorkant.</w:t>
      </w:r>
    </w:p>
    <w:bookmarkEnd w:id="0"/>
    <w:p w:rsidR="00A16652" w:rsidP="00595A56" w:rsidRDefault="00A16652" w14:paraId="56B1E9C9" w14:textId="77777777">
      <w:pPr>
        <w:suppressAutoHyphens/>
      </w:pPr>
    </w:p>
    <w:p w:rsidRPr="00405616" w:rsidR="00A16652" w:rsidP="00595A56" w:rsidRDefault="00A16652" w14:paraId="0262B2B1" w14:textId="77777777">
      <w:pPr>
        <w:suppressAutoHyphens/>
      </w:pPr>
      <w:bookmarkStart w:name="_Hlk233324949" w:id="1"/>
      <w:r>
        <w:t xml:space="preserve">Het kabinet beschouwt de bestuurlijke akkoorden als een belangrijke stap om gezamenlijk met partijen de uitdagingen van de toekomst aan te gaan en afspraken te maken. </w:t>
      </w:r>
    </w:p>
    <w:bookmarkEnd w:id="1"/>
    <w:p w:rsidR="00595A56" w:rsidP="00595A56" w:rsidRDefault="00595A56" w14:paraId="0C6C8AD4" w14:textId="77777777">
      <w:pPr>
        <w:suppressAutoHyphens/>
      </w:pPr>
    </w:p>
    <w:p w:rsidR="00595A56" w:rsidP="00595A56" w:rsidRDefault="00595A56" w14:paraId="6EC0B812" w14:textId="34E6919A">
      <w:pPr>
        <w:suppressAutoHyphens/>
      </w:pPr>
      <w:r>
        <w:t>Hoogachtend,</w:t>
      </w:r>
    </w:p>
    <w:p w:rsidR="00595A56" w:rsidP="00595A56" w:rsidRDefault="00595A56" w14:paraId="72628F29" w14:textId="77777777">
      <w:pPr>
        <w:suppressAutoHyphens/>
      </w:pPr>
    </w:p>
    <w:p w:rsidR="00595A56" w:rsidP="00595A56" w:rsidRDefault="00595A56" w14:paraId="4A1B0537" w14:textId="77777777">
      <w:pPr>
        <w:suppressAutoHyphens/>
      </w:pPr>
      <w:r>
        <w:t>de minister van Langdurige Zorg,</w:t>
      </w:r>
    </w:p>
    <w:p w:rsidR="00595A56" w:rsidP="00595A56" w:rsidRDefault="00595A56" w14:paraId="09A3E96C" w14:textId="77777777">
      <w:pPr>
        <w:suppressAutoHyphens/>
      </w:pPr>
      <w:r>
        <w:t>Jeugd en Sport,</w:t>
      </w:r>
    </w:p>
    <w:p w:rsidR="00595A56" w:rsidP="00595A56" w:rsidRDefault="00595A56" w14:paraId="703E90EC" w14:textId="77777777">
      <w:pPr>
        <w:suppressAutoHyphens/>
      </w:pPr>
    </w:p>
    <w:p w:rsidR="00595A56" w:rsidP="00595A56" w:rsidRDefault="00595A56" w14:paraId="2B4AB2E2" w14:textId="77777777">
      <w:pPr>
        <w:suppressAutoHyphens/>
      </w:pPr>
    </w:p>
    <w:p w:rsidR="00595A56" w:rsidP="00595A56" w:rsidRDefault="00595A56" w14:paraId="6BBD5965" w14:textId="77777777">
      <w:pPr>
        <w:suppressAutoHyphens/>
      </w:pPr>
    </w:p>
    <w:p w:rsidR="00595A56" w:rsidP="00595A56" w:rsidRDefault="00595A56" w14:paraId="5A1B7AF7" w14:textId="77777777">
      <w:pPr>
        <w:suppressAutoHyphens/>
      </w:pPr>
    </w:p>
    <w:p w:rsidR="00595A56" w:rsidP="00595A56" w:rsidRDefault="00595A56" w14:paraId="6B49388F" w14:textId="77777777">
      <w:pPr>
        <w:suppressAutoHyphens/>
      </w:pPr>
    </w:p>
    <w:p w:rsidR="00595A56" w:rsidP="00595A56" w:rsidRDefault="00595A56" w14:paraId="730BB630" w14:textId="77777777">
      <w:pPr>
        <w:suppressAutoHyphens/>
      </w:pPr>
    </w:p>
    <w:p w:rsidR="00394FFD" w:rsidP="00595A56" w:rsidRDefault="00595A56" w14:paraId="666BA947" w14:textId="2359538A">
      <w:pPr>
        <w:suppressAutoHyphens/>
      </w:pPr>
      <w:r>
        <w:t>Mirjam Sterk</w:t>
      </w:r>
    </w:p>
    <w:sectPr w:rsidR="00394FF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0C9C" w14:textId="77777777" w:rsidR="00696AA3" w:rsidRDefault="00696AA3">
      <w:pPr>
        <w:spacing w:line="240" w:lineRule="auto"/>
      </w:pPr>
      <w:r>
        <w:separator/>
      </w:r>
    </w:p>
  </w:endnote>
  <w:endnote w:type="continuationSeparator" w:id="0">
    <w:p w14:paraId="3E7AE2C7" w14:textId="77777777" w:rsidR="00696AA3" w:rsidRDefault="00696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3ACE" w14:textId="77777777" w:rsidR="00B2224C" w:rsidRDefault="00B2224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7BE1" w14:textId="77777777" w:rsidR="00696AA3" w:rsidRDefault="00696AA3">
      <w:pPr>
        <w:spacing w:line="240" w:lineRule="auto"/>
      </w:pPr>
      <w:r>
        <w:separator/>
      </w:r>
    </w:p>
  </w:footnote>
  <w:footnote w:type="continuationSeparator" w:id="0">
    <w:p w14:paraId="2F841F41" w14:textId="77777777" w:rsidR="00696AA3" w:rsidRDefault="00696AA3">
      <w:pPr>
        <w:spacing w:line="240" w:lineRule="auto"/>
      </w:pPr>
      <w:r>
        <w:continuationSeparator/>
      </w:r>
    </w:p>
  </w:footnote>
  <w:footnote w:id="1">
    <w:p w14:paraId="28115F8B" w14:textId="77777777" w:rsidR="00394FFD" w:rsidRPr="007D6ED6" w:rsidRDefault="00394FFD" w:rsidP="00394FFD">
      <w:pPr>
        <w:pStyle w:val="Voetnoottekst"/>
        <w:rPr>
          <w:sz w:val="16"/>
          <w:szCs w:val="16"/>
        </w:rPr>
      </w:pPr>
      <w:r w:rsidRPr="007D6ED6">
        <w:rPr>
          <w:rStyle w:val="Voetnootmarkering"/>
          <w:sz w:val="16"/>
          <w:szCs w:val="16"/>
        </w:rPr>
        <w:footnoteRef/>
      </w:r>
      <w:r w:rsidRPr="007D6ED6">
        <w:rPr>
          <w:sz w:val="16"/>
          <w:szCs w:val="16"/>
        </w:rPr>
        <w:t xml:space="preserve"> </w:t>
      </w:r>
      <w:r w:rsidRPr="007D6ED6">
        <w:rPr>
          <w:i/>
          <w:iCs/>
          <w:sz w:val="16"/>
          <w:szCs w:val="16"/>
        </w:rPr>
        <w:t>Kamerstukken II</w:t>
      </w:r>
      <w:r w:rsidRPr="007D6ED6">
        <w:rPr>
          <w:sz w:val="16"/>
          <w:szCs w:val="16"/>
        </w:rPr>
        <w:t xml:space="preserve">, 2025-2026, 24170, nr. 385. </w:t>
      </w:r>
    </w:p>
  </w:footnote>
  <w:footnote w:id="2">
    <w:p w14:paraId="3D8B0D72" w14:textId="77777777" w:rsidR="00394FFD" w:rsidRPr="007D6ED6" w:rsidRDefault="00394FFD" w:rsidP="00394FFD">
      <w:pPr>
        <w:pStyle w:val="Voetnoottekst"/>
        <w:rPr>
          <w:sz w:val="16"/>
          <w:szCs w:val="16"/>
        </w:rPr>
      </w:pPr>
      <w:r w:rsidRPr="007D6ED6">
        <w:rPr>
          <w:rStyle w:val="Voetnootmarkering"/>
          <w:sz w:val="16"/>
          <w:szCs w:val="16"/>
        </w:rPr>
        <w:footnoteRef/>
      </w:r>
      <w:r w:rsidRPr="007D6ED6">
        <w:rPr>
          <w:sz w:val="16"/>
          <w:szCs w:val="16"/>
        </w:rPr>
        <w:t xml:space="preserve"> </w:t>
      </w:r>
      <w:r w:rsidRPr="007D6ED6">
        <w:rPr>
          <w:i/>
          <w:iCs/>
          <w:sz w:val="16"/>
          <w:szCs w:val="16"/>
        </w:rPr>
        <w:t>Kamerstukken II</w:t>
      </w:r>
      <w:r w:rsidRPr="007D6ED6">
        <w:rPr>
          <w:sz w:val="16"/>
          <w:szCs w:val="16"/>
        </w:rPr>
        <w:t>, 2025-2026, 36800-XVI, nr. 196.</w:t>
      </w:r>
    </w:p>
  </w:footnote>
  <w:footnote w:id="3">
    <w:p w14:paraId="1A8F9FDD" w14:textId="77777777" w:rsidR="00394FFD" w:rsidRPr="00352DF3" w:rsidRDefault="00394FFD" w:rsidP="00394FFD">
      <w:pPr>
        <w:pStyle w:val="Voetnoottekst"/>
        <w:rPr>
          <w:sz w:val="16"/>
          <w:szCs w:val="16"/>
        </w:rPr>
      </w:pPr>
      <w:r w:rsidRPr="00352DF3">
        <w:rPr>
          <w:rStyle w:val="Voetnootmarkering"/>
          <w:sz w:val="16"/>
          <w:szCs w:val="16"/>
        </w:rPr>
        <w:footnoteRef/>
      </w:r>
      <w:r w:rsidRPr="00352DF3">
        <w:rPr>
          <w:sz w:val="16"/>
          <w:szCs w:val="16"/>
        </w:rPr>
        <w:t xml:space="preserve"> Dit deelkader kunnen zorgkantoren inzetten voor onafhankelijke cliëntondersteuning, cliëntvertrouwenspersonen en preventieve maatregelen.</w:t>
      </w:r>
      <w:r>
        <w:rPr>
          <w:sz w:val="16"/>
          <w:szCs w:val="16"/>
        </w:rPr>
        <w:t xml:space="preserve"> In 2027 is hiervoor € 98 miljoen beschikbaar (inclusief € 2 miljoen groeiruimte).</w:t>
      </w:r>
    </w:p>
  </w:footnote>
  <w:footnote w:id="4">
    <w:p w14:paraId="12F4A5C6" w14:textId="77777777" w:rsidR="00394FFD" w:rsidRPr="00FB5369" w:rsidRDefault="00394FFD" w:rsidP="00394FFD">
      <w:pPr>
        <w:pStyle w:val="Voetnoottekst"/>
        <w:rPr>
          <w:sz w:val="16"/>
          <w:szCs w:val="16"/>
        </w:rPr>
      </w:pPr>
      <w:r w:rsidRPr="00FB5369">
        <w:rPr>
          <w:rStyle w:val="Voetnootmarkering"/>
          <w:sz w:val="16"/>
          <w:szCs w:val="16"/>
        </w:rPr>
        <w:footnoteRef/>
      </w:r>
      <w:r w:rsidRPr="00FB5369">
        <w:rPr>
          <w:sz w:val="16"/>
          <w:szCs w:val="16"/>
        </w:rPr>
        <w:t xml:space="preserve"> Het kan daarbij gaan om overheveling van regionale contracteerruimte naar een andere zorgkantoorregio of het creëren van financiële ruimte voor het ophogen van het regionale kader voor de verstrekking van pgb’s.</w:t>
      </w:r>
      <w:r>
        <w:rPr>
          <w:sz w:val="16"/>
          <w:szCs w:val="16"/>
        </w:rPr>
        <w:t xml:space="preserve"> Er is geen overheveling mogelijk naar het deelkader voor</w:t>
      </w:r>
      <w:r w:rsidRPr="00D94140">
        <w:rPr>
          <w:sz w:val="16"/>
          <w:szCs w:val="16"/>
        </w:rPr>
        <w:t xml:space="preserve"> de overige uitvoeringskosten.</w:t>
      </w:r>
    </w:p>
  </w:footnote>
  <w:footnote w:id="5">
    <w:p w14:paraId="4E885127" w14:textId="77777777" w:rsidR="00394FFD" w:rsidRPr="007D6ED6" w:rsidRDefault="00394FFD" w:rsidP="00394FFD">
      <w:pPr>
        <w:pStyle w:val="Voetnoottekst"/>
        <w:rPr>
          <w:sz w:val="16"/>
          <w:szCs w:val="16"/>
        </w:rPr>
      </w:pPr>
      <w:r w:rsidRPr="007D6ED6">
        <w:rPr>
          <w:rStyle w:val="Voetnootmarkering"/>
          <w:sz w:val="16"/>
          <w:szCs w:val="16"/>
        </w:rPr>
        <w:footnoteRef/>
      </w:r>
      <w:r w:rsidRPr="007D6ED6">
        <w:rPr>
          <w:sz w:val="16"/>
          <w:szCs w:val="16"/>
        </w:rPr>
        <w:t xml:space="preserve"> </w:t>
      </w:r>
      <w:r w:rsidRPr="007D6ED6">
        <w:rPr>
          <w:i/>
          <w:iCs/>
          <w:sz w:val="16"/>
          <w:szCs w:val="16"/>
        </w:rPr>
        <w:t>Kamerstukken II</w:t>
      </w:r>
      <w:r w:rsidRPr="007D6ED6">
        <w:rPr>
          <w:sz w:val="16"/>
          <w:szCs w:val="16"/>
        </w:rPr>
        <w:t>, 2025-2026, 29 389, nr. 166.</w:t>
      </w:r>
    </w:p>
  </w:footnote>
  <w:footnote w:id="6">
    <w:p w14:paraId="5E9E3629" w14:textId="77777777" w:rsidR="00394FFD" w:rsidRPr="007D6ED6" w:rsidRDefault="00394FFD" w:rsidP="00394FFD">
      <w:pPr>
        <w:pStyle w:val="Voetnoottekst"/>
        <w:rPr>
          <w:sz w:val="16"/>
          <w:szCs w:val="16"/>
        </w:rPr>
      </w:pPr>
      <w:r w:rsidRPr="007D6ED6">
        <w:rPr>
          <w:rStyle w:val="Voetnootmarkering"/>
          <w:sz w:val="16"/>
          <w:szCs w:val="16"/>
        </w:rPr>
        <w:footnoteRef/>
      </w:r>
      <w:r w:rsidRPr="007D6ED6">
        <w:rPr>
          <w:sz w:val="16"/>
          <w:szCs w:val="16"/>
        </w:rPr>
        <w:t xml:space="preserve"> Waarvan € 168 miljoen structureel op grond van het kostenonderzoek gehandicaptenzorg 2025, € 152 miljoen structureel op grond van het kostenonderzoek gehandicaptenzorg en langdurige ggz 2026 en € 400 miljoen structureel </w:t>
      </w:r>
      <w:proofErr w:type="spellStart"/>
      <w:r w:rsidRPr="007D6ED6">
        <w:rPr>
          <w:sz w:val="16"/>
          <w:szCs w:val="16"/>
        </w:rPr>
        <w:t>Wlz</w:t>
      </w:r>
      <w:proofErr w:type="spellEnd"/>
      <w:r w:rsidRPr="007D6ED6">
        <w:rPr>
          <w:sz w:val="16"/>
          <w:szCs w:val="16"/>
        </w:rPr>
        <w:t>-breed op grond van het kostenonderzoek NHC.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3938" w14:textId="77777777" w:rsidR="00B2224C" w:rsidRDefault="000101D2">
    <w:r>
      <w:rPr>
        <w:noProof/>
      </w:rPr>
      <mc:AlternateContent>
        <mc:Choice Requires="wps">
          <w:drawing>
            <wp:anchor distT="0" distB="0" distL="0" distR="0" simplePos="0" relativeHeight="251652608" behindDoc="0" locked="1" layoutInCell="1" allowOverlap="1" wp14:anchorId="55EC5E00" wp14:editId="67DF00D0">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DA8B4B" w14:textId="77777777" w:rsidR="00B2224C" w:rsidRDefault="000101D2">
                          <w:pPr>
                            <w:pStyle w:val="Referentiegegevensbold"/>
                          </w:pPr>
                          <w:r>
                            <w:t>Datum</w:t>
                          </w:r>
                        </w:p>
                        <w:p w14:paraId="49B134E7" w14:textId="77777777" w:rsidR="00B2224C" w:rsidRDefault="00B2224C">
                          <w:pPr>
                            <w:pStyle w:val="WitregelW1"/>
                          </w:pPr>
                        </w:p>
                        <w:p w14:paraId="2E475098" w14:textId="77777777" w:rsidR="00B2224C" w:rsidRDefault="000101D2">
                          <w:pPr>
                            <w:pStyle w:val="Referentiegegevensbold"/>
                          </w:pPr>
                          <w:r>
                            <w:t>Onze referentie</w:t>
                          </w:r>
                        </w:p>
                        <w:p w14:paraId="00EBA66C" w14:textId="2AFC149B" w:rsidR="00B2224C" w:rsidRDefault="00415588">
                          <w:pPr>
                            <w:pStyle w:val="Referentiegegevens"/>
                          </w:pPr>
                          <w:r w:rsidRPr="00415588">
                            <w:t>4472097-1099483-LZ</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55EC5E00"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2DA8B4B" w14:textId="77777777" w:rsidR="00B2224C" w:rsidRDefault="000101D2">
                    <w:pPr>
                      <w:pStyle w:val="Referentiegegevensbold"/>
                    </w:pPr>
                    <w:r>
                      <w:t>Datum</w:t>
                    </w:r>
                  </w:p>
                  <w:p w14:paraId="49B134E7" w14:textId="77777777" w:rsidR="00B2224C" w:rsidRDefault="00B2224C">
                    <w:pPr>
                      <w:pStyle w:val="WitregelW1"/>
                    </w:pPr>
                  </w:p>
                  <w:p w14:paraId="2E475098" w14:textId="77777777" w:rsidR="00B2224C" w:rsidRDefault="000101D2">
                    <w:pPr>
                      <w:pStyle w:val="Referentiegegevensbold"/>
                    </w:pPr>
                    <w:r>
                      <w:t>Onze referentie</w:t>
                    </w:r>
                  </w:p>
                  <w:p w14:paraId="00EBA66C" w14:textId="2AFC149B" w:rsidR="00B2224C" w:rsidRDefault="00415588">
                    <w:pPr>
                      <w:pStyle w:val="Referentiegegevens"/>
                    </w:pPr>
                    <w:r w:rsidRPr="00415588">
                      <w:t>4472097-1099483-LZ</w:t>
                    </w: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712F2219" wp14:editId="383C008F">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ABCE82E" w14:textId="77777777" w:rsidR="002E1855" w:rsidRDefault="002E1855"/>
                      </w:txbxContent>
                    </wps:txbx>
                    <wps:bodyPr vert="horz" wrap="square" lIns="0" tIns="0" rIns="0" bIns="0" anchor="t" anchorCtr="0"/>
                  </wps:wsp>
                </a:graphicData>
              </a:graphic>
            </wp:anchor>
          </w:drawing>
        </mc:Choice>
        <mc:Fallback>
          <w:pict>
            <v:shape w14:anchorId="712F2219"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ABCE82E" w14:textId="77777777" w:rsidR="002E1855" w:rsidRDefault="002E1855"/>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0EE41F1" wp14:editId="7F64AC23">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E2FA81" w14:textId="77777777" w:rsidR="00B2224C" w:rsidRDefault="000101D2">
                          <w:pPr>
                            <w:pStyle w:val="Referentiegegevens"/>
                          </w:pPr>
                          <w:r>
                            <w:t xml:space="preserve">Pagina </w:t>
                          </w:r>
                          <w:r>
                            <w:fldChar w:fldCharType="begin"/>
                          </w:r>
                          <w:r>
                            <w:instrText>PAGE</w:instrText>
                          </w:r>
                          <w:r>
                            <w:fldChar w:fldCharType="separate"/>
                          </w:r>
                          <w:r w:rsidR="00394FFD">
                            <w:rPr>
                              <w:noProof/>
                            </w:rPr>
                            <w:t>1</w:t>
                          </w:r>
                          <w:r>
                            <w:fldChar w:fldCharType="end"/>
                          </w:r>
                          <w:r>
                            <w:t xml:space="preserve"> van </w:t>
                          </w:r>
                          <w:r>
                            <w:fldChar w:fldCharType="begin"/>
                          </w:r>
                          <w:r>
                            <w:instrText>NUMPAGES</w:instrText>
                          </w:r>
                          <w:r>
                            <w:fldChar w:fldCharType="separate"/>
                          </w:r>
                          <w:r w:rsidR="00394FFD">
                            <w:rPr>
                              <w:noProof/>
                            </w:rPr>
                            <w:t>1</w:t>
                          </w:r>
                          <w:r>
                            <w:fldChar w:fldCharType="end"/>
                          </w:r>
                        </w:p>
                      </w:txbxContent>
                    </wps:txbx>
                    <wps:bodyPr vert="horz" wrap="square" lIns="0" tIns="0" rIns="0" bIns="0" anchor="t" anchorCtr="0"/>
                  </wps:wsp>
                </a:graphicData>
              </a:graphic>
            </wp:anchor>
          </w:drawing>
        </mc:Choice>
        <mc:Fallback>
          <w:pict>
            <v:shape w14:anchorId="70EE41F1"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AE2FA81" w14:textId="77777777" w:rsidR="00B2224C" w:rsidRDefault="000101D2">
                    <w:pPr>
                      <w:pStyle w:val="Referentiegegevens"/>
                    </w:pPr>
                    <w:r>
                      <w:t xml:space="preserve">Pagina </w:t>
                    </w:r>
                    <w:r>
                      <w:fldChar w:fldCharType="begin"/>
                    </w:r>
                    <w:r>
                      <w:instrText>PAGE</w:instrText>
                    </w:r>
                    <w:r>
                      <w:fldChar w:fldCharType="separate"/>
                    </w:r>
                    <w:r w:rsidR="00394FFD">
                      <w:rPr>
                        <w:noProof/>
                      </w:rPr>
                      <w:t>1</w:t>
                    </w:r>
                    <w:r>
                      <w:fldChar w:fldCharType="end"/>
                    </w:r>
                    <w:r>
                      <w:t xml:space="preserve"> van </w:t>
                    </w:r>
                    <w:r>
                      <w:fldChar w:fldCharType="begin"/>
                    </w:r>
                    <w:r>
                      <w:instrText>NUMPAGES</w:instrText>
                    </w:r>
                    <w:r>
                      <w:fldChar w:fldCharType="separate"/>
                    </w:r>
                    <w:r w:rsidR="00394FFD">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5E8A" w14:textId="77777777" w:rsidR="00B2224C" w:rsidRDefault="000101D2">
    <w:pPr>
      <w:spacing w:after="6377" w:line="14" w:lineRule="exact"/>
    </w:pPr>
    <w:r>
      <w:rPr>
        <w:noProof/>
      </w:rPr>
      <mc:AlternateContent>
        <mc:Choice Requires="wps">
          <w:drawing>
            <wp:anchor distT="0" distB="0" distL="0" distR="0" simplePos="0" relativeHeight="251655680" behindDoc="0" locked="1" layoutInCell="1" allowOverlap="1" wp14:anchorId="542CC901" wp14:editId="552802CE">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111032" w14:textId="77777777" w:rsidR="00595A56" w:rsidRDefault="000101D2">
                          <w:r>
                            <w:t>Aan de Voorzitter van de Tweede Kamer</w:t>
                          </w:r>
                        </w:p>
                        <w:p w14:paraId="6D307C34" w14:textId="13A749E0" w:rsidR="00B2224C" w:rsidRDefault="000101D2">
                          <w:r>
                            <w:t xml:space="preserve">der </w:t>
                          </w:r>
                          <w:r>
                            <w:t>Staten-Generaal</w:t>
                          </w:r>
                        </w:p>
                        <w:p w14:paraId="7819CFBF" w14:textId="77777777" w:rsidR="00B2224C" w:rsidRDefault="000101D2">
                          <w:r>
                            <w:t>Postbus 20018</w:t>
                          </w:r>
                        </w:p>
                        <w:p w14:paraId="1143D225" w14:textId="77777777" w:rsidR="00B2224C" w:rsidRDefault="000101D2">
                          <w:r>
                            <w:t>2500 EA  DEN HAAG</w:t>
                          </w:r>
                        </w:p>
                      </w:txbxContent>
                    </wps:txbx>
                    <wps:bodyPr vert="horz" wrap="square" lIns="0" tIns="0" rIns="0" bIns="0" anchor="t" anchorCtr="0"/>
                  </wps:wsp>
                </a:graphicData>
              </a:graphic>
            </wp:anchor>
          </w:drawing>
        </mc:Choice>
        <mc:Fallback>
          <w:pict>
            <v:shapetype w14:anchorId="542CC90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2111032" w14:textId="77777777" w:rsidR="00595A56" w:rsidRDefault="000101D2">
                    <w:r>
                      <w:t>Aan de Voorzitter van de Tweede Kamer</w:t>
                    </w:r>
                  </w:p>
                  <w:p w14:paraId="6D307C34" w14:textId="13A749E0" w:rsidR="00B2224C" w:rsidRDefault="000101D2">
                    <w:r>
                      <w:t xml:space="preserve">der </w:t>
                    </w:r>
                    <w:r>
                      <w:t>Staten-Generaal</w:t>
                    </w:r>
                  </w:p>
                  <w:p w14:paraId="7819CFBF" w14:textId="77777777" w:rsidR="00B2224C" w:rsidRDefault="000101D2">
                    <w:r>
                      <w:t>Postbus 20018</w:t>
                    </w:r>
                  </w:p>
                  <w:p w14:paraId="1143D225" w14:textId="77777777" w:rsidR="00B2224C" w:rsidRDefault="000101D2">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B0071B3" wp14:editId="1146A38A">
              <wp:simplePos x="0" y="0"/>
              <wp:positionH relativeFrom="margin">
                <wp:align>right</wp:align>
              </wp:positionH>
              <wp:positionV relativeFrom="paragraph">
                <wp:posOffset>3355340</wp:posOffset>
              </wp:positionV>
              <wp:extent cx="4787900" cy="62801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80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2224C" w14:paraId="2455410A" w14:textId="77777777">
                            <w:trPr>
                              <w:trHeight w:val="240"/>
                            </w:trPr>
                            <w:tc>
                              <w:tcPr>
                                <w:tcW w:w="1140" w:type="dxa"/>
                              </w:tcPr>
                              <w:p w14:paraId="7293C4F5" w14:textId="77777777" w:rsidR="00B2224C" w:rsidRDefault="000101D2">
                                <w:r>
                                  <w:t>Datum</w:t>
                                </w:r>
                              </w:p>
                            </w:tc>
                            <w:tc>
                              <w:tcPr>
                                <w:tcW w:w="5918" w:type="dxa"/>
                              </w:tcPr>
                              <w:p w14:paraId="29F7D93A" w14:textId="3639F991" w:rsidR="00B2224C" w:rsidRDefault="00CB6B4A">
                                <w:r>
                                  <w:t xml:space="preserve">1 juli </w:t>
                                </w:r>
                                <w:r>
                                  <w:t>2026</w:t>
                                </w:r>
                              </w:p>
                            </w:tc>
                          </w:tr>
                          <w:tr w:rsidR="00B2224C" w14:paraId="69000FAF" w14:textId="77777777">
                            <w:trPr>
                              <w:trHeight w:val="240"/>
                            </w:trPr>
                            <w:tc>
                              <w:tcPr>
                                <w:tcW w:w="1140" w:type="dxa"/>
                              </w:tcPr>
                              <w:p w14:paraId="75ACF498" w14:textId="77777777" w:rsidR="00B2224C" w:rsidRDefault="000101D2">
                                <w:r>
                                  <w:t>Betreft</w:t>
                                </w:r>
                              </w:p>
                            </w:tc>
                            <w:tc>
                              <w:tcPr>
                                <w:tcW w:w="5918" w:type="dxa"/>
                              </w:tcPr>
                              <w:p w14:paraId="073074DE" w14:textId="77777777" w:rsidR="00B2224C" w:rsidRDefault="000101D2">
                                <w:r>
                                  <w:t xml:space="preserve">Voorstel verdeling groeiruimte </w:t>
                                </w:r>
                                <w:proofErr w:type="spellStart"/>
                                <w:r>
                                  <w:t>Wlz</w:t>
                                </w:r>
                                <w:proofErr w:type="spellEnd"/>
                                <w:r>
                                  <w:t xml:space="preserve"> ten behoeve van het indicatieve </w:t>
                                </w:r>
                                <w:proofErr w:type="spellStart"/>
                                <w:r>
                                  <w:t>Wlz</w:t>
                                </w:r>
                                <w:proofErr w:type="spellEnd"/>
                                <w:r>
                                  <w:t xml:space="preserve">-kader 2028-2031 en de voorlopige kaderbrief </w:t>
                                </w:r>
                                <w:proofErr w:type="spellStart"/>
                                <w:r>
                                  <w:t>Wlz</w:t>
                                </w:r>
                                <w:proofErr w:type="spellEnd"/>
                                <w:r>
                                  <w:t xml:space="preserve"> 2027</w:t>
                                </w:r>
                              </w:p>
                            </w:tc>
                          </w:tr>
                        </w:tbl>
                        <w:p w14:paraId="42669EC4" w14:textId="77777777" w:rsidR="002E1855" w:rsidRDefault="002E18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B0071B3" id="46feebd0-aa3c-11ea-a756-beb5f67e67be" o:spid="_x0000_s1030" type="#_x0000_t202" style="position:absolute;margin-left:325.8pt;margin-top:264.2pt;width:377pt;height:49.4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2224C" w14:paraId="2455410A" w14:textId="77777777">
                      <w:trPr>
                        <w:trHeight w:val="240"/>
                      </w:trPr>
                      <w:tc>
                        <w:tcPr>
                          <w:tcW w:w="1140" w:type="dxa"/>
                        </w:tcPr>
                        <w:p w14:paraId="7293C4F5" w14:textId="77777777" w:rsidR="00B2224C" w:rsidRDefault="000101D2">
                          <w:r>
                            <w:t>Datum</w:t>
                          </w:r>
                        </w:p>
                      </w:tc>
                      <w:tc>
                        <w:tcPr>
                          <w:tcW w:w="5918" w:type="dxa"/>
                        </w:tcPr>
                        <w:p w14:paraId="29F7D93A" w14:textId="3639F991" w:rsidR="00B2224C" w:rsidRDefault="00CB6B4A">
                          <w:r>
                            <w:t xml:space="preserve">1 juli </w:t>
                          </w:r>
                          <w:r>
                            <w:t>2026</w:t>
                          </w:r>
                        </w:p>
                      </w:tc>
                    </w:tr>
                    <w:tr w:rsidR="00B2224C" w14:paraId="69000FAF" w14:textId="77777777">
                      <w:trPr>
                        <w:trHeight w:val="240"/>
                      </w:trPr>
                      <w:tc>
                        <w:tcPr>
                          <w:tcW w:w="1140" w:type="dxa"/>
                        </w:tcPr>
                        <w:p w14:paraId="75ACF498" w14:textId="77777777" w:rsidR="00B2224C" w:rsidRDefault="000101D2">
                          <w:r>
                            <w:t>Betreft</w:t>
                          </w:r>
                        </w:p>
                      </w:tc>
                      <w:tc>
                        <w:tcPr>
                          <w:tcW w:w="5918" w:type="dxa"/>
                        </w:tcPr>
                        <w:p w14:paraId="073074DE" w14:textId="77777777" w:rsidR="00B2224C" w:rsidRDefault="000101D2">
                          <w:r>
                            <w:t xml:space="preserve">Voorstel verdeling groeiruimte </w:t>
                          </w:r>
                          <w:proofErr w:type="spellStart"/>
                          <w:r>
                            <w:t>Wlz</w:t>
                          </w:r>
                          <w:proofErr w:type="spellEnd"/>
                          <w:r>
                            <w:t xml:space="preserve"> ten behoeve van het indicatieve </w:t>
                          </w:r>
                          <w:proofErr w:type="spellStart"/>
                          <w:r>
                            <w:t>Wlz</w:t>
                          </w:r>
                          <w:proofErr w:type="spellEnd"/>
                          <w:r>
                            <w:t xml:space="preserve">-kader 2028-2031 en de voorlopige kaderbrief </w:t>
                          </w:r>
                          <w:proofErr w:type="spellStart"/>
                          <w:r>
                            <w:t>Wlz</w:t>
                          </w:r>
                          <w:proofErr w:type="spellEnd"/>
                          <w:r>
                            <w:t xml:space="preserve"> 2027</w:t>
                          </w:r>
                        </w:p>
                      </w:tc>
                    </w:tr>
                  </w:tbl>
                  <w:p w14:paraId="42669EC4" w14:textId="77777777" w:rsidR="002E1855" w:rsidRDefault="002E1855"/>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457EF35" wp14:editId="0C806E38">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0AC692" w14:textId="77777777" w:rsidR="00B2224C" w:rsidRDefault="000101D2">
                          <w:pPr>
                            <w:pStyle w:val="Referentiegegevens"/>
                          </w:pPr>
                          <w:r>
                            <w:t>Parnassusplein 5</w:t>
                          </w:r>
                        </w:p>
                        <w:p w14:paraId="2C707DB9" w14:textId="77777777" w:rsidR="00B2224C" w:rsidRDefault="000101D2">
                          <w:pPr>
                            <w:pStyle w:val="Referentiegegevens"/>
                          </w:pPr>
                          <w:r>
                            <w:t>2511 VX Den Haag</w:t>
                          </w:r>
                        </w:p>
                        <w:p w14:paraId="7293DBE6" w14:textId="77777777" w:rsidR="00B2224C" w:rsidRDefault="000101D2">
                          <w:pPr>
                            <w:pStyle w:val="Referentiegegevens"/>
                          </w:pPr>
                          <w:r>
                            <w:t>Postbus 20350</w:t>
                          </w:r>
                        </w:p>
                        <w:p w14:paraId="0A0EDB48" w14:textId="36544530" w:rsidR="00B2224C" w:rsidRDefault="000101D2" w:rsidP="00595A56">
                          <w:pPr>
                            <w:pStyle w:val="Referentiegegevens"/>
                          </w:pPr>
                          <w:r>
                            <w:t>2500 EJ  Den Haag</w:t>
                          </w:r>
                        </w:p>
                        <w:p w14:paraId="41C6E7E0" w14:textId="77777777" w:rsidR="00595A56" w:rsidRDefault="00595A56" w:rsidP="00595A56"/>
                        <w:p w14:paraId="34EC34C4" w14:textId="77777777" w:rsidR="00595A56" w:rsidRPr="00595A56" w:rsidRDefault="00595A56" w:rsidP="00595A56"/>
                        <w:p w14:paraId="76FF00B7" w14:textId="77777777" w:rsidR="00B2224C" w:rsidRDefault="000101D2">
                          <w:pPr>
                            <w:pStyle w:val="Referentiegegevensbold"/>
                          </w:pPr>
                          <w:r>
                            <w:t>Onze referentie</w:t>
                          </w:r>
                        </w:p>
                        <w:p w14:paraId="2FCB6916" w14:textId="176B4BC6" w:rsidR="00B2224C" w:rsidRDefault="00415588">
                          <w:pPr>
                            <w:pStyle w:val="Referentiegegevens"/>
                          </w:pPr>
                          <w:r w:rsidRPr="00415588">
                            <w:t>4472097-1099483-LZ</w:t>
                          </w:r>
                          <w:r>
                            <w:fldChar w:fldCharType="begin"/>
                          </w:r>
                          <w:r>
                            <w:instrText xml:space="preserve"> DOCPROPERTY  "Kenmerk"  \* MERGEFORMAT </w:instrText>
                          </w:r>
                          <w:r>
                            <w:fldChar w:fldCharType="end"/>
                          </w:r>
                        </w:p>
                        <w:p w14:paraId="298B4D88" w14:textId="77777777" w:rsidR="00B2224C" w:rsidRDefault="00B2224C">
                          <w:pPr>
                            <w:pStyle w:val="WitregelW1"/>
                          </w:pPr>
                        </w:p>
                        <w:p w14:paraId="602A1A65" w14:textId="77777777" w:rsidR="00B2224C" w:rsidRDefault="000101D2">
                          <w:pPr>
                            <w:pStyle w:val="Referentiegegevensbold"/>
                          </w:pPr>
                          <w:r>
                            <w:t>Bijlage(n)</w:t>
                          </w:r>
                        </w:p>
                        <w:p w14:paraId="4A43732D" w14:textId="1B195D1A" w:rsidR="00B2224C" w:rsidRDefault="00495187">
                          <w:pPr>
                            <w:pStyle w:val="Referentiegegevens"/>
                          </w:pPr>
                          <w:r>
                            <w:t>2</w:t>
                          </w:r>
                        </w:p>
                        <w:p w14:paraId="18A66110" w14:textId="77777777" w:rsidR="00B2224C" w:rsidRDefault="00B2224C">
                          <w:pPr>
                            <w:pStyle w:val="WitregelW2"/>
                          </w:pPr>
                        </w:p>
                        <w:p w14:paraId="41E662E0" w14:textId="77777777" w:rsidR="00B2224C" w:rsidRDefault="00B2224C"/>
                      </w:txbxContent>
                    </wps:txbx>
                    <wps:bodyPr vert="horz" wrap="square" lIns="0" tIns="0" rIns="0" bIns="0" anchor="t" anchorCtr="0"/>
                  </wps:wsp>
                </a:graphicData>
              </a:graphic>
            </wp:anchor>
          </w:drawing>
        </mc:Choice>
        <mc:Fallback>
          <w:pict>
            <v:shape w14:anchorId="1457EF35"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40AC692" w14:textId="77777777" w:rsidR="00B2224C" w:rsidRDefault="000101D2">
                    <w:pPr>
                      <w:pStyle w:val="Referentiegegevens"/>
                    </w:pPr>
                    <w:r>
                      <w:t>Parnassusplein 5</w:t>
                    </w:r>
                  </w:p>
                  <w:p w14:paraId="2C707DB9" w14:textId="77777777" w:rsidR="00B2224C" w:rsidRDefault="000101D2">
                    <w:pPr>
                      <w:pStyle w:val="Referentiegegevens"/>
                    </w:pPr>
                    <w:r>
                      <w:t>2511 VX Den Haag</w:t>
                    </w:r>
                  </w:p>
                  <w:p w14:paraId="7293DBE6" w14:textId="77777777" w:rsidR="00B2224C" w:rsidRDefault="000101D2">
                    <w:pPr>
                      <w:pStyle w:val="Referentiegegevens"/>
                    </w:pPr>
                    <w:r>
                      <w:t>Postbus 20350</w:t>
                    </w:r>
                  </w:p>
                  <w:p w14:paraId="0A0EDB48" w14:textId="36544530" w:rsidR="00B2224C" w:rsidRDefault="000101D2" w:rsidP="00595A56">
                    <w:pPr>
                      <w:pStyle w:val="Referentiegegevens"/>
                    </w:pPr>
                    <w:r>
                      <w:t>2500 EJ  Den Haag</w:t>
                    </w:r>
                  </w:p>
                  <w:p w14:paraId="41C6E7E0" w14:textId="77777777" w:rsidR="00595A56" w:rsidRDefault="00595A56" w:rsidP="00595A56"/>
                  <w:p w14:paraId="34EC34C4" w14:textId="77777777" w:rsidR="00595A56" w:rsidRPr="00595A56" w:rsidRDefault="00595A56" w:rsidP="00595A56"/>
                  <w:p w14:paraId="76FF00B7" w14:textId="77777777" w:rsidR="00B2224C" w:rsidRDefault="000101D2">
                    <w:pPr>
                      <w:pStyle w:val="Referentiegegevensbold"/>
                    </w:pPr>
                    <w:r>
                      <w:t>Onze referentie</w:t>
                    </w:r>
                  </w:p>
                  <w:p w14:paraId="2FCB6916" w14:textId="176B4BC6" w:rsidR="00B2224C" w:rsidRDefault="00415588">
                    <w:pPr>
                      <w:pStyle w:val="Referentiegegevens"/>
                    </w:pPr>
                    <w:r w:rsidRPr="00415588">
                      <w:t>4472097-1099483-LZ</w:t>
                    </w:r>
                    <w:r>
                      <w:fldChar w:fldCharType="begin"/>
                    </w:r>
                    <w:r>
                      <w:instrText xml:space="preserve"> DOCPROPERTY  "Kenmerk"  \* MERGEFORMAT </w:instrText>
                    </w:r>
                    <w:r>
                      <w:fldChar w:fldCharType="end"/>
                    </w:r>
                  </w:p>
                  <w:p w14:paraId="298B4D88" w14:textId="77777777" w:rsidR="00B2224C" w:rsidRDefault="00B2224C">
                    <w:pPr>
                      <w:pStyle w:val="WitregelW1"/>
                    </w:pPr>
                  </w:p>
                  <w:p w14:paraId="602A1A65" w14:textId="77777777" w:rsidR="00B2224C" w:rsidRDefault="000101D2">
                    <w:pPr>
                      <w:pStyle w:val="Referentiegegevensbold"/>
                    </w:pPr>
                    <w:r>
                      <w:t>Bijlage(n)</w:t>
                    </w:r>
                  </w:p>
                  <w:p w14:paraId="4A43732D" w14:textId="1B195D1A" w:rsidR="00B2224C" w:rsidRDefault="00495187">
                    <w:pPr>
                      <w:pStyle w:val="Referentiegegevens"/>
                    </w:pPr>
                    <w:r>
                      <w:t>2</w:t>
                    </w:r>
                  </w:p>
                  <w:p w14:paraId="18A66110" w14:textId="77777777" w:rsidR="00B2224C" w:rsidRDefault="00B2224C">
                    <w:pPr>
                      <w:pStyle w:val="WitregelW2"/>
                    </w:pPr>
                  </w:p>
                  <w:p w14:paraId="41E662E0" w14:textId="77777777" w:rsidR="00B2224C" w:rsidRDefault="00B2224C"/>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6110308" wp14:editId="45AE1595">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CE6C9B" w14:textId="77777777" w:rsidR="002E1855" w:rsidRDefault="002E1855"/>
                      </w:txbxContent>
                    </wps:txbx>
                    <wps:bodyPr vert="horz" wrap="square" lIns="0" tIns="0" rIns="0" bIns="0" anchor="t" anchorCtr="0"/>
                  </wps:wsp>
                </a:graphicData>
              </a:graphic>
            </wp:anchor>
          </w:drawing>
        </mc:Choice>
        <mc:Fallback>
          <w:pict>
            <v:shape w14:anchorId="36110308"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2CE6C9B" w14:textId="77777777" w:rsidR="002E1855" w:rsidRDefault="002E185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27EE080" wp14:editId="1877738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E5DD1A" w14:textId="77777777" w:rsidR="00B2224C" w:rsidRDefault="000101D2">
                          <w:pPr>
                            <w:pStyle w:val="Referentiegegevens"/>
                          </w:pPr>
                          <w:r>
                            <w:t xml:space="preserve">Pagina </w:t>
                          </w:r>
                          <w:r>
                            <w:fldChar w:fldCharType="begin"/>
                          </w:r>
                          <w:r>
                            <w:instrText>PAGE</w:instrText>
                          </w:r>
                          <w:r>
                            <w:fldChar w:fldCharType="separate"/>
                          </w:r>
                          <w:r w:rsidR="00394FFD">
                            <w:rPr>
                              <w:noProof/>
                            </w:rPr>
                            <w:t>1</w:t>
                          </w:r>
                          <w:r>
                            <w:fldChar w:fldCharType="end"/>
                          </w:r>
                          <w:r>
                            <w:t xml:space="preserve"> van </w:t>
                          </w:r>
                          <w:r>
                            <w:fldChar w:fldCharType="begin"/>
                          </w:r>
                          <w:r>
                            <w:instrText>NUMPAGES</w:instrText>
                          </w:r>
                          <w:r>
                            <w:fldChar w:fldCharType="separate"/>
                          </w:r>
                          <w:r w:rsidR="00394FFD">
                            <w:rPr>
                              <w:noProof/>
                            </w:rPr>
                            <w:t>1</w:t>
                          </w:r>
                          <w:r>
                            <w:fldChar w:fldCharType="end"/>
                          </w:r>
                        </w:p>
                      </w:txbxContent>
                    </wps:txbx>
                    <wps:bodyPr vert="horz" wrap="square" lIns="0" tIns="0" rIns="0" bIns="0" anchor="t" anchorCtr="0"/>
                  </wps:wsp>
                </a:graphicData>
              </a:graphic>
            </wp:anchor>
          </w:drawing>
        </mc:Choice>
        <mc:Fallback>
          <w:pict>
            <v:shape w14:anchorId="427EE080"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1E5DD1A" w14:textId="77777777" w:rsidR="00B2224C" w:rsidRDefault="000101D2">
                    <w:pPr>
                      <w:pStyle w:val="Referentiegegevens"/>
                    </w:pPr>
                    <w:r>
                      <w:t xml:space="preserve">Pagina </w:t>
                    </w:r>
                    <w:r>
                      <w:fldChar w:fldCharType="begin"/>
                    </w:r>
                    <w:r>
                      <w:instrText>PAGE</w:instrText>
                    </w:r>
                    <w:r>
                      <w:fldChar w:fldCharType="separate"/>
                    </w:r>
                    <w:r w:rsidR="00394FFD">
                      <w:rPr>
                        <w:noProof/>
                      </w:rPr>
                      <w:t>1</w:t>
                    </w:r>
                    <w:r>
                      <w:fldChar w:fldCharType="end"/>
                    </w:r>
                    <w:r>
                      <w:t xml:space="preserve"> van </w:t>
                    </w:r>
                    <w:r>
                      <w:fldChar w:fldCharType="begin"/>
                    </w:r>
                    <w:r>
                      <w:instrText>NUMPAGES</w:instrText>
                    </w:r>
                    <w:r>
                      <w:fldChar w:fldCharType="separate"/>
                    </w:r>
                    <w:r w:rsidR="00394FFD">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3996F002" wp14:editId="6E8255E4">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7DAF6C" w14:textId="0A0A151C" w:rsidR="00B2224C" w:rsidRDefault="00B2224C">
                          <w:pPr>
                            <w:spacing w:line="240" w:lineRule="auto"/>
                          </w:pPr>
                        </w:p>
                      </w:txbxContent>
                    </wps:txbx>
                    <wps:bodyPr vert="horz" wrap="square" lIns="0" tIns="0" rIns="0" bIns="0" anchor="t" anchorCtr="0"/>
                  </wps:wsp>
                </a:graphicData>
              </a:graphic>
            </wp:anchor>
          </w:drawing>
        </mc:Choice>
        <mc:Fallback>
          <w:pict>
            <v:shape w14:anchorId="3996F002"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37DAF6C" w14:textId="0A0A151C" w:rsidR="00B2224C" w:rsidRDefault="00B2224C">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925EB84" wp14:editId="5EC8D8C7">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6926DF" w14:textId="77777777" w:rsidR="00B2224C" w:rsidRDefault="000101D2">
                          <w:pPr>
                            <w:spacing w:line="240" w:lineRule="auto"/>
                          </w:pPr>
                          <w:r>
                            <w:rPr>
                              <w:noProof/>
                            </w:rPr>
                            <w:drawing>
                              <wp:inline distT="0" distB="0" distL="0" distR="0" wp14:anchorId="285F8896" wp14:editId="7407B3DD">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25EB84"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6926DF" w14:textId="77777777" w:rsidR="00B2224C" w:rsidRDefault="000101D2">
                    <w:pPr>
                      <w:spacing w:line="240" w:lineRule="auto"/>
                    </w:pPr>
                    <w:r>
                      <w:rPr>
                        <w:noProof/>
                      </w:rPr>
                      <w:drawing>
                        <wp:inline distT="0" distB="0" distL="0" distR="0" wp14:anchorId="285F8896" wp14:editId="7407B3DD">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A31427A" wp14:editId="2ED029A6">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F3A66C" w14:textId="77777777" w:rsidR="00B2224C" w:rsidRDefault="000101D2">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5A31427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6F3A66C" w14:textId="77777777" w:rsidR="00B2224C" w:rsidRDefault="000101D2">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76BB62"/>
    <w:multiLevelType w:val="multilevel"/>
    <w:tmpl w:val="A16668A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B569D7C"/>
    <w:multiLevelType w:val="multilevel"/>
    <w:tmpl w:val="421CA92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1C650C8"/>
    <w:multiLevelType w:val="hybridMultilevel"/>
    <w:tmpl w:val="BD9A31EA"/>
    <w:lvl w:ilvl="0" w:tplc="32567C4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455C88"/>
    <w:multiLevelType w:val="hybridMultilevel"/>
    <w:tmpl w:val="9CA8537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78CA25"/>
    <w:multiLevelType w:val="multilevel"/>
    <w:tmpl w:val="25C295C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DCA31E7"/>
    <w:multiLevelType w:val="hybridMultilevel"/>
    <w:tmpl w:val="6D327C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3861180"/>
    <w:multiLevelType w:val="hybridMultilevel"/>
    <w:tmpl w:val="2D5C67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9B8D1FF"/>
    <w:multiLevelType w:val="multilevel"/>
    <w:tmpl w:val="D42A92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6431792">
    <w:abstractNumId w:val="0"/>
  </w:num>
  <w:num w:numId="2" w16cid:durableId="766537686">
    <w:abstractNumId w:val="7"/>
  </w:num>
  <w:num w:numId="3" w16cid:durableId="912161822">
    <w:abstractNumId w:val="1"/>
  </w:num>
  <w:num w:numId="4" w16cid:durableId="1715352411">
    <w:abstractNumId w:val="4"/>
  </w:num>
  <w:num w:numId="5" w16cid:durableId="421877190">
    <w:abstractNumId w:val="3"/>
  </w:num>
  <w:num w:numId="6" w16cid:durableId="1848131519">
    <w:abstractNumId w:val="6"/>
  </w:num>
  <w:num w:numId="7" w16cid:durableId="476649687">
    <w:abstractNumId w:val="2"/>
  </w:num>
  <w:num w:numId="8" w16cid:durableId="1300116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FD"/>
    <w:rsid w:val="000101D2"/>
    <w:rsid w:val="000D646A"/>
    <w:rsid w:val="00112271"/>
    <w:rsid w:val="001B5977"/>
    <w:rsid w:val="002E1855"/>
    <w:rsid w:val="0037590A"/>
    <w:rsid w:val="00394FFD"/>
    <w:rsid w:val="003E14C2"/>
    <w:rsid w:val="00415588"/>
    <w:rsid w:val="00444DA3"/>
    <w:rsid w:val="00462B06"/>
    <w:rsid w:val="00495187"/>
    <w:rsid w:val="00595A56"/>
    <w:rsid w:val="00696AA3"/>
    <w:rsid w:val="006D460F"/>
    <w:rsid w:val="006F4776"/>
    <w:rsid w:val="00775F9F"/>
    <w:rsid w:val="00842234"/>
    <w:rsid w:val="008B41CF"/>
    <w:rsid w:val="008C629B"/>
    <w:rsid w:val="00905B89"/>
    <w:rsid w:val="00A16652"/>
    <w:rsid w:val="00A356ED"/>
    <w:rsid w:val="00A8083E"/>
    <w:rsid w:val="00AE690C"/>
    <w:rsid w:val="00B16440"/>
    <w:rsid w:val="00B2224C"/>
    <w:rsid w:val="00B23619"/>
    <w:rsid w:val="00B915B2"/>
    <w:rsid w:val="00C229AC"/>
    <w:rsid w:val="00CB6B4A"/>
    <w:rsid w:val="00CF2449"/>
    <w:rsid w:val="00DA40A8"/>
    <w:rsid w:val="00DE1F02"/>
    <w:rsid w:val="00E66221"/>
    <w:rsid w:val="00EB2121"/>
    <w:rsid w:val="00F358F3"/>
    <w:rsid w:val="00F50434"/>
    <w:rsid w:val="00F542CA"/>
    <w:rsid w:val="00F87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4F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4FFD"/>
    <w:rPr>
      <w:rFonts w:ascii="Verdana" w:hAnsi="Verdana"/>
      <w:color w:val="000000"/>
      <w:sz w:val="18"/>
      <w:szCs w:val="18"/>
    </w:rPr>
  </w:style>
  <w:style w:type="paragraph" w:styleId="Voettekst">
    <w:name w:val="footer"/>
    <w:basedOn w:val="Standaard"/>
    <w:link w:val="VoettekstChar"/>
    <w:uiPriority w:val="99"/>
    <w:unhideWhenUsed/>
    <w:rsid w:val="00394F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94FFD"/>
    <w:rPr>
      <w:rFonts w:ascii="Verdana" w:hAnsi="Verdana"/>
      <w:color w:val="000000"/>
      <w:sz w:val="18"/>
      <w:szCs w:val="18"/>
    </w:rPr>
  </w:style>
  <w:style w:type="paragraph" w:styleId="Voetnoottekst">
    <w:name w:val="footnote text"/>
    <w:basedOn w:val="Standaard"/>
    <w:link w:val="VoetnoottekstChar"/>
    <w:uiPriority w:val="99"/>
    <w:semiHidden/>
    <w:unhideWhenUsed/>
    <w:rsid w:val="00394FF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94FFD"/>
    <w:rPr>
      <w:rFonts w:ascii="Verdana" w:hAnsi="Verdana"/>
      <w:color w:val="000000"/>
    </w:rPr>
  </w:style>
  <w:style w:type="character" w:styleId="Voetnootmarkering">
    <w:name w:val="footnote reference"/>
    <w:basedOn w:val="Standaardalinea-lettertype"/>
    <w:uiPriority w:val="99"/>
    <w:semiHidden/>
    <w:unhideWhenUsed/>
    <w:rsid w:val="00394FFD"/>
    <w:rPr>
      <w:vertAlign w:val="superscript"/>
    </w:rPr>
  </w:style>
  <w:style w:type="paragraph" w:styleId="Lijstalinea">
    <w:name w:val="List Paragraph"/>
    <w:basedOn w:val="Standaard"/>
    <w:uiPriority w:val="1"/>
    <w:qFormat/>
    <w:rsid w:val="00394FFD"/>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4763">
      <w:bodyDiv w:val="1"/>
      <w:marLeft w:val="0"/>
      <w:marRight w:val="0"/>
      <w:marTop w:val="0"/>
      <w:marBottom w:val="0"/>
      <w:divBdr>
        <w:top w:val="none" w:sz="0" w:space="0" w:color="auto"/>
        <w:left w:val="none" w:sz="0" w:space="0" w:color="auto"/>
        <w:bottom w:val="none" w:sz="0" w:space="0" w:color="auto"/>
        <w:right w:val="none" w:sz="0" w:space="0" w:color="auto"/>
      </w:divBdr>
    </w:div>
    <w:div w:id="1140877766">
      <w:bodyDiv w:val="1"/>
      <w:marLeft w:val="0"/>
      <w:marRight w:val="0"/>
      <w:marTop w:val="0"/>
      <w:marBottom w:val="0"/>
      <w:divBdr>
        <w:top w:val="none" w:sz="0" w:space="0" w:color="auto"/>
        <w:left w:val="none" w:sz="0" w:space="0" w:color="auto"/>
        <w:bottom w:val="none" w:sz="0" w:space="0" w:color="auto"/>
        <w:right w:val="none" w:sz="0" w:space="0" w:color="auto"/>
      </w:divBdr>
    </w:div>
    <w:div w:id="1275014521">
      <w:bodyDiv w:val="1"/>
      <w:marLeft w:val="0"/>
      <w:marRight w:val="0"/>
      <w:marTop w:val="0"/>
      <w:marBottom w:val="0"/>
      <w:divBdr>
        <w:top w:val="none" w:sz="0" w:space="0" w:color="auto"/>
        <w:left w:val="none" w:sz="0" w:space="0" w:color="auto"/>
        <w:bottom w:val="none" w:sz="0" w:space="0" w:color="auto"/>
        <w:right w:val="none" w:sz="0" w:space="0" w:color="auto"/>
      </w:divBdr>
    </w:div>
    <w:div w:id="1328241677">
      <w:bodyDiv w:val="1"/>
      <w:marLeft w:val="0"/>
      <w:marRight w:val="0"/>
      <w:marTop w:val="0"/>
      <w:marBottom w:val="0"/>
      <w:divBdr>
        <w:top w:val="none" w:sz="0" w:space="0" w:color="auto"/>
        <w:left w:val="none" w:sz="0" w:space="0" w:color="auto"/>
        <w:bottom w:val="none" w:sz="0" w:space="0" w:color="auto"/>
        <w:right w:val="none" w:sz="0" w:space="0" w:color="auto"/>
      </w:divBdr>
    </w:div>
    <w:div w:id="1688143007">
      <w:bodyDiv w:val="1"/>
      <w:marLeft w:val="0"/>
      <w:marRight w:val="0"/>
      <w:marTop w:val="0"/>
      <w:marBottom w:val="0"/>
      <w:divBdr>
        <w:top w:val="none" w:sz="0" w:space="0" w:color="auto"/>
        <w:left w:val="none" w:sz="0" w:space="0" w:color="auto"/>
        <w:bottom w:val="none" w:sz="0" w:space="0" w:color="auto"/>
        <w:right w:val="none" w:sz="0" w:space="0" w:color="auto"/>
      </w:divBdr>
    </w:div>
    <w:div w:id="170409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3311</ap:Words>
  <ap:Characters>18212</ap:Characters>
  <ap:DocSecurity>0</ap:DocSecurity>
  <ap:Lines>151</ap:Lines>
  <ap:Paragraphs>42</ap:Paragraphs>
  <ap:ScaleCrop>false</ap:ScaleCrop>
  <ap:LinksUpToDate>false</ap:LinksUpToDate>
  <ap:CharactersWithSpaces>21481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2026-07-01T13:01:00.0000000Z</dcterms:created>
  <dcterms:modified xsi:type="dcterms:W3CDTF">2026-07-01T13:01:00.0000000Z</dcterms:modified>
  <dc:description>------------------------</dc:description>
  <version/>
  <category/>
</coreProperties>
</file>