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6B6" w:rsidP="00DC4878" w:rsidRDefault="00A616B6" w14:paraId="5B489632" w14:textId="67995DE7">
      <w:r>
        <w:t>AH 2453</w:t>
      </w:r>
    </w:p>
    <w:p w:rsidR="00A616B6" w:rsidP="00DC4878" w:rsidRDefault="00A616B6" w14:paraId="7BDD1BDE" w14:textId="70607971">
      <w:r>
        <w:t>2026Z09943</w:t>
      </w:r>
    </w:p>
    <w:p w:rsidRPr="00A616B6" w:rsidR="00A616B6" w:rsidP="00DC4878" w:rsidRDefault="00A616B6" w14:paraId="20651BE1" w14:textId="75C79249">
      <w:pPr>
        <w:rPr>
          <w:rFonts w:ascii="Times New Roman" w:hAnsi="Times New Roman"/>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w:t>
      </w:r>
      <w:r>
        <w:rPr>
          <w:bCs/>
          <w:sz w:val="24"/>
          <w:szCs w:val="24"/>
        </w:rPr>
        <w:t xml:space="preserve">, mede namens de </w:t>
      </w:r>
      <w:r w:rsidRPr="000E5E9A">
        <w:rPr>
          <w:rFonts w:ascii="Times New Roman" w:hAnsi="Times New Roman"/>
          <w:sz w:val="24"/>
          <w:szCs w:val="24"/>
        </w:rPr>
        <w:t>staatssecretaris van Binnenlandse Zaken en Koninkrijksrelaties</w:t>
      </w:r>
      <w:r w:rsidRPr="00D25B3E">
        <w:rPr>
          <w:bCs/>
          <w:sz w:val="24"/>
          <w:szCs w:val="24"/>
        </w:rPr>
        <w:t xml:space="preserve"> (ontvangen</w:t>
      </w:r>
      <w:r>
        <w:rPr>
          <w:bCs/>
          <w:sz w:val="24"/>
          <w:szCs w:val="24"/>
        </w:rPr>
        <w:t xml:space="preserve">  1 juli 2026)</w:t>
      </w:r>
    </w:p>
    <w:p w:rsidR="00A616B6" w:rsidP="00DC4878" w:rsidRDefault="00A616B6" w14:paraId="02A245BF" w14:textId="77777777"/>
    <w:p w:rsidR="00A616B6" w:rsidP="00DC4878" w:rsidRDefault="00A616B6" w14:paraId="731DB952" w14:textId="52A06262">
      <w:r w:rsidRPr="00D73ED1">
        <w:rPr>
          <w:color w:val="000000"/>
          <w:sz w:val="24"/>
          <w:szCs w:val="24"/>
        </w:rPr>
        <w:t>Zie ook Aanhangsel Handelingen, vergaderjaar 2025-2026, nr.</w:t>
      </w:r>
      <w:r>
        <w:rPr>
          <w:color w:val="000000"/>
          <w:sz w:val="24"/>
          <w:szCs w:val="24"/>
        </w:rPr>
        <w:t xml:space="preserve"> </w:t>
      </w:r>
      <w:r>
        <w:t>2244</w:t>
      </w:r>
    </w:p>
    <w:p w:rsidRPr="00AD1F62" w:rsidR="00A616B6" w:rsidP="00DC4878" w:rsidRDefault="00A616B6" w14:paraId="0AB6DA5A" w14:textId="77777777"/>
    <w:p w:rsidRPr="00FE241D" w:rsidR="00A616B6" w:rsidP="00FE241D" w:rsidRDefault="00A616B6" w14:paraId="23E36E89" w14:textId="77777777">
      <w:pPr>
        <w:rPr>
          <w:b/>
          <w:bCs/>
        </w:rPr>
      </w:pPr>
      <w:r>
        <w:rPr>
          <w:b/>
          <w:bCs/>
        </w:rPr>
        <w:t>Vraag 1</w:t>
      </w:r>
      <w:r>
        <w:rPr>
          <w:b/>
          <w:bCs/>
        </w:rPr>
        <w:br/>
      </w:r>
      <w:r w:rsidRPr="00FE241D">
        <w:rPr>
          <w:b/>
          <w:bCs/>
        </w:rPr>
        <w:t xml:space="preserve">Bent u bekend met bericht 'Ministerie verwijst bij klachten notarissen Bonaire naar toezichthouder'? </w:t>
      </w:r>
    </w:p>
    <w:p w:rsidRPr="00AD1F62" w:rsidR="00A616B6" w:rsidP="00DC4878" w:rsidRDefault="00A616B6" w14:paraId="67144E51" w14:textId="77777777">
      <w:pPr>
        <w:pStyle w:val="Lijstalinea"/>
        <w:ind w:left="855"/>
      </w:pPr>
    </w:p>
    <w:p w:rsidR="00A616B6" w:rsidP="00DC4878" w:rsidRDefault="00A616B6" w14:paraId="110D5D62" w14:textId="77777777">
      <w:r w:rsidRPr="00FE241D">
        <w:rPr>
          <w:b/>
          <w:bCs/>
        </w:rPr>
        <w:t>Antwoord op vraag 1</w:t>
      </w:r>
      <w:r>
        <w:br/>
      </w:r>
      <w:r w:rsidRPr="00AD1F62">
        <w:t xml:space="preserve">Ja. </w:t>
      </w:r>
    </w:p>
    <w:p w:rsidRPr="00AD1F62" w:rsidR="00A616B6" w:rsidP="00DC4878" w:rsidRDefault="00A616B6" w14:paraId="48C437EA" w14:textId="77777777"/>
    <w:p w:rsidRPr="00FE241D" w:rsidR="00A616B6" w:rsidP="00FE241D" w:rsidRDefault="00A616B6" w14:paraId="2AA1F881" w14:textId="77777777">
      <w:pPr>
        <w:rPr>
          <w:b/>
          <w:bCs/>
        </w:rPr>
      </w:pPr>
      <w:r>
        <w:rPr>
          <w:b/>
          <w:bCs/>
        </w:rPr>
        <w:t>Vraag 2</w:t>
      </w:r>
      <w:r>
        <w:rPr>
          <w:b/>
          <w:bCs/>
        </w:rPr>
        <w:br/>
      </w:r>
      <w:r w:rsidRPr="00FE241D">
        <w:rPr>
          <w:b/>
          <w:bCs/>
        </w:rPr>
        <w:t>Hoe beoordeelt u de in het artikel geschetste zorgen over aanhoudende lange wachttijden, de verminderde toegang tot het notariaat en de signalen van mogelijk ongelijke behandeling? Kunt u aangeven op welke wijze daar tot nu toe vanuit het ministerie aandacht voor is geweest?</w:t>
      </w:r>
    </w:p>
    <w:p w:rsidR="00A616B6" w:rsidP="00FE241D" w:rsidRDefault="00A616B6" w14:paraId="22C7474E" w14:textId="77777777"/>
    <w:p w:rsidRPr="00FE241D" w:rsidR="00A616B6" w:rsidP="00FE241D" w:rsidRDefault="00A616B6" w14:paraId="52073807" w14:textId="77777777">
      <w:pPr>
        <w:rPr>
          <w:b/>
          <w:bCs/>
        </w:rPr>
      </w:pPr>
      <w:r w:rsidRPr="00FE241D">
        <w:rPr>
          <w:b/>
          <w:bCs/>
        </w:rPr>
        <w:t>Antwoord op vraag 2</w:t>
      </w:r>
    </w:p>
    <w:p w:rsidR="00A616B6" w:rsidP="00DC4878" w:rsidRDefault="00A616B6" w14:paraId="79FD4353" w14:textId="77777777">
      <w:r w:rsidRPr="00AD1F62">
        <w:t xml:space="preserve">De </w:t>
      </w:r>
      <w:r>
        <w:t>staatssecretaris</w:t>
      </w:r>
      <w:r w:rsidRPr="00AD1F62">
        <w:t xml:space="preserve"> van Justitie en Veiligheid is stelselverantwoordelijk voor de toegankelijkheid van notariële dienstverlening, ook op Bonaire, Sint Eustatius en Saba. Uiteraard hebben de in het artikel geschetste ervaringen de aandacht van het kabinet. Met regelmaa</w:t>
      </w:r>
      <w:r>
        <w:t>t</w:t>
      </w:r>
      <w:r w:rsidRPr="00AD1F62">
        <w:t xml:space="preserve"> is er contact met de notarissen op Bonaire. De toegang tot het recht, waaronder ook het notariaat, is van groot belang. Ik kan u aangeven dat een notaris ministerieplicht heeft en daarmee in beginsel geen onderscheid dient te mogen maken tussen het type zaken of cliënten dat op zijn kantoor in behandeling wordt genomen. Dienst weigeren is alleen met een gegronde reden toegestaan.</w:t>
      </w:r>
      <w:r w:rsidRPr="00AD1F62">
        <w:rPr>
          <w:vertAlign w:val="superscript"/>
        </w:rPr>
        <w:footnoteReference w:id="1"/>
      </w:r>
      <w:r>
        <w:t xml:space="preserve"> Dit is niet uniek voor de Caribische delen van het Koninkrijk.</w:t>
      </w:r>
      <w:r w:rsidRPr="00AD1F62">
        <w:t xml:space="preserve"> </w:t>
      </w:r>
      <w:r>
        <w:t>De</w:t>
      </w:r>
      <w:r w:rsidRPr="00AD1F62">
        <w:t xml:space="preserve"> ministerieplicht kennen wij ook in </w:t>
      </w:r>
      <w:r>
        <w:t xml:space="preserve">de </w:t>
      </w:r>
      <w:r w:rsidRPr="00AD1F62">
        <w:t>Wet op het notarisambt in Europees Nederland</w:t>
      </w:r>
      <w:r>
        <w:t xml:space="preserve">. Het is mij bekend dat </w:t>
      </w:r>
      <w:r w:rsidRPr="00AD1F62">
        <w:t>de verplichte dienstverlening</w:t>
      </w:r>
      <w:r>
        <w:t xml:space="preserve"> ook hier regelmatig</w:t>
      </w:r>
      <w:r w:rsidRPr="00AD1F62">
        <w:t xml:space="preserve"> leidt tot oplopende wachttijden. </w:t>
      </w:r>
      <w:r w:rsidDel="00110800">
        <w:t xml:space="preserve"> </w:t>
      </w:r>
    </w:p>
    <w:p w:rsidR="00A616B6" w:rsidP="00DC4878" w:rsidRDefault="00A616B6" w14:paraId="040CBEBE" w14:textId="77777777"/>
    <w:p w:rsidR="00A616B6" w:rsidP="00DC4878" w:rsidRDefault="00A616B6" w14:paraId="77FE2E9A" w14:textId="77777777">
      <w:r w:rsidRPr="00AD1F62">
        <w:t>Indien een notaris tekortschiet in de uitoefening van zijn wettelijke taken jegens een client</w:t>
      </w:r>
      <w:r>
        <w:t xml:space="preserve"> in de Caribische delen van het Koninkrijk</w:t>
      </w:r>
      <w:r w:rsidRPr="00AD1F62">
        <w:t>, dan heeft de client de mogelijkheid om zich te wenden tot de Kamer van Toezicht aan het Gemeenschappelijk Hof.</w:t>
      </w:r>
    </w:p>
    <w:p w:rsidRPr="00AD1F62" w:rsidR="00A616B6" w:rsidP="00DC4878" w:rsidRDefault="00A616B6" w14:paraId="6D4EB0E5" w14:textId="77777777"/>
    <w:p w:rsidRPr="00FE241D" w:rsidR="00A616B6" w:rsidP="00FE241D" w:rsidRDefault="00A616B6" w14:paraId="7EE53135" w14:textId="77777777">
      <w:pPr>
        <w:rPr>
          <w:b/>
          <w:bCs/>
        </w:rPr>
      </w:pPr>
      <w:r>
        <w:rPr>
          <w:b/>
          <w:bCs/>
        </w:rPr>
        <w:t>Vraag 3</w:t>
      </w:r>
      <w:r>
        <w:rPr>
          <w:b/>
          <w:bCs/>
        </w:rPr>
        <w:br/>
      </w:r>
      <w:r w:rsidRPr="00FE241D">
        <w:rPr>
          <w:b/>
          <w:bCs/>
        </w:rPr>
        <w:t xml:space="preserve">Bent u het ermee eens dat een goed functionerend en toegankelijk notariaat op Bonaire essentieel </w:t>
      </w:r>
      <w:r w:rsidRPr="00FE241D">
        <w:rPr>
          <w:b/>
          <w:bCs/>
        </w:rPr>
        <w:lastRenderedPageBreak/>
        <w:t>is voor niet alleen de lokale economie, maar ook voor de rechtszekerheid en rechtsbescherming op Bonaire?</w:t>
      </w:r>
    </w:p>
    <w:p w:rsidRPr="00AD1F62" w:rsidR="00A616B6" w:rsidP="00DC4878" w:rsidRDefault="00A616B6" w14:paraId="399DAD60" w14:textId="77777777">
      <w:pPr>
        <w:pStyle w:val="Lijstalinea"/>
        <w:ind w:left="855"/>
      </w:pPr>
    </w:p>
    <w:p w:rsidRPr="00FE241D" w:rsidR="00A616B6" w:rsidP="00DC4878" w:rsidRDefault="00A616B6" w14:paraId="7110FDBC" w14:textId="77777777">
      <w:pPr>
        <w:rPr>
          <w:b/>
          <w:bCs/>
        </w:rPr>
      </w:pPr>
      <w:r w:rsidRPr="00FE241D">
        <w:rPr>
          <w:b/>
          <w:bCs/>
        </w:rPr>
        <w:t xml:space="preserve">Antwoord op vraag 3 </w:t>
      </w:r>
    </w:p>
    <w:p w:rsidR="00A616B6" w:rsidP="00DC4878" w:rsidRDefault="00A616B6" w14:paraId="33E3088A" w14:textId="77777777">
      <w:r w:rsidRPr="00AD1F62">
        <w:t>Ja, het kabinet onderschrijft het belang van een goed functionerend en toegankelijk notariaat in de Caribische delen van het Koninkrijk. Dat is niet alleen belangrijk voor particuliere rechtshandelingen, zoals het opstellen van een testament of de overdracht van een huis, maar ook voor ondernemers. Daarom zet het kabinet in op onder andere ondernemerschap, bestaanszekerheid en een slagvaardige overheid in de Caribische delen van het Koninkrijk.</w:t>
      </w:r>
      <w:r w:rsidRPr="00AD1F62">
        <w:rPr>
          <w:vertAlign w:val="superscript"/>
        </w:rPr>
        <w:footnoteReference w:id="2"/>
      </w:r>
      <w:r w:rsidRPr="00AD1F62">
        <w:t xml:space="preserve"> Daarvoor is een goed werkend notariaat op alle eilanden randvoorwaardelijk. </w:t>
      </w:r>
    </w:p>
    <w:p w:rsidRPr="00AD1F62" w:rsidR="00A616B6" w:rsidP="00DC4878" w:rsidRDefault="00A616B6" w14:paraId="27CB57B2" w14:textId="77777777"/>
    <w:p w:rsidR="00A616B6" w:rsidP="00DC4878" w:rsidRDefault="00A616B6" w14:paraId="3EF01F08" w14:textId="77777777">
      <w:r w:rsidRPr="00AD1F62">
        <w:t>Notarissen hebben een belangrijke functie in toegang tot het recht. Zij verschaffen rechtszekerheid door het verrichten van onderzoek naar rechtsfeiten voordat er een rechtshandeling notarieel wordt vastgelegd. Tevens fungeren notarissen als poortwachters in het rechtsverkeer en controleren zij transacties op mogelijke witwas- en frauderisico’s.</w:t>
      </w:r>
    </w:p>
    <w:p w:rsidR="00A616B6" w:rsidP="00DC4878" w:rsidRDefault="00A616B6" w14:paraId="1CE347CE" w14:textId="77777777"/>
    <w:p w:rsidRPr="00FE241D" w:rsidR="00A616B6" w:rsidP="00FE241D" w:rsidRDefault="00A616B6" w14:paraId="564671C4" w14:textId="77777777">
      <w:pPr>
        <w:rPr>
          <w:b/>
          <w:bCs/>
        </w:rPr>
      </w:pPr>
      <w:r>
        <w:rPr>
          <w:b/>
          <w:bCs/>
        </w:rPr>
        <w:t>Vraag 4</w:t>
      </w:r>
      <w:r>
        <w:rPr>
          <w:b/>
          <w:bCs/>
        </w:rPr>
        <w:br/>
      </w:r>
      <w:r w:rsidRPr="00FE241D">
        <w:rPr>
          <w:b/>
          <w:bCs/>
        </w:rPr>
        <w:t>Kunt u, gezien het gegeven dat direct toezicht bij de Kamer van Toezicht van het Gemeenschappelijk Hof van Justitie belegd is, aangeven hoeveel klachten bij de Kamer van Toezicht zijn binnengekomen over het functioneren van het notariaat op Bonaire en in hoeverre dit heeft geleid tot verdere maatregelen? Kunt u daarbij ook ingaan op de vraag of naar uw oordeel de rol als toezichthouder voldoende bekend is om effectief te functioneren?</w:t>
      </w:r>
    </w:p>
    <w:p w:rsidR="00A616B6" w:rsidP="00FE241D" w:rsidRDefault="00A616B6" w14:paraId="6787546D" w14:textId="77777777"/>
    <w:p w:rsidRPr="00FE241D" w:rsidR="00A616B6" w:rsidP="00FE241D" w:rsidRDefault="00A616B6" w14:paraId="4DBECCD6" w14:textId="77777777">
      <w:pPr>
        <w:rPr>
          <w:b/>
          <w:bCs/>
        </w:rPr>
      </w:pPr>
      <w:r w:rsidRPr="00FE241D">
        <w:rPr>
          <w:b/>
          <w:bCs/>
        </w:rPr>
        <w:t>Antwoord op vraag 4</w:t>
      </w:r>
    </w:p>
    <w:p w:rsidR="00A616B6" w:rsidP="00DC4878" w:rsidRDefault="00A616B6" w14:paraId="2BC51585" w14:textId="77777777">
      <w:r w:rsidRPr="00AD1F62">
        <w:t>Volgens de informatie d</w:t>
      </w:r>
      <w:r>
        <w:t>i</w:t>
      </w:r>
      <w:r w:rsidRPr="00AD1F62">
        <w:t xml:space="preserve">e het Gemeenschappelijk Hof aan het ministerie van Justitie en Veiligheid verstrekt heeft, zijn er over het jaar 2025 geen klachten tegen de notarissen ingediend. </w:t>
      </w:r>
    </w:p>
    <w:p w:rsidRPr="00AD1F62" w:rsidR="00A616B6" w:rsidP="00DC4878" w:rsidRDefault="00A616B6" w14:paraId="42D758BF" w14:textId="77777777"/>
    <w:p w:rsidR="00A616B6" w:rsidP="00DC4878" w:rsidRDefault="00A616B6" w14:paraId="5A747186" w14:textId="77777777">
      <w:r w:rsidRPr="00AD1F62">
        <w:t>De rol van de toezichthouder en de wijze waarop de klachten kunnen worden ingediend bij de Kamer van Toezicht staan benoemd in de Wet op het notarisambt BES.</w:t>
      </w:r>
      <w:r w:rsidRPr="00AD1F62">
        <w:rPr>
          <w:vertAlign w:val="superscript"/>
        </w:rPr>
        <w:footnoteReference w:id="3"/>
      </w:r>
      <w:r w:rsidRPr="00AD1F62">
        <w:t xml:space="preserve"> Op de website van de Kamer van Toezicht Notariaat staat de wijze waarop de klachten kunnen worden ingediend omschreven, evenals het verdere verloop van de procedure.</w:t>
      </w:r>
      <w:r w:rsidRPr="00AD1F62">
        <w:rPr>
          <w:vertAlign w:val="superscript"/>
        </w:rPr>
        <w:footnoteReference w:id="4"/>
      </w:r>
      <w:r w:rsidRPr="00AD1F62">
        <w:t xml:space="preserve"> Naar aanleiding van de recente berichtgeving over de onduidelijkheid van de klachtprocedure</w:t>
      </w:r>
      <w:r w:rsidRPr="00AD1F62">
        <w:rPr>
          <w:vertAlign w:val="superscript"/>
        </w:rPr>
        <w:footnoteReference w:id="5"/>
      </w:r>
      <w:r w:rsidRPr="00AD1F62">
        <w:t xml:space="preserve"> heeft het Gemeenschappelijk Hof deze informatie ook aan de pers verschaft en is de eerdergenoemde link naar de website van de Kamer van Toezicht Notariaat in een nieuwsartikel verspreid.</w:t>
      </w:r>
      <w:r w:rsidRPr="00AD1F62">
        <w:rPr>
          <w:vertAlign w:val="superscript"/>
        </w:rPr>
        <w:footnoteReference w:id="6"/>
      </w:r>
    </w:p>
    <w:p w:rsidRPr="00AD1F62" w:rsidR="00A616B6" w:rsidP="00DC4878" w:rsidRDefault="00A616B6" w14:paraId="40340F3A" w14:textId="77777777"/>
    <w:p w:rsidRPr="00FE241D" w:rsidR="00A616B6" w:rsidP="00FE241D" w:rsidRDefault="00A616B6" w14:paraId="2838ECFA" w14:textId="77777777">
      <w:pPr>
        <w:rPr>
          <w:b/>
          <w:bCs/>
        </w:rPr>
      </w:pPr>
      <w:r>
        <w:rPr>
          <w:b/>
          <w:bCs/>
        </w:rPr>
        <w:lastRenderedPageBreak/>
        <w:t>Vraag 5</w:t>
      </w:r>
      <w:r>
        <w:rPr>
          <w:b/>
          <w:bCs/>
        </w:rPr>
        <w:br/>
      </w:r>
      <w:r w:rsidRPr="00FE241D">
        <w:rPr>
          <w:b/>
          <w:bCs/>
        </w:rPr>
        <w:t>Welke mogelijkheden ziet u om de situatie te verbeteren?</w:t>
      </w:r>
    </w:p>
    <w:p w:rsidR="00A616B6" w:rsidP="00FE241D" w:rsidRDefault="00A616B6" w14:paraId="2AE8028C" w14:textId="77777777"/>
    <w:p w:rsidRPr="00FE241D" w:rsidR="00A616B6" w:rsidP="00FE241D" w:rsidRDefault="00A616B6" w14:paraId="21B67287" w14:textId="77777777">
      <w:pPr>
        <w:rPr>
          <w:b/>
          <w:bCs/>
        </w:rPr>
      </w:pPr>
      <w:r w:rsidRPr="00FE241D">
        <w:rPr>
          <w:b/>
          <w:bCs/>
        </w:rPr>
        <w:t>Antwoord op vraag 5</w:t>
      </w:r>
    </w:p>
    <w:p w:rsidR="00A616B6" w:rsidP="00DC4878" w:rsidRDefault="00A616B6" w14:paraId="6F546B53" w14:textId="77777777">
      <w:r w:rsidRPr="00AD1F62">
        <w:t xml:space="preserve">In opdracht van het ministerie van Justitie en Veiligheid heeft de Koninklijke Notariële Beroepsorganisatie (KNB) regelmatig contact met de notarissen op Bonaire, Saba en Sint-Eustatius. In 2024 heeft de KNB dan ook de grootste knelpunten van de notariële praktijk op de eilanden in kaart gebracht. Hieruit kwam naar voren dat de lange wachttijden en de hoge werkdruk primair te verklaren zijn door een ingewikkelde toegang tot informatie van cliënten (KvK, Kadaster en persoonsgegevens) en moeizame uitwisseling van notarieel personeel tussen de eilanden en Europees Nederland. </w:t>
      </w:r>
    </w:p>
    <w:p w:rsidRPr="00AD1F62" w:rsidR="00A616B6" w:rsidP="00DC4878" w:rsidRDefault="00A616B6" w14:paraId="14A63788" w14:textId="77777777"/>
    <w:p w:rsidRPr="00AD1F62" w:rsidR="00A616B6" w:rsidP="00DC4878" w:rsidRDefault="00A616B6" w14:paraId="47AD10EE" w14:textId="77777777">
      <w:r w:rsidRPr="00AD1F62">
        <w:t>Het ministerie van B</w:t>
      </w:r>
      <w:r>
        <w:t>innenlandse Zaken en Koninkrijksrelaties,</w:t>
      </w:r>
      <w:r w:rsidRPr="00AD1F62">
        <w:t xml:space="preserve"> als stelselverantwoordelijk</w:t>
      </w:r>
      <w:r>
        <w:t>e</w:t>
      </w:r>
      <w:r w:rsidRPr="00AD1F62">
        <w:t xml:space="preserve"> voor basisregistraties</w:t>
      </w:r>
      <w:r>
        <w:t>,</w:t>
      </w:r>
      <w:r w:rsidRPr="00AD1F62">
        <w:t xml:space="preserve"> werkt aan het opzetten van verschillende digitale registers.</w:t>
      </w:r>
      <w:r w:rsidRPr="00AD1F62">
        <w:rPr>
          <w:vertAlign w:val="superscript"/>
        </w:rPr>
        <w:footnoteReference w:id="7"/>
      </w:r>
      <w:r w:rsidRPr="00AD1F62">
        <w:t xml:space="preserve"> Hierbij wordt samengewerkt met de inhoudelijk verantwoordelijke departementen en openbare lichamen. Volgende stap is het digitaal toegankelijk maken van deze registers met derden waaronder notarissen. Ook wordt binnen </w:t>
      </w:r>
      <w:r>
        <w:t>het ministerie van Justitie en Veiligheid</w:t>
      </w:r>
      <w:r w:rsidRPr="00AD1F62">
        <w:t xml:space="preserve"> momenteel verkend of de wettelijke eisen voor het uitwisselen van notarieel personeel kunnen worden geconcretiseerd en versoepeld. Hiermee pogen wij de notariële praktijk te voorzien van de juiste hulpmiddelen voor een efficiëntere bedrijfsvoering en daarmee een afname van de klachten die ten gronde van deze vragen staan.</w:t>
      </w:r>
      <w:r w:rsidRPr="00AD1F62">
        <w:rPr>
          <w:vertAlign w:val="superscript"/>
        </w:rPr>
        <w:footnoteReference w:id="8"/>
      </w:r>
    </w:p>
    <w:p w:rsidR="00A616B6" w:rsidP="00DC4878" w:rsidRDefault="00A616B6" w14:paraId="556F60F6" w14:textId="77777777"/>
    <w:p w:rsidR="00A616B6" w:rsidP="00DC4878" w:rsidRDefault="00A616B6" w14:paraId="2CE7A9CA" w14:textId="77777777">
      <w:pPr>
        <w:pStyle w:val="Lijstalinea"/>
        <w:ind w:left="495"/>
      </w:pPr>
    </w:p>
    <w:p w:rsidR="00796E59" w:rsidRDefault="00796E59" w14:paraId="4E697DDA" w14:textId="77777777"/>
    <w:sectPr w:rsidR="00796E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1429" w14:textId="77777777" w:rsidR="00A64261" w:rsidRDefault="00A64261" w:rsidP="00A616B6">
      <w:pPr>
        <w:spacing w:after="0" w:line="240" w:lineRule="auto"/>
      </w:pPr>
      <w:r>
        <w:separator/>
      </w:r>
    </w:p>
  </w:endnote>
  <w:endnote w:type="continuationSeparator" w:id="0">
    <w:p w14:paraId="703F3E52" w14:textId="77777777" w:rsidR="00A64261" w:rsidRDefault="00A64261" w:rsidP="00A61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93BE" w14:textId="77777777" w:rsidR="00A616B6" w:rsidRPr="00A616B6" w:rsidRDefault="00A616B6" w:rsidP="00A616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E435" w14:textId="77777777" w:rsidR="00A616B6" w:rsidRPr="00A616B6" w:rsidRDefault="00A616B6" w:rsidP="00A616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F01" w14:textId="77777777" w:rsidR="00A616B6" w:rsidRPr="00A616B6" w:rsidRDefault="00A616B6" w:rsidP="00A616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4AD7" w14:textId="77777777" w:rsidR="00A64261" w:rsidRDefault="00A64261" w:rsidP="00A616B6">
      <w:pPr>
        <w:spacing w:after="0" w:line="240" w:lineRule="auto"/>
      </w:pPr>
      <w:r>
        <w:separator/>
      </w:r>
    </w:p>
  </w:footnote>
  <w:footnote w:type="continuationSeparator" w:id="0">
    <w:p w14:paraId="2D2B2DEB" w14:textId="77777777" w:rsidR="00A64261" w:rsidRDefault="00A64261" w:rsidP="00A616B6">
      <w:pPr>
        <w:spacing w:after="0" w:line="240" w:lineRule="auto"/>
      </w:pPr>
      <w:r>
        <w:continuationSeparator/>
      </w:r>
    </w:p>
  </w:footnote>
  <w:footnote w:id="1">
    <w:p w14:paraId="568903C2"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Artikel 6 lid 1</w:t>
      </w:r>
      <w:r>
        <w:rPr>
          <w:sz w:val="16"/>
          <w:szCs w:val="16"/>
        </w:rPr>
        <w:t xml:space="preserve">, </w:t>
      </w:r>
      <w:r w:rsidRPr="00793BFD">
        <w:rPr>
          <w:sz w:val="16"/>
          <w:szCs w:val="16"/>
        </w:rPr>
        <w:t>Wet op het notarisambt BES</w:t>
      </w:r>
      <w:r>
        <w:rPr>
          <w:sz w:val="16"/>
          <w:szCs w:val="16"/>
        </w:rPr>
        <w:t>.</w:t>
      </w:r>
    </w:p>
  </w:footnote>
  <w:footnote w:id="2">
    <w:p w14:paraId="616214FF" w14:textId="77777777" w:rsidR="00A616B6" w:rsidRDefault="00A616B6" w:rsidP="00DC4878">
      <w:pPr>
        <w:pStyle w:val="Voetnoottekst"/>
      </w:pPr>
      <w:r w:rsidRPr="00793BFD">
        <w:rPr>
          <w:rStyle w:val="Voetnootmarkering"/>
          <w:sz w:val="16"/>
          <w:szCs w:val="16"/>
        </w:rPr>
        <w:footnoteRef/>
      </w:r>
      <w:r w:rsidRPr="00793BFD">
        <w:rPr>
          <w:sz w:val="16"/>
          <w:szCs w:val="16"/>
        </w:rPr>
        <w:t xml:space="preserve"> Kamerstukken II, 2025/26, 36 800-IV, nr. 56.</w:t>
      </w:r>
    </w:p>
  </w:footnote>
  <w:footnote w:id="3">
    <w:p w14:paraId="0ACC6D95"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Artikel 56</w:t>
      </w:r>
      <w:r>
        <w:rPr>
          <w:sz w:val="16"/>
          <w:szCs w:val="16"/>
        </w:rPr>
        <w:t>,</w:t>
      </w:r>
      <w:r w:rsidRPr="00793BFD">
        <w:rPr>
          <w:sz w:val="16"/>
          <w:szCs w:val="16"/>
        </w:rPr>
        <w:t xml:space="preserve"> lid 1</w:t>
      </w:r>
      <w:r>
        <w:rPr>
          <w:sz w:val="16"/>
          <w:szCs w:val="16"/>
        </w:rPr>
        <w:t>,</w:t>
      </w:r>
      <w:r w:rsidRPr="00793BFD">
        <w:rPr>
          <w:sz w:val="16"/>
          <w:szCs w:val="16"/>
        </w:rPr>
        <w:t xml:space="preserve"> Wet op het notarisambt BES</w:t>
      </w:r>
      <w:r>
        <w:rPr>
          <w:sz w:val="16"/>
          <w:szCs w:val="16"/>
        </w:rPr>
        <w:t>.</w:t>
      </w:r>
    </w:p>
  </w:footnote>
  <w:footnote w:id="4">
    <w:p w14:paraId="5F9492AB"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w:t>
      </w:r>
      <w:hyperlink r:id="rId1" w:history="1">
        <w:r w:rsidRPr="00D7294D">
          <w:rPr>
            <w:rStyle w:val="Hyperlink"/>
            <w:sz w:val="16"/>
            <w:szCs w:val="16"/>
          </w:rPr>
          <w:t>https://ghvj.org/onderwerpen/kamer-van-toezicht-notariaat-bonaire/</w:t>
        </w:r>
      </w:hyperlink>
      <w:r>
        <w:rPr>
          <w:sz w:val="16"/>
          <w:szCs w:val="16"/>
        </w:rPr>
        <w:t xml:space="preserve"> </w:t>
      </w:r>
    </w:p>
  </w:footnote>
  <w:footnote w:id="5">
    <w:p w14:paraId="61CB8409"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w:t>
      </w:r>
      <w:r w:rsidRPr="00793BFD">
        <w:rPr>
          <w:sz w:val="16"/>
          <w:szCs w:val="16"/>
          <w:u w:val="single"/>
        </w:rPr>
        <w:t>https://www.bonaire.nu/nieuws/algemeen/89209/ministerie-verwijst-bij-klachten-notarissen-bonaire-naar-toezichthouder</w:t>
      </w:r>
    </w:p>
  </w:footnote>
  <w:footnote w:id="6">
    <w:p w14:paraId="579525E9"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w:t>
      </w:r>
      <w:hyperlink r:id="rId2" w:history="1">
        <w:r w:rsidRPr="00D7294D">
          <w:rPr>
            <w:rStyle w:val="Hyperlink"/>
            <w:sz w:val="16"/>
            <w:szCs w:val="16"/>
          </w:rPr>
          <w:t>https://www.bonaire.nu/nieuws/algemeen/90109/gemeenschappelijk-hof-verduidelijkt-waar-klachten-over-notarissen-op-bonaire-kunnen-worden-ingediend</w:t>
        </w:r>
      </w:hyperlink>
      <w:r>
        <w:rPr>
          <w:sz w:val="16"/>
          <w:szCs w:val="16"/>
        </w:rPr>
        <w:t xml:space="preserve"> </w:t>
      </w:r>
    </w:p>
  </w:footnote>
  <w:footnote w:id="7">
    <w:p w14:paraId="0FDC30EB" w14:textId="77777777" w:rsidR="00A616B6" w:rsidRPr="00793BFD" w:rsidRDefault="00A616B6" w:rsidP="00DC4878">
      <w:pPr>
        <w:pStyle w:val="Voetnoottekst"/>
        <w:rPr>
          <w:sz w:val="16"/>
          <w:szCs w:val="16"/>
        </w:rPr>
      </w:pPr>
      <w:r w:rsidRPr="00793BFD">
        <w:rPr>
          <w:rStyle w:val="Voetnootmarkering"/>
          <w:sz w:val="16"/>
          <w:szCs w:val="16"/>
        </w:rPr>
        <w:footnoteRef/>
      </w:r>
      <w:r w:rsidRPr="00793BFD">
        <w:rPr>
          <w:sz w:val="16"/>
          <w:szCs w:val="16"/>
        </w:rPr>
        <w:t xml:space="preserve"> Kamerstukken </w:t>
      </w:r>
      <w:r>
        <w:rPr>
          <w:sz w:val="16"/>
          <w:szCs w:val="16"/>
        </w:rPr>
        <w:t>II</w:t>
      </w:r>
      <w:r w:rsidRPr="00793BFD">
        <w:rPr>
          <w:sz w:val="16"/>
          <w:szCs w:val="16"/>
        </w:rPr>
        <w:t>, vergaderjaar 2025/26, 36 600-IV, nr. 73.</w:t>
      </w:r>
    </w:p>
  </w:footnote>
  <w:footnote w:id="8">
    <w:p w14:paraId="0D4D4F9C" w14:textId="77777777" w:rsidR="00A616B6" w:rsidRDefault="00A616B6" w:rsidP="00DC4878">
      <w:pPr>
        <w:pStyle w:val="Voetnoottekst"/>
      </w:pPr>
      <w:r w:rsidRPr="00793BFD">
        <w:rPr>
          <w:rStyle w:val="Voetnootmarkering"/>
          <w:sz w:val="16"/>
          <w:szCs w:val="16"/>
        </w:rPr>
        <w:footnoteRef/>
      </w:r>
      <w:r w:rsidRPr="00793BFD">
        <w:rPr>
          <w:sz w:val="16"/>
          <w:szCs w:val="16"/>
        </w:rPr>
        <w:t xml:space="preserve"> </w:t>
      </w:r>
      <w:r w:rsidRPr="00793BFD">
        <w:rPr>
          <w:sz w:val="16"/>
          <w:szCs w:val="16"/>
          <w:u w:val="single"/>
        </w:rPr>
        <w:t>https://www.bonaire.nu/nieuws/algemeen/89209/ministerie-verwijst-bij-klachten-notarissen-bonaire-naar-toezichthouder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20BA" w14:textId="77777777" w:rsidR="00A616B6" w:rsidRPr="00A616B6" w:rsidRDefault="00A616B6" w:rsidP="00A616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994F" w14:textId="77777777" w:rsidR="00A616B6" w:rsidRPr="00A616B6" w:rsidRDefault="00A616B6" w:rsidP="00A616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C5E3" w14:textId="77777777" w:rsidR="00A616B6" w:rsidRPr="00A616B6" w:rsidRDefault="00A616B6" w:rsidP="00A616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B6"/>
    <w:rsid w:val="00796E59"/>
    <w:rsid w:val="009C39D5"/>
    <w:rsid w:val="00A616B6"/>
    <w:rsid w:val="00A64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37EE"/>
  <w15:chartTrackingRefBased/>
  <w15:docId w15:val="{0784D640-0B9A-4BF9-9A02-51E76416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61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616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616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616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616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6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6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6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6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616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616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616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616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61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6B6"/>
    <w:rPr>
      <w:rFonts w:eastAsiaTheme="majorEastAsia" w:cstheme="majorBidi"/>
      <w:color w:val="272727" w:themeColor="text1" w:themeTint="D8"/>
    </w:rPr>
  </w:style>
  <w:style w:type="paragraph" w:styleId="Titel">
    <w:name w:val="Title"/>
    <w:basedOn w:val="Standaard"/>
    <w:next w:val="Standaard"/>
    <w:link w:val="TitelChar"/>
    <w:uiPriority w:val="10"/>
    <w:qFormat/>
    <w:rsid w:val="00A61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6B6"/>
    <w:rPr>
      <w:i/>
      <w:iCs/>
      <w:color w:val="404040" w:themeColor="text1" w:themeTint="BF"/>
    </w:rPr>
  </w:style>
  <w:style w:type="paragraph" w:styleId="Lijstalinea">
    <w:name w:val="List Paragraph"/>
    <w:basedOn w:val="Standaard"/>
    <w:uiPriority w:val="34"/>
    <w:qFormat/>
    <w:rsid w:val="00A616B6"/>
    <w:pPr>
      <w:ind w:left="720"/>
      <w:contextualSpacing/>
    </w:pPr>
  </w:style>
  <w:style w:type="character" w:styleId="Intensievebenadrukking">
    <w:name w:val="Intense Emphasis"/>
    <w:basedOn w:val="Standaardalinea-lettertype"/>
    <w:uiPriority w:val="21"/>
    <w:qFormat/>
    <w:rsid w:val="00A616B6"/>
    <w:rPr>
      <w:i/>
      <w:iCs/>
      <w:color w:val="2F5496" w:themeColor="accent1" w:themeShade="BF"/>
    </w:rPr>
  </w:style>
  <w:style w:type="paragraph" w:styleId="Duidelijkcitaat">
    <w:name w:val="Intense Quote"/>
    <w:basedOn w:val="Standaard"/>
    <w:next w:val="Standaard"/>
    <w:link w:val="DuidelijkcitaatChar"/>
    <w:uiPriority w:val="30"/>
    <w:qFormat/>
    <w:rsid w:val="00A61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616B6"/>
    <w:rPr>
      <w:i/>
      <w:iCs/>
      <w:color w:val="2F5496" w:themeColor="accent1" w:themeShade="BF"/>
    </w:rPr>
  </w:style>
  <w:style w:type="character" w:styleId="Intensieveverwijzing">
    <w:name w:val="Intense Reference"/>
    <w:basedOn w:val="Standaardalinea-lettertype"/>
    <w:uiPriority w:val="32"/>
    <w:qFormat/>
    <w:rsid w:val="00A616B6"/>
    <w:rPr>
      <w:b/>
      <w:bCs/>
      <w:smallCaps/>
      <w:color w:val="2F5496" w:themeColor="accent1" w:themeShade="BF"/>
      <w:spacing w:val="5"/>
    </w:rPr>
  </w:style>
  <w:style w:type="character" w:styleId="Hyperlink">
    <w:name w:val="Hyperlink"/>
    <w:basedOn w:val="Standaardalinea-lettertype"/>
    <w:uiPriority w:val="99"/>
    <w:unhideWhenUsed/>
    <w:rsid w:val="00A616B6"/>
    <w:rPr>
      <w:color w:val="0563C1" w:themeColor="hyperlink"/>
      <w:u w:val="single"/>
    </w:rPr>
  </w:style>
  <w:style w:type="paragraph" w:styleId="Voetnoottekst">
    <w:name w:val="footnote text"/>
    <w:link w:val="VoetnoottekstChar"/>
    <w:uiPriority w:val="99"/>
    <w:rsid w:val="00A616B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A616B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A616B6"/>
    <w:rPr>
      <w:vertAlign w:val="superscript"/>
    </w:rPr>
  </w:style>
  <w:style w:type="paragraph" w:styleId="Koptekst">
    <w:name w:val="header"/>
    <w:basedOn w:val="Standaard"/>
    <w:link w:val="KoptekstChar"/>
    <w:uiPriority w:val="99"/>
    <w:unhideWhenUsed/>
    <w:rsid w:val="00A616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16B6"/>
  </w:style>
  <w:style w:type="paragraph" w:styleId="Voettekst">
    <w:name w:val="footer"/>
    <w:basedOn w:val="Standaard"/>
    <w:link w:val="VoettekstChar"/>
    <w:uiPriority w:val="99"/>
    <w:unhideWhenUsed/>
    <w:rsid w:val="00A616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1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onaire.nu/nieuws/algemeen/90109/gemeenschappelijk-hof-verduidelijkt-waar-klachten-over-notarissen-op-bonaire-kunnen-worden-ingediend" TargetMode="External"/><Relationship Id="rId1" Type="http://schemas.openxmlformats.org/officeDocument/2006/relationships/hyperlink" Target="https://ghvj.org/onderwerpen/kamer-van-toezicht-notariaat-bonair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871</ap:Words>
  <ap:Characters>4796</ap:Characters>
  <ap:DocSecurity>0</ap:DocSecurity>
  <ap:Lines>39</ap:Lines>
  <ap:Paragraphs>11</ap:Paragraphs>
  <ap:ScaleCrop>false</ap:ScaleCrop>
  <ap:LinksUpToDate>false</ap:LinksUpToDate>
  <ap:CharactersWithSpaces>5656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2026-07-01T14:33:00.0000000Z</dcterms:created>
  <dcterms:modified xsi:type="dcterms:W3CDTF">2026-07-01T14:33:00.0000000Z</dcterms:modified>
  <version/>
  <category/>
</coreProperties>
</file>