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F27" w:rsidP="00D22F27" w:rsidRDefault="00D22F27" w14:paraId="3804AC6E" w14:textId="77777777">
      <w:pPr>
        <w:pStyle w:val="StandaardAanhef"/>
      </w:pPr>
      <w:r>
        <w:t>Geachte voorzitter,</w:t>
      </w:r>
    </w:p>
    <w:p w:rsidR="00D22F27" w:rsidP="00D22F27" w:rsidRDefault="00D22F27" w14:paraId="2657DADE" w14:textId="77777777">
      <w:r>
        <w:t xml:space="preserve">Een betrouwbare raming van de overheidsfinanciën is cruciaal voor adequate financiële planning </w:t>
      </w:r>
      <w:r w:rsidR="00F0368B">
        <w:t>van het kabinet, en stelt het parlement in staat om zijn budgetrecht uit te oefenen.</w:t>
      </w:r>
      <w:r>
        <w:t xml:space="preserve"> </w:t>
      </w:r>
      <w:r w:rsidR="00F0368B">
        <w:t xml:space="preserve">Daarbij gaat het om een zo </w:t>
      </w:r>
      <w:r>
        <w:t xml:space="preserve">trefzeker mogelijke raming van </w:t>
      </w:r>
      <w:r w:rsidR="00F0368B">
        <w:t xml:space="preserve">enerzijds uitgaven en anderzijds </w:t>
      </w:r>
      <w:r>
        <w:t xml:space="preserve">de belasting- en </w:t>
      </w:r>
      <w:proofErr w:type="spellStart"/>
      <w:r>
        <w:t>premie-ontvangsten</w:t>
      </w:r>
      <w:proofErr w:type="spellEnd"/>
      <w:r>
        <w:t xml:space="preserve"> (hierna: ontvangsten). Met deze brief informeer ik uw Kamer over de resultaten van de periodieke herijking van de schattingsvergelijkingen die gebruikt worden voor het ramen van de ontvangsten. </w:t>
      </w:r>
    </w:p>
    <w:p w:rsidR="00D22F27" w:rsidP="00D22F27" w:rsidRDefault="00D22F27" w14:paraId="13744780" w14:textId="77777777"/>
    <w:p w:rsidR="00D22F27" w:rsidP="00D22F27" w:rsidRDefault="00D22F27" w14:paraId="6EE7AC99" w14:textId="77777777">
      <w:r>
        <w:t>Het resultaat van de herijking is een robuustere en actuelere inkomstenraming.  Met de uitgebreide toelichting in deze brief en bijlage beoog ik maximaal inzichtelijk te maken welke werkwijze ten grondslag ligt aan de raming, inclusief de beperkingen die hieraan inherent zijn. In het vervolg van deze brief ga ik eerst in op de samenhang tussen de herijking en de adviezen van de Expertgroep realistisch ramen (hierna: expertgroep)</w:t>
      </w:r>
      <w:r w:rsidRPr="00311FC2">
        <w:rPr>
          <w:rStyle w:val="Voetnootmarkering"/>
        </w:rPr>
        <w:t xml:space="preserve"> </w:t>
      </w:r>
      <w:r>
        <w:rPr>
          <w:rStyle w:val="Voetnootmarkering"/>
        </w:rPr>
        <w:footnoteReference w:id="1"/>
      </w:r>
      <w:r>
        <w:t>. Vervolgens presenteer ik de gebruikte methode en resultaten in algemene bewoordingen. De bijlage bevat de concrete resultaten en aanvullende statistische informatie</w:t>
      </w:r>
      <w:r w:rsidR="00F0368B">
        <w:t>,</w:t>
      </w:r>
      <w:r>
        <w:t xml:space="preserve"> en </w:t>
      </w:r>
      <w:r w:rsidR="00F0368B">
        <w:t xml:space="preserve">een </w:t>
      </w:r>
      <w:r>
        <w:t xml:space="preserve">toelichting per belastingsoort. </w:t>
      </w:r>
    </w:p>
    <w:p w:rsidR="00D22F27" w:rsidP="00D22F27" w:rsidRDefault="00D22F27" w14:paraId="48D56523" w14:textId="77777777"/>
    <w:p w:rsidR="00D22F27" w:rsidP="00D22F27" w:rsidRDefault="00D22F27" w14:paraId="3D95DDC9" w14:textId="77777777">
      <w:pPr>
        <w:rPr>
          <w:u w:val="single"/>
        </w:rPr>
      </w:pPr>
      <w:r w:rsidRPr="00A47E3D">
        <w:rPr>
          <w:u w:val="single"/>
        </w:rPr>
        <w:t xml:space="preserve">Expertgroep </w:t>
      </w:r>
      <w:r>
        <w:rPr>
          <w:u w:val="single"/>
        </w:rPr>
        <w:t>r</w:t>
      </w:r>
      <w:r w:rsidRPr="00A47E3D">
        <w:rPr>
          <w:u w:val="single"/>
        </w:rPr>
        <w:t xml:space="preserve">ealistisch </w:t>
      </w:r>
      <w:r>
        <w:rPr>
          <w:u w:val="single"/>
        </w:rPr>
        <w:t>r</w:t>
      </w:r>
      <w:r w:rsidRPr="00A47E3D">
        <w:rPr>
          <w:u w:val="single"/>
        </w:rPr>
        <w:t>amen</w:t>
      </w:r>
    </w:p>
    <w:p w:rsidR="00D22F27" w:rsidP="00D22F27" w:rsidRDefault="00D22F27" w14:paraId="396A3B57" w14:textId="77777777">
      <w:r>
        <w:t xml:space="preserve">Het model waarmee de ontvangsten van het Rijk worden geraamd wordt iedere vier jaar </w:t>
      </w:r>
      <w:r w:rsidR="00F0368B">
        <w:t>herijkt</w:t>
      </w:r>
      <w:r>
        <w:t xml:space="preserve"> om zo actueel mogelijk te </w:t>
      </w:r>
      <w:r w:rsidR="00F0368B">
        <w:t>blijven</w:t>
      </w:r>
      <w:r>
        <w:t>. De</w:t>
      </w:r>
      <w:r w:rsidR="00F0368B">
        <w:t xml:space="preserve"> </w:t>
      </w:r>
      <w:r>
        <w:t xml:space="preserve">huidige herijking </w:t>
      </w:r>
      <w:r w:rsidR="00F0368B">
        <w:t xml:space="preserve">komt tegemoet aan de aanbevelingen </w:t>
      </w:r>
      <w:r>
        <w:t>van de Expertgroep realistisch ramen</w:t>
      </w:r>
      <w:r w:rsidR="00F0368B">
        <w:t xml:space="preserve"> over de periodieke herijking</w:t>
      </w:r>
      <w:r>
        <w:t>.</w:t>
      </w:r>
      <w:r w:rsidRPr="009943F3">
        <w:t xml:space="preserve"> </w:t>
      </w:r>
    </w:p>
    <w:p w:rsidR="00D22F27" w:rsidP="00D22F27" w:rsidRDefault="00D22F27" w14:paraId="3B7351D8" w14:textId="77777777"/>
    <w:p w:rsidR="00D22F27" w:rsidP="00D22F27" w:rsidRDefault="00D22F27" w14:paraId="5217B21F" w14:textId="77777777">
      <w:r>
        <w:t xml:space="preserve">Over de </w:t>
      </w:r>
      <w:r w:rsidR="00F0368B">
        <w:t xml:space="preserve">overige </w:t>
      </w:r>
      <w:r>
        <w:t>aanbevelingen van de expertgroep wordt u op Prinsjesdag</w:t>
      </w:r>
      <w:r w:rsidR="00F0368B">
        <w:t xml:space="preserve"> geïnformeerd</w:t>
      </w:r>
      <w:r>
        <w:t xml:space="preserve">. Dit geldt onder meer voor de ontwikkeling van een </w:t>
      </w:r>
      <w:r w:rsidR="005246CD">
        <w:t xml:space="preserve">model voor de </w:t>
      </w:r>
      <w:r>
        <w:t>vennootschapsbelasting op micro-economische basis. Tot slot wijs ik uw Kamer er graag op dat de informatie over de ontvangstenraming en -realisaties sinds het verschijnen van het rapport van de expertgroep maandelijks wordt verstrekt via rijksfinancien.nl.</w:t>
      </w:r>
      <w:r>
        <w:rPr>
          <w:rStyle w:val="Voetnootmarkering"/>
        </w:rPr>
        <w:footnoteReference w:id="2"/>
      </w:r>
    </w:p>
    <w:p w:rsidRPr="000B6535" w:rsidR="00D22F27" w:rsidP="00D22F27" w:rsidRDefault="00D22F27" w14:paraId="72192341" w14:textId="77777777"/>
    <w:p w:rsidR="00D22F27" w:rsidP="00D22F27" w:rsidRDefault="00D22F27" w14:paraId="496A6634" w14:textId="77777777">
      <w:pPr>
        <w:rPr>
          <w:u w:val="single"/>
        </w:rPr>
      </w:pPr>
      <w:r w:rsidRPr="00A47E3D">
        <w:rPr>
          <w:u w:val="single"/>
        </w:rPr>
        <w:lastRenderedPageBreak/>
        <w:t>Methode</w:t>
      </w:r>
    </w:p>
    <w:p w:rsidR="00D22F27" w:rsidP="00D22F27" w:rsidRDefault="00D22F27" w14:paraId="11DFC0D2" w14:textId="77777777">
      <w:r w:rsidRPr="00FA2951">
        <w:t xml:space="preserve">De </w:t>
      </w:r>
      <w:r>
        <w:t xml:space="preserve">ramingsmethodiek voor de </w:t>
      </w:r>
      <w:r w:rsidRPr="00FA2951">
        <w:t xml:space="preserve">ontvangsten </w:t>
      </w:r>
      <w:r>
        <w:t xml:space="preserve">werkt </w:t>
      </w:r>
      <w:r w:rsidR="00F0368B">
        <w:t xml:space="preserve">doorgaans </w:t>
      </w:r>
      <w:r>
        <w:t xml:space="preserve">op basis van drie elementen. De raming van een belasting wordt ten eerste bepaald door de meest recente realisatie. Dit verzekert dat de raming aansluit bij zo actueel mogelijke informatie. Ten tweede houdt de raming rekening met de effecten van beleid, zoals verhoging of verlaging van een belastingtarief. Beleidsramingen worden gecertificeerd door het Centraal Planbureau (CPB) en toegelicht in wetsvoorstellen. Tot slot houdt de raming rekening met de effecten vanuit de macro-economie, zoals groeiende consumptie of stijgende lonen. </w:t>
      </w:r>
      <w:r w:rsidRPr="00E65DF4">
        <w:t>De schattingsvergelijkingen, en daarmee deze herijking, hebben specifiek betrekking op dit derde element</w:t>
      </w:r>
      <w:r>
        <w:t>.</w:t>
      </w:r>
      <w:r>
        <w:rPr>
          <w:rStyle w:val="Voetnootmarkering"/>
        </w:rPr>
        <w:footnoteReference w:id="3"/>
      </w:r>
      <w:r>
        <w:t xml:space="preserve"> </w:t>
      </w:r>
    </w:p>
    <w:p w:rsidR="00D22F27" w:rsidP="00D22F27" w:rsidRDefault="00D22F27" w14:paraId="4FF4E94B" w14:textId="77777777"/>
    <w:p w:rsidR="00D22F27" w:rsidP="00D22F27" w:rsidRDefault="00F0368B" w14:paraId="01A6B426" w14:textId="77777777">
      <w:r>
        <w:t>Voor de</w:t>
      </w:r>
      <w:r w:rsidR="00D22F27">
        <w:t xml:space="preserve"> schattingsvergelijkingen </w:t>
      </w:r>
      <w:r>
        <w:t xml:space="preserve">in deze herijking is </w:t>
      </w:r>
      <w:r w:rsidR="00D22F27">
        <w:t>de relatie tussen macro-economische indicatoren en de belastingopbrengst</w:t>
      </w:r>
      <w:r>
        <w:t xml:space="preserve"> berekend</w:t>
      </w:r>
      <w:r w:rsidR="00D22F27">
        <w:t xml:space="preserve">. </w:t>
      </w:r>
      <w:proofErr w:type="gramStart"/>
      <w:r w:rsidR="00D22F27">
        <w:t>C</w:t>
      </w:r>
      <w:r w:rsidRPr="00FA2951" w:rsidR="00D22F27">
        <w:t>onform</w:t>
      </w:r>
      <w:proofErr w:type="gramEnd"/>
      <w:r w:rsidRPr="00FA2951" w:rsidR="00D22F27">
        <w:t xml:space="preserve"> de </w:t>
      </w:r>
      <w:r w:rsidR="00D22F27">
        <w:t>W</w:t>
      </w:r>
      <w:r w:rsidRPr="00FA2951" w:rsidR="00D22F27">
        <w:t xml:space="preserve">et </w:t>
      </w:r>
      <w:r w:rsidR="00D22F27">
        <w:t xml:space="preserve">Houdbare overheidsfinanciën maakt het kabinet voor de macro-economische ontwikkeling gebruik van ramingen van het CPB. </w:t>
      </w:r>
      <w:r w:rsidRPr="009A2A68" w:rsidR="00D22F27">
        <w:t>De economische factoren in de</w:t>
      </w:r>
      <w:r w:rsidR="00FF512E">
        <w:t xml:space="preserve"> </w:t>
      </w:r>
      <w:r w:rsidRPr="009A2A68" w:rsidR="00D22F27">
        <w:t>schattingsvergelijkingen zijn in de eerste plaats gekozen op basis van een logische economische onderbouwing. Daarna is via statistische analyses van historische gegevens gezocht naar de vergelijking met de hoogste verklarende kracht.</w:t>
      </w:r>
      <w:r w:rsidR="00D22F27">
        <w:t xml:space="preserve"> </w:t>
      </w:r>
      <w:r w:rsidRPr="00EF3383" w:rsidR="00D22F27">
        <w:t xml:space="preserve">Bij deze selectie is rekening gehouden met </w:t>
      </w:r>
      <w:r w:rsidR="00D22F27">
        <w:t>twee beperkingen. Allereerst met de</w:t>
      </w:r>
      <w:r w:rsidRPr="00EF3383" w:rsidR="00D22F27">
        <w:t xml:space="preserve"> beschikbaarheid van gegevens</w:t>
      </w:r>
      <w:r w:rsidR="00D22F27">
        <w:t>: niet alle relevante macro-economische indicatoren</w:t>
      </w:r>
      <w:r w:rsidRPr="00EF3383" w:rsidR="00D22F27">
        <w:t xml:space="preserve"> </w:t>
      </w:r>
      <w:r w:rsidR="00D22F27">
        <w:t>worden door het CPB geraamd. Daarnaast is op advies van de expertgroep meegewogen in hoeverre de raming van de economische variabelen zelf trefzeker is. E</w:t>
      </w:r>
      <w:r w:rsidRPr="009A2A68" w:rsidR="00D22F27">
        <w:t xml:space="preserve">r is dus niet alleen gekeken naar de historische relatie met een bepaalde belastingsoort, maar ook of de indicator </w:t>
      </w:r>
      <w:r w:rsidRPr="009A2A68" w:rsidR="00D22F27">
        <w:rPr>
          <w:i/>
          <w:iCs/>
        </w:rPr>
        <w:t>vooraf</w:t>
      </w:r>
      <w:r w:rsidRPr="009A2A68" w:rsidR="00D22F27">
        <w:t xml:space="preserve"> </w:t>
      </w:r>
      <w:r w:rsidR="00D22F27">
        <w:t xml:space="preserve">voldoende trefzeker is. In het geval dit te beperkt is, gaat - op advies van de expertgroep - de voorkeur naar het gebruik van een meer generieke indicator, zoals het bbp. </w:t>
      </w:r>
    </w:p>
    <w:p w:rsidR="00D22F27" w:rsidP="00D22F27" w:rsidRDefault="00D22F27" w14:paraId="7359B75F" w14:textId="77777777"/>
    <w:p w:rsidR="00D22F27" w:rsidP="00D22F27" w:rsidRDefault="00D22F27" w14:paraId="53DC9FBD" w14:textId="77777777">
      <w:pPr>
        <w:rPr>
          <w:u w:val="single"/>
        </w:rPr>
      </w:pPr>
      <w:r>
        <w:rPr>
          <w:u w:val="single"/>
        </w:rPr>
        <w:t>Algemene r</w:t>
      </w:r>
      <w:r w:rsidRPr="00862406">
        <w:rPr>
          <w:u w:val="single"/>
        </w:rPr>
        <w:t>esultaten en toelichting</w:t>
      </w:r>
    </w:p>
    <w:p w:rsidR="00D22F27" w:rsidP="00D22F27" w:rsidRDefault="00D22F27" w14:paraId="51E8EE26" w14:textId="77777777">
      <w:r>
        <w:t xml:space="preserve">Het resultaat van de herijking in de vorm van de vernieuwde schattingsvergelijkingen is opgenomen in de bijlage van deze brief, inclusief een duiding per belastingsoort. Deze schattingsvergelijkingen worden toegepast vanaf de Miljoenennota 2027. Het algemene beeld van de herijking is dat de meeste schattingsvergelijkingen slechts beperkt veranderen. In veel gevallen gaat het om kleine bijstellingen van de gebruikte coëfficiënten. Voor een aantal belastingsoorten zijn wel aanzienlijke veranderingen toegepast of spelen bijzonderheden. Deze licht ik hieronder om die reden specifiek toe. </w:t>
      </w:r>
    </w:p>
    <w:p w:rsidR="00D22F27" w:rsidP="00D22F27" w:rsidRDefault="00D22F27" w14:paraId="7005157F" w14:textId="77777777"/>
    <w:p w:rsidR="00F0368B" w:rsidP="00D22F27" w:rsidRDefault="00F0368B" w14:paraId="0E16A658" w14:textId="77777777">
      <w:r w:rsidRPr="004C7097">
        <w:rPr>
          <w:i/>
          <w:iCs/>
        </w:rPr>
        <w:t>Recentelijk ingevoegde belastingen</w:t>
      </w:r>
    </w:p>
    <w:p w:rsidR="00D22F27" w:rsidP="00D22F27" w:rsidRDefault="00D22F27" w14:paraId="15F84587" w14:textId="77777777">
      <w:r>
        <w:t xml:space="preserve">Voor belastingsoorten die recentelijk zijn ingevoerd of aangekondigd zijn, zijn voor de eerste keer vergelijkingen opgesteld. Voor deze belastingsoorten zijn onvoldoende realisatiegegevens beschikbaar voor een statistische schatting van een model. Daarom is de schattingsvergelijking hiervoor </w:t>
      </w:r>
      <w:r w:rsidR="00AC2D8C">
        <w:t>‘</w:t>
      </w:r>
      <w:r>
        <w:t>geprikt’. Bij het ‘prikken’ is met inachtneming van het advies van de expertgroep een naïeve houding genomen en dus zo simpel mogelijk model geformuleerd: deze ontvangstsoorten groeien één-op-één mee met de gekozen economische indicator ten opzichte van het voorgaande jaar.</w:t>
      </w:r>
    </w:p>
    <w:p w:rsidR="00D22F27" w:rsidP="00D22F27" w:rsidRDefault="00F0368B" w14:paraId="7090116D" w14:textId="77777777">
      <w:r w:rsidRPr="004C7097">
        <w:rPr>
          <w:i/>
          <w:iCs/>
        </w:rPr>
        <w:lastRenderedPageBreak/>
        <w:t>Premies werknemersverzekeringe</w:t>
      </w:r>
      <w:r>
        <w:rPr>
          <w:i/>
          <w:iCs/>
        </w:rPr>
        <w:t>n</w:t>
      </w:r>
    </w:p>
    <w:p w:rsidR="00D22F27" w:rsidP="00D22F27" w:rsidRDefault="00D22F27" w14:paraId="61F96414" w14:textId="77777777">
      <w:r w:rsidRPr="00A312C0">
        <w:t xml:space="preserve">Ook voor premies werknemersverzekeringen zijn voor de eerste keer </w:t>
      </w:r>
      <w:r>
        <w:t>schattingsvergelijkingen</w:t>
      </w:r>
      <w:r w:rsidRPr="00A312C0">
        <w:t xml:space="preserve"> opgesteld. </w:t>
      </w:r>
      <w:r>
        <w:t>Ramingen voor deze premies</w:t>
      </w:r>
      <w:r w:rsidRPr="00A312C0">
        <w:t xml:space="preserve"> werden voorheen overgenomen van het CPB.</w:t>
      </w:r>
      <w:r>
        <w:t xml:space="preserve"> Voor de raming van de overheidsfinanciën zijn deze premies in praktijk gelijk aan belastingen. Daarom is het wenselijk dat het kabinet één consistente methodiek hanteert voor alle ontvangsten. Om die reden is ervoor gekozen om de premies werknemersverzekeringen zelf te ramen. Bij de schattingsvergelijkingen is nauwe aansluiting gezocht bij de verklarende variabelen voor de loonheffing (zoals loonstijging en arbeidsvolume), gezien de sterk vergelijkbare economische grondslag.</w:t>
      </w:r>
    </w:p>
    <w:p w:rsidR="00D22F27" w:rsidP="00D22F27" w:rsidRDefault="00D22F27" w14:paraId="3781393E" w14:textId="77777777"/>
    <w:p w:rsidR="00F0368B" w:rsidP="00D22F27" w:rsidRDefault="00F0368B" w14:paraId="737DE187" w14:textId="77777777">
      <w:r w:rsidRPr="004C7097">
        <w:rPr>
          <w:i/>
          <w:iCs/>
        </w:rPr>
        <w:t>Vennootschapsbelasting</w:t>
      </w:r>
    </w:p>
    <w:p w:rsidR="00D22F27" w:rsidP="00D22F27" w:rsidRDefault="00D22F27" w14:paraId="3F41E85C" w14:textId="77777777">
      <w:r>
        <w:t>Voor de vennootschapsbelasting wordt naar aanleiding van de analyse van de expertgroep gewerkt aan de ontwikkeling van een micro-economisch model. De ontwikkeling hiervan valt buiten de scope van de voorliggende herschatting. Voor gebruik op de korte termijn is de macro-economische vergelijking wel herijkt.</w:t>
      </w:r>
    </w:p>
    <w:p w:rsidR="00D22F27" w:rsidP="00D22F27" w:rsidRDefault="00D22F27" w14:paraId="5E7BF60D" w14:textId="77777777"/>
    <w:p w:rsidR="00F0368B" w:rsidP="00D22F27" w:rsidRDefault="00F0368B" w14:paraId="549B2863" w14:textId="77777777">
      <w:r w:rsidRPr="004C7097">
        <w:rPr>
          <w:i/>
          <w:iCs/>
        </w:rPr>
        <w:t>Milieuheffingen</w:t>
      </w:r>
    </w:p>
    <w:p w:rsidR="00D22F27" w:rsidP="00D22F27" w:rsidRDefault="00D22F27" w14:paraId="5F694BBC" w14:textId="77777777">
      <w:r>
        <w:t xml:space="preserve">Voor verschillende milieuheffingen geldt dat verduurzaming plaatsvindt, wat leidt tot een lagere belastingopbrengst (ook wel grondslagerosie genoemd). De relatie met macro-economische maatstaven zoals geraamd door het CPB is daardoor niet altijd even sterk aanwezig. Voor deze belastingsoorten is onderzocht of het gebruik van meer specifieke ramingen uit de Klimaat en Energieverkenning (KEV) van het Planbureau voor de Leefomgeving meer verklarende kracht en dus een betere raming oplevert. Dit blijkt het geval voor de brandstoffenaccijnzen. </w:t>
      </w:r>
    </w:p>
    <w:p w:rsidR="00D22F27" w:rsidP="00D22F27" w:rsidRDefault="00D22F27" w14:paraId="658B491B" w14:textId="77777777"/>
    <w:p w:rsidR="00F0368B" w:rsidP="00D22F27" w:rsidRDefault="00F0368B" w14:paraId="2B807A89" w14:textId="77777777">
      <w:r w:rsidRPr="004C7097">
        <w:rPr>
          <w:i/>
          <w:iCs/>
        </w:rPr>
        <w:t>Overige ontvangsten</w:t>
      </w:r>
    </w:p>
    <w:p w:rsidR="00D22F27" w:rsidP="00D22F27" w:rsidRDefault="00D22F27" w14:paraId="7AE9988E" w14:textId="77777777">
      <w:r>
        <w:t xml:space="preserve">Dusver waren de belastingontvangsten uit Caribisch Nederland (Bonaire, Sint-Eustatius en Saba) gerapporteerd als onderdeel van een bredere categorie ‘overige ontvangsten’. Deze worden vanaf nu afzonderlijk geraamd. </w:t>
      </w:r>
    </w:p>
    <w:p w:rsidR="00D22F27" w:rsidP="00D22F27" w:rsidRDefault="00D22F27" w14:paraId="6E8E8807" w14:textId="77777777"/>
    <w:p w:rsidR="00D22F27" w:rsidP="00D22F27" w:rsidRDefault="00D22F27" w14:paraId="6D056BE7" w14:textId="77777777">
      <w:r>
        <w:t xml:space="preserve">Op advies van de expertgroep zijn er ook in enkele gevallen niet lineaire schattingsvergelijkingen onderzocht. </w:t>
      </w:r>
      <w:r w:rsidRPr="002139A0">
        <w:t>Dit betekent dat we ervan uitgaan dat de invloed van economische factoren niet altijd constant is, maar kan veranderen naarmate deze factoren groter of kleiner worden.</w:t>
      </w:r>
      <w:r>
        <w:t xml:space="preserve"> Hoewel de resulterende modellen een goede voorspellende kracht toonden, waren de coëfficiënten opvallend hoog, op een wijze die economisch moeilijk verklaarbaar is. Het gebruik hiervan in een ramingsmodel leidt tot zeer volatiele uitkomsten. Om deze reden is gekozen om deze modellen niet te implementeren.</w:t>
      </w:r>
    </w:p>
    <w:p w:rsidR="00D22F27" w:rsidP="00D22F27" w:rsidRDefault="00D22F27" w14:paraId="04096466" w14:textId="77777777"/>
    <w:p w:rsidR="00DB06A1" w:rsidP="00D22F27" w:rsidRDefault="00DB06A1" w14:paraId="775D4AAF" w14:textId="77777777">
      <w:pPr>
        <w:rPr>
          <w:u w:val="single"/>
        </w:rPr>
      </w:pPr>
    </w:p>
    <w:p w:rsidR="00DB06A1" w:rsidP="00D22F27" w:rsidRDefault="00DB06A1" w14:paraId="51070D2A" w14:textId="77777777">
      <w:pPr>
        <w:rPr>
          <w:u w:val="single"/>
        </w:rPr>
      </w:pPr>
    </w:p>
    <w:p w:rsidR="00DB06A1" w:rsidP="00D22F27" w:rsidRDefault="00DB06A1" w14:paraId="1690EC30" w14:textId="77777777">
      <w:pPr>
        <w:rPr>
          <w:u w:val="single"/>
        </w:rPr>
      </w:pPr>
    </w:p>
    <w:p w:rsidR="00DB06A1" w:rsidP="00D22F27" w:rsidRDefault="00DB06A1" w14:paraId="50C19E71" w14:textId="77777777">
      <w:pPr>
        <w:rPr>
          <w:u w:val="single"/>
        </w:rPr>
      </w:pPr>
    </w:p>
    <w:p w:rsidR="00DB06A1" w:rsidP="00D22F27" w:rsidRDefault="00DB06A1" w14:paraId="2EE826F3" w14:textId="77777777">
      <w:pPr>
        <w:rPr>
          <w:u w:val="single"/>
        </w:rPr>
      </w:pPr>
    </w:p>
    <w:p w:rsidR="00DB06A1" w:rsidP="00D22F27" w:rsidRDefault="00DB06A1" w14:paraId="1B2B0036" w14:textId="77777777">
      <w:pPr>
        <w:rPr>
          <w:u w:val="single"/>
        </w:rPr>
      </w:pPr>
    </w:p>
    <w:p w:rsidR="00DB06A1" w:rsidP="00D22F27" w:rsidRDefault="00DB06A1" w14:paraId="5BB3D97A" w14:textId="77777777">
      <w:pPr>
        <w:rPr>
          <w:u w:val="single"/>
        </w:rPr>
      </w:pPr>
    </w:p>
    <w:p w:rsidR="00DB06A1" w:rsidP="00D22F27" w:rsidRDefault="00DB06A1" w14:paraId="1DAB1090" w14:textId="77777777">
      <w:pPr>
        <w:rPr>
          <w:u w:val="single"/>
        </w:rPr>
      </w:pPr>
    </w:p>
    <w:p w:rsidR="00DB06A1" w:rsidP="00D22F27" w:rsidRDefault="00DB06A1" w14:paraId="46A725BA" w14:textId="77777777">
      <w:pPr>
        <w:rPr>
          <w:u w:val="single"/>
        </w:rPr>
      </w:pPr>
    </w:p>
    <w:p w:rsidR="00DB06A1" w:rsidP="00D22F27" w:rsidRDefault="00DB06A1" w14:paraId="155F1A01" w14:textId="77777777">
      <w:pPr>
        <w:rPr>
          <w:u w:val="single"/>
        </w:rPr>
      </w:pPr>
    </w:p>
    <w:p w:rsidR="00DB06A1" w:rsidP="00D22F27" w:rsidRDefault="00DB06A1" w14:paraId="7C754C23" w14:textId="77777777">
      <w:pPr>
        <w:rPr>
          <w:u w:val="single"/>
        </w:rPr>
      </w:pPr>
    </w:p>
    <w:p w:rsidR="00DB06A1" w:rsidP="00D22F27" w:rsidRDefault="00DB06A1" w14:paraId="3AF6C843" w14:textId="77777777">
      <w:pPr>
        <w:rPr>
          <w:u w:val="single"/>
        </w:rPr>
      </w:pPr>
    </w:p>
    <w:p w:rsidR="00DB06A1" w:rsidP="00D22F27" w:rsidRDefault="00DB06A1" w14:paraId="286D7B66" w14:textId="77777777">
      <w:pPr>
        <w:rPr>
          <w:u w:val="single"/>
        </w:rPr>
      </w:pPr>
    </w:p>
    <w:p w:rsidRPr="005E7C6E" w:rsidR="00D22F27" w:rsidP="00D22F27" w:rsidRDefault="00D22F27" w14:paraId="0B23AF5B" w14:textId="77777777">
      <w:pPr>
        <w:rPr>
          <w:u w:val="single"/>
        </w:rPr>
      </w:pPr>
      <w:r w:rsidRPr="005E7C6E">
        <w:rPr>
          <w:u w:val="single"/>
        </w:rPr>
        <w:lastRenderedPageBreak/>
        <w:t>Tot slot</w:t>
      </w:r>
    </w:p>
    <w:p w:rsidR="00D22F27" w:rsidP="00D22F27" w:rsidRDefault="00D22F27" w14:paraId="730AEB7B" w14:textId="77777777">
      <w:pPr>
        <w:pStyle w:val="StandaardSlotzin"/>
      </w:pPr>
      <w:r>
        <w:t>De kwaliteit van ramingen en realistisch begrot</w:t>
      </w:r>
      <w:r w:rsidR="00F0368B">
        <w:t xml:space="preserve">en </w:t>
      </w:r>
      <w:r>
        <w:t xml:space="preserve">heeft mijn voortdurende aandacht. Afgelopen jaar zijn hier, </w:t>
      </w:r>
      <w:r w:rsidR="00F0368B">
        <w:t xml:space="preserve">door </w:t>
      </w:r>
      <w:r>
        <w:t>de adviezen van de expertgroep, flinke stappen in gezet. Onzekerheid blijft inherent aan ramingen, in het bijzonder in economisch volatiele tijden</w:t>
      </w:r>
      <w:r w:rsidR="00F0368B">
        <w:t xml:space="preserve">, maar met </w:t>
      </w:r>
      <w:r>
        <w:t xml:space="preserve">deze herijking van de schattingsvergelijkingen is de inkomstenraming weer gebaseerd op de meeste actuele inzichten. </w:t>
      </w:r>
    </w:p>
    <w:p w:rsidR="00F77CEC" w:rsidRDefault="002667E4" w14:paraId="04F8BB15" w14:textId="77777777">
      <w:pPr>
        <w:pStyle w:val="StandaardSlotzin"/>
      </w:pPr>
      <w:r>
        <w:t>Hoogachtend,</w:t>
      </w:r>
    </w:p>
    <w:p w:rsidR="00F77CEC" w:rsidRDefault="00F77CEC" w14:paraId="552DCF9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77CEC" w14:paraId="40779068" w14:textId="77777777">
        <w:tc>
          <w:tcPr>
            <w:tcW w:w="3592" w:type="dxa"/>
          </w:tcPr>
          <w:p w:rsidR="00F77CEC" w:rsidRDefault="002667E4" w14:paraId="5981F88C" w14:textId="77777777">
            <w:proofErr w:type="gramStart"/>
            <w:r>
              <w:t>de</w:t>
            </w:r>
            <w:proofErr w:type="gramEnd"/>
            <w:r>
              <w:t xml:space="preserve"> minister van Financiën,</w:t>
            </w:r>
            <w:r>
              <w:br/>
            </w:r>
            <w:r>
              <w:br/>
            </w:r>
            <w:r>
              <w:br/>
            </w:r>
            <w:r>
              <w:br/>
            </w:r>
            <w:r>
              <w:br/>
              <w:t>E. Heinen</w:t>
            </w:r>
          </w:p>
        </w:tc>
        <w:tc>
          <w:tcPr>
            <w:tcW w:w="3892" w:type="dxa"/>
          </w:tcPr>
          <w:p w:rsidR="00F77CEC" w:rsidRDefault="00F77CEC" w14:paraId="6A28F623" w14:textId="77777777"/>
        </w:tc>
      </w:tr>
      <w:tr w:rsidR="00F77CEC" w14:paraId="3E039254" w14:textId="77777777">
        <w:tc>
          <w:tcPr>
            <w:tcW w:w="3592" w:type="dxa"/>
          </w:tcPr>
          <w:p w:rsidR="00F77CEC" w:rsidRDefault="00F77CEC" w14:paraId="45EBAAA4" w14:textId="77777777"/>
        </w:tc>
        <w:tc>
          <w:tcPr>
            <w:tcW w:w="3892" w:type="dxa"/>
          </w:tcPr>
          <w:p w:rsidR="00F77CEC" w:rsidRDefault="00F77CEC" w14:paraId="7CFE2CA4" w14:textId="77777777"/>
        </w:tc>
      </w:tr>
      <w:tr w:rsidR="00F77CEC" w14:paraId="14D45B4B" w14:textId="77777777">
        <w:tc>
          <w:tcPr>
            <w:tcW w:w="3592" w:type="dxa"/>
          </w:tcPr>
          <w:p w:rsidR="00F77CEC" w:rsidRDefault="00F77CEC" w14:paraId="2A117902" w14:textId="77777777"/>
        </w:tc>
        <w:tc>
          <w:tcPr>
            <w:tcW w:w="3892" w:type="dxa"/>
          </w:tcPr>
          <w:p w:rsidR="00F77CEC" w:rsidRDefault="00F77CEC" w14:paraId="7B5C090E" w14:textId="77777777"/>
        </w:tc>
      </w:tr>
      <w:tr w:rsidR="00F77CEC" w14:paraId="4154C4D3" w14:textId="77777777">
        <w:tc>
          <w:tcPr>
            <w:tcW w:w="3592" w:type="dxa"/>
          </w:tcPr>
          <w:p w:rsidR="00F77CEC" w:rsidRDefault="00F77CEC" w14:paraId="31BF13CE" w14:textId="77777777"/>
        </w:tc>
        <w:tc>
          <w:tcPr>
            <w:tcW w:w="3892" w:type="dxa"/>
          </w:tcPr>
          <w:p w:rsidR="00F77CEC" w:rsidRDefault="00F77CEC" w14:paraId="0A678B39" w14:textId="77777777"/>
        </w:tc>
      </w:tr>
      <w:tr w:rsidR="00F77CEC" w14:paraId="42C69A46" w14:textId="77777777">
        <w:tc>
          <w:tcPr>
            <w:tcW w:w="3592" w:type="dxa"/>
          </w:tcPr>
          <w:p w:rsidR="00F77CEC" w:rsidRDefault="00F77CEC" w14:paraId="6C0FB88D" w14:textId="77777777"/>
        </w:tc>
        <w:tc>
          <w:tcPr>
            <w:tcW w:w="3892" w:type="dxa"/>
          </w:tcPr>
          <w:p w:rsidR="00F77CEC" w:rsidRDefault="00F77CEC" w14:paraId="3227FAA0" w14:textId="77777777"/>
        </w:tc>
      </w:tr>
    </w:tbl>
    <w:p w:rsidR="00F77CEC" w:rsidRDefault="00F77CEC" w14:paraId="58195A93" w14:textId="77777777">
      <w:pPr>
        <w:pStyle w:val="Verdana7"/>
      </w:pPr>
    </w:p>
    <w:sectPr w:rsidR="00F77CE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6C1C" w14:textId="77777777" w:rsidR="002667E4" w:rsidRDefault="002667E4">
      <w:pPr>
        <w:spacing w:line="240" w:lineRule="auto"/>
      </w:pPr>
      <w:r>
        <w:separator/>
      </w:r>
    </w:p>
  </w:endnote>
  <w:endnote w:type="continuationSeparator" w:id="0">
    <w:p w14:paraId="5E2BBB64" w14:textId="77777777" w:rsidR="002667E4" w:rsidRDefault="00266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9C86" w14:textId="77777777" w:rsidR="002667E4" w:rsidRDefault="002667E4">
      <w:pPr>
        <w:spacing w:line="240" w:lineRule="auto"/>
      </w:pPr>
      <w:r>
        <w:separator/>
      </w:r>
    </w:p>
  </w:footnote>
  <w:footnote w:type="continuationSeparator" w:id="0">
    <w:p w14:paraId="24DE8123" w14:textId="77777777" w:rsidR="002667E4" w:rsidRDefault="002667E4">
      <w:pPr>
        <w:spacing w:line="240" w:lineRule="auto"/>
      </w:pPr>
      <w:r>
        <w:continuationSeparator/>
      </w:r>
    </w:p>
  </w:footnote>
  <w:footnote w:id="1">
    <w:p w14:paraId="0E2A0C41" w14:textId="77777777" w:rsidR="00D22F27" w:rsidRDefault="00D22F27" w:rsidP="00D22F27">
      <w:pPr>
        <w:pStyle w:val="Voetnoottekst"/>
      </w:pPr>
      <w:r>
        <w:rPr>
          <w:rStyle w:val="Voetnootmarkering"/>
        </w:rPr>
        <w:footnoteRef/>
      </w:r>
      <w:r>
        <w:t xml:space="preserve"> Kamerstukken II, 2024-2025, </w:t>
      </w:r>
      <w:r w:rsidRPr="00660CB6">
        <w:t>2025D11055</w:t>
      </w:r>
    </w:p>
  </w:footnote>
  <w:footnote w:id="2">
    <w:p w14:paraId="7E24C5F8" w14:textId="77777777" w:rsidR="00D22F27" w:rsidRDefault="00D22F27" w:rsidP="00D22F27">
      <w:pPr>
        <w:pStyle w:val="Voetnoottekst"/>
      </w:pPr>
      <w:r>
        <w:rPr>
          <w:rStyle w:val="Voetnootmarkering"/>
        </w:rPr>
        <w:footnoteRef/>
      </w:r>
      <w:r>
        <w:t xml:space="preserve"> Zie </w:t>
      </w:r>
      <w:hyperlink r:id="rId1" w:history="1">
        <w:r w:rsidRPr="00A00EC9">
          <w:rPr>
            <w:rStyle w:val="Hyperlink"/>
          </w:rPr>
          <w:t>https://www.rijksfinancien.nl/belastingramingen-en-realisaties</w:t>
        </w:r>
      </w:hyperlink>
      <w:r>
        <w:t xml:space="preserve"> </w:t>
      </w:r>
    </w:p>
  </w:footnote>
  <w:footnote w:id="3">
    <w:p w14:paraId="63CBA950" w14:textId="77777777" w:rsidR="00D22F27" w:rsidRPr="005E7C6E" w:rsidRDefault="00D22F27" w:rsidP="00D22F27">
      <w:r>
        <w:rPr>
          <w:rStyle w:val="Voetnootmarkering"/>
        </w:rPr>
        <w:footnoteRef/>
      </w:r>
      <w:r>
        <w:t xml:space="preserve"> In formulevorm is dit </w:t>
      </w:r>
      <w:proofErr w:type="spellStart"/>
      <w:r>
        <w:t>T</w:t>
      </w:r>
      <w:r>
        <w:rPr>
          <w:vertAlign w:val="subscript"/>
        </w:rPr>
        <w:t>t</w:t>
      </w:r>
      <w:proofErr w:type="spellEnd"/>
      <w:r>
        <w:t xml:space="preserve"> = T</w:t>
      </w:r>
      <w:r>
        <w:rPr>
          <w:vertAlign w:val="subscript"/>
        </w:rPr>
        <w:t>t-1</w:t>
      </w:r>
      <w:r>
        <w:t xml:space="preserve"> * (1 + E</w:t>
      </w:r>
      <w:r>
        <w:rPr>
          <w:vertAlign w:val="subscript"/>
        </w:rPr>
        <w:t>t</w:t>
      </w:r>
      <w:r>
        <w:t>) + A</w:t>
      </w:r>
      <w:r>
        <w:rPr>
          <w:vertAlign w:val="subscript"/>
        </w:rPr>
        <w:t>t</w:t>
      </w:r>
      <w:r>
        <w:t>, w</w:t>
      </w:r>
      <w:r w:rsidRPr="005E7C6E">
        <w:t xml:space="preserve">aarbij </w:t>
      </w:r>
      <w:proofErr w:type="spellStart"/>
      <w:r w:rsidRPr="005E7C6E">
        <w:t>T</w:t>
      </w:r>
      <w:r>
        <w:rPr>
          <w:vertAlign w:val="subscript"/>
        </w:rPr>
        <w:t>t</w:t>
      </w:r>
      <w:proofErr w:type="spellEnd"/>
      <w:r>
        <w:t xml:space="preserve"> de ontvangst van een belastingsoort in jaar </w:t>
      </w:r>
      <w:r w:rsidRPr="00FF61B5">
        <w:rPr>
          <w:i/>
          <w:iCs/>
        </w:rPr>
        <w:t>t</w:t>
      </w:r>
      <w:r>
        <w:t xml:space="preserve"> is, E</w:t>
      </w:r>
      <w:r>
        <w:rPr>
          <w:vertAlign w:val="subscript"/>
        </w:rPr>
        <w:t>t</w:t>
      </w:r>
      <w:r>
        <w:t xml:space="preserve"> </w:t>
      </w:r>
      <w:proofErr w:type="gramStart"/>
      <w:r>
        <w:t>de effect</w:t>
      </w:r>
      <w:proofErr w:type="gramEnd"/>
      <w:r>
        <w:t xml:space="preserve"> van economische ontwikkeling op de belastingontvangst in jaar t, en A</w:t>
      </w:r>
      <w:r>
        <w:rPr>
          <w:vertAlign w:val="subscript"/>
        </w:rPr>
        <w:t>t</w:t>
      </w:r>
      <w:r>
        <w:t xml:space="preserve"> het beleidsmatig effect op de ontvangst van een belastingsoort in jaar t. </w:t>
      </w:r>
    </w:p>
    <w:p w14:paraId="172B4366" w14:textId="77777777" w:rsidR="00D22F27" w:rsidRDefault="00D22F27" w:rsidP="00D22F2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8D13" w14:textId="77777777" w:rsidR="00F77CEC" w:rsidRDefault="002667E4">
    <w:r>
      <w:rPr>
        <w:noProof/>
      </w:rPr>
      <mc:AlternateContent>
        <mc:Choice Requires="wps">
          <w:drawing>
            <wp:anchor distT="0" distB="0" distL="0" distR="0" simplePos="0" relativeHeight="251652096" behindDoc="0" locked="1" layoutInCell="1" allowOverlap="1" wp14:anchorId="62D35EE8" wp14:editId="61ECC910">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DA7D50" w14:textId="77777777" w:rsidR="00F77CEC" w:rsidRDefault="002667E4">
                          <w:pPr>
                            <w:pStyle w:val="StandaardReferentiegegevensKop"/>
                          </w:pPr>
                          <w:r>
                            <w:t>Ons kenmerk</w:t>
                          </w:r>
                        </w:p>
                        <w:p w14:paraId="0E063378" w14:textId="77777777" w:rsidR="00E60A7B" w:rsidRDefault="00352229">
                          <w:pPr>
                            <w:pStyle w:val="StandaardReferentiegegevens"/>
                          </w:pPr>
                          <w:r>
                            <w:fldChar w:fldCharType="begin"/>
                          </w:r>
                          <w:r>
                            <w:instrText xml:space="preserve"> DOCPROPERTY  "Kenmerk"  \* MERGEFORMAT </w:instrText>
                          </w:r>
                          <w:r>
                            <w:fldChar w:fldCharType="separate"/>
                          </w:r>
                          <w:r>
                            <w:t>2026-0000260565</w:t>
                          </w:r>
                          <w:r>
                            <w:fldChar w:fldCharType="end"/>
                          </w:r>
                        </w:p>
                      </w:txbxContent>
                    </wps:txbx>
                    <wps:bodyPr vert="horz" wrap="square" lIns="0" tIns="0" rIns="0" bIns="0" anchor="t" anchorCtr="0"/>
                  </wps:wsp>
                </a:graphicData>
              </a:graphic>
            </wp:anchor>
          </w:drawing>
        </mc:Choice>
        <mc:Fallback>
          <w:pict>
            <v:shapetype w14:anchorId="62D35EE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9DA7D50" w14:textId="77777777" w:rsidR="00F77CEC" w:rsidRDefault="002667E4">
                    <w:pPr>
                      <w:pStyle w:val="StandaardReferentiegegevensKop"/>
                    </w:pPr>
                    <w:r>
                      <w:t>Ons kenmerk</w:t>
                    </w:r>
                  </w:p>
                  <w:p w14:paraId="0E063378" w14:textId="77777777" w:rsidR="00E60A7B" w:rsidRDefault="00352229">
                    <w:pPr>
                      <w:pStyle w:val="StandaardReferentiegegevens"/>
                    </w:pPr>
                    <w:r>
                      <w:fldChar w:fldCharType="begin"/>
                    </w:r>
                    <w:r>
                      <w:instrText xml:space="preserve"> DOCPROPERTY  "Kenmerk"  \* MERGEFORMAT </w:instrText>
                    </w:r>
                    <w:r>
                      <w:fldChar w:fldCharType="separate"/>
                    </w:r>
                    <w:r>
                      <w:t>2026-0000260565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3EA6266" wp14:editId="61CDB8F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9A9A66" w14:textId="77777777" w:rsidR="00E60A7B" w:rsidRDefault="0035222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EA626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49A9A66" w14:textId="77777777" w:rsidR="00E60A7B" w:rsidRDefault="0035222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C3EF597" wp14:editId="06606B5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38C408" w14:textId="77777777" w:rsidR="00E60A7B" w:rsidRDefault="0035222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3EF59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38C408" w14:textId="77777777" w:rsidR="00E60A7B" w:rsidRDefault="0035222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EB16" w14:textId="77777777" w:rsidR="00F77CEC" w:rsidRDefault="002667E4">
    <w:pPr>
      <w:spacing w:after="7029" w:line="14" w:lineRule="exact"/>
    </w:pPr>
    <w:r>
      <w:rPr>
        <w:noProof/>
      </w:rPr>
      <mc:AlternateContent>
        <mc:Choice Requires="wps">
          <w:drawing>
            <wp:anchor distT="0" distB="0" distL="0" distR="0" simplePos="0" relativeHeight="251655168" behindDoc="0" locked="1" layoutInCell="1" allowOverlap="1" wp14:anchorId="3C038988" wp14:editId="6EBFE97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5E95C2B" w14:textId="77777777" w:rsidR="00F77CEC" w:rsidRDefault="002667E4">
                          <w:pPr>
                            <w:spacing w:line="240" w:lineRule="auto"/>
                          </w:pPr>
                          <w:r>
                            <w:rPr>
                              <w:noProof/>
                            </w:rPr>
                            <w:drawing>
                              <wp:inline distT="0" distB="0" distL="0" distR="0" wp14:anchorId="471DF69D" wp14:editId="638AC9F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03898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5E95C2B" w14:textId="77777777" w:rsidR="00F77CEC" w:rsidRDefault="002667E4">
                    <w:pPr>
                      <w:spacing w:line="240" w:lineRule="auto"/>
                    </w:pPr>
                    <w:r>
                      <w:rPr>
                        <w:noProof/>
                      </w:rPr>
                      <w:drawing>
                        <wp:inline distT="0" distB="0" distL="0" distR="0" wp14:anchorId="471DF69D" wp14:editId="638AC9F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36C69DF" wp14:editId="012682B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9F5DA43" w14:textId="77777777" w:rsidR="002667E4" w:rsidRDefault="002667E4"/>
                      </w:txbxContent>
                    </wps:txbx>
                    <wps:bodyPr vert="horz" wrap="square" lIns="0" tIns="0" rIns="0" bIns="0" anchor="t" anchorCtr="0"/>
                  </wps:wsp>
                </a:graphicData>
              </a:graphic>
            </wp:anchor>
          </w:drawing>
        </mc:Choice>
        <mc:Fallback>
          <w:pict>
            <v:shape w14:anchorId="536C69D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9F5DA43" w14:textId="77777777" w:rsidR="002667E4" w:rsidRDefault="002667E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D71F6EE" wp14:editId="581AEEBD">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2B80E90" w14:textId="77777777" w:rsidR="00F77CEC" w:rsidRDefault="002667E4">
                          <w:pPr>
                            <w:pStyle w:val="StandaardReferentiegegevens"/>
                          </w:pPr>
                          <w:r>
                            <w:t>Korte Voorhout 7</w:t>
                          </w:r>
                        </w:p>
                        <w:p w14:paraId="5A138A12" w14:textId="77777777" w:rsidR="00F77CEC" w:rsidRDefault="002667E4">
                          <w:pPr>
                            <w:pStyle w:val="StandaardReferentiegegevens"/>
                          </w:pPr>
                          <w:r>
                            <w:t>2511 CW  's-Gravenhage</w:t>
                          </w:r>
                        </w:p>
                        <w:p w14:paraId="3AA4B3A0" w14:textId="77777777" w:rsidR="00F77CEC" w:rsidRDefault="002667E4">
                          <w:pPr>
                            <w:pStyle w:val="StandaardReferentiegegevens"/>
                          </w:pPr>
                          <w:r>
                            <w:t>POSTBUS 20201</w:t>
                          </w:r>
                        </w:p>
                        <w:p w14:paraId="5B8BC7DB" w14:textId="77777777" w:rsidR="00F77CEC" w:rsidRPr="0020352D" w:rsidRDefault="002667E4">
                          <w:pPr>
                            <w:pStyle w:val="StandaardReferentiegegevens"/>
                            <w:rPr>
                              <w:lang w:val="es-ES"/>
                            </w:rPr>
                          </w:pPr>
                          <w:r w:rsidRPr="0020352D">
                            <w:rPr>
                              <w:lang w:val="es-ES"/>
                            </w:rPr>
                            <w:t xml:space="preserve">2500 </w:t>
                          </w:r>
                          <w:proofErr w:type="gramStart"/>
                          <w:r w:rsidRPr="0020352D">
                            <w:rPr>
                              <w:lang w:val="es-ES"/>
                            </w:rPr>
                            <w:t>EE  '</w:t>
                          </w:r>
                          <w:proofErr w:type="gramEnd"/>
                          <w:r w:rsidRPr="0020352D">
                            <w:rPr>
                              <w:lang w:val="es-ES"/>
                            </w:rPr>
                            <w:t>s-</w:t>
                          </w:r>
                          <w:proofErr w:type="spellStart"/>
                          <w:r w:rsidRPr="0020352D">
                            <w:rPr>
                              <w:lang w:val="es-ES"/>
                            </w:rPr>
                            <w:t>Gravenhage</w:t>
                          </w:r>
                          <w:proofErr w:type="spellEnd"/>
                        </w:p>
                        <w:p w14:paraId="1C7F0862" w14:textId="77777777" w:rsidR="00F77CEC" w:rsidRPr="0020352D" w:rsidRDefault="002667E4">
                          <w:pPr>
                            <w:pStyle w:val="StandaardReferentiegegevens"/>
                            <w:rPr>
                              <w:lang w:val="es-ES"/>
                            </w:rPr>
                          </w:pPr>
                          <w:r w:rsidRPr="0020352D">
                            <w:rPr>
                              <w:lang w:val="es-ES"/>
                            </w:rPr>
                            <w:t>www.rijksoverheid.nl/fin</w:t>
                          </w:r>
                        </w:p>
                        <w:p w14:paraId="507159B0" w14:textId="77777777" w:rsidR="00F77CEC" w:rsidRPr="0020352D" w:rsidRDefault="00F77CEC">
                          <w:pPr>
                            <w:pStyle w:val="WitregelW2"/>
                            <w:rPr>
                              <w:lang w:val="es-ES"/>
                            </w:rPr>
                          </w:pPr>
                        </w:p>
                        <w:p w14:paraId="278A96B9" w14:textId="77777777" w:rsidR="00F77CEC" w:rsidRDefault="002667E4">
                          <w:pPr>
                            <w:pStyle w:val="StandaardReferentiegegevensKop"/>
                          </w:pPr>
                          <w:r>
                            <w:t>Ons kenmerk</w:t>
                          </w:r>
                        </w:p>
                        <w:p w14:paraId="0AC4EC43" w14:textId="77777777" w:rsidR="00E60A7B" w:rsidRDefault="00352229">
                          <w:pPr>
                            <w:pStyle w:val="StandaardReferentiegegevens"/>
                          </w:pPr>
                          <w:r>
                            <w:fldChar w:fldCharType="begin"/>
                          </w:r>
                          <w:r>
                            <w:instrText xml:space="preserve"> DOCPROPERTY  "Kenmerk"  \* MERGEFORMAT </w:instrText>
                          </w:r>
                          <w:r>
                            <w:fldChar w:fldCharType="separate"/>
                          </w:r>
                          <w:r>
                            <w:t>2026-0000260565</w:t>
                          </w:r>
                          <w:r>
                            <w:fldChar w:fldCharType="end"/>
                          </w:r>
                        </w:p>
                        <w:p w14:paraId="3FA86A88" w14:textId="77777777" w:rsidR="00F77CEC" w:rsidRDefault="00F77CEC">
                          <w:pPr>
                            <w:pStyle w:val="WitregelW1"/>
                          </w:pPr>
                        </w:p>
                        <w:p w14:paraId="3B0BB2FB" w14:textId="77777777" w:rsidR="00F77CEC" w:rsidRDefault="002667E4">
                          <w:pPr>
                            <w:pStyle w:val="StandaardReferentiegegevensKop"/>
                          </w:pPr>
                          <w:r>
                            <w:t>Uw brief (kenmerk)</w:t>
                          </w:r>
                        </w:p>
                        <w:p w14:paraId="4ADE1D47" w14:textId="77777777" w:rsidR="00E60A7B" w:rsidRDefault="00352229">
                          <w:pPr>
                            <w:pStyle w:val="StandaardReferentiegegevens"/>
                          </w:pPr>
                          <w:r>
                            <w:fldChar w:fldCharType="begin"/>
                          </w:r>
                          <w:r>
                            <w:instrText xml:space="preserve"> DOCPROPERTY  "UwKenmerk"  \* MERGEFORMAT </w:instrText>
                          </w:r>
                          <w:r>
                            <w:fldChar w:fldCharType="end"/>
                          </w:r>
                        </w:p>
                        <w:p w14:paraId="4615FB51" w14:textId="77777777" w:rsidR="00F77CEC" w:rsidRDefault="00F77CEC">
                          <w:pPr>
                            <w:pStyle w:val="WitregelW1"/>
                          </w:pPr>
                        </w:p>
                        <w:p w14:paraId="54573A0D" w14:textId="77777777" w:rsidR="00F77CEC" w:rsidRDefault="002667E4">
                          <w:pPr>
                            <w:pStyle w:val="StandaardReferentiegegevensKop"/>
                          </w:pPr>
                          <w:r>
                            <w:t>Bijlagen</w:t>
                          </w:r>
                        </w:p>
                        <w:p w14:paraId="315AE695" w14:textId="77777777" w:rsidR="00F77CEC" w:rsidRDefault="002667E4">
                          <w:pPr>
                            <w:pStyle w:val="StandaardReferentiegegevens"/>
                          </w:pPr>
                          <w:r>
                            <w:t>1. Technische toelichting</w:t>
                          </w:r>
                        </w:p>
                      </w:txbxContent>
                    </wps:txbx>
                    <wps:bodyPr vert="horz" wrap="square" lIns="0" tIns="0" rIns="0" bIns="0" anchor="t" anchorCtr="0"/>
                  </wps:wsp>
                </a:graphicData>
              </a:graphic>
            </wp:anchor>
          </w:drawing>
        </mc:Choice>
        <mc:Fallback>
          <w:pict>
            <v:shape w14:anchorId="3D71F6E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2B80E90" w14:textId="77777777" w:rsidR="00F77CEC" w:rsidRDefault="002667E4">
                    <w:pPr>
                      <w:pStyle w:val="StandaardReferentiegegevens"/>
                    </w:pPr>
                    <w:r>
                      <w:t>Korte Voorhout 7</w:t>
                    </w:r>
                  </w:p>
                  <w:p w14:paraId="5A138A12" w14:textId="77777777" w:rsidR="00F77CEC" w:rsidRDefault="002667E4">
                    <w:pPr>
                      <w:pStyle w:val="StandaardReferentiegegevens"/>
                    </w:pPr>
                    <w:r>
                      <w:t>2511 CW  's-Gravenhage</w:t>
                    </w:r>
                  </w:p>
                  <w:p w14:paraId="3AA4B3A0" w14:textId="77777777" w:rsidR="00F77CEC" w:rsidRDefault="002667E4">
                    <w:pPr>
                      <w:pStyle w:val="StandaardReferentiegegevens"/>
                    </w:pPr>
                    <w:r>
                      <w:t>POSTBUS 20201</w:t>
                    </w:r>
                  </w:p>
                  <w:p w14:paraId="5B8BC7DB" w14:textId="77777777" w:rsidR="00F77CEC" w:rsidRPr="0020352D" w:rsidRDefault="002667E4">
                    <w:pPr>
                      <w:pStyle w:val="StandaardReferentiegegevens"/>
                      <w:rPr>
                        <w:lang w:val="es-ES"/>
                      </w:rPr>
                    </w:pPr>
                    <w:r w:rsidRPr="0020352D">
                      <w:rPr>
                        <w:lang w:val="es-ES"/>
                      </w:rPr>
                      <w:t xml:space="preserve">2500 </w:t>
                    </w:r>
                    <w:proofErr w:type="gramStart"/>
                    <w:r w:rsidRPr="0020352D">
                      <w:rPr>
                        <w:lang w:val="es-ES"/>
                      </w:rPr>
                      <w:t>EE  '</w:t>
                    </w:r>
                    <w:proofErr w:type="gramEnd"/>
                    <w:r w:rsidRPr="0020352D">
                      <w:rPr>
                        <w:lang w:val="es-ES"/>
                      </w:rPr>
                      <w:t>s-</w:t>
                    </w:r>
                    <w:proofErr w:type="spellStart"/>
                    <w:r w:rsidRPr="0020352D">
                      <w:rPr>
                        <w:lang w:val="es-ES"/>
                      </w:rPr>
                      <w:t>Gravenhage</w:t>
                    </w:r>
                    <w:proofErr w:type="spellEnd"/>
                  </w:p>
                  <w:p w14:paraId="1C7F0862" w14:textId="77777777" w:rsidR="00F77CEC" w:rsidRPr="0020352D" w:rsidRDefault="002667E4">
                    <w:pPr>
                      <w:pStyle w:val="StandaardReferentiegegevens"/>
                      <w:rPr>
                        <w:lang w:val="es-ES"/>
                      </w:rPr>
                    </w:pPr>
                    <w:r w:rsidRPr="0020352D">
                      <w:rPr>
                        <w:lang w:val="es-ES"/>
                      </w:rPr>
                      <w:t>www.rijksoverheid.nl/fin</w:t>
                    </w:r>
                  </w:p>
                  <w:p w14:paraId="507159B0" w14:textId="77777777" w:rsidR="00F77CEC" w:rsidRPr="0020352D" w:rsidRDefault="00F77CEC">
                    <w:pPr>
                      <w:pStyle w:val="WitregelW2"/>
                      <w:rPr>
                        <w:lang w:val="es-ES"/>
                      </w:rPr>
                    </w:pPr>
                  </w:p>
                  <w:p w14:paraId="278A96B9" w14:textId="77777777" w:rsidR="00F77CEC" w:rsidRDefault="002667E4">
                    <w:pPr>
                      <w:pStyle w:val="StandaardReferentiegegevensKop"/>
                    </w:pPr>
                    <w:r>
                      <w:t>Ons kenmerk</w:t>
                    </w:r>
                  </w:p>
                  <w:p w14:paraId="0AC4EC43" w14:textId="77777777" w:rsidR="00E60A7B" w:rsidRDefault="00352229">
                    <w:pPr>
                      <w:pStyle w:val="StandaardReferentiegegevens"/>
                    </w:pPr>
                    <w:r>
                      <w:fldChar w:fldCharType="begin"/>
                    </w:r>
                    <w:r>
                      <w:instrText xml:space="preserve"> DOCPROPERTY  "Kenmerk"  \* MERGEFORMAT </w:instrText>
                    </w:r>
                    <w:r>
                      <w:fldChar w:fldCharType="separate"/>
                    </w:r>
                    <w:r>
                      <w:t>2026-0000260565</w:t>
                    </w:r>
                    <w:r>
                      <w:fldChar w:fldCharType="end"/>
                    </w:r>
                  </w:p>
                  <w:p w14:paraId="3FA86A88" w14:textId="77777777" w:rsidR="00F77CEC" w:rsidRDefault="00F77CEC">
                    <w:pPr>
                      <w:pStyle w:val="WitregelW1"/>
                    </w:pPr>
                  </w:p>
                  <w:p w14:paraId="3B0BB2FB" w14:textId="77777777" w:rsidR="00F77CEC" w:rsidRDefault="002667E4">
                    <w:pPr>
                      <w:pStyle w:val="StandaardReferentiegegevensKop"/>
                    </w:pPr>
                    <w:r>
                      <w:t>Uw brief (kenmerk)</w:t>
                    </w:r>
                  </w:p>
                  <w:p w14:paraId="4ADE1D47" w14:textId="77777777" w:rsidR="00E60A7B" w:rsidRDefault="00352229">
                    <w:pPr>
                      <w:pStyle w:val="StandaardReferentiegegevens"/>
                    </w:pPr>
                    <w:r>
                      <w:fldChar w:fldCharType="begin"/>
                    </w:r>
                    <w:r>
                      <w:instrText xml:space="preserve"> DOCPROPERTY  "UwKenmerk"  \* MERGEFORMAT </w:instrText>
                    </w:r>
                    <w:r>
                      <w:fldChar w:fldCharType="end"/>
                    </w:r>
                  </w:p>
                  <w:p w14:paraId="4615FB51" w14:textId="77777777" w:rsidR="00F77CEC" w:rsidRDefault="00F77CEC">
                    <w:pPr>
                      <w:pStyle w:val="WitregelW1"/>
                    </w:pPr>
                  </w:p>
                  <w:p w14:paraId="54573A0D" w14:textId="77777777" w:rsidR="00F77CEC" w:rsidRDefault="002667E4">
                    <w:pPr>
                      <w:pStyle w:val="StandaardReferentiegegevensKop"/>
                    </w:pPr>
                    <w:r>
                      <w:t>Bijlagen</w:t>
                    </w:r>
                  </w:p>
                  <w:p w14:paraId="315AE695" w14:textId="77777777" w:rsidR="00F77CEC" w:rsidRDefault="002667E4">
                    <w:pPr>
                      <w:pStyle w:val="StandaardReferentiegegevens"/>
                    </w:pPr>
                    <w:r>
                      <w:t>1. Technische toelichting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45ABA5" wp14:editId="37D68A6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15BDE3D" w14:textId="77777777" w:rsidR="00F77CEC" w:rsidRDefault="002667E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C45ABA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15BDE3D" w14:textId="77777777" w:rsidR="00F77CEC" w:rsidRDefault="002667E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C881A09" wp14:editId="4C5BA0D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A49F6BE" w14:textId="77777777" w:rsidR="00E60A7B" w:rsidRDefault="00352229">
                          <w:pPr>
                            <w:pStyle w:val="Rubricering"/>
                          </w:pPr>
                          <w:r>
                            <w:fldChar w:fldCharType="begin"/>
                          </w:r>
                          <w:r>
                            <w:instrText xml:space="preserve"> DOCPROPERTY  "Rubricering"  \* MERGEFORMAT </w:instrText>
                          </w:r>
                          <w:r>
                            <w:fldChar w:fldCharType="end"/>
                          </w:r>
                        </w:p>
                        <w:p w14:paraId="628BB74E" w14:textId="77777777" w:rsidR="00352229" w:rsidRDefault="002667E4">
                          <w:r>
                            <w:fldChar w:fldCharType="begin"/>
                          </w:r>
                          <w:r w:rsidR="00352229">
                            <w:instrText xml:space="preserve"> DOCPROPERTY  "Aan"  \* MERGEFORMAT </w:instrText>
                          </w:r>
                          <w:r>
                            <w:fldChar w:fldCharType="separate"/>
                          </w:r>
                          <w:r w:rsidR="00352229">
                            <w:t>Voorzitter van de Tweede Kamer der Staten-Generaal</w:t>
                          </w:r>
                        </w:p>
                        <w:p w14:paraId="250414D6" w14:textId="77777777" w:rsidR="00352229" w:rsidRDefault="00352229">
                          <w:r>
                            <w:t>Postbus 20018</w:t>
                          </w:r>
                        </w:p>
                        <w:p w14:paraId="28A025FE" w14:textId="77777777" w:rsidR="00352229" w:rsidRDefault="00352229">
                          <w:r>
                            <w:t>2500 EA  DEN HAAG</w:t>
                          </w:r>
                        </w:p>
                        <w:p w14:paraId="22DE495B" w14:textId="77777777" w:rsidR="00352229" w:rsidRDefault="00352229"/>
                        <w:p w14:paraId="44B0F7DB" w14:textId="77777777" w:rsidR="00F77CEC" w:rsidRDefault="002667E4">
                          <w:r>
                            <w:fldChar w:fldCharType="end"/>
                          </w:r>
                        </w:p>
                      </w:txbxContent>
                    </wps:txbx>
                    <wps:bodyPr vert="horz" wrap="square" lIns="0" tIns="0" rIns="0" bIns="0" anchor="t" anchorCtr="0"/>
                  </wps:wsp>
                </a:graphicData>
              </a:graphic>
            </wp:anchor>
          </w:drawing>
        </mc:Choice>
        <mc:Fallback>
          <w:pict>
            <v:shape w14:anchorId="3C881A0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A49F6BE" w14:textId="77777777" w:rsidR="00E60A7B" w:rsidRDefault="00352229">
                    <w:pPr>
                      <w:pStyle w:val="Rubricering"/>
                    </w:pPr>
                    <w:r>
                      <w:fldChar w:fldCharType="begin"/>
                    </w:r>
                    <w:r>
                      <w:instrText xml:space="preserve"> DOCPROPERTY  "Rubricering"  \* MERGEFORMAT </w:instrText>
                    </w:r>
                    <w:r>
                      <w:fldChar w:fldCharType="end"/>
                    </w:r>
                  </w:p>
                  <w:p w14:paraId="628BB74E" w14:textId="77777777" w:rsidR="00352229" w:rsidRDefault="002667E4">
                    <w:r>
                      <w:fldChar w:fldCharType="begin"/>
                    </w:r>
                    <w:r w:rsidR="00352229">
                      <w:instrText xml:space="preserve"> DOCPROPERTY  "Aan"  \* MERGEFORMAT </w:instrText>
                    </w:r>
                    <w:r>
                      <w:fldChar w:fldCharType="separate"/>
                    </w:r>
                    <w:r w:rsidR="00352229">
                      <w:t>Voorzitter van de Tweede Kamer der Staten-Generaal</w:t>
                    </w:r>
                  </w:p>
                  <w:p w14:paraId="250414D6" w14:textId="77777777" w:rsidR="00352229" w:rsidRDefault="00352229">
                    <w:r>
                      <w:t>Postbus 20018</w:t>
                    </w:r>
                  </w:p>
                  <w:p w14:paraId="28A025FE" w14:textId="77777777" w:rsidR="00352229" w:rsidRDefault="00352229">
                    <w:r>
                      <w:t>2500 EA  DEN HAAG</w:t>
                    </w:r>
                  </w:p>
                  <w:p w14:paraId="22DE495B" w14:textId="77777777" w:rsidR="00352229" w:rsidRDefault="00352229"/>
                  <w:p w14:paraId="44B0F7DB" w14:textId="77777777" w:rsidR="00F77CEC" w:rsidRDefault="002667E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2361C36" wp14:editId="20E5481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2F46B1D" w14:textId="77777777" w:rsidR="00E60A7B" w:rsidRDefault="0035222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2361C3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2F46B1D" w14:textId="77777777" w:rsidR="00E60A7B" w:rsidRDefault="0035222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70B7998" wp14:editId="2E446A8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77CEC" w14:paraId="0A488303" w14:textId="77777777">
                            <w:trPr>
                              <w:trHeight w:val="200"/>
                            </w:trPr>
                            <w:tc>
                              <w:tcPr>
                                <w:tcW w:w="1140" w:type="dxa"/>
                              </w:tcPr>
                              <w:p w14:paraId="3429AA07" w14:textId="77777777" w:rsidR="00F77CEC" w:rsidRDefault="00F77CEC"/>
                            </w:tc>
                            <w:tc>
                              <w:tcPr>
                                <w:tcW w:w="5400" w:type="dxa"/>
                              </w:tcPr>
                              <w:p w14:paraId="3D6C9979" w14:textId="77777777" w:rsidR="00F77CEC" w:rsidRDefault="00F77CEC"/>
                            </w:tc>
                          </w:tr>
                          <w:tr w:rsidR="00F77CEC" w14:paraId="4401CA47" w14:textId="77777777">
                            <w:trPr>
                              <w:trHeight w:val="240"/>
                            </w:trPr>
                            <w:tc>
                              <w:tcPr>
                                <w:tcW w:w="1140" w:type="dxa"/>
                              </w:tcPr>
                              <w:p w14:paraId="1AD6CB94" w14:textId="77777777" w:rsidR="00F77CEC" w:rsidRDefault="002667E4">
                                <w:r>
                                  <w:t>Datum</w:t>
                                </w:r>
                              </w:p>
                            </w:tc>
                            <w:tc>
                              <w:tcPr>
                                <w:tcW w:w="5400" w:type="dxa"/>
                              </w:tcPr>
                              <w:p w14:paraId="3D4CBD2A" w14:textId="6D9AA0E2" w:rsidR="00F77CEC" w:rsidRDefault="00352229">
                                <w:r>
                                  <w:t>1 juli 2026</w:t>
                                </w:r>
                              </w:p>
                            </w:tc>
                          </w:tr>
                          <w:tr w:rsidR="00F77CEC" w14:paraId="75A0CFBF" w14:textId="77777777">
                            <w:trPr>
                              <w:trHeight w:val="240"/>
                            </w:trPr>
                            <w:tc>
                              <w:tcPr>
                                <w:tcW w:w="1140" w:type="dxa"/>
                              </w:tcPr>
                              <w:p w14:paraId="13B9CD5A" w14:textId="77777777" w:rsidR="00F77CEC" w:rsidRDefault="002667E4">
                                <w:r>
                                  <w:t>Betreft</w:t>
                                </w:r>
                              </w:p>
                            </w:tc>
                            <w:tc>
                              <w:tcPr>
                                <w:tcW w:w="5400" w:type="dxa"/>
                              </w:tcPr>
                              <w:p w14:paraId="5A07BB14" w14:textId="77777777" w:rsidR="00E60A7B" w:rsidRDefault="00352229">
                                <w:r>
                                  <w:fldChar w:fldCharType="begin"/>
                                </w:r>
                                <w:r>
                                  <w:instrText xml:space="preserve"> DOCPROPERTY  "Onderwerp"  \* MERGEFORMAT </w:instrText>
                                </w:r>
                                <w:r>
                                  <w:fldChar w:fldCharType="separate"/>
                                </w:r>
                                <w:r>
                                  <w:t>Herijking schattingsvergelijkingen inkomstenraming</w:t>
                                </w:r>
                                <w:r>
                                  <w:fldChar w:fldCharType="end"/>
                                </w:r>
                              </w:p>
                            </w:tc>
                          </w:tr>
                          <w:tr w:rsidR="00F77CEC" w14:paraId="414F30CF" w14:textId="77777777">
                            <w:trPr>
                              <w:trHeight w:val="200"/>
                            </w:trPr>
                            <w:tc>
                              <w:tcPr>
                                <w:tcW w:w="1140" w:type="dxa"/>
                              </w:tcPr>
                              <w:p w14:paraId="354EB84A" w14:textId="77777777" w:rsidR="00F77CEC" w:rsidRDefault="00F77CEC"/>
                            </w:tc>
                            <w:tc>
                              <w:tcPr>
                                <w:tcW w:w="4738" w:type="dxa"/>
                              </w:tcPr>
                              <w:p w14:paraId="2800C9EC" w14:textId="77777777" w:rsidR="00F77CEC" w:rsidRDefault="00F77CEC"/>
                            </w:tc>
                          </w:tr>
                        </w:tbl>
                        <w:p w14:paraId="16105962" w14:textId="77777777" w:rsidR="002667E4" w:rsidRDefault="002667E4"/>
                      </w:txbxContent>
                    </wps:txbx>
                    <wps:bodyPr vert="horz" wrap="square" lIns="0" tIns="0" rIns="0" bIns="0" anchor="t" anchorCtr="0"/>
                  </wps:wsp>
                </a:graphicData>
              </a:graphic>
            </wp:anchor>
          </w:drawing>
        </mc:Choice>
        <mc:Fallback>
          <w:pict>
            <v:shape w14:anchorId="170B799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77CEC" w14:paraId="0A488303" w14:textId="77777777">
                      <w:trPr>
                        <w:trHeight w:val="200"/>
                      </w:trPr>
                      <w:tc>
                        <w:tcPr>
                          <w:tcW w:w="1140" w:type="dxa"/>
                        </w:tcPr>
                        <w:p w14:paraId="3429AA07" w14:textId="77777777" w:rsidR="00F77CEC" w:rsidRDefault="00F77CEC"/>
                      </w:tc>
                      <w:tc>
                        <w:tcPr>
                          <w:tcW w:w="5400" w:type="dxa"/>
                        </w:tcPr>
                        <w:p w14:paraId="3D6C9979" w14:textId="77777777" w:rsidR="00F77CEC" w:rsidRDefault="00F77CEC"/>
                      </w:tc>
                    </w:tr>
                    <w:tr w:rsidR="00F77CEC" w14:paraId="4401CA47" w14:textId="77777777">
                      <w:trPr>
                        <w:trHeight w:val="240"/>
                      </w:trPr>
                      <w:tc>
                        <w:tcPr>
                          <w:tcW w:w="1140" w:type="dxa"/>
                        </w:tcPr>
                        <w:p w14:paraId="1AD6CB94" w14:textId="77777777" w:rsidR="00F77CEC" w:rsidRDefault="002667E4">
                          <w:r>
                            <w:t>Datum</w:t>
                          </w:r>
                        </w:p>
                      </w:tc>
                      <w:tc>
                        <w:tcPr>
                          <w:tcW w:w="5400" w:type="dxa"/>
                        </w:tcPr>
                        <w:p w14:paraId="3D4CBD2A" w14:textId="6D9AA0E2" w:rsidR="00F77CEC" w:rsidRDefault="00352229">
                          <w:r>
                            <w:t>1 juli 2026</w:t>
                          </w:r>
                        </w:p>
                      </w:tc>
                    </w:tr>
                    <w:tr w:rsidR="00F77CEC" w14:paraId="75A0CFBF" w14:textId="77777777">
                      <w:trPr>
                        <w:trHeight w:val="240"/>
                      </w:trPr>
                      <w:tc>
                        <w:tcPr>
                          <w:tcW w:w="1140" w:type="dxa"/>
                        </w:tcPr>
                        <w:p w14:paraId="13B9CD5A" w14:textId="77777777" w:rsidR="00F77CEC" w:rsidRDefault="002667E4">
                          <w:r>
                            <w:t>Betreft</w:t>
                          </w:r>
                        </w:p>
                      </w:tc>
                      <w:tc>
                        <w:tcPr>
                          <w:tcW w:w="5400" w:type="dxa"/>
                        </w:tcPr>
                        <w:p w14:paraId="5A07BB14" w14:textId="77777777" w:rsidR="00E60A7B" w:rsidRDefault="00352229">
                          <w:r>
                            <w:fldChar w:fldCharType="begin"/>
                          </w:r>
                          <w:r>
                            <w:instrText xml:space="preserve"> DOCPROPERTY  "Onderwerp"  \* MERGEFORMAT </w:instrText>
                          </w:r>
                          <w:r>
                            <w:fldChar w:fldCharType="separate"/>
                          </w:r>
                          <w:r>
                            <w:t>Herijking schattingsvergelijkingen inkomstenraming</w:t>
                          </w:r>
                          <w:r>
                            <w:fldChar w:fldCharType="end"/>
                          </w:r>
                        </w:p>
                      </w:tc>
                    </w:tr>
                    <w:tr w:rsidR="00F77CEC" w14:paraId="414F30CF" w14:textId="77777777">
                      <w:trPr>
                        <w:trHeight w:val="200"/>
                      </w:trPr>
                      <w:tc>
                        <w:tcPr>
                          <w:tcW w:w="1140" w:type="dxa"/>
                        </w:tcPr>
                        <w:p w14:paraId="354EB84A" w14:textId="77777777" w:rsidR="00F77CEC" w:rsidRDefault="00F77CEC"/>
                      </w:tc>
                      <w:tc>
                        <w:tcPr>
                          <w:tcW w:w="4738" w:type="dxa"/>
                        </w:tcPr>
                        <w:p w14:paraId="2800C9EC" w14:textId="77777777" w:rsidR="00F77CEC" w:rsidRDefault="00F77CEC"/>
                      </w:tc>
                    </w:tr>
                  </w:tbl>
                  <w:p w14:paraId="16105962" w14:textId="77777777" w:rsidR="002667E4" w:rsidRDefault="002667E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1B77A43" wp14:editId="46DA1F2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F6812A3" w14:textId="77777777" w:rsidR="00E60A7B" w:rsidRDefault="0035222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1B77A4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F6812A3" w14:textId="77777777" w:rsidR="00E60A7B" w:rsidRDefault="0035222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8EADC16" wp14:editId="250A108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C65F4C9" w14:textId="77777777" w:rsidR="002667E4" w:rsidRDefault="002667E4"/>
                      </w:txbxContent>
                    </wps:txbx>
                    <wps:bodyPr vert="horz" wrap="square" lIns="0" tIns="0" rIns="0" bIns="0" anchor="t" anchorCtr="0"/>
                  </wps:wsp>
                </a:graphicData>
              </a:graphic>
            </wp:anchor>
          </w:drawing>
        </mc:Choice>
        <mc:Fallback>
          <w:pict>
            <v:shape w14:anchorId="38EADC1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C65F4C9" w14:textId="77777777" w:rsidR="002667E4" w:rsidRDefault="002667E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FB1DC9"/>
    <w:multiLevelType w:val="multilevel"/>
    <w:tmpl w:val="40F61E8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75B161"/>
    <w:multiLevelType w:val="multilevel"/>
    <w:tmpl w:val="AD31EF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7743E7F"/>
    <w:multiLevelType w:val="multilevel"/>
    <w:tmpl w:val="7F04A02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F75E80"/>
    <w:multiLevelType w:val="multilevel"/>
    <w:tmpl w:val="514C7E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C1706D6"/>
    <w:multiLevelType w:val="hybridMultilevel"/>
    <w:tmpl w:val="E23CB050"/>
    <w:lvl w:ilvl="0" w:tplc="6CDCD0FE">
      <w:start w:val="1"/>
      <w:numFmt w:val="bullet"/>
      <w:lvlText w:val="–"/>
      <w:lvlJc w:val="left"/>
      <w:pPr>
        <w:tabs>
          <w:tab w:val="num" w:pos="720"/>
        </w:tabs>
        <w:ind w:left="720" w:hanging="360"/>
      </w:pPr>
      <w:rPr>
        <w:rFonts w:ascii="Verdana" w:hAnsi="Verdana" w:hint="default"/>
      </w:rPr>
    </w:lvl>
    <w:lvl w:ilvl="1" w:tplc="34F04A3C">
      <w:start w:val="1"/>
      <w:numFmt w:val="bullet"/>
      <w:lvlText w:val="–"/>
      <w:lvlJc w:val="left"/>
      <w:pPr>
        <w:tabs>
          <w:tab w:val="num" w:pos="1440"/>
        </w:tabs>
        <w:ind w:left="1440" w:hanging="360"/>
      </w:pPr>
      <w:rPr>
        <w:rFonts w:ascii="Verdana" w:hAnsi="Verdana" w:hint="default"/>
      </w:rPr>
    </w:lvl>
    <w:lvl w:ilvl="2" w:tplc="59C09850" w:tentative="1">
      <w:start w:val="1"/>
      <w:numFmt w:val="bullet"/>
      <w:lvlText w:val="–"/>
      <w:lvlJc w:val="left"/>
      <w:pPr>
        <w:tabs>
          <w:tab w:val="num" w:pos="2160"/>
        </w:tabs>
        <w:ind w:left="2160" w:hanging="360"/>
      </w:pPr>
      <w:rPr>
        <w:rFonts w:ascii="Verdana" w:hAnsi="Verdana" w:hint="default"/>
      </w:rPr>
    </w:lvl>
    <w:lvl w:ilvl="3" w:tplc="DD26B6BC" w:tentative="1">
      <w:start w:val="1"/>
      <w:numFmt w:val="bullet"/>
      <w:lvlText w:val="–"/>
      <w:lvlJc w:val="left"/>
      <w:pPr>
        <w:tabs>
          <w:tab w:val="num" w:pos="2880"/>
        </w:tabs>
        <w:ind w:left="2880" w:hanging="360"/>
      </w:pPr>
      <w:rPr>
        <w:rFonts w:ascii="Verdana" w:hAnsi="Verdana" w:hint="default"/>
      </w:rPr>
    </w:lvl>
    <w:lvl w:ilvl="4" w:tplc="C01EC21C" w:tentative="1">
      <w:start w:val="1"/>
      <w:numFmt w:val="bullet"/>
      <w:lvlText w:val="–"/>
      <w:lvlJc w:val="left"/>
      <w:pPr>
        <w:tabs>
          <w:tab w:val="num" w:pos="3600"/>
        </w:tabs>
        <w:ind w:left="3600" w:hanging="360"/>
      </w:pPr>
      <w:rPr>
        <w:rFonts w:ascii="Verdana" w:hAnsi="Verdana" w:hint="default"/>
      </w:rPr>
    </w:lvl>
    <w:lvl w:ilvl="5" w:tplc="61A690AC" w:tentative="1">
      <w:start w:val="1"/>
      <w:numFmt w:val="bullet"/>
      <w:lvlText w:val="–"/>
      <w:lvlJc w:val="left"/>
      <w:pPr>
        <w:tabs>
          <w:tab w:val="num" w:pos="4320"/>
        </w:tabs>
        <w:ind w:left="4320" w:hanging="360"/>
      </w:pPr>
      <w:rPr>
        <w:rFonts w:ascii="Verdana" w:hAnsi="Verdana" w:hint="default"/>
      </w:rPr>
    </w:lvl>
    <w:lvl w:ilvl="6" w:tplc="B4AE1804" w:tentative="1">
      <w:start w:val="1"/>
      <w:numFmt w:val="bullet"/>
      <w:lvlText w:val="–"/>
      <w:lvlJc w:val="left"/>
      <w:pPr>
        <w:tabs>
          <w:tab w:val="num" w:pos="5040"/>
        </w:tabs>
        <w:ind w:left="5040" w:hanging="360"/>
      </w:pPr>
      <w:rPr>
        <w:rFonts w:ascii="Verdana" w:hAnsi="Verdana" w:hint="default"/>
      </w:rPr>
    </w:lvl>
    <w:lvl w:ilvl="7" w:tplc="B1D0065C" w:tentative="1">
      <w:start w:val="1"/>
      <w:numFmt w:val="bullet"/>
      <w:lvlText w:val="–"/>
      <w:lvlJc w:val="left"/>
      <w:pPr>
        <w:tabs>
          <w:tab w:val="num" w:pos="5760"/>
        </w:tabs>
        <w:ind w:left="5760" w:hanging="360"/>
      </w:pPr>
      <w:rPr>
        <w:rFonts w:ascii="Verdana" w:hAnsi="Verdana" w:hint="default"/>
      </w:rPr>
    </w:lvl>
    <w:lvl w:ilvl="8" w:tplc="78D01FC6"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56C04EC4"/>
    <w:multiLevelType w:val="multilevel"/>
    <w:tmpl w:val="9A32C87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0FE798"/>
    <w:multiLevelType w:val="multilevel"/>
    <w:tmpl w:val="5EB722B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1777951">
    <w:abstractNumId w:val="5"/>
  </w:num>
  <w:num w:numId="2" w16cid:durableId="801194147">
    <w:abstractNumId w:val="6"/>
  </w:num>
  <w:num w:numId="3" w16cid:durableId="547257472">
    <w:abstractNumId w:val="1"/>
  </w:num>
  <w:num w:numId="4" w16cid:durableId="1406223963">
    <w:abstractNumId w:val="3"/>
  </w:num>
  <w:num w:numId="5" w16cid:durableId="826016863">
    <w:abstractNumId w:val="2"/>
  </w:num>
  <w:num w:numId="6" w16cid:durableId="704254777">
    <w:abstractNumId w:val="0"/>
  </w:num>
  <w:num w:numId="7" w16cid:durableId="52863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EC"/>
    <w:rsid w:val="00011956"/>
    <w:rsid w:val="00047E69"/>
    <w:rsid w:val="00076F89"/>
    <w:rsid w:val="000A2D53"/>
    <w:rsid w:val="000B6535"/>
    <w:rsid w:val="000B69B5"/>
    <w:rsid w:val="000C0830"/>
    <w:rsid w:val="000D166E"/>
    <w:rsid w:val="000D60DC"/>
    <w:rsid w:val="00111285"/>
    <w:rsid w:val="00114E01"/>
    <w:rsid w:val="00202E42"/>
    <w:rsid w:val="0020352D"/>
    <w:rsid w:val="002139A0"/>
    <w:rsid w:val="002527ED"/>
    <w:rsid w:val="002667E4"/>
    <w:rsid w:val="002844D9"/>
    <w:rsid w:val="002B3BC1"/>
    <w:rsid w:val="00311FC2"/>
    <w:rsid w:val="00321388"/>
    <w:rsid w:val="00352229"/>
    <w:rsid w:val="003E42F6"/>
    <w:rsid w:val="004266ED"/>
    <w:rsid w:val="00450862"/>
    <w:rsid w:val="00480B68"/>
    <w:rsid w:val="005246CD"/>
    <w:rsid w:val="00551AD5"/>
    <w:rsid w:val="005C313E"/>
    <w:rsid w:val="005E7C6E"/>
    <w:rsid w:val="00641CA6"/>
    <w:rsid w:val="006876CC"/>
    <w:rsid w:val="007076E8"/>
    <w:rsid w:val="00736DAD"/>
    <w:rsid w:val="00774355"/>
    <w:rsid w:val="007E2812"/>
    <w:rsid w:val="007F7C96"/>
    <w:rsid w:val="00862406"/>
    <w:rsid w:val="008A391A"/>
    <w:rsid w:val="008D7169"/>
    <w:rsid w:val="009943F3"/>
    <w:rsid w:val="009A2A68"/>
    <w:rsid w:val="00A05559"/>
    <w:rsid w:val="00A312C0"/>
    <w:rsid w:val="00A43BA2"/>
    <w:rsid w:val="00A47E3D"/>
    <w:rsid w:val="00A9272A"/>
    <w:rsid w:val="00A938E7"/>
    <w:rsid w:val="00A956AB"/>
    <w:rsid w:val="00A96EF3"/>
    <w:rsid w:val="00AC2D8C"/>
    <w:rsid w:val="00B52716"/>
    <w:rsid w:val="00B8005D"/>
    <w:rsid w:val="00B83238"/>
    <w:rsid w:val="00B8577C"/>
    <w:rsid w:val="00BB5A70"/>
    <w:rsid w:val="00C42997"/>
    <w:rsid w:val="00CC1393"/>
    <w:rsid w:val="00D22F27"/>
    <w:rsid w:val="00D4661A"/>
    <w:rsid w:val="00DB06A1"/>
    <w:rsid w:val="00DD7AF4"/>
    <w:rsid w:val="00E13D20"/>
    <w:rsid w:val="00E16005"/>
    <w:rsid w:val="00E203A9"/>
    <w:rsid w:val="00E60A7B"/>
    <w:rsid w:val="00E65DF4"/>
    <w:rsid w:val="00EA4CDB"/>
    <w:rsid w:val="00EF3383"/>
    <w:rsid w:val="00F0368B"/>
    <w:rsid w:val="00F20E52"/>
    <w:rsid w:val="00F77CEC"/>
    <w:rsid w:val="00FA2951"/>
    <w:rsid w:val="00FE1944"/>
    <w:rsid w:val="00FF512E"/>
    <w:rsid w:val="00FF61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7C053FC"/>
  <w15:docId w15:val="{D7C4A9E0-BEF2-4157-B5F4-6E8B70EF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035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52D"/>
    <w:rPr>
      <w:rFonts w:ascii="Verdana" w:hAnsi="Verdana"/>
      <w:color w:val="000000"/>
      <w:sz w:val="18"/>
      <w:szCs w:val="18"/>
    </w:rPr>
  </w:style>
  <w:style w:type="paragraph" w:styleId="Voettekst">
    <w:name w:val="footer"/>
    <w:basedOn w:val="Standaard"/>
    <w:link w:val="VoettekstChar"/>
    <w:uiPriority w:val="99"/>
    <w:unhideWhenUsed/>
    <w:rsid w:val="002035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352D"/>
    <w:rPr>
      <w:rFonts w:ascii="Verdana" w:hAnsi="Verdana"/>
      <w:color w:val="000000"/>
      <w:sz w:val="18"/>
      <w:szCs w:val="18"/>
    </w:rPr>
  </w:style>
  <w:style w:type="character" w:styleId="Verwijzingopmerking">
    <w:name w:val="annotation reference"/>
    <w:basedOn w:val="Standaardalinea-lettertype"/>
    <w:uiPriority w:val="99"/>
    <w:semiHidden/>
    <w:unhideWhenUsed/>
    <w:rsid w:val="00A47E3D"/>
    <w:rPr>
      <w:sz w:val="16"/>
      <w:szCs w:val="16"/>
    </w:rPr>
  </w:style>
  <w:style w:type="paragraph" w:styleId="Tekstopmerking">
    <w:name w:val="annotation text"/>
    <w:basedOn w:val="Standaard"/>
    <w:link w:val="TekstopmerkingChar"/>
    <w:uiPriority w:val="99"/>
    <w:unhideWhenUsed/>
    <w:rsid w:val="00A47E3D"/>
    <w:pPr>
      <w:autoSpaceDN/>
      <w:spacing w:after="160" w:line="240" w:lineRule="auto"/>
      <w:jc w:val="both"/>
      <w:textAlignment w:val="auto"/>
    </w:pPr>
    <w:rPr>
      <w:rFonts w:ascii="Helvetica" w:eastAsiaTheme="minorHAnsi" w:hAnsi="Helvetica"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47E3D"/>
    <w:rPr>
      <w:rFonts w:ascii="Helvetica" w:eastAsiaTheme="minorHAnsi" w:hAnsi="Helvetica" w:cstheme="minorBidi"/>
      <w:kern w:val="2"/>
      <w:lang w:eastAsia="en-US"/>
      <w14:ligatures w14:val="standardContextual"/>
    </w:rPr>
  </w:style>
  <w:style w:type="paragraph" w:styleId="Voetnoottekst">
    <w:name w:val="footnote text"/>
    <w:basedOn w:val="Standaard"/>
    <w:link w:val="VoetnoottekstChar"/>
    <w:uiPriority w:val="99"/>
    <w:semiHidden/>
    <w:unhideWhenUsed/>
    <w:rsid w:val="000B6535"/>
    <w:pPr>
      <w:autoSpaceDN/>
      <w:spacing w:line="240" w:lineRule="auto"/>
      <w:jc w:val="both"/>
      <w:textAlignment w:val="auto"/>
    </w:pPr>
    <w:rPr>
      <w:rFonts w:ascii="Helvetica" w:eastAsiaTheme="minorHAnsi" w:hAnsi="Helvetica"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B6535"/>
    <w:rPr>
      <w:rFonts w:ascii="Helvetica" w:eastAsiaTheme="minorHAnsi" w:hAnsi="Helvetica" w:cstheme="minorBidi"/>
      <w:kern w:val="2"/>
      <w:lang w:eastAsia="en-US"/>
      <w14:ligatures w14:val="standardContextual"/>
    </w:rPr>
  </w:style>
  <w:style w:type="character" w:styleId="Voetnootmarkering">
    <w:name w:val="footnote reference"/>
    <w:basedOn w:val="Standaardalinea-lettertype"/>
    <w:uiPriority w:val="99"/>
    <w:semiHidden/>
    <w:unhideWhenUsed/>
    <w:rsid w:val="000B6535"/>
    <w:rPr>
      <w:vertAlign w:val="superscript"/>
    </w:rPr>
  </w:style>
  <w:style w:type="paragraph" w:styleId="Onderwerpvanopmerking">
    <w:name w:val="annotation subject"/>
    <w:basedOn w:val="Tekstopmerking"/>
    <w:next w:val="Tekstopmerking"/>
    <w:link w:val="OnderwerpvanopmerkingChar"/>
    <w:uiPriority w:val="99"/>
    <w:semiHidden/>
    <w:unhideWhenUsed/>
    <w:rsid w:val="00DD7AF4"/>
    <w:pPr>
      <w:autoSpaceDN w:val="0"/>
      <w:spacing w:after="0"/>
      <w:jc w:val="left"/>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DD7AF4"/>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A92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belastingramingen-en-realisa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1204</ap:Words>
  <ap:Characters>6625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Eerste of Tweede Kamer - Herijking schattingsvergelijkingen inkomstenraming</vt:lpstr>
    </vt:vector>
  </ap:TitlesOfParts>
  <ap:LinksUpToDate>false</ap:LinksUpToDate>
  <ap:CharactersWithSpaces>7814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2026-07-01T11:09:00.0000000Z</dcterms:created>
  <dcterms:modified xsi:type="dcterms:W3CDTF">2026-07-01T11:09:00.0000000Z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Herijking schattingsvergelijkingen inkomstenraming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2026-0000260565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Herijking schattingsvergelijkingen inkomstenraming</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2026-06-17T08:50:39Z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b063c077-a0af-4586-a14b-be3100d3cbd0</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