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04D2" w:rsidR="0066658E" w:rsidP="00261E03" w:rsidRDefault="0066658E" w14:paraId="77C1E26B" w14:textId="1699FFC7">
      <w:pPr>
        <w:rPr>
          <w:color w:val="auto"/>
        </w:rPr>
      </w:pPr>
      <w:r w:rsidRPr="00D704D2">
        <w:rPr>
          <w:color w:val="auto"/>
        </w:rPr>
        <w:t xml:space="preserve">In deze brief </w:t>
      </w:r>
      <w:r w:rsidRPr="00D704D2" w:rsidR="000F1C78">
        <w:rPr>
          <w:color w:val="auto"/>
        </w:rPr>
        <w:t>wordt u geïnformeerd</w:t>
      </w:r>
      <w:r w:rsidRPr="00D704D2" w:rsidR="00CF68E5">
        <w:rPr>
          <w:color w:val="auto"/>
        </w:rPr>
        <w:t xml:space="preserve"> </w:t>
      </w:r>
      <w:r w:rsidRPr="00D704D2">
        <w:rPr>
          <w:color w:val="auto"/>
        </w:rPr>
        <w:t>over de</w:t>
      </w:r>
      <w:r w:rsidRPr="00D704D2" w:rsidR="00156ABE">
        <w:rPr>
          <w:color w:val="auto"/>
        </w:rPr>
        <w:t xml:space="preserve"> stand van zaken met betrekking tot de</w:t>
      </w:r>
      <w:r w:rsidRPr="00D704D2">
        <w:rPr>
          <w:color w:val="auto"/>
        </w:rPr>
        <w:t xml:space="preserve"> inwerkingtreding van de Wet veilige jaarwisseling (per 1 augustus 2026)</w:t>
      </w:r>
      <w:r w:rsidRPr="00D704D2" w:rsidR="000F1C78">
        <w:rPr>
          <w:color w:val="auto"/>
        </w:rPr>
        <w:t xml:space="preserve"> en</w:t>
      </w:r>
      <w:r w:rsidRPr="00D704D2">
        <w:rPr>
          <w:color w:val="auto"/>
        </w:rPr>
        <w:t xml:space="preserve"> de uitvoering van het geactualiseerde handhavingsplan</w:t>
      </w:r>
      <w:r w:rsidRPr="00D704D2" w:rsidR="00156ABE">
        <w:rPr>
          <w:color w:val="auto"/>
        </w:rPr>
        <w:t>, de internationale aanpak van illegale handel en misbruik van vuurwerk</w:t>
      </w:r>
      <w:r w:rsidRPr="00D704D2">
        <w:rPr>
          <w:color w:val="auto"/>
        </w:rPr>
        <w:t xml:space="preserve"> en de opvolging van </w:t>
      </w:r>
      <w:r w:rsidRPr="00D704D2" w:rsidR="00CF68E5">
        <w:rPr>
          <w:color w:val="auto"/>
        </w:rPr>
        <w:t>verscheidene</w:t>
      </w:r>
      <w:r w:rsidRPr="00D704D2">
        <w:rPr>
          <w:color w:val="auto"/>
        </w:rPr>
        <w:t xml:space="preserve"> moties en toezeggingen</w:t>
      </w:r>
      <w:r w:rsidRPr="00D704D2" w:rsidR="000F1C78">
        <w:rPr>
          <w:color w:val="auto"/>
        </w:rPr>
        <w:t>, die daarmee worden afgedaan</w:t>
      </w:r>
      <w:r w:rsidRPr="00D704D2">
        <w:rPr>
          <w:color w:val="auto"/>
        </w:rPr>
        <w:t>.</w:t>
      </w:r>
    </w:p>
    <w:p w:rsidRPr="00D704D2" w:rsidR="0066658E" w:rsidP="00261E03" w:rsidRDefault="0066658E" w14:paraId="0E315434" w14:textId="77777777">
      <w:pPr>
        <w:rPr>
          <w:color w:val="auto"/>
        </w:rPr>
      </w:pPr>
    </w:p>
    <w:p w:rsidRPr="00D704D2" w:rsidR="003F3003" w:rsidP="00A6716E" w:rsidRDefault="00A6716E" w14:paraId="6596E9A7" w14:textId="63698A34">
      <w:pPr>
        <w:rPr>
          <w:b/>
          <w:bCs/>
          <w:color w:val="auto"/>
        </w:rPr>
      </w:pPr>
      <w:r w:rsidRPr="00D704D2">
        <w:rPr>
          <w:b/>
          <w:bCs/>
          <w:color w:val="auto"/>
        </w:rPr>
        <w:t xml:space="preserve">1. </w:t>
      </w:r>
      <w:r w:rsidRPr="00D704D2" w:rsidR="0066658E">
        <w:rPr>
          <w:b/>
          <w:bCs/>
          <w:color w:val="auto"/>
        </w:rPr>
        <w:t xml:space="preserve">Inwerkingtreding Wet </w:t>
      </w:r>
      <w:r w:rsidRPr="00D704D2" w:rsidR="00562AFE">
        <w:rPr>
          <w:b/>
          <w:bCs/>
          <w:color w:val="auto"/>
        </w:rPr>
        <w:t>v</w:t>
      </w:r>
      <w:r w:rsidRPr="00D704D2" w:rsidR="0066658E">
        <w:rPr>
          <w:b/>
          <w:bCs/>
          <w:color w:val="auto"/>
        </w:rPr>
        <w:t xml:space="preserve">eilige </w:t>
      </w:r>
      <w:r w:rsidRPr="00D704D2" w:rsidR="00562AFE">
        <w:rPr>
          <w:b/>
          <w:bCs/>
          <w:color w:val="auto"/>
        </w:rPr>
        <w:t>j</w:t>
      </w:r>
      <w:r w:rsidRPr="00D704D2" w:rsidR="0066658E">
        <w:rPr>
          <w:b/>
          <w:bCs/>
          <w:color w:val="auto"/>
        </w:rPr>
        <w:t xml:space="preserve">aarwisseling </w:t>
      </w:r>
    </w:p>
    <w:p w:rsidRPr="00D704D2" w:rsidR="008C261B" w:rsidP="008C261B" w:rsidRDefault="008C261B" w14:paraId="7E7B94E4" w14:textId="6CE83457">
      <w:pPr>
        <w:rPr>
          <w:color w:val="auto"/>
        </w:rPr>
      </w:pPr>
      <w:bookmarkStart w:name="_Hlk233099336" w:id="0"/>
      <w:r w:rsidRPr="00D704D2">
        <w:rPr>
          <w:color w:val="auto"/>
        </w:rPr>
        <w:t xml:space="preserve">In 2025 hebben de Eerste en Tweede Kamer de Wet veilige jaarwisseling aangenomen. Voordat de Wet in werking kan treden, moet aan drie voorwaarden voldaan zijn, te weten 1) een </w:t>
      </w:r>
      <w:r w:rsidRPr="00D704D2" w:rsidR="00BD3515">
        <w:rPr>
          <w:color w:val="auto"/>
        </w:rPr>
        <w:t xml:space="preserve">effectief </w:t>
      </w:r>
      <w:r w:rsidRPr="00D704D2">
        <w:rPr>
          <w:color w:val="auto"/>
        </w:rPr>
        <w:t xml:space="preserve">handhavingsplan, 2) </w:t>
      </w:r>
      <w:r w:rsidRPr="00D704D2" w:rsidR="00BD3515">
        <w:rPr>
          <w:color w:val="auto"/>
        </w:rPr>
        <w:t xml:space="preserve">een algemene maatregel van bestuur (AMvB) waarin de ontheffingsmogelijkheid van de burgemeester is uitgewerkt, </w:t>
      </w:r>
      <w:r w:rsidRPr="00D704D2">
        <w:rPr>
          <w:color w:val="auto"/>
        </w:rPr>
        <w:t xml:space="preserve">en 3) een </w:t>
      </w:r>
      <w:r w:rsidRPr="00D704D2" w:rsidR="00BD3515">
        <w:rPr>
          <w:color w:val="auto"/>
        </w:rPr>
        <w:t xml:space="preserve">nette en eerlijke </w:t>
      </w:r>
      <w:r w:rsidRPr="00D704D2">
        <w:rPr>
          <w:color w:val="auto"/>
        </w:rPr>
        <w:t>nadeelcompensatieregeling</w:t>
      </w:r>
      <w:r w:rsidRPr="00D704D2" w:rsidR="00BD3515">
        <w:rPr>
          <w:color w:val="auto"/>
        </w:rPr>
        <w:t xml:space="preserve"> voor de vuurwerkbranche</w:t>
      </w:r>
      <w:r w:rsidRPr="00D704D2">
        <w:rPr>
          <w:color w:val="auto"/>
        </w:rPr>
        <w:t xml:space="preserve">. </w:t>
      </w:r>
      <w:r w:rsidRPr="00D704D2" w:rsidR="000F1C78">
        <w:rPr>
          <w:color w:val="auto"/>
        </w:rPr>
        <w:t xml:space="preserve">De </w:t>
      </w:r>
      <w:r w:rsidRPr="00D704D2">
        <w:rPr>
          <w:color w:val="auto"/>
        </w:rPr>
        <w:t xml:space="preserve">drie voorwaarden </w:t>
      </w:r>
      <w:r w:rsidRPr="00D704D2" w:rsidR="000F1C78">
        <w:rPr>
          <w:color w:val="auto"/>
        </w:rPr>
        <w:t xml:space="preserve">zijn door het kabinet uitgewerkt </w:t>
      </w:r>
      <w:r w:rsidRPr="00D704D2">
        <w:rPr>
          <w:color w:val="auto"/>
        </w:rPr>
        <w:t xml:space="preserve">en op 8 mei jl. is het Inwerkingtredingsbesluit in het kader van de voorhang aan de Eerste en Tweede Kamer aangeboden. De Eerste Kamer heeft op 2 juni jl. besloten in te stemmen met de uitwerking van de voorwaarden en daarmee met de inwerkingtreding van de Wet op 1 augustus 2026. </w:t>
      </w:r>
      <w:r w:rsidRPr="00D704D2" w:rsidR="00BD3515">
        <w:rPr>
          <w:color w:val="auto"/>
        </w:rPr>
        <w:t xml:space="preserve">Ook in de voorhangprocedure van de Tweede Kamer is geen bezwaar gekomen tegen de inwerkingtreding van de wet. </w:t>
      </w:r>
      <w:bookmarkEnd w:id="0"/>
    </w:p>
    <w:p w:rsidRPr="00D704D2" w:rsidR="008C261B" w:rsidP="008C261B" w:rsidRDefault="008C261B" w14:paraId="660BDD7F" w14:textId="77777777">
      <w:pPr>
        <w:rPr>
          <w:color w:val="auto"/>
        </w:rPr>
      </w:pPr>
    </w:p>
    <w:p w:rsidRPr="00D704D2" w:rsidR="008C261B" w:rsidP="008C261B" w:rsidRDefault="008C261B" w14:paraId="703D35EA" w14:textId="48BA57CC">
      <w:pPr>
        <w:rPr>
          <w:color w:val="auto"/>
        </w:rPr>
      </w:pPr>
      <w:r w:rsidRPr="00D704D2">
        <w:rPr>
          <w:color w:val="auto"/>
        </w:rPr>
        <w:t xml:space="preserve">Op dit moment worden de uitgangspunten voor een nadeelcompensatieregeling verder uitgewerkt in een convenant voor de importeurs en een beleidsregel voor de detailhandelaren. Over de concepten worden gesprekken gevoerd met de </w:t>
      </w:r>
      <w:r w:rsidRPr="00D704D2" w:rsidR="000F1C78">
        <w:rPr>
          <w:color w:val="auto"/>
        </w:rPr>
        <w:t xml:space="preserve">betrokken partijen </w:t>
      </w:r>
      <w:r w:rsidRPr="00D704D2">
        <w:rPr>
          <w:color w:val="auto"/>
        </w:rPr>
        <w:t xml:space="preserve">waarna het getekende convenant en de vastgestelde beleidsregel </w:t>
      </w:r>
      <w:r w:rsidRPr="00D704D2" w:rsidR="0038023C">
        <w:rPr>
          <w:color w:val="auto"/>
        </w:rPr>
        <w:t xml:space="preserve">door de staatssecretaris van Infrastructuur en Waterstaat </w:t>
      </w:r>
      <w:r w:rsidRPr="00D704D2">
        <w:rPr>
          <w:color w:val="auto"/>
        </w:rPr>
        <w:t>gedeeld worden met de Kamer.</w:t>
      </w:r>
    </w:p>
    <w:p w:rsidRPr="00D704D2" w:rsidR="008C261B" w:rsidP="008C261B" w:rsidRDefault="008C261B" w14:paraId="774A379C" w14:textId="77777777">
      <w:pPr>
        <w:rPr>
          <w:color w:val="auto"/>
        </w:rPr>
      </w:pPr>
    </w:p>
    <w:p w:rsidRPr="00D704D2" w:rsidR="008C261B" w:rsidP="008C261B" w:rsidRDefault="008C261B" w14:paraId="75444132" w14:textId="7633212C">
      <w:r w:rsidRPr="00D704D2">
        <w:rPr>
          <w:color w:val="auto"/>
        </w:rPr>
        <w:t xml:space="preserve">De Afdeling advisering van de Raad van State heeft een advies uitgebracht over het ontwerpbesluit veilige jaarwisseling. Dit advies had betrekking op veiligheidsafstanden, lokale binding, toezicht en handhaving, kennis en vaardigheden van de supervisor en de </w:t>
      </w:r>
      <w:proofErr w:type="spellStart"/>
      <w:r w:rsidRPr="00D704D2">
        <w:rPr>
          <w:color w:val="auto"/>
        </w:rPr>
        <w:t>ontbranders</w:t>
      </w:r>
      <w:proofErr w:type="spellEnd"/>
      <w:r w:rsidRPr="00D704D2">
        <w:rPr>
          <w:color w:val="auto"/>
        </w:rPr>
        <w:t xml:space="preserve"> en de bevoegdheidsverdeling tussen de burgemeester en de gemeenteraad. Zoals is toegezegd in het Tweeminutendebat </w:t>
      </w:r>
      <w:r w:rsidRPr="00D704D2" w:rsidR="00F355FF">
        <w:rPr>
          <w:color w:val="auto"/>
        </w:rPr>
        <w:t xml:space="preserve">ontwerpbesluit houdende vaststelling van het tijdstip van inwerkingtreding van de Wet veilige jaarwisseling </w:t>
      </w:r>
      <w:r w:rsidRPr="00D704D2">
        <w:rPr>
          <w:color w:val="auto"/>
        </w:rPr>
        <w:t>van 3 juni jl. is overleg gevoerd met de VNG</w:t>
      </w:r>
      <w:r w:rsidRPr="00D704D2" w:rsidR="0057388D">
        <w:rPr>
          <w:color w:val="auto"/>
        </w:rPr>
        <w:t xml:space="preserve"> en het ministerie van Binnenlandse Zaken</w:t>
      </w:r>
      <w:r w:rsidRPr="00D704D2">
        <w:rPr>
          <w:color w:val="auto"/>
        </w:rPr>
        <w:t xml:space="preserve"> over dit advies.</w:t>
      </w:r>
      <w:r w:rsidRPr="00D704D2" w:rsidR="00612D5C">
        <w:rPr>
          <w:rStyle w:val="Voetnootmarkering"/>
          <w:color w:val="auto"/>
        </w:rPr>
        <w:footnoteReference w:id="1"/>
      </w:r>
      <w:r w:rsidRPr="00D704D2">
        <w:rPr>
          <w:color w:val="auto"/>
        </w:rPr>
        <w:t xml:space="preserve"> Mede </w:t>
      </w:r>
      <w:r w:rsidRPr="00D704D2" w:rsidR="000F1C78">
        <w:rPr>
          <w:color w:val="auto"/>
        </w:rPr>
        <w:t xml:space="preserve">op basis van </w:t>
      </w:r>
      <w:r w:rsidRPr="00D704D2">
        <w:rPr>
          <w:color w:val="auto"/>
        </w:rPr>
        <w:t>dit overleg is in het nader rapport</w:t>
      </w:r>
      <w:r w:rsidRPr="00D704D2" w:rsidR="00FF5B7E">
        <w:rPr>
          <w:color w:val="auto"/>
        </w:rPr>
        <w:t xml:space="preserve"> </w:t>
      </w:r>
      <w:r w:rsidRPr="00D704D2">
        <w:rPr>
          <w:color w:val="auto"/>
        </w:rPr>
        <w:t xml:space="preserve">vermeld </w:t>
      </w:r>
      <w:r w:rsidRPr="00D704D2" w:rsidR="00FF5B7E">
        <w:t xml:space="preserve">op welke wijze tegemoet wordt gekomen aan het advies van de Raad van State. </w:t>
      </w:r>
      <w:r w:rsidRPr="00D704D2">
        <w:rPr>
          <w:color w:val="auto"/>
        </w:rPr>
        <w:t xml:space="preserve">Dit </w:t>
      </w:r>
      <w:r w:rsidRPr="00D704D2" w:rsidR="00BD3515">
        <w:rPr>
          <w:color w:val="auto"/>
        </w:rPr>
        <w:t>betekent dat</w:t>
      </w:r>
      <w:r w:rsidRPr="00D704D2">
        <w:rPr>
          <w:color w:val="auto"/>
        </w:rPr>
        <w:t xml:space="preserve"> minimale veiligheidsafstanden </w:t>
      </w:r>
      <w:r w:rsidRPr="00D704D2" w:rsidR="00BD3515">
        <w:rPr>
          <w:color w:val="auto"/>
        </w:rPr>
        <w:t xml:space="preserve">worden opgenomen </w:t>
      </w:r>
      <w:r w:rsidRPr="00D704D2">
        <w:rPr>
          <w:color w:val="auto"/>
        </w:rPr>
        <w:t xml:space="preserve">die nu ook al gelden voor professionele </w:t>
      </w:r>
      <w:proofErr w:type="spellStart"/>
      <w:r w:rsidRPr="00D704D2">
        <w:rPr>
          <w:color w:val="auto"/>
        </w:rPr>
        <w:t>toepassers</w:t>
      </w:r>
      <w:proofErr w:type="spellEnd"/>
      <w:r w:rsidRPr="00D704D2">
        <w:rPr>
          <w:color w:val="auto"/>
        </w:rPr>
        <w:t xml:space="preserve"> als zij consumentenvuurwerk gebruiken in hun show. Daarnaast is </w:t>
      </w:r>
      <w:r w:rsidRPr="00D704D2" w:rsidR="000F1C78">
        <w:rPr>
          <w:color w:val="auto"/>
        </w:rPr>
        <w:t xml:space="preserve">aan de ontheffingsbevoegdheid van de burgemeester </w:t>
      </w:r>
      <w:r w:rsidRPr="00D704D2">
        <w:rPr>
          <w:color w:val="auto"/>
        </w:rPr>
        <w:t xml:space="preserve">de voorwaarde </w:t>
      </w:r>
      <w:r w:rsidRPr="00D704D2" w:rsidR="000F1C78">
        <w:rPr>
          <w:color w:val="auto"/>
        </w:rPr>
        <w:t xml:space="preserve">gekoppeld </w:t>
      </w:r>
      <w:r w:rsidRPr="00D704D2">
        <w:rPr>
          <w:color w:val="auto"/>
        </w:rPr>
        <w:t>dat verenigingen en stichtingen een lokale binding moeten hebben met de gemeente waar de ontheffing wordt aangevraagd en is een artikel ingevoegd om de rol van de burgemeester te verduidelijken</w:t>
      </w:r>
      <w:r w:rsidRPr="00D704D2" w:rsidR="00D10058">
        <w:rPr>
          <w:color w:val="auto"/>
        </w:rPr>
        <w:t xml:space="preserve"> voor het toekennen en afwijzen van ontheffingen. In de toelichting is nader ingegaan op de bevoegdheidsverdeling tussen de burgemeester en de gemeenteraad</w:t>
      </w:r>
      <w:r w:rsidRPr="00D704D2">
        <w:rPr>
          <w:color w:val="auto"/>
        </w:rPr>
        <w:t xml:space="preserve">. Met het opnemen van lokale binding wordt invulling gegeven aan de motie </w:t>
      </w:r>
      <w:proofErr w:type="spellStart"/>
      <w:r w:rsidRPr="00D704D2">
        <w:rPr>
          <w:color w:val="auto"/>
        </w:rPr>
        <w:t>Zwinkels</w:t>
      </w:r>
      <w:proofErr w:type="spellEnd"/>
      <w:r w:rsidRPr="00D704D2">
        <w:rPr>
          <w:color w:val="auto"/>
        </w:rPr>
        <w:t xml:space="preserve"> c.s.</w:t>
      </w:r>
      <w:r w:rsidRPr="00D704D2">
        <w:rPr>
          <w:rStyle w:val="Voetnootmarkering"/>
          <w:color w:val="auto"/>
        </w:rPr>
        <w:footnoteReference w:id="2"/>
      </w:r>
      <w:r w:rsidRPr="00D704D2">
        <w:rPr>
          <w:color w:val="auto"/>
        </w:rPr>
        <w:t xml:space="preserve"> </w:t>
      </w:r>
      <w:r w:rsidRPr="00D704D2" w:rsidR="005223A2">
        <w:rPr>
          <w:color w:val="auto"/>
        </w:rPr>
        <w:t xml:space="preserve">De </w:t>
      </w:r>
      <w:r w:rsidRPr="00D704D2">
        <w:rPr>
          <w:color w:val="auto"/>
        </w:rPr>
        <w:t>VNG heeft aangegeven dat deze wijzigingen de uitvoerbaarheid verbetert. Het nader rapport en het Besluit veilige jaarwisseling zijn op 1 juli 2026 gepubliceerd in het Staatsblad.</w:t>
      </w:r>
      <w:r w:rsidRPr="00D704D2" w:rsidR="00BD3515">
        <w:rPr>
          <w:color w:val="auto"/>
        </w:rPr>
        <w:t xml:space="preserve"> Het besluit zal op 1 augustus in werking treden. </w:t>
      </w:r>
    </w:p>
    <w:p w:rsidRPr="00D704D2" w:rsidR="008C261B" w:rsidP="008C261B" w:rsidRDefault="008C261B" w14:paraId="56862029" w14:textId="77777777">
      <w:pPr>
        <w:rPr>
          <w:color w:val="auto"/>
        </w:rPr>
      </w:pPr>
    </w:p>
    <w:p w:rsidRPr="00D704D2" w:rsidR="00612D5C" w:rsidP="00A6716E" w:rsidRDefault="008C261B" w14:paraId="19CB17D2" w14:textId="223E3AFF">
      <w:pPr>
        <w:rPr>
          <w:color w:val="auto"/>
        </w:rPr>
      </w:pPr>
      <w:r w:rsidRPr="00D704D2">
        <w:rPr>
          <w:color w:val="auto"/>
        </w:rPr>
        <w:t>In aanloop naar de jaarwisseling 2026/2027 wordt nog een aantal acties uitgevoerd om het landelijk vuurwerkverbod goed te kunnen invoeren en diverse partijen hierbij te ondersteunen. Zoals toegezegd</w:t>
      </w:r>
      <w:r w:rsidRPr="00D704D2" w:rsidR="0038023C">
        <w:rPr>
          <w:color w:val="auto"/>
        </w:rPr>
        <w:t xml:space="preserve"> door de staatssecretaris van Infrastructuur en Waterstaat</w:t>
      </w:r>
      <w:r w:rsidRPr="00D704D2">
        <w:rPr>
          <w:color w:val="auto"/>
        </w:rPr>
        <w:t xml:space="preserve"> in het Tweeminutendebat van 3 juni jl. </w:t>
      </w:r>
      <w:r w:rsidRPr="00D704D2" w:rsidR="00612D5C">
        <w:rPr>
          <w:color w:val="auto"/>
        </w:rPr>
        <w:t>informeren wij u over de acties en de planning</w:t>
      </w:r>
      <w:r w:rsidRPr="00D704D2" w:rsidR="0051009B">
        <w:rPr>
          <w:color w:val="auto"/>
        </w:rPr>
        <w:t>.</w:t>
      </w:r>
      <w:r w:rsidRPr="00D704D2" w:rsidR="00612D5C">
        <w:rPr>
          <w:rStyle w:val="Voetnootmarkering"/>
          <w:color w:val="auto"/>
        </w:rPr>
        <w:footnoteReference w:id="3"/>
      </w:r>
      <w:r w:rsidRPr="00D704D2" w:rsidR="00612D5C">
        <w:rPr>
          <w:color w:val="auto"/>
        </w:rPr>
        <w:t xml:space="preserve"> </w:t>
      </w:r>
    </w:p>
    <w:p w:rsidRPr="00D704D2" w:rsidR="00BD3515" w:rsidP="00A6716E" w:rsidRDefault="00BD3515" w14:paraId="4535E2CC" w14:textId="77777777">
      <w:pPr>
        <w:rPr>
          <w:color w:val="auto"/>
        </w:rPr>
      </w:pPr>
    </w:p>
    <w:tbl>
      <w:tblPr>
        <w:tblStyle w:val="Rastertabel1licht"/>
        <w:tblW w:w="0" w:type="auto"/>
        <w:tblLook w:val="04A0" w:firstRow="1" w:lastRow="0" w:firstColumn="1" w:lastColumn="0" w:noHBand="0" w:noVBand="1"/>
      </w:tblPr>
      <w:tblGrid>
        <w:gridCol w:w="4962"/>
        <w:gridCol w:w="2551"/>
      </w:tblGrid>
      <w:tr w:rsidRPr="00D704D2" w:rsidR="00BD3515" w:rsidTr="00BD3515" w14:paraId="0D87EA1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Borders>
              <w:top w:val="single" w:color="999999" w:themeColor="text1" w:themeTint="66" w:sz="4" w:space="0"/>
              <w:left w:val="single" w:color="999999" w:themeColor="text1" w:themeTint="66" w:sz="4" w:space="0"/>
              <w:right w:val="single" w:color="999999" w:themeColor="text1" w:themeTint="66" w:sz="4" w:space="0"/>
            </w:tcBorders>
            <w:hideMark/>
          </w:tcPr>
          <w:p w:rsidRPr="00D704D2" w:rsidR="00BD3515" w:rsidP="00BD3515" w:rsidRDefault="00BD3515" w14:paraId="714E7D01" w14:textId="77777777">
            <w:pPr>
              <w:rPr>
                <w:color w:val="auto"/>
              </w:rPr>
            </w:pPr>
            <w:r w:rsidRPr="00D704D2">
              <w:rPr>
                <w:color w:val="auto"/>
              </w:rPr>
              <w:t>Actie</w:t>
            </w:r>
          </w:p>
        </w:tc>
        <w:tc>
          <w:tcPr>
            <w:tcW w:w="2551" w:type="dxa"/>
            <w:tcBorders>
              <w:top w:val="single" w:color="999999" w:themeColor="text1" w:themeTint="66" w:sz="4" w:space="0"/>
              <w:left w:val="single" w:color="999999" w:themeColor="text1" w:themeTint="66" w:sz="4" w:space="0"/>
              <w:right w:val="single" w:color="999999" w:themeColor="text1" w:themeTint="66" w:sz="4" w:space="0"/>
            </w:tcBorders>
            <w:hideMark/>
          </w:tcPr>
          <w:p w:rsidRPr="00D704D2" w:rsidR="00BD3515" w:rsidP="00BD3515" w:rsidRDefault="00BD3515" w14:paraId="6B1E8958" w14:textId="77777777">
            <w:pPr>
              <w:cnfStyle w:val="100000000000" w:firstRow="1" w:lastRow="0" w:firstColumn="0" w:lastColumn="0" w:oddVBand="0" w:evenVBand="0" w:oddHBand="0" w:evenHBand="0" w:firstRowFirstColumn="0" w:firstRowLastColumn="0" w:lastRowFirstColumn="0" w:lastRowLastColumn="0"/>
              <w:rPr>
                <w:color w:val="auto"/>
              </w:rPr>
            </w:pPr>
            <w:r w:rsidRPr="00D704D2">
              <w:rPr>
                <w:color w:val="auto"/>
              </w:rPr>
              <w:t>Oplevering</w:t>
            </w:r>
          </w:p>
        </w:tc>
      </w:tr>
      <w:tr w:rsidRPr="00D704D2" w:rsidR="00BD3515" w:rsidTr="00BD3515" w14:paraId="7ACB7156" w14:textId="77777777">
        <w:tc>
          <w:tcPr>
            <w:cnfStyle w:val="001000000000" w:firstRow="0" w:lastRow="0" w:firstColumn="1" w:lastColumn="0" w:oddVBand="0" w:evenVBand="0" w:oddHBand="0" w:evenHBand="0" w:firstRowFirstColumn="0" w:firstRowLastColumn="0" w:lastRowFirstColumn="0" w:lastRowLastColumn="0"/>
            <w:tcW w:w="4962"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hideMark/>
          </w:tcPr>
          <w:p w:rsidRPr="00D704D2" w:rsidR="00BD3515" w:rsidP="00BD3515" w:rsidRDefault="00BD3515" w14:paraId="322BFDDF" w14:textId="77777777">
            <w:pPr>
              <w:rPr>
                <w:color w:val="auto"/>
              </w:rPr>
            </w:pPr>
            <w:r w:rsidRPr="00D704D2">
              <w:rPr>
                <w:color w:val="auto"/>
              </w:rPr>
              <w:t>Start landelijke communicatie</w:t>
            </w:r>
          </w:p>
        </w:tc>
        <w:tc>
          <w:tcPr>
            <w:tcW w:w="2551"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hideMark/>
          </w:tcPr>
          <w:p w:rsidRPr="00D704D2" w:rsidR="00BD3515" w:rsidP="00BD3515" w:rsidRDefault="00BD3515" w14:paraId="5CB73079" w14:textId="77777777">
            <w:pPr>
              <w:cnfStyle w:val="000000000000" w:firstRow="0" w:lastRow="0" w:firstColumn="0" w:lastColumn="0" w:oddVBand="0" w:evenVBand="0" w:oddHBand="0" w:evenHBand="0" w:firstRowFirstColumn="0" w:firstRowLastColumn="0" w:lastRowFirstColumn="0" w:lastRowLastColumn="0"/>
              <w:rPr>
                <w:color w:val="auto"/>
              </w:rPr>
            </w:pPr>
            <w:r w:rsidRPr="00D704D2">
              <w:rPr>
                <w:color w:val="auto"/>
              </w:rPr>
              <w:t>Juli/augustus 2026</w:t>
            </w:r>
          </w:p>
        </w:tc>
      </w:tr>
      <w:tr w:rsidRPr="00D704D2" w:rsidR="00BD3515" w:rsidTr="00BD3515" w14:paraId="0590E598" w14:textId="77777777">
        <w:tc>
          <w:tcPr>
            <w:cnfStyle w:val="001000000000" w:firstRow="0" w:lastRow="0" w:firstColumn="1" w:lastColumn="0" w:oddVBand="0" w:evenVBand="0" w:oddHBand="0" w:evenHBand="0" w:firstRowFirstColumn="0" w:firstRowLastColumn="0" w:lastRowFirstColumn="0" w:lastRowLastColumn="0"/>
            <w:tcW w:w="4962"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hideMark/>
          </w:tcPr>
          <w:p w:rsidRPr="00D704D2" w:rsidR="00BD3515" w:rsidP="00BD3515" w:rsidRDefault="00BD3515" w14:paraId="69C7F935" w14:textId="77777777">
            <w:pPr>
              <w:rPr>
                <w:color w:val="auto"/>
              </w:rPr>
            </w:pPr>
            <w:r w:rsidRPr="00D704D2">
              <w:rPr>
                <w:color w:val="auto"/>
              </w:rPr>
              <w:t>Handreiking ontheffingsmogelijkheid</w:t>
            </w:r>
          </w:p>
        </w:tc>
        <w:tc>
          <w:tcPr>
            <w:tcW w:w="2551"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hideMark/>
          </w:tcPr>
          <w:p w:rsidRPr="00D704D2" w:rsidR="00BD3515" w:rsidP="00BD3515" w:rsidRDefault="00BD3515" w14:paraId="37B067F5" w14:textId="77777777">
            <w:pPr>
              <w:cnfStyle w:val="000000000000" w:firstRow="0" w:lastRow="0" w:firstColumn="0" w:lastColumn="0" w:oddVBand="0" w:evenVBand="0" w:oddHBand="0" w:evenHBand="0" w:firstRowFirstColumn="0" w:firstRowLastColumn="0" w:lastRowFirstColumn="0" w:lastRowLastColumn="0"/>
              <w:rPr>
                <w:color w:val="auto"/>
              </w:rPr>
            </w:pPr>
            <w:r w:rsidRPr="00D704D2">
              <w:rPr>
                <w:color w:val="auto"/>
              </w:rPr>
              <w:t>Medio juli 2026</w:t>
            </w:r>
          </w:p>
        </w:tc>
      </w:tr>
      <w:tr w:rsidRPr="00D704D2" w:rsidR="00BD3515" w:rsidTr="00BD3515" w14:paraId="1641DA9A" w14:textId="77777777">
        <w:tc>
          <w:tcPr>
            <w:cnfStyle w:val="001000000000" w:firstRow="0" w:lastRow="0" w:firstColumn="1" w:lastColumn="0" w:oddVBand="0" w:evenVBand="0" w:oddHBand="0" w:evenHBand="0" w:firstRowFirstColumn="0" w:firstRowLastColumn="0" w:lastRowFirstColumn="0" w:lastRowLastColumn="0"/>
            <w:tcW w:w="4962"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hideMark/>
          </w:tcPr>
          <w:p w:rsidRPr="00D704D2" w:rsidR="00BD3515" w:rsidP="00BD3515" w:rsidRDefault="00BD3515" w14:paraId="22C4A58D" w14:textId="77777777">
            <w:pPr>
              <w:rPr>
                <w:color w:val="auto"/>
              </w:rPr>
            </w:pPr>
            <w:r w:rsidRPr="00D704D2">
              <w:rPr>
                <w:color w:val="auto"/>
              </w:rPr>
              <w:t xml:space="preserve">Voorlichtingspakket supervisors en </w:t>
            </w:r>
            <w:proofErr w:type="spellStart"/>
            <w:r w:rsidRPr="00D704D2">
              <w:rPr>
                <w:color w:val="auto"/>
              </w:rPr>
              <w:t>ontbranders</w:t>
            </w:r>
            <w:proofErr w:type="spellEnd"/>
          </w:p>
        </w:tc>
        <w:tc>
          <w:tcPr>
            <w:tcW w:w="2551"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hideMark/>
          </w:tcPr>
          <w:p w:rsidRPr="00D704D2" w:rsidR="00BD3515" w:rsidP="00BD3515" w:rsidRDefault="00BD3515" w14:paraId="6D0FE7F0" w14:textId="77777777">
            <w:pPr>
              <w:cnfStyle w:val="000000000000" w:firstRow="0" w:lastRow="0" w:firstColumn="0" w:lastColumn="0" w:oddVBand="0" w:evenVBand="0" w:oddHBand="0" w:evenHBand="0" w:firstRowFirstColumn="0" w:firstRowLastColumn="0" w:lastRowFirstColumn="0" w:lastRowLastColumn="0"/>
              <w:rPr>
                <w:color w:val="auto"/>
              </w:rPr>
            </w:pPr>
            <w:r w:rsidRPr="00D704D2">
              <w:rPr>
                <w:color w:val="auto"/>
              </w:rPr>
              <w:t>Medio juli 2026</w:t>
            </w:r>
          </w:p>
        </w:tc>
      </w:tr>
      <w:tr w:rsidRPr="00D704D2" w:rsidR="00BD3515" w:rsidTr="00BD3515" w14:paraId="1E069C82" w14:textId="77777777">
        <w:tc>
          <w:tcPr>
            <w:cnfStyle w:val="001000000000" w:firstRow="0" w:lastRow="0" w:firstColumn="1" w:lastColumn="0" w:oddVBand="0" w:evenVBand="0" w:oddHBand="0" w:evenHBand="0" w:firstRowFirstColumn="0" w:firstRowLastColumn="0" w:lastRowFirstColumn="0" w:lastRowLastColumn="0"/>
            <w:tcW w:w="4962"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hideMark/>
          </w:tcPr>
          <w:p w:rsidRPr="00D704D2" w:rsidR="00BD3515" w:rsidP="00BD3515" w:rsidRDefault="00BD3515" w14:paraId="776BF586" w14:textId="77777777">
            <w:pPr>
              <w:rPr>
                <w:color w:val="auto"/>
              </w:rPr>
            </w:pPr>
            <w:r w:rsidRPr="00D704D2">
              <w:rPr>
                <w:color w:val="auto"/>
              </w:rPr>
              <w:t>Start communicatie inleverdagen</w:t>
            </w:r>
          </w:p>
        </w:tc>
        <w:tc>
          <w:tcPr>
            <w:tcW w:w="2551"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hideMark/>
          </w:tcPr>
          <w:p w:rsidRPr="00D704D2" w:rsidR="00BD3515" w:rsidP="00BD3515" w:rsidRDefault="00BD3515" w14:paraId="03B6FCA3" w14:textId="77777777">
            <w:pPr>
              <w:cnfStyle w:val="000000000000" w:firstRow="0" w:lastRow="0" w:firstColumn="0" w:lastColumn="0" w:oddVBand="0" w:evenVBand="0" w:oddHBand="0" w:evenHBand="0" w:firstRowFirstColumn="0" w:firstRowLastColumn="0" w:lastRowFirstColumn="0" w:lastRowLastColumn="0"/>
              <w:rPr>
                <w:color w:val="auto"/>
              </w:rPr>
            </w:pPr>
            <w:r w:rsidRPr="00D704D2">
              <w:rPr>
                <w:color w:val="auto"/>
              </w:rPr>
              <w:t>Augustus 2026</w:t>
            </w:r>
          </w:p>
        </w:tc>
      </w:tr>
      <w:tr w:rsidRPr="00D704D2" w:rsidR="00BD3515" w:rsidTr="00BD3515" w14:paraId="7CB83755" w14:textId="77777777">
        <w:tc>
          <w:tcPr>
            <w:cnfStyle w:val="001000000000" w:firstRow="0" w:lastRow="0" w:firstColumn="1" w:lastColumn="0" w:oddVBand="0" w:evenVBand="0" w:oddHBand="0" w:evenHBand="0" w:firstRowFirstColumn="0" w:firstRowLastColumn="0" w:lastRowFirstColumn="0" w:lastRowLastColumn="0"/>
            <w:tcW w:w="4962"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hideMark/>
          </w:tcPr>
          <w:p w:rsidRPr="00D704D2" w:rsidR="00BD3515" w:rsidP="00BD3515" w:rsidRDefault="00BD3515" w14:paraId="7EAEEFE7" w14:textId="77777777">
            <w:pPr>
              <w:rPr>
                <w:color w:val="auto"/>
              </w:rPr>
            </w:pPr>
            <w:r w:rsidRPr="00D704D2">
              <w:rPr>
                <w:color w:val="auto"/>
              </w:rPr>
              <w:t>Inleverdagen consumentenvuurwerk</w:t>
            </w:r>
          </w:p>
        </w:tc>
        <w:tc>
          <w:tcPr>
            <w:tcW w:w="2551"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hideMark/>
          </w:tcPr>
          <w:p w:rsidRPr="00D704D2" w:rsidR="00BD3515" w:rsidP="00BD3515" w:rsidRDefault="00BD3515" w14:paraId="18367877" w14:textId="77777777">
            <w:pPr>
              <w:cnfStyle w:val="000000000000" w:firstRow="0" w:lastRow="0" w:firstColumn="0" w:lastColumn="0" w:oddVBand="0" w:evenVBand="0" w:oddHBand="0" w:evenHBand="0" w:firstRowFirstColumn="0" w:firstRowLastColumn="0" w:lastRowFirstColumn="0" w:lastRowLastColumn="0"/>
              <w:rPr>
                <w:color w:val="auto"/>
              </w:rPr>
            </w:pPr>
            <w:r w:rsidRPr="00D704D2">
              <w:rPr>
                <w:color w:val="auto"/>
              </w:rPr>
              <w:t>September/oktober 2026</w:t>
            </w:r>
          </w:p>
        </w:tc>
      </w:tr>
      <w:tr w:rsidRPr="00D704D2" w:rsidR="00BD3515" w:rsidTr="00BD3515" w14:paraId="7488E45E" w14:textId="77777777">
        <w:tc>
          <w:tcPr>
            <w:cnfStyle w:val="001000000000" w:firstRow="0" w:lastRow="0" w:firstColumn="1" w:lastColumn="0" w:oddVBand="0" w:evenVBand="0" w:oddHBand="0" w:evenHBand="0" w:firstRowFirstColumn="0" w:firstRowLastColumn="0" w:lastRowFirstColumn="0" w:lastRowLastColumn="0"/>
            <w:tcW w:w="4962"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hideMark/>
          </w:tcPr>
          <w:p w:rsidRPr="00D704D2" w:rsidR="00BD3515" w:rsidP="00BD3515" w:rsidRDefault="00BD3515" w14:paraId="422FAA5F" w14:textId="77777777">
            <w:pPr>
              <w:rPr>
                <w:color w:val="auto"/>
              </w:rPr>
            </w:pPr>
            <w:r w:rsidRPr="00D704D2">
              <w:rPr>
                <w:color w:val="auto"/>
              </w:rPr>
              <w:t>Monitoring Wet veilige jaarwisseling</w:t>
            </w:r>
          </w:p>
        </w:tc>
        <w:tc>
          <w:tcPr>
            <w:tcW w:w="2551"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hideMark/>
          </w:tcPr>
          <w:p w:rsidRPr="00D704D2" w:rsidR="00BD3515" w:rsidP="00BD3515" w:rsidRDefault="00BD3515" w14:paraId="39A7C6F8" w14:textId="77777777">
            <w:pPr>
              <w:cnfStyle w:val="000000000000" w:firstRow="0" w:lastRow="0" w:firstColumn="0" w:lastColumn="0" w:oddVBand="0" w:evenVBand="0" w:oddHBand="0" w:evenHBand="0" w:firstRowFirstColumn="0" w:firstRowLastColumn="0" w:lastRowFirstColumn="0" w:lastRowLastColumn="0"/>
              <w:rPr>
                <w:color w:val="auto"/>
              </w:rPr>
            </w:pPr>
            <w:r w:rsidRPr="00D704D2">
              <w:rPr>
                <w:color w:val="auto"/>
              </w:rPr>
              <w:t>December/januari 2027</w:t>
            </w:r>
          </w:p>
        </w:tc>
      </w:tr>
    </w:tbl>
    <w:p w:rsidRPr="00D704D2" w:rsidR="00612D5C" w:rsidP="00A6716E" w:rsidRDefault="00612D5C" w14:paraId="7D785A0D" w14:textId="77777777">
      <w:pPr>
        <w:rPr>
          <w:color w:val="auto"/>
        </w:rPr>
      </w:pPr>
    </w:p>
    <w:p w:rsidRPr="00D704D2" w:rsidR="00612D5C" w:rsidP="00A6716E" w:rsidRDefault="00612D5C" w14:paraId="5CD898F3" w14:textId="7477BC4B">
      <w:pPr>
        <w:rPr>
          <w:color w:val="auto"/>
        </w:rPr>
      </w:pPr>
      <w:r w:rsidRPr="00D704D2">
        <w:rPr>
          <w:color w:val="auto"/>
        </w:rPr>
        <w:t xml:space="preserve">In de zomer wordt gestart met een landelijke communicatie campagne en worden hulpmiddelen voor </w:t>
      </w:r>
      <w:r w:rsidRPr="00D704D2" w:rsidR="00D22300">
        <w:rPr>
          <w:color w:val="auto"/>
        </w:rPr>
        <w:t xml:space="preserve">onder meer </w:t>
      </w:r>
      <w:r w:rsidRPr="00D704D2">
        <w:rPr>
          <w:color w:val="auto"/>
        </w:rPr>
        <w:t xml:space="preserve">gemeenten en </w:t>
      </w:r>
      <w:proofErr w:type="spellStart"/>
      <w:r w:rsidRPr="00D704D2">
        <w:rPr>
          <w:color w:val="auto"/>
        </w:rPr>
        <w:t>ontheffinghouders</w:t>
      </w:r>
      <w:proofErr w:type="spellEnd"/>
      <w:r w:rsidRPr="00D704D2">
        <w:rPr>
          <w:color w:val="auto"/>
        </w:rPr>
        <w:t xml:space="preserve"> beschikbaar gesteld</w:t>
      </w:r>
      <w:r w:rsidRPr="00D704D2" w:rsidR="00D22300">
        <w:rPr>
          <w:color w:val="auto"/>
        </w:rPr>
        <w:t xml:space="preserve">. </w:t>
      </w:r>
      <w:r w:rsidRPr="00D704D2">
        <w:rPr>
          <w:color w:val="auto"/>
        </w:rPr>
        <w:t xml:space="preserve">Deze brief zet verder uiteen welke acties worden uitgevoerd. </w:t>
      </w:r>
    </w:p>
    <w:p w:rsidRPr="00D704D2" w:rsidR="00612D5C" w:rsidP="00A6716E" w:rsidRDefault="00612D5C" w14:paraId="22FC696B" w14:textId="77777777">
      <w:pPr>
        <w:rPr>
          <w:color w:val="auto"/>
        </w:rPr>
      </w:pPr>
    </w:p>
    <w:p w:rsidRPr="00D704D2" w:rsidR="008C261B" w:rsidP="008C261B" w:rsidRDefault="008C261B" w14:paraId="44C7FCB1" w14:textId="3B6F0D9D">
      <w:pPr>
        <w:rPr>
          <w:color w:val="auto"/>
        </w:rPr>
      </w:pPr>
      <w:r w:rsidRPr="00D704D2">
        <w:rPr>
          <w:color w:val="auto"/>
        </w:rPr>
        <w:t xml:space="preserve">Al jaren </w:t>
      </w:r>
      <w:r w:rsidRPr="00D704D2" w:rsidR="00D22300">
        <w:rPr>
          <w:color w:val="auto"/>
        </w:rPr>
        <w:t xml:space="preserve">monitort </w:t>
      </w:r>
      <w:proofErr w:type="spellStart"/>
      <w:r w:rsidRPr="00D704D2" w:rsidR="00D22300">
        <w:rPr>
          <w:color w:val="auto"/>
        </w:rPr>
        <w:t>VeiligheidNL</w:t>
      </w:r>
      <w:proofErr w:type="spellEnd"/>
      <w:r w:rsidRPr="00D704D2" w:rsidR="00D22300">
        <w:rPr>
          <w:color w:val="auto"/>
        </w:rPr>
        <w:t xml:space="preserve"> </w:t>
      </w:r>
      <w:r w:rsidRPr="00D704D2">
        <w:rPr>
          <w:color w:val="auto"/>
        </w:rPr>
        <w:t xml:space="preserve">letsel en schade veroorzaakt door vuurwerk. Onlangs heeft </w:t>
      </w:r>
      <w:proofErr w:type="spellStart"/>
      <w:r w:rsidRPr="00D704D2">
        <w:rPr>
          <w:color w:val="auto"/>
        </w:rPr>
        <w:t>VeiligheidNL</w:t>
      </w:r>
      <w:proofErr w:type="spellEnd"/>
      <w:r w:rsidRPr="00D704D2">
        <w:rPr>
          <w:color w:val="auto"/>
        </w:rPr>
        <w:t xml:space="preserve"> het jaarlijkse vervolgonderzoek</w:t>
      </w:r>
      <w:r w:rsidRPr="00D704D2" w:rsidR="00E04C44">
        <w:rPr>
          <w:color w:val="auto"/>
        </w:rPr>
        <w:t xml:space="preserve"> </w:t>
      </w:r>
      <w:r w:rsidRPr="00D704D2">
        <w:rPr>
          <w:color w:val="auto"/>
        </w:rPr>
        <w:t xml:space="preserve">naar het vuurwerkletsel en type vuurwerk </w:t>
      </w:r>
      <w:r w:rsidRPr="00D704D2" w:rsidR="00D22300">
        <w:rPr>
          <w:color w:val="auto"/>
        </w:rPr>
        <w:t xml:space="preserve">en het onderzoek naar vuurwerk aankoop en -gebruik (zie bijlagen) </w:t>
      </w:r>
      <w:r w:rsidRPr="00D704D2">
        <w:rPr>
          <w:color w:val="auto"/>
        </w:rPr>
        <w:t>afgerond</w:t>
      </w:r>
      <w:r w:rsidRPr="00D704D2" w:rsidR="00F24FFD">
        <w:rPr>
          <w:color w:val="auto"/>
        </w:rPr>
        <w:t>.</w:t>
      </w:r>
      <w:r w:rsidRPr="00D704D2">
        <w:rPr>
          <w:color w:val="auto"/>
        </w:rPr>
        <w:t xml:space="preserve"> In </w:t>
      </w:r>
      <w:r w:rsidRPr="00D704D2" w:rsidR="00D22300">
        <w:rPr>
          <w:color w:val="auto"/>
        </w:rPr>
        <w:t>deze rapporten</w:t>
      </w:r>
      <w:r w:rsidRPr="00D704D2">
        <w:rPr>
          <w:color w:val="auto"/>
        </w:rPr>
        <w:t xml:space="preserve"> geeft </w:t>
      </w:r>
      <w:proofErr w:type="spellStart"/>
      <w:r w:rsidRPr="00D704D2">
        <w:rPr>
          <w:color w:val="auto"/>
        </w:rPr>
        <w:t>VeiligheidNL</w:t>
      </w:r>
      <w:proofErr w:type="spellEnd"/>
      <w:r w:rsidRPr="00D704D2">
        <w:rPr>
          <w:color w:val="auto"/>
        </w:rPr>
        <w:t xml:space="preserve"> een nadere analyse op de letselcijfers die eerder met de Kamer zijn gedeeld.</w:t>
      </w:r>
      <w:r w:rsidRPr="00D704D2" w:rsidR="00541016">
        <w:rPr>
          <w:rStyle w:val="Voetnootmarkering"/>
          <w:color w:val="auto"/>
        </w:rPr>
        <w:t xml:space="preserve"> </w:t>
      </w:r>
      <w:r w:rsidRPr="00D704D2" w:rsidR="00541016">
        <w:rPr>
          <w:rStyle w:val="Voetnootmarkering"/>
          <w:color w:val="auto"/>
        </w:rPr>
        <w:footnoteReference w:id="4"/>
      </w:r>
      <w:r w:rsidRPr="00D704D2" w:rsidR="0038023C">
        <w:rPr>
          <w:color w:val="auto"/>
          <w:vertAlign w:val="superscript"/>
        </w:rPr>
        <w:t>,</w:t>
      </w:r>
      <w:r w:rsidRPr="00D704D2">
        <w:rPr>
          <w:rStyle w:val="Voetnootmarkering"/>
          <w:color w:val="auto"/>
        </w:rPr>
        <w:footnoteReference w:id="5"/>
      </w:r>
      <w:r w:rsidRPr="00D704D2">
        <w:rPr>
          <w:color w:val="auto"/>
        </w:rPr>
        <w:t xml:space="preserve"> </w:t>
      </w:r>
      <w:bookmarkStart w:name="_Hlk233097585" w:id="4"/>
      <w:r w:rsidRPr="00D704D2">
        <w:rPr>
          <w:color w:val="auto"/>
        </w:rPr>
        <w:t xml:space="preserve">Met de inwerkingtreding van de Wet veilige jaarwisseling en bovenstaande instrumenten wordt een goede stap gezet </w:t>
      </w:r>
      <w:r w:rsidRPr="00D704D2" w:rsidR="00937387">
        <w:rPr>
          <w:color w:val="auto"/>
        </w:rPr>
        <w:t>richting</w:t>
      </w:r>
      <w:r w:rsidRPr="00D704D2">
        <w:rPr>
          <w:color w:val="auto"/>
        </w:rPr>
        <w:t xml:space="preserve"> </w:t>
      </w:r>
      <w:r w:rsidRPr="00D704D2" w:rsidR="00BD3515">
        <w:rPr>
          <w:color w:val="auto"/>
        </w:rPr>
        <w:t>een veiligere</w:t>
      </w:r>
      <w:r w:rsidRPr="00D704D2">
        <w:rPr>
          <w:color w:val="auto"/>
        </w:rPr>
        <w:t xml:space="preserve"> viering van oud en nieuw. Net als voorgaande jaren zal de jaarwisseling wederom gemonitord worden. D</w:t>
      </w:r>
      <w:r w:rsidRPr="00D704D2" w:rsidR="004246A3">
        <w:rPr>
          <w:color w:val="auto"/>
        </w:rPr>
        <w:t>eze</w:t>
      </w:r>
      <w:r w:rsidRPr="00D704D2">
        <w:rPr>
          <w:color w:val="auto"/>
        </w:rPr>
        <w:t xml:space="preserve"> keer </w:t>
      </w:r>
      <w:r w:rsidRPr="00D704D2" w:rsidR="00F355FF">
        <w:rPr>
          <w:color w:val="auto"/>
        </w:rPr>
        <w:t>betreft dat</w:t>
      </w:r>
      <w:r w:rsidRPr="00D704D2">
        <w:rPr>
          <w:color w:val="auto"/>
        </w:rPr>
        <w:t xml:space="preserve"> ook de Wet veilige jaarwisseling en de ontheffingsmogelijkheid. </w:t>
      </w:r>
      <w:r w:rsidRPr="00D704D2" w:rsidR="00F355FF">
        <w:rPr>
          <w:color w:val="auto"/>
        </w:rPr>
        <w:t>In de komende periode</w:t>
      </w:r>
      <w:r w:rsidRPr="00D704D2">
        <w:rPr>
          <w:color w:val="auto"/>
        </w:rPr>
        <w:t xml:space="preserve"> </w:t>
      </w:r>
      <w:r w:rsidRPr="00D704D2" w:rsidR="00F355FF">
        <w:rPr>
          <w:color w:val="auto"/>
        </w:rPr>
        <w:t>wordt nader</w:t>
      </w:r>
      <w:r w:rsidRPr="00D704D2">
        <w:rPr>
          <w:color w:val="auto"/>
        </w:rPr>
        <w:t xml:space="preserve"> uitgewerkt </w:t>
      </w:r>
      <w:r w:rsidRPr="00D704D2" w:rsidR="00F355FF">
        <w:rPr>
          <w:color w:val="auto"/>
        </w:rPr>
        <w:t>hoe hier invulling aan wordt gegeven en zal</w:t>
      </w:r>
      <w:r w:rsidRPr="00D704D2">
        <w:rPr>
          <w:color w:val="auto"/>
        </w:rPr>
        <w:t xml:space="preserve"> de Kamer </w:t>
      </w:r>
      <w:r w:rsidRPr="00D704D2" w:rsidR="00F355FF">
        <w:rPr>
          <w:color w:val="auto"/>
        </w:rPr>
        <w:t xml:space="preserve">hierover worden </w:t>
      </w:r>
      <w:r w:rsidRPr="00D704D2">
        <w:rPr>
          <w:color w:val="auto"/>
        </w:rPr>
        <w:t>geïnformeerd</w:t>
      </w:r>
      <w:bookmarkEnd w:id="4"/>
      <w:r w:rsidRPr="00D704D2" w:rsidR="00F355FF">
        <w:rPr>
          <w:color w:val="auto"/>
        </w:rPr>
        <w:t xml:space="preserve">. </w:t>
      </w:r>
    </w:p>
    <w:p w:rsidR="00E715F0" w:rsidP="003F3003" w:rsidRDefault="00E715F0" w14:paraId="1D8D4E42" w14:textId="77777777">
      <w:pPr>
        <w:rPr>
          <w:color w:val="auto"/>
        </w:rPr>
      </w:pPr>
    </w:p>
    <w:p w:rsidR="00B43A20" w:rsidP="003F3003" w:rsidRDefault="00B43A20" w14:paraId="35C38C2D" w14:textId="77777777">
      <w:pPr>
        <w:rPr>
          <w:color w:val="auto"/>
        </w:rPr>
      </w:pPr>
    </w:p>
    <w:p w:rsidR="00B43A20" w:rsidP="003F3003" w:rsidRDefault="00B43A20" w14:paraId="6222ED0E" w14:textId="77777777">
      <w:pPr>
        <w:rPr>
          <w:color w:val="auto"/>
        </w:rPr>
      </w:pPr>
    </w:p>
    <w:p w:rsidRPr="00D704D2" w:rsidR="00B43A20" w:rsidP="003F3003" w:rsidRDefault="00B43A20" w14:paraId="56479736" w14:textId="77777777">
      <w:pPr>
        <w:rPr>
          <w:color w:val="auto"/>
        </w:rPr>
      </w:pPr>
    </w:p>
    <w:p w:rsidRPr="00D704D2" w:rsidR="00261E03" w:rsidP="00A6716E" w:rsidRDefault="00B95ED2" w14:paraId="044EAF0A" w14:textId="1E5A8737">
      <w:pPr>
        <w:rPr>
          <w:b/>
          <w:bCs/>
          <w:color w:val="auto"/>
        </w:rPr>
      </w:pPr>
      <w:r w:rsidRPr="00D704D2">
        <w:rPr>
          <w:b/>
          <w:bCs/>
          <w:color w:val="auto"/>
        </w:rPr>
        <w:t xml:space="preserve">2. </w:t>
      </w:r>
      <w:r w:rsidRPr="00D704D2" w:rsidR="003F3003">
        <w:rPr>
          <w:b/>
          <w:bCs/>
          <w:color w:val="auto"/>
        </w:rPr>
        <w:t xml:space="preserve">Uitvoering handhavingsplan </w:t>
      </w:r>
    </w:p>
    <w:p w:rsidRPr="00D704D2" w:rsidR="00261E03" w:rsidP="00261E03" w:rsidRDefault="000F1C78" w14:paraId="15138E5B" w14:textId="346A19C1">
      <w:pPr>
        <w:rPr>
          <w:color w:val="auto"/>
        </w:rPr>
      </w:pPr>
      <w:r w:rsidRPr="00D704D2">
        <w:rPr>
          <w:color w:val="auto"/>
        </w:rPr>
        <w:t xml:space="preserve">Een eerdere versie van </w:t>
      </w:r>
      <w:r w:rsidRPr="00D704D2" w:rsidR="00261E03">
        <w:rPr>
          <w:color w:val="auto"/>
        </w:rPr>
        <w:t>het handhavingsplan</w:t>
      </w:r>
      <w:r w:rsidRPr="00D704D2" w:rsidR="0057388D">
        <w:rPr>
          <w:color w:val="auto"/>
        </w:rPr>
        <w:t xml:space="preserve"> is</w:t>
      </w:r>
      <w:r w:rsidRPr="00D704D2" w:rsidR="00261E03">
        <w:rPr>
          <w:color w:val="auto"/>
        </w:rPr>
        <w:t xml:space="preserve"> in november 2025 met uw Kamer gedeeld</w:t>
      </w:r>
      <w:r w:rsidRPr="00D704D2" w:rsidR="00541016">
        <w:rPr>
          <w:color w:val="auto"/>
        </w:rPr>
        <w:t>.</w:t>
      </w:r>
      <w:r w:rsidRPr="00D704D2">
        <w:rPr>
          <w:rStyle w:val="Voetnootmarkering"/>
          <w:color w:val="auto"/>
        </w:rPr>
        <w:footnoteReference w:id="6"/>
      </w:r>
      <w:r w:rsidRPr="00D704D2" w:rsidR="00261E03">
        <w:rPr>
          <w:color w:val="auto"/>
        </w:rPr>
        <w:t xml:space="preserve"> In maart 2026 is </w:t>
      </w:r>
      <w:r w:rsidRPr="00D704D2">
        <w:rPr>
          <w:color w:val="auto"/>
        </w:rPr>
        <w:t xml:space="preserve">het handhavingsplan </w:t>
      </w:r>
      <w:r w:rsidRPr="00D704D2" w:rsidR="00261E03">
        <w:rPr>
          <w:color w:val="auto"/>
        </w:rPr>
        <w:t>naar aanleiding van het Ontwerpbesluit veilige jaarwisseling inzake de ontheffingsmogelijkheid, evenals op basis van de ervaringen tijdens afgelopen jaarwisseling, geactualiseerd en waar mogelijk aangescherpt, en opnieuw met uw Kamer gedeeld.</w:t>
      </w:r>
      <w:r w:rsidRPr="00D704D2" w:rsidR="00D74AD7">
        <w:rPr>
          <w:rStyle w:val="Voetnootmarkering"/>
          <w:color w:val="auto"/>
        </w:rPr>
        <w:footnoteReference w:id="7"/>
      </w:r>
      <w:r w:rsidRPr="00D704D2" w:rsidR="00261E03">
        <w:rPr>
          <w:color w:val="auto"/>
        </w:rPr>
        <w:t xml:space="preserve"> </w:t>
      </w:r>
    </w:p>
    <w:p w:rsidRPr="00D704D2" w:rsidR="006D5788" w:rsidRDefault="006D5788" w14:paraId="663C44E1" w14:textId="515C856C">
      <w:pPr>
        <w:rPr>
          <w:color w:val="auto"/>
        </w:rPr>
      </w:pPr>
    </w:p>
    <w:p w:rsidRPr="00D704D2" w:rsidR="006D5788" w:rsidP="006D5788" w:rsidRDefault="006D5788" w14:paraId="0D8A2788" w14:textId="4FD6DAF8">
      <w:pPr>
        <w:rPr>
          <w:i/>
          <w:iCs/>
          <w:color w:val="auto"/>
        </w:rPr>
      </w:pPr>
      <w:r w:rsidRPr="00D704D2">
        <w:rPr>
          <w:i/>
          <w:iCs/>
          <w:color w:val="auto"/>
        </w:rPr>
        <w:t>Handhaving vuurwerkverbod</w:t>
      </w:r>
    </w:p>
    <w:p w:rsidRPr="00D704D2" w:rsidR="003F3003" w:rsidP="003F3003" w:rsidRDefault="003F3003" w14:paraId="147A883E" w14:textId="525A436D">
      <w:pPr>
        <w:rPr>
          <w:color w:val="auto"/>
        </w:rPr>
      </w:pPr>
      <w:r w:rsidRPr="00D704D2">
        <w:rPr>
          <w:color w:val="auto"/>
        </w:rPr>
        <w:t xml:space="preserve">Met betrekking tot de handhaving op het vuurwerkverbod </w:t>
      </w:r>
      <w:r w:rsidRPr="00D704D2" w:rsidR="000F1C78">
        <w:rPr>
          <w:color w:val="auto"/>
        </w:rPr>
        <w:t>zijn er</w:t>
      </w:r>
      <w:r w:rsidRPr="00D704D2">
        <w:rPr>
          <w:color w:val="auto"/>
        </w:rPr>
        <w:t xml:space="preserve"> gesprekken gevoerd met de politie, het Openbaar Ministerie en de VNG. </w:t>
      </w:r>
      <w:r w:rsidRPr="00D704D2" w:rsidR="000F1C78">
        <w:rPr>
          <w:color w:val="auto"/>
        </w:rPr>
        <w:t xml:space="preserve">Door </w:t>
      </w:r>
      <w:r w:rsidRPr="00D704D2">
        <w:rPr>
          <w:color w:val="auto"/>
        </w:rPr>
        <w:t xml:space="preserve">inwerkingtreding </w:t>
      </w:r>
      <w:r w:rsidRPr="00D704D2" w:rsidR="00541016">
        <w:rPr>
          <w:color w:val="auto"/>
        </w:rPr>
        <w:t xml:space="preserve">van </w:t>
      </w:r>
      <w:r w:rsidRPr="00D704D2" w:rsidR="000F1C78">
        <w:rPr>
          <w:color w:val="auto"/>
        </w:rPr>
        <w:t>de Wet veilige jaarwisseling</w:t>
      </w:r>
      <w:r w:rsidRPr="00D704D2">
        <w:rPr>
          <w:color w:val="auto"/>
        </w:rPr>
        <w:t xml:space="preserve"> is de politie automatisch bevoegd voor opsporing en handhaving </w:t>
      </w:r>
      <w:r w:rsidRPr="00D704D2" w:rsidR="00AE72FE">
        <w:rPr>
          <w:color w:val="auto"/>
        </w:rPr>
        <w:t>van het bezit en gebruik van categorieën F2 en F3 vuurwer</w:t>
      </w:r>
      <w:r w:rsidRPr="00D704D2" w:rsidR="00541016">
        <w:rPr>
          <w:color w:val="auto"/>
        </w:rPr>
        <w:t>k</w:t>
      </w:r>
      <w:r w:rsidRPr="00D704D2">
        <w:rPr>
          <w:color w:val="auto"/>
        </w:rPr>
        <w:t xml:space="preserve">. </w:t>
      </w:r>
      <w:bookmarkStart w:name="_Hlk233097836" w:id="5"/>
      <w:r w:rsidRPr="00D704D2">
        <w:rPr>
          <w:color w:val="auto"/>
        </w:rPr>
        <w:t xml:space="preserve">Voor de opsporing en handhaving door boa’s is een wijziging van de Regeling Domeinlijsten Buitengewoon Opsporingsambtenaren noodzakelijk. Deze wijziging zal op de datum van inwerkingtreding van de Wet </w:t>
      </w:r>
      <w:r w:rsidRPr="00D704D2" w:rsidR="00562AFE">
        <w:rPr>
          <w:color w:val="auto"/>
        </w:rPr>
        <w:t>v</w:t>
      </w:r>
      <w:r w:rsidRPr="00D704D2">
        <w:rPr>
          <w:color w:val="auto"/>
        </w:rPr>
        <w:t xml:space="preserve">eilige </w:t>
      </w:r>
      <w:r w:rsidRPr="00D704D2" w:rsidR="00562AFE">
        <w:rPr>
          <w:color w:val="auto"/>
        </w:rPr>
        <w:t>j</w:t>
      </w:r>
      <w:r w:rsidRPr="00D704D2">
        <w:rPr>
          <w:color w:val="auto"/>
        </w:rPr>
        <w:t xml:space="preserve">aarwisseling, of </w:t>
      </w:r>
      <w:r w:rsidRPr="00D704D2" w:rsidR="00562AFE">
        <w:rPr>
          <w:color w:val="auto"/>
        </w:rPr>
        <w:t>kort</w:t>
      </w:r>
      <w:r w:rsidRPr="00D704D2">
        <w:rPr>
          <w:color w:val="auto"/>
        </w:rPr>
        <w:t xml:space="preserve"> </w:t>
      </w:r>
      <w:r w:rsidRPr="00D704D2" w:rsidR="00AE72FE">
        <w:rPr>
          <w:color w:val="auto"/>
        </w:rPr>
        <w:t>daarna</w:t>
      </w:r>
      <w:r w:rsidRPr="00D704D2" w:rsidR="00541016">
        <w:rPr>
          <w:color w:val="auto"/>
        </w:rPr>
        <w:t>,</w:t>
      </w:r>
      <w:r w:rsidRPr="00D704D2" w:rsidR="00AE72FE">
        <w:rPr>
          <w:color w:val="auto"/>
        </w:rPr>
        <w:t xml:space="preserve"> </w:t>
      </w:r>
      <w:r w:rsidRPr="00D704D2">
        <w:rPr>
          <w:color w:val="auto"/>
        </w:rPr>
        <w:t>doorgevoerd worden.</w:t>
      </w:r>
      <w:bookmarkEnd w:id="5"/>
      <w:r w:rsidRPr="00D704D2">
        <w:rPr>
          <w:color w:val="auto"/>
        </w:rPr>
        <w:t xml:space="preserve"> Hiermee zijn boa’s ook na de wetswijziging bevoegd om onder de nieuwe wetgeving op bezit en gebruik op te sporen en te handhaven.</w:t>
      </w:r>
      <w:r w:rsidRPr="00D704D2" w:rsidR="00AE72FE">
        <w:rPr>
          <w:color w:val="auto"/>
        </w:rPr>
        <w:t xml:space="preserve"> De gemeentelijke bo</w:t>
      </w:r>
      <w:r w:rsidRPr="00D704D2" w:rsidR="00EF6CF2">
        <w:rPr>
          <w:color w:val="auto"/>
        </w:rPr>
        <w:t>a</w:t>
      </w:r>
      <w:r w:rsidRPr="00D704D2" w:rsidR="00AE72FE">
        <w:rPr>
          <w:color w:val="auto"/>
        </w:rPr>
        <w:t xml:space="preserve"> richt zich in aanloop naar de jaarwisseling op de strafrechtelijke handhaving van kleinschalig bezit en het gebruik van vuurwerk. Uiteraard blijft de politie verantwoordelijk voor het handhaven van de openbare orde, ook tijdens de jaarwisseling. </w:t>
      </w:r>
    </w:p>
    <w:p w:rsidRPr="00D704D2" w:rsidR="003F3003" w:rsidP="003F3003" w:rsidRDefault="003F3003" w14:paraId="3BC980E6" w14:textId="77777777">
      <w:pPr>
        <w:contextualSpacing/>
        <w:rPr>
          <w:color w:val="auto"/>
        </w:rPr>
      </w:pPr>
    </w:p>
    <w:p w:rsidRPr="00D704D2" w:rsidR="003F3003" w:rsidP="003F3003" w:rsidRDefault="003F3003" w14:paraId="3C62D13F" w14:textId="6BD9938C">
      <w:pPr>
        <w:contextualSpacing/>
        <w:rPr>
          <w:color w:val="auto"/>
        </w:rPr>
      </w:pPr>
      <w:r w:rsidRPr="00D704D2">
        <w:rPr>
          <w:color w:val="auto"/>
        </w:rPr>
        <w:t xml:space="preserve">Bij de strafrechtelijke handhaving van de Wet en het Besluit </w:t>
      </w:r>
      <w:r w:rsidRPr="00D704D2" w:rsidR="00562AFE">
        <w:rPr>
          <w:color w:val="auto"/>
        </w:rPr>
        <w:t>v</w:t>
      </w:r>
      <w:r w:rsidRPr="00D704D2">
        <w:rPr>
          <w:color w:val="auto"/>
        </w:rPr>
        <w:t xml:space="preserve">eilige </w:t>
      </w:r>
      <w:r w:rsidRPr="00D704D2" w:rsidR="00562AFE">
        <w:rPr>
          <w:color w:val="auto"/>
        </w:rPr>
        <w:t>j</w:t>
      </w:r>
      <w:r w:rsidRPr="00D704D2">
        <w:rPr>
          <w:color w:val="auto"/>
        </w:rPr>
        <w:t xml:space="preserve">aarwisseling spelen zowel de politie als boa’s een rol. De inzet en prioritering van zowel de politie als boa’s is aan het bevoegd gezag (de Officier van Justitie en de burgemeester). Zij bepalen wanneer en hoe deze opsporingsambtenaren de Wet </w:t>
      </w:r>
      <w:r w:rsidRPr="00D704D2" w:rsidR="00562AFE">
        <w:rPr>
          <w:color w:val="auto"/>
        </w:rPr>
        <w:t>v</w:t>
      </w:r>
      <w:r w:rsidRPr="00D704D2">
        <w:rPr>
          <w:color w:val="auto"/>
        </w:rPr>
        <w:t xml:space="preserve">eilige </w:t>
      </w:r>
      <w:r w:rsidRPr="00D704D2" w:rsidR="00562AFE">
        <w:rPr>
          <w:color w:val="auto"/>
        </w:rPr>
        <w:t>j</w:t>
      </w:r>
      <w:r w:rsidRPr="00D704D2">
        <w:rPr>
          <w:color w:val="auto"/>
        </w:rPr>
        <w:t xml:space="preserve">aarwisseling handhaven en strafbare feiten opsporen. Daarbij ligt de nadruk voor de politie op het opsporen van illegale productie, handel, illegaal transport en illegaal grootschalig bezit van categorie F2, F3 en F4 vuurwerk voorafgaand aan de jaarwisseling. </w:t>
      </w:r>
    </w:p>
    <w:p w:rsidRPr="00D704D2" w:rsidR="003F3003" w:rsidP="003F3003" w:rsidRDefault="003F3003" w14:paraId="3602219F" w14:textId="77777777">
      <w:pPr>
        <w:contextualSpacing/>
        <w:rPr>
          <w:color w:val="auto"/>
        </w:rPr>
      </w:pPr>
    </w:p>
    <w:p w:rsidRPr="00D704D2" w:rsidR="003F3003" w:rsidP="003F3003" w:rsidRDefault="003F3003" w14:paraId="0AD0B266" w14:textId="27485233">
      <w:pPr>
        <w:rPr>
          <w:color w:val="auto"/>
          <w:u w:val="single"/>
        </w:rPr>
      </w:pPr>
      <w:bookmarkStart w:name="_Hlk233097873" w:id="6"/>
      <w:r w:rsidRPr="00D704D2">
        <w:rPr>
          <w:color w:val="auto"/>
        </w:rPr>
        <w:t xml:space="preserve">Ten aanzien van de ontheffingsmogelijkheid en de handhaving hierop is het aan het bevoegd gezag om aanvragen voor ontheffingen te verlenen en te bekijken hoe de naleving van de verleende ontheffingen en de openbare orde tijdens de jaarwisseling worden ingericht. </w:t>
      </w:r>
      <w:bookmarkEnd w:id="6"/>
      <w:r w:rsidRPr="00D704D2">
        <w:rPr>
          <w:color w:val="auto"/>
        </w:rPr>
        <w:t xml:space="preserve">Daarbij ligt het in de rede dat aangevraagde ontheffingen vergelijkbaar worden behandeld als evenementen en dat bij de beoordeling rekening wordt gehouden met de risico’s ten aanzien van de veiligheid voor burgers, de gevaarzetting voor opsporingsambtenaren en het risico op openbare ordeverstoringen. </w:t>
      </w:r>
      <w:bookmarkStart w:name="_Hlk233097886" w:id="7"/>
      <w:r w:rsidRPr="00D704D2">
        <w:rPr>
          <w:color w:val="auto"/>
        </w:rPr>
        <w:t>Om gemeenten te ondersteunen in dit proces, wordt door de VNG een handreiking opgesteld</w:t>
      </w:r>
      <w:r w:rsidRPr="00D704D2" w:rsidR="00541016">
        <w:rPr>
          <w:color w:val="auto"/>
        </w:rPr>
        <w:t xml:space="preserve">. </w:t>
      </w:r>
      <w:bookmarkEnd w:id="7"/>
      <w:r w:rsidRPr="00D704D2" w:rsidR="00BD3515">
        <w:rPr>
          <w:color w:val="auto"/>
        </w:rPr>
        <w:t xml:space="preserve">In de </w:t>
      </w:r>
      <w:r w:rsidRPr="00D704D2" w:rsidR="004615E6">
        <w:rPr>
          <w:color w:val="auto"/>
        </w:rPr>
        <w:t>handreiking</w:t>
      </w:r>
      <w:r w:rsidRPr="00D704D2" w:rsidR="00BD3515">
        <w:rPr>
          <w:color w:val="auto"/>
        </w:rPr>
        <w:t xml:space="preserve"> worden praktische handvatten voor de inrichting van het proces rondom de ontheffingsmogelijkheid aangeboden. </w:t>
      </w:r>
      <w:r w:rsidRPr="00D704D2">
        <w:rPr>
          <w:color w:val="auto"/>
        </w:rPr>
        <w:t xml:space="preserve">De ontheffing is een bestuursrechtelijk besluit en gemeenten kunnen voor de bestuursrechtelijke naleving van de verleende ontheffing en de daarbij horende voorwaarden toezichthouders aanwijzen. Voor dit toezicht is geen opsporingsbevoegdheid nodig. </w:t>
      </w:r>
    </w:p>
    <w:p w:rsidRPr="00D704D2" w:rsidR="006D5788" w:rsidP="006D5788" w:rsidRDefault="006D5788" w14:paraId="35126BF0" w14:textId="03589A2C">
      <w:pPr>
        <w:contextualSpacing/>
        <w:rPr>
          <w:color w:val="auto"/>
        </w:rPr>
      </w:pPr>
    </w:p>
    <w:p w:rsidRPr="00D704D2" w:rsidR="00A6716E" w:rsidP="00A6716E" w:rsidRDefault="00A6716E" w14:paraId="6C5E504D" w14:textId="3911B545">
      <w:pPr>
        <w:rPr>
          <w:i/>
          <w:iCs/>
          <w:color w:val="auto"/>
        </w:rPr>
      </w:pPr>
      <w:r w:rsidRPr="00D704D2">
        <w:rPr>
          <w:i/>
          <w:iCs/>
          <w:color w:val="auto"/>
        </w:rPr>
        <w:t xml:space="preserve">Ondersteuning gemeenten </w:t>
      </w:r>
    </w:p>
    <w:p w:rsidRPr="00D704D2" w:rsidR="00A6716E" w:rsidP="00A6716E" w:rsidRDefault="00A6716E" w14:paraId="793B7E86" w14:textId="3ACCA7A3">
      <w:pPr>
        <w:rPr>
          <w:color w:val="auto"/>
        </w:rPr>
      </w:pPr>
      <w:r w:rsidRPr="00D704D2">
        <w:rPr>
          <w:color w:val="auto"/>
        </w:rPr>
        <w:t>De VNG heeft in samenwerking met IenW</w:t>
      </w:r>
      <w:r w:rsidRPr="00D704D2" w:rsidR="00562AFE">
        <w:rPr>
          <w:color w:val="auto"/>
        </w:rPr>
        <w:t xml:space="preserve">, JenV en de </w:t>
      </w:r>
      <w:r w:rsidRPr="00D704D2">
        <w:rPr>
          <w:color w:val="auto"/>
        </w:rPr>
        <w:t xml:space="preserve">politie afgelopen maanden meerdere </w:t>
      </w:r>
      <w:proofErr w:type="spellStart"/>
      <w:r w:rsidRPr="00D704D2">
        <w:rPr>
          <w:i/>
          <w:iCs/>
          <w:color w:val="auto"/>
        </w:rPr>
        <w:t>webinars</w:t>
      </w:r>
      <w:proofErr w:type="spellEnd"/>
      <w:r w:rsidRPr="00D704D2">
        <w:rPr>
          <w:i/>
          <w:iCs/>
          <w:color w:val="auto"/>
        </w:rPr>
        <w:t>,</w:t>
      </w:r>
      <w:r w:rsidRPr="00D704D2">
        <w:rPr>
          <w:color w:val="auto"/>
        </w:rPr>
        <w:t xml:space="preserve"> zowel op bestuurlijk als ambtelijk niveau, georganiseerd. Hierin is kennis gedeeld over de inhoud van de ontheffingsbevoegdheid van de burgemeester in het kader van de AMvB veilige jaarwisseling. Daarnaast zijn er ervaringen en </w:t>
      </w:r>
      <w:r w:rsidRPr="00D704D2">
        <w:rPr>
          <w:i/>
          <w:iCs/>
          <w:color w:val="auto"/>
        </w:rPr>
        <w:t xml:space="preserve">best </w:t>
      </w:r>
      <w:proofErr w:type="spellStart"/>
      <w:r w:rsidRPr="00D704D2">
        <w:rPr>
          <w:i/>
          <w:iCs/>
          <w:color w:val="auto"/>
        </w:rPr>
        <w:t>practices</w:t>
      </w:r>
      <w:proofErr w:type="spellEnd"/>
      <w:r w:rsidRPr="00D704D2">
        <w:rPr>
          <w:color w:val="auto"/>
        </w:rPr>
        <w:t xml:space="preserve"> gedeeld met betrekking tot eerdere lokale verboden, toen er geen landelijk vuurwerkverbod gold.</w:t>
      </w:r>
    </w:p>
    <w:p w:rsidRPr="00D704D2" w:rsidR="00A6716E" w:rsidP="00A6716E" w:rsidRDefault="00A6716E" w14:paraId="7A71D1E3" w14:textId="77777777">
      <w:pPr>
        <w:rPr>
          <w:color w:val="auto"/>
        </w:rPr>
      </w:pPr>
    </w:p>
    <w:p w:rsidRPr="00D704D2" w:rsidR="00A6716E" w:rsidP="00A6716E" w:rsidRDefault="00A6716E" w14:paraId="7B8DF15D" w14:textId="2A5D13C9">
      <w:pPr>
        <w:rPr>
          <w:color w:val="auto"/>
        </w:rPr>
      </w:pPr>
      <w:bookmarkStart w:name="_Hlk233097915" w:id="8"/>
      <w:r w:rsidRPr="00D704D2">
        <w:rPr>
          <w:color w:val="auto"/>
        </w:rPr>
        <w:t>De handreiking</w:t>
      </w:r>
      <w:r w:rsidRPr="00D704D2" w:rsidR="00F355FF">
        <w:rPr>
          <w:color w:val="auto"/>
        </w:rPr>
        <w:t xml:space="preserve"> van de VNG</w:t>
      </w:r>
      <w:r w:rsidRPr="00D704D2">
        <w:rPr>
          <w:color w:val="auto"/>
        </w:rPr>
        <w:t xml:space="preserve"> bevat </w:t>
      </w:r>
      <w:r w:rsidRPr="00D704D2" w:rsidR="00F355FF">
        <w:rPr>
          <w:color w:val="auto"/>
        </w:rPr>
        <w:t xml:space="preserve">verder </w:t>
      </w:r>
      <w:r w:rsidRPr="00D704D2">
        <w:rPr>
          <w:color w:val="auto"/>
        </w:rPr>
        <w:t xml:space="preserve">een afwegingskader dat gemeenten ondersteunt bij het maken van de afweging om al dan niet ontheffingen te verlenen. De handhaafbaarheid is hier nadrukkelijk onderdeel van. </w:t>
      </w:r>
      <w:bookmarkEnd w:id="8"/>
      <w:r w:rsidRPr="00D704D2">
        <w:rPr>
          <w:color w:val="auto"/>
        </w:rPr>
        <w:t xml:space="preserve">Dit is in lijn met de motie van het lid Mathlouti, die de regering verzoekt om </w:t>
      </w:r>
      <w:bookmarkStart w:name="_Hlk233099082" w:id="9"/>
      <w:r w:rsidRPr="00D704D2">
        <w:rPr>
          <w:color w:val="auto"/>
        </w:rPr>
        <w:t>bij de verdere uitwerking van het ontheffingsstelsel handhaafbaarheid nadrukkelijk mee te wegen en hierover in overleg te blijven met gemeenten en burgemeesters</w:t>
      </w:r>
      <w:bookmarkEnd w:id="9"/>
      <w:r w:rsidRPr="00D704D2">
        <w:rPr>
          <w:color w:val="auto"/>
        </w:rPr>
        <w:t>.</w:t>
      </w:r>
      <w:r w:rsidRPr="00D704D2" w:rsidR="00541016">
        <w:rPr>
          <w:rStyle w:val="Voetnootmarkering"/>
          <w:color w:val="auto"/>
        </w:rPr>
        <w:footnoteReference w:id="8"/>
      </w:r>
      <w:r w:rsidRPr="00D704D2" w:rsidR="00541016">
        <w:rPr>
          <w:color w:val="auto"/>
        </w:rPr>
        <w:t xml:space="preserve"> </w:t>
      </w:r>
      <w:r w:rsidRPr="00D704D2" w:rsidR="00AE72FE">
        <w:rPr>
          <w:color w:val="auto"/>
        </w:rPr>
        <w:t>Hiermee</w:t>
      </w:r>
      <w:r w:rsidRPr="00D704D2" w:rsidR="00812FC0">
        <w:rPr>
          <w:color w:val="auto"/>
        </w:rPr>
        <w:t xml:space="preserve"> </w:t>
      </w:r>
      <w:r w:rsidRPr="00D704D2" w:rsidR="00541016">
        <w:rPr>
          <w:color w:val="auto"/>
        </w:rPr>
        <w:t xml:space="preserve">kan </w:t>
      </w:r>
      <w:r w:rsidRPr="00D704D2" w:rsidR="00812FC0">
        <w:rPr>
          <w:color w:val="auto"/>
        </w:rPr>
        <w:t xml:space="preserve">deze motie dan ook </w:t>
      </w:r>
      <w:r w:rsidRPr="00D704D2" w:rsidR="00541016">
        <w:rPr>
          <w:color w:val="auto"/>
        </w:rPr>
        <w:t xml:space="preserve">als </w:t>
      </w:r>
      <w:r w:rsidRPr="00D704D2" w:rsidR="00812FC0">
        <w:rPr>
          <w:color w:val="auto"/>
        </w:rPr>
        <w:t>afgedaan</w:t>
      </w:r>
      <w:r w:rsidRPr="00D704D2" w:rsidR="00541016">
        <w:rPr>
          <w:color w:val="auto"/>
        </w:rPr>
        <w:t xml:space="preserve"> worden beschouwd</w:t>
      </w:r>
      <w:r w:rsidRPr="00D704D2" w:rsidR="00812FC0">
        <w:rPr>
          <w:color w:val="auto"/>
        </w:rPr>
        <w:t xml:space="preserve">. </w:t>
      </w:r>
      <w:bookmarkStart w:name="_Hlk233097953" w:id="11"/>
      <w:r w:rsidRPr="00D704D2" w:rsidR="00812FC0">
        <w:rPr>
          <w:color w:val="auto"/>
        </w:rPr>
        <w:t>De handreiking reikt</w:t>
      </w:r>
      <w:r w:rsidRPr="00D704D2">
        <w:rPr>
          <w:color w:val="auto"/>
        </w:rPr>
        <w:t xml:space="preserve"> gemeenten </w:t>
      </w:r>
      <w:r w:rsidRPr="00D704D2" w:rsidR="00812FC0">
        <w:rPr>
          <w:color w:val="auto"/>
        </w:rPr>
        <w:t xml:space="preserve">daarnaast </w:t>
      </w:r>
      <w:r w:rsidRPr="00D704D2">
        <w:rPr>
          <w:color w:val="auto"/>
        </w:rPr>
        <w:t xml:space="preserve">(juridische) instrumenten </w:t>
      </w:r>
      <w:r w:rsidRPr="00D704D2" w:rsidR="00812FC0">
        <w:rPr>
          <w:color w:val="auto"/>
        </w:rPr>
        <w:t>aan</w:t>
      </w:r>
      <w:r w:rsidRPr="00D704D2">
        <w:rPr>
          <w:color w:val="auto"/>
        </w:rPr>
        <w:t xml:space="preserve"> om invulling te geven aan de beleidsregel </w:t>
      </w:r>
      <w:r w:rsidRPr="00D704D2" w:rsidR="00541016">
        <w:rPr>
          <w:color w:val="auto"/>
        </w:rPr>
        <w:t xml:space="preserve">voor de burgemeester </w:t>
      </w:r>
      <w:r w:rsidRPr="00D704D2">
        <w:rPr>
          <w:color w:val="auto"/>
        </w:rPr>
        <w:t xml:space="preserve">en de behandeling van ontheffingsaanvragen, inclusief een tijdlijn. De handreiking wordt </w:t>
      </w:r>
      <w:r w:rsidRPr="00D704D2" w:rsidR="000C4A92">
        <w:rPr>
          <w:color w:val="auto"/>
        </w:rPr>
        <w:t>medio</w:t>
      </w:r>
      <w:r w:rsidRPr="00D704D2">
        <w:rPr>
          <w:color w:val="auto"/>
        </w:rPr>
        <w:t xml:space="preserve"> juli verwacht. </w:t>
      </w:r>
      <w:bookmarkEnd w:id="11"/>
      <w:r w:rsidRPr="00D704D2">
        <w:rPr>
          <w:color w:val="auto"/>
        </w:rPr>
        <w:t xml:space="preserve">Omdat de periode tussen de inwerkingtreding van de wet op 1 augustus 2026 en de jaarwisseling relatief kort is, blijft de VNG in gezamenlijkheid met JenV en IenW gemeenten ook na publicatie van de handreiking ondersteunen, onder meer via </w:t>
      </w:r>
      <w:proofErr w:type="spellStart"/>
      <w:r w:rsidRPr="00D704D2">
        <w:rPr>
          <w:i/>
          <w:iCs/>
          <w:color w:val="auto"/>
        </w:rPr>
        <w:t>webinars</w:t>
      </w:r>
      <w:proofErr w:type="spellEnd"/>
      <w:r w:rsidRPr="00D704D2">
        <w:rPr>
          <w:i/>
          <w:iCs/>
          <w:color w:val="auto"/>
        </w:rPr>
        <w:t>.</w:t>
      </w:r>
    </w:p>
    <w:p w:rsidRPr="00D704D2" w:rsidR="00A6716E" w:rsidP="00A6716E" w:rsidRDefault="00A6716E" w14:paraId="0F717F63" w14:textId="77777777">
      <w:pPr>
        <w:rPr>
          <w:color w:val="auto"/>
        </w:rPr>
      </w:pPr>
    </w:p>
    <w:p w:rsidRPr="00D704D2" w:rsidR="00653972" w:rsidP="00653972" w:rsidRDefault="00A6716E" w14:paraId="4CAEDD8D" w14:textId="03CB5A60">
      <w:pPr>
        <w:rPr>
          <w:color w:val="auto"/>
        </w:rPr>
      </w:pPr>
      <w:r w:rsidRPr="00D704D2">
        <w:rPr>
          <w:color w:val="auto"/>
        </w:rPr>
        <w:t>Voor grensgemeenten is</w:t>
      </w:r>
      <w:r w:rsidRPr="00D704D2" w:rsidR="00653972">
        <w:rPr>
          <w:color w:val="auto"/>
        </w:rPr>
        <w:t xml:space="preserve"> in samenwerking met de VNG, gemeente Heerlen, de politie, het Belgisch-Nederlands </w:t>
      </w:r>
      <w:proofErr w:type="spellStart"/>
      <w:r w:rsidRPr="00D704D2" w:rsidR="00653972">
        <w:rPr>
          <w:color w:val="auto"/>
        </w:rPr>
        <w:t>GrensOverleg</w:t>
      </w:r>
      <w:proofErr w:type="spellEnd"/>
      <w:r w:rsidRPr="00D704D2" w:rsidR="00653972">
        <w:rPr>
          <w:color w:val="auto"/>
        </w:rPr>
        <w:t xml:space="preserve"> (BENEGO) en </w:t>
      </w:r>
      <w:proofErr w:type="spellStart"/>
      <w:r w:rsidRPr="00D704D2" w:rsidR="00653972">
        <w:rPr>
          <w:color w:val="auto"/>
        </w:rPr>
        <w:t>JenV</w:t>
      </w:r>
      <w:proofErr w:type="spellEnd"/>
      <w:r w:rsidRPr="00D704D2">
        <w:rPr>
          <w:color w:val="auto"/>
        </w:rPr>
        <w:t xml:space="preserve"> een aparte </w:t>
      </w:r>
      <w:r w:rsidRPr="00D704D2" w:rsidR="00653972">
        <w:rPr>
          <w:color w:val="auto"/>
        </w:rPr>
        <w:t xml:space="preserve">bestuurlijke </w:t>
      </w:r>
      <w:r w:rsidRPr="00D704D2">
        <w:rPr>
          <w:color w:val="auto"/>
        </w:rPr>
        <w:t xml:space="preserve">bijeenkomst georganiseerd gezien de specifieke problematiek waarmee zij te maken hebben. </w:t>
      </w:r>
      <w:r w:rsidRPr="00D704D2" w:rsidR="00653972">
        <w:rPr>
          <w:color w:val="auto"/>
        </w:rPr>
        <w:t xml:space="preserve">Centraal stonden het uitwisselen van ervaringen en </w:t>
      </w:r>
      <w:r w:rsidRPr="00D704D2" w:rsidR="00653972">
        <w:rPr>
          <w:i/>
          <w:iCs/>
          <w:color w:val="auto"/>
        </w:rPr>
        <w:t xml:space="preserve">best </w:t>
      </w:r>
      <w:proofErr w:type="spellStart"/>
      <w:r w:rsidRPr="00D704D2" w:rsidR="00653972">
        <w:rPr>
          <w:i/>
          <w:iCs/>
          <w:color w:val="auto"/>
        </w:rPr>
        <w:t>practices</w:t>
      </w:r>
      <w:proofErr w:type="spellEnd"/>
      <w:r w:rsidRPr="00D704D2" w:rsidR="00653972">
        <w:rPr>
          <w:color w:val="auto"/>
        </w:rPr>
        <w:t xml:space="preserve">, zodat grensgemeenten zich tijdig kunnen voorbereiden en passende maatregelen kunnen treffen. Daarnaast werd ingegaan op de mogelijkheden voor samenwerking met buurgemeenten over de grens. </w:t>
      </w:r>
    </w:p>
    <w:p w:rsidRPr="00D704D2" w:rsidR="00A6716E" w:rsidP="00A6716E" w:rsidRDefault="00A6716E" w14:paraId="6D9C2831" w14:textId="6B765166">
      <w:pPr>
        <w:rPr>
          <w:color w:val="auto"/>
        </w:rPr>
      </w:pPr>
    </w:p>
    <w:p w:rsidRPr="00D704D2" w:rsidR="00A6716E" w:rsidP="00A6716E" w:rsidRDefault="00A6716E" w14:paraId="2F9CA278" w14:textId="04B21C84">
      <w:pPr>
        <w:rPr>
          <w:i/>
          <w:iCs/>
          <w:color w:val="auto"/>
        </w:rPr>
      </w:pPr>
      <w:r w:rsidRPr="00D704D2">
        <w:rPr>
          <w:i/>
          <w:iCs/>
          <w:color w:val="auto"/>
        </w:rPr>
        <w:t>Inleverdagen</w:t>
      </w:r>
    </w:p>
    <w:p w:rsidRPr="00D704D2" w:rsidR="00A6716E" w:rsidP="002440C7" w:rsidRDefault="00A6716E" w14:paraId="03096CA5" w14:textId="0525D4AA">
      <w:pPr>
        <w:rPr>
          <w:color w:val="auto"/>
        </w:rPr>
      </w:pPr>
      <w:r w:rsidRPr="00D704D2">
        <w:rPr>
          <w:color w:val="auto"/>
        </w:rPr>
        <w:t xml:space="preserve">De overgang van toegestaan naar verboden bezit van vuurwerk brengt mee dat particulieren nog vuurwerk in het bezit kunnen hebben en daarmee in overtreding </w:t>
      </w:r>
      <w:r w:rsidRPr="00D704D2" w:rsidR="00AE72FE">
        <w:rPr>
          <w:color w:val="auto"/>
        </w:rPr>
        <w:t>worden</w:t>
      </w:r>
      <w:r w:rsidRPr="00D704D2">
        <w:rPr>
          <w:color w:val="auto"/>
        </w:rPr>
        <w:t xml:space="preserve">. </w:t>
      </w:r>
      <w:r w:rsidRPr="00D704D2" w:rsidR="008C261B">
        <w:rPr>
          <w:color w:val="auto"/>
        </w:rPr>
        <w:t xml:space="preserve">Uit </w:t>
      </w:r>
      <w:r w:rsidRPr="00D704D2" w:rsidR="00541016">
        <w:rPr>
          <w:color w:val="auto"/>
        </w:rPr>
        <w:t xml:space="preserve">het </w:t>
      </w:r>
      <w:r w:rsidRPr="00D704D2" w:rsidR="00AE72FE">
        <w:rPr>
          <w:color w:val="auto"/>
        </w:rPr>
        <w:t>eerder</w:t>
      </w:r>
      <w:r w:rsidRPr="00D704D2" w:rsidR="00541016">
        <w:rPr>
          <w:color w:val="auto"/>
        </w:rPr>
        <w:t>e</w:t>
      </w:r>
      <w:r w:rsidRPr="00D704D2" w:rsidR="00AE72FE">
        <w:rPr>
          <w:color w:val="auto"/>
        </w:rPr>
        <w:t xml:space="preserve"> </w:t>
      </w:r>
      <w:r w:rsidRPr="00D704D2" w:rsidR="008C261B">
        <w:rPr>
          <w:color w:val="auto"/>
        </w:rPr>
        <w:t xml:space="preserve">onderzoek van </w:t>
      </w:r>
      <w:proofErr w:type="spellStart"/>
      <w:r w:rsidRPr="00D704D2" w:rsidR="008C261B">
        <w:rPr>
          <w:color w:val="auto"/>
        </w:rPr>
        <w:t>VeiligheidNL</w:t>
      </w:r>
      <w:proofErr w:type="spellEnd"/>
      <w:r w:rsidRPr="00D704D2" w:rsidR="008C261B">
        <w:rPr>
          <w:color w:val="auto"/>
        </w:rPr>
        <w:t xml:space="preserve"> naar het vuurwerkletsel en type vuurwerk komt naar voren dat een kwart van de respondenten gekocht vuurwerk niet heeft afgestoken en nog bewaard </w:t>
      </w:r>
      <w:r w:rsidRPr="00D704D2" w:rsidR="00AE72FE">
        <w:rPr>
          <w:color w:val="auto"/>
        </w:rPr>
        <w:t>heeft</w:t>
      </w:r>
      <w:r w:rsidRPr="00D704D2" w:rsidR="008C261B">
        <w:rPr>
          <w:color w:val="auto"/>
        </w:rPr>
        <w:t xml:space="preserve">. </w:t>
      </w:r>
      <w:r w:rsidRPr="00D704D2">
        <w:rPr>
          <w:color w:val="auto"/>
        </w:rPr>
        <w:t xml:space="preserve">Vanwege het rechtszekerheidsbeginsel en het beginsel van bestuurlijke zorgvuldigheid is het belangrijk om burgers de mogelijkheid te bieden om op een legale wijze afstand van </w:t>
      </w:r>
      <w:r w:rsidRPr="00D704D2" w:rsidR="00AE72FE">
        <w:rPr>
          <w:color w:val="auto"/>
        </w:rPr>
        <w:t xml:space="preserve">dit vuurwerk </w:t>
      </w:r>
      <w:r w:rsidRPr="00D704D2">
        <w:rPr>
          <w:color w:val="auto"/>
        </w:rPr>
        <w:t xml:space="preserve">te doen, straffeloos en zonder justitiële aantekening. Inleverdagen kunnen </w:t>
      </w:r>
      <w:r w:rsidRPr="00D704D2" w:rsidR="00AE72FE">
        <w:rPr>
          <w:color w:val="auto"/>
        </w:rPr>
        <w:t xml:space="preserve">zo </w:t>
      </w:r>
      <w:r w:rsidRPr="00D704D2">
        <w:rPr>
          <w:color w:val="auto"/>
        </w:rPr>
        <w:t xml:space="preserve">bijdragen aan het verminderen van de handhavingsdruk in aanloop naar en tijdens de jaarwisseling </w:t>
      </w:r>
      <w:r w:rsidRPr="00D704D2" w:rsidR="00AE72FE">
        <w:rPr>
          <w:color w:val="auto"/>
        </w:rPr>
        <w:t xml:space="preserve">door te </w:t>
      </w:r>
      <w:r w:rsidRPr="00D704D2">
        <w:rPr>
          <w:color w:val="auto"/>
        </w:rPr>
        <w:t xml:space="preserve">voorkomen dat verboden vuurwerk wordt afgestoken, bewaard of doorverkocht. </w:t>
      </w:r>
      <w:r w:rsidRPr="00D704D2" w:rsidR="002440C7">
        <w:rPr>
          <w:color w:val="auto"/>
        </w:rPr>
        <w:t xml:space="preserve">Ook </w:t>
      </w:r>
      <w:r w:rsidRPr="00D704D2">
        <w:rPr>
          <w:color w:val="auto"/>
        </w:rPr>
        <w:t>biedt het organiseren van inleverdagen een extra communicatiemoment om het aankomende vuurwerkverbod bij burgers onder de aandacht brengen.</w:t>
      </w:r>
    </w:p>
    <w:p w:rsidRPr="00D704D2" w:rsidR="00A6716E" w:rsidP="00A6716E" w:rsidRDefault="00A6716E" w14:paraId="1B99A7FF" w14:textId="77777777">
      <w:pPr>
        <w:rPr>
          <w:color w:val="auto"/>
        </w:rPr>
      </w:pPr>
    </w:p>
    <w:p w:rsidRPr="00D704D2" w:rsidR="00A6716E" w:rsidP="00A6716E" w:rsidRDefault="00A6716E" w14:paraId="70CEA200" w14:textId="33C7576D">
      <w:pPr>
        <w:rPr>
          <w:color w:val="auto"/>
        </w:rPr>
      </w:pPr>
      <w:bookmarkStart w:name="_Hlk233097998" w:id="12"/>
      <w:r w:rsidRPr="00D704D2">
        <w:rPr>
          <w:color w:val="auto"/>
        </w:rPr>
        <w:t xml:space="preserve">In september 2026 zullen door </w:t>
      </w:r>
      <w:r w:rsidRPr="00D704D2" w:rsidR="00991BE6">
        <w:rPr>
          <w:color w:val="auto"/>
        </w:rPr>
        <w:t xml:space="preserve">heel </w:t>
      </w:r>
      <w:r w:rsidRPr="00D704D2" w:rsidR="00AE72FE">
        <w:rPr>
          <w:color w:val="auto"/>
        </w:rPr>
        <w:t>Nederland</w:t>
      </w:r>
      <w:r w:rsidRPr="00D704D2" w:rsidR="002440C7">
        <w:rPr>
          <w:color w:val="auto"/>
        </w:rPr>
        <w:t xml:space="preserve"> </w:t>
      </w:r>
      <w:r w:rsidRPr="00D704D2">
        <w:rPr>
          <w:color w:val="auto"/>
        </w:rPr>
        <w:t xml:space="preserve">inleverdagen worden georganiseerd. Gedurende een aantal aaneengesloten dagen </w:t>
      </w:r>
      <w:r w:rsidRPr="00D704D2" w:rsidR="002440C7">
        <w:rPr>
          <w:color w:val="auto"/>
        </w:rPr>
        <w:t xml:space="preserve">wordt </w:t>
      </w:r>
      <w:r w:rsidRPr="00D704D2">
        <w:rPr>
          <w:color w:val="auto"/>
        </w:rPr>
        <w:t xml:space="preserve">een ronde door het land gedaan </w:t>
      </w:r>
      <w:r w:rsidRPr="00D704D2" w:rsidR="00AE72FE">
        <w:rPr>
          <w:color w:val="auto"/>
        </w:rPr>
        <w:t xml:space="preserve">waarbij in 30 verschillende gemeenten een tijdelijk inleverpunt wordt gerealiseerd. </w:t>
      </w:r>
      <w:r w:rsidRPr="00D704D2">
        <w:rPr>
          <w:color w:val="auto"/>
        </w:rPr>
        <w:t xml:space="preserve">Met de selectie van gemeenten wordt er rekening mee gehouden dat </w:t>
      </w:r>
      <w:r w:rsidRPr="00D704D2" w:rsidR="001E1A56">
        <w:rPr>
          <w:color w:val="auto"/>
        </w:rPr>
        <w:t xml:space="preserve">iedereen </w:t>
      </w:r>
      <w:r w:rsidRPr="00D704D2">
        <w:rPr>
          <w:color w:val="auto"/>
        </w:rPr>
        <w:t>binnen 45 minuten rijafstand een inlever</w:t>
      </w:r>
      <w:r w:rsidRPr="00D704D2" w:rsidR="001E1A56">
        <w:rPr>
          <w:color w:val="auto"/>
        </w:rPr>
        <w:t xml:space="preserve">punt kan bezoeken </w:t>
      </w:r>
      <w:r w:rsidRPr="00D704D2">
        <w:rPr>
          <w:color w:val="auto"/>
        </w:rPr>
        <w:t xml:space="preserve">en wordt een goede spreiding van grote en kleine gemeenten en stedelijke en rurale gemeenten geborgd. </w:t>
      </w:r>
      <w:bookmarkEnd w:id="12"/>
      <w:r w:rsidRPr="00D704D2">
        <w:rPr>
          <w:color w:val="auto"/>
        </w:rPr>
        <w:t>De gemeenten worden door de inleverdagen op deze wijze te organiseren zo veel mogelijk ontzien.</w:t>
      </w:r>
    </w:p>
    <w:p w:rsidRPr="00D704D2" w:rsidR="006D5788" w:rsidRDefault="006D5788" w14:paraId="0C2F2A8F" w14:textId="77777777">
      <w:pPr>
        <w:rPr>
          <w:color w:val="auto"/>
        </w:rPr>
      </w:pPr>
    </w:p>
    <w:p w:rsidRPr="00D704D2" w:rsidR="007C2797" w:rsidRDefault="007C2797" w14:paraId="786A30BA" w14:textId="750FBE56">
      <w:pPr>
        <w:rPr>
          <w:i/>
          <w:iCs/>
          <w:color w:val="auto"/>
        </w:rPr>
      </w:pPr>
      <w:r w:rsidRPr="00D704D2">
        <w:rPr>
          <w:i/>
          <w:iCs/>
          <w:color w:val="auto"/>
        </w:rPr>
        <w:t xml:space="preserve">Communicatie </w:t>
      </w:r>
    </w:p>
    <w:p w:rsidRPr="00D704D2" w:rsidR="005D696E" w:rsidP="005D696E" w:rsidRDefault="005D696E" w14:paraId="67E79504" w14:textId="7DD5543C">
      <w:pPr>
        <w:rPr>
          <w:color w:val="auto"/>
        </w:rPr>
      </w:pPr>
      <w:bookmarkStart w:name="_Hlk233098342" w:id="13"/>
      <w:r w:rsidRPr="00D704D2">
        <w:rPr>
          <w:color w:val="auto"/>
        </w:rPr>
        <w:t xml:space="preserve">Voor de inwerkingtreding van de Wet veilige jaarwisseling is, </w:t>
      </w:r>
      <w:r w:rsidRPr="00D704D2" w:rsidR="00E61CD6">
        <w:rPr>
          <w:color w:val="auto"/>
        </w:rPr>
        <w:t xml:space="preserve">door het ministerie van Infrastructuur en Waterstaat en het ministerie van Justitie en Veiligheid, in samenwerking met gemeenten, de VNG, het Openbaar Ministier en de politie, </w:t>
      </w:r>
      <w:r w:rsidRPr="00D704D2">
        <w:rPr>
          <w:color w:val="auto"/>
        </w:rPr>
        <w:t>een communicatie</w:t>
      </w:r>
      <w:r w:rsidRPr="00D704D2" w:rsidR="005B0EF4">
        <w:rPr>
          <w:color w:val="auto"/>
        </w:rPr>
        <w:t>-aanpak</w:t>
      </w:r>
      <w:r w:rsidRPr="00D704D2">
        <w:rPr>
          <w:color w:val="auto"/>
        </w:rPr>
        <w:t xml:space="preserve"> opgesteld die de samenleving meeneemt in de overgang naar een jaarwisseling zonder consumentenvuurwerk. De </w:t>
      </w:r>
      <w:r w:rsidRPr="00D704D2" w:rsidR="005B0EF4">
        <w:rPr>
          <w:color w:val="auto"/>
        </w:rPr>
        <w:t>aanpak is ontwikkeld mede op basis van een gedragsanalyse</w:t>
      </w:r>
      <w:r w:rsidRPr="00D704D2" w:rsidR="00E61CD6">
        <w:rPr>
          <w:color w:val="auto"/>
        </w:rPr>
        <w:t xml:space="preserve">. </w:t>
      </w:r>
      <w:r w:rsidRPr="00D704D2">
        <w:rPr>
          <w:color w:val="auto"/>
        </w:rPr>
        <w:t>Het doel is eenduidige, feitelijke en toegankelijke informatie te bieden, handelingsperspectief te geven en partners te ondersteunen bij hun lokale communicatie.</w:t>
      </w:r>
    </w:p>
    <w:bookmarkEnd w:id="13"/>
    <w:p w:rsidRPr="00D704D2" w:rsidR="005D696E" w:rsidP="005D696E" w:rsidRDefault="005D696E" w14:paraId="3A4CB4E3" w14:textId="77777777">
      <w:pPr>
        <w:rPr>
          <w:color w:val="auto"/>
        </w:rPr>
      </w:pPr>
    </w:p>
    <w:p w:rsidRPr="00D704D2" w:rsidR="005D696E" w:rsidP="005D696E" w:rsidRDefault="005D696E" w14:paraId="2BC43AAA" w14:textId="68E8DFA8">
      <w:pPr>
        <w:rPr>
          <w:color w:val="auto"/>
        </w:rPr>
      </w:pPr>
      <w:r w:rsidRPr="00D704D2">
        <w:rPr>
          <w:color w:val="auto"/>
        </w:rPr>
        <w:t xml:space="preserve">De </w:t>
      </w:r>
      <w:r w:rsidRPr="00D704D2" w:rsidR="005B0EF4">
        <w:rPr>
          <w:color w:val="auto"/>
        </w:rPr>
        <w:t>aanpak</w:t>
      </w:r>
      <w:r w:rsidRPr="00D704D2">
        <w:rPr>
          <w:color w:val="auto"/>
        </w:rPr>
        <w:t xml:space="preserve"> </w:t>
      </w:r>
      <w:r w:rsidRPr="00D704D2" w:rsidR="004348E5">
        <w:rPr>
          <w:color w:val="auto"/>
        </w:rPr>
        <w:t>richt zich op twee hoofddoelgroepen: het brede publiek (met extra aandacht voor jongeren en ouders) en partners, zoals gemeenten, de Vereniging Nederlandse Gemeenten (VNG) en politie. Met de communicatieaanpak waarborgen we consistentie in communicatie en ondersteunen we de lokale invulling hiervan. Dit gebeurt langs drie lijnen</w:t>
      </w:r>
      <w:r w:rsidRPr="00D704D2">
        <w:rPr>
          <w:color w:val="auto"/>
        </w:rPr>
        <w:t>. 1) informeren</w:t>
      </w:r>
      <w:r w:rsidRPr="00D704D2" w:rsidR="005B0EF4">
        <w:rPr>
          <w:color w:val="auto"/>
        </w:rPr>
        <w:t xml:space="preserve"> van algemeen publiek en </w:t>
      </w:r>
      <w:r w:rsidRPr="00D704D2" w:rsidR="004348E5">
        <w:rPr>
          <w:color w:val="auto"/>
        </w:rPr>
        <w:t>partners</w:t>
      </w:r>
      <w:r w:rsidRPr="00D704D2">
        <w:rPr>
          <w:color w:val="auto"/>
        </w:rPr>
        <w:t>: helder en proactief uitleggen wat het verbod inhoudt, waarom het is ingevoerd en wat dit voor mensen en organisaties betekent, inclusief nuances rond F1-vuurwerk en gemeentelijke ontheffingen. 2) stimuleren</w:t>
      </w:r>
      <w:r w:rsidRPr="00D704D2" w:rsidR="004348E5">
        <w:rPr>
          <w:color w:val="auto"/>
        </w:rPr>
        <w:t xml:space="preserve"> van algemeen publiek</w:t>
      </w:r>
      <w:r w:rsidRPr="00D704D2">
        <w:rPr>
          <w:color w:val="auto"/>
        </w:rPr>
        <w:t xml:space="preserve">: mensen helpen gewenst gedrag te vertonen, bijvoorbeeld door het faciliteren en onder de aandacht brengen van inleverdagen voor nog aanwezig. </w:t>
      </w:r>
      <w:r w:rsidRPr="00D704D2" w:rsidR="004348E5">
        <w:rPr>
          <w:color w:val="auto"/>
        </w:rPr>
        <w:t>Hier ligt zowel landelijk als lokaal een taak, afhankelijk van de boodschap. Zo zal er landelijk gecommuniceerd worden over inleverdagen, maar is het aan de gemeenten om de communiceren over eventuele alternatieve</w:t>
      </w:r>
      <w:r w:rsidRPr="00D704D2" w:rsidR="008C261B">
        <w:rPr>
          <w:color w:val="auto"/>
        </w:rPr>
        <w:t xml:space="preserve"> vieringen</w:t>
      </w:r>
      <w:r w:rsidRPr="00D704D2" w:rsidR="004348E5">
        <w:rPr>
          <w:color w:val="auto"/>
        </w:rPr>
        <w:t xml:space="preserve">. </w:t>
      </w:r>
      <w:r w:rsidRPr="00D704D2">
        <w:rPr>
          <w:color w:val="auto"/>
        </w:rPr>
        <w:t xml:space="preserve">3) mobiliseren: </w:t>
      </w:r>
      <w:r w:rsidRPr="00D704D2" w:rsidR="004348E5">
        <w:rPr>
          <w:color w:val="auto"/>
        </w:rPr>
        <w:t>partners</w:t>
      </w:r>
      <w:r w:rsidRPr="00D704D2">
        <w:rPr>
          <w:color w:val="auto"/>
        </w:rPr>
        <w:t xml:space="preserve"> in hun rol met een eenduidige boodschap, handvatten en middelen, zodat lokale communicatie aansluit op de landelijke. </w:t>
      </w:r>
    </w:p>
    <w:p w:rsidRPr="00D704D2" w:rsidR="00BD3515" w:rsidP="005D696E" w:rsidRDefault="00BD3515" w14:paraId="60332426" w14:textId="77777777">
      <w:pPr>
        <w:rPr>
          <w:color w:val="auto"/>
        </w:rPr>
      </w:pPr>
    </w:p>
    <w:p w:rsidRPr="00D704D2" w:rsidR="00BD3515" w:rsidP="00BD3515" w:rsidRDefault="00BD3515" w14:paraId="2C293E7C" w14:textId="77777777">
      <w:pPr>
        <w:rPr>
          <w:i/>
          <w:iCs/>
          <w:color w:val="auto"/>
        </w:rPr>
      </w:pPr>
      <w:r w:rsidRPr="00D704D2">
        <w:rPr>
          <w:i/>
          <w:iCs/>
          <w:color w:val="auto"/>
        </w:rPr>
        <w:t xml:space="preserve">Voorlichtingspakket supervisors en </w:t>
      </w:r>
      <w:proofErr w:type="spellStart"/>
      <w:r w:rsidRPr="00D704D2">
        <w:rPr>
          <w:i/>
          <w:iCs/>
          <w:color w:val="auto"/>
        </w:rPr>
        <w:t>ontbranders</w:t>
      </w:r>
      <w:proofErr w:type="spellEnd"/>
    </w:p>
    <w:p w:rsidRPr="00D704D2" w:rsidR="00BD3515" w:rsidP="00BD3515" w:rsidRDefault="00BD3515" w14:paraId="454EF82F" w14:textId="77777777">
      <w:pPr>
        <w:rPr>
          <w:color w:val="auto"/>
        </w:rPr>
      </w:pPr>
      <w:r w:rsidRPr="00D704D2">
        <w:rPr>
          <w:color w:val="auto"/>
        </w:rPr>
        <w:t xml:space="preserve">Voor het overbrengen van kennis over het veilig afsteken, transporteren en tijdelijk neerleggen van consumentenvuurwerk tijdens de jaarwisseling ontwikkelt </w:t>
      </w:r>
      <w:proofErr w:type="spellStart"/>
      <w:r w:rsidRPr="00D704D2">
        <w:rPr>
          <w:color w:val="auto"/>
        </w:rPr>
        <w:t>VeiligheidNL</w:t>
      </w:r>
      <w:proofErr w:type="spellEnd"/>
      <w:r w:rsidRPr="00D704D2">
        <w:rPr>
          <w:color w:val="auto"/>
        </w:rPr>
        <w:t xml:space="preserve"> een voorlichtingspakket. </w:t>
      </w:r>
      <w:r w:rsidRPr="00D704D2">
        <w:t xml:space="preserve">Het uitgangspunt is dat de voorlichting niet alleen kennis overdraagt, maar vooral ondersteunt tot veilig gedrag in de praktijk. </w:t>
      </w:r>
      <w:r w:rsidRPr="00D704D2">
        <w:rPr>
          <w:color w:val="auto"/>
        </w:rPr>
        <w:t>Het doel van dit voorlichtingspakket is drieledig:</w:t>
      </w:r>
    </w:p>
    <w:p w:rsidRPr="00D704D2" w:rsidR="00BD3515" w:rsidP="00991BE6" w:rsidRDefault="00BD3515" w14:paraId="0193F473" w14:textId="77777777">
      <w:pPr>
        <w:pStyle w:val="Lijstalinea"/>
        <w:numPr>
          <w:ilvl w:val="0"/>
          <w:numId w:val="15"/>
        </w:numPr>
        <w:ind w:left="426" w:hanging="284"/>
        <w:rPr>
          <w:color w:val="auto"/>
        </w:rPr>
      </w:pPr>
      <w:r w:rsidRPr="00D704D2">
        <w:rPr>
          <w:color w:val="auto"/>
        </w:rPr>
        <w:t>het vergroten van kennis over veilig omgaan met vuurwerk;</w:t>
      </w:r>
    </w:p>
    <w:p w:rsidRPr="00D704D2" w:rsidR="00BD3515" w:rsidP="00991BE6" w:rsidRDefault="00BD3515" w14:paraId="24159D4C" w14:textId="77777777">
      <w:pPr>
        <w:pStyle w:val="Lijstalinea"/>
        <w:numPr>
          <w:ilvl w:val="0"/>
          <w:numId w:val="15"/>
        </w:numPr>
        <w:ind w:left="426" w:hanging="284"/>
        <w:rPr>
          <w:color w:val="auto"/>
        </w:rPr>
      </w:pPr>
      <w:r w:rsidRPr="00D704D2">
        <w:rPr>
          <w:color w:val="auto"/>
        </w:rPr>
        <w:t>het ondersteunen van veilig gedrag vóór, tijdens en na het afsteken van vuurwerk;</w:t>
      </w:r>
    </w:p>
    <w:p w:rsidRPr="00D704D2" w:rsidR="00BD3515" w:rsidP="00991BE6" w:rsidRDefault="00BD3515" w14:paraId="5B24C1BC" w14:textId="42DB26D4">
      <w:pPr>
        <w:pStyle w:val="Lijstalinea"/>
        <w:numPr>
          <w:ilvl w:val="0"/>
          <w:numId w:val="15"/>
        </w:numPr>
        <w:ind w:left="426" w:hanging="284"/>
        <w:rPr>
          <w:color w:val="auto"/>
        </w:rPr>
      </w:pPr>
      <w:r w:rsidRPr="00D704D2">
        <w:rPr>
          <w:color w:val="auto"/>
        </w:rPr>
        <w:t>het verkleinen van risico’s op letsel en schade voor betrokkenen, publiek en omgeving.</w:t>
      </w:r>
    </w:p>
    <w:p w:rsidRPr="00D704D2" w:rsidR="00156ABE" w:rsidP="00156ABE" w:rsidRDefault="00156ABE" w14:paraId="3FC3FA96" w14:textId="5401BBBF">
      <w:pPr>
        <w:rPr>
          <w:color w:val="auto"/>
          <w:u w:val="single"/>
        </w:rPr>
      </w:pPr>
    </w:p>
    <w:p w:rsidRPr="00D704D2" w:rsidR="0066658E" w:rsidRDefault="00B95ED2" w14:paraId="01C3BEC7" w14:textId="7805E4A5">
      <w:pPr>
        <w:rPr>
          <w:b/>
          <w:bCs/>
          <w:color w:val="auto"/>
        </w:rPr>
      </w:pPr>
      <w:r w:rsidRPr="00D704D2">
        <w:rPr>
          <w:b/>
          <w:bCs/>
          <w:color w:val="auto"/>
        </w:rPr>
        <w:t>3.</w:t>
      </w:r>
      <w:r w:rsidRPr="00D704D2" w:rsidR="00156ABE">
        <w:rPr>
          <w:b/>
          <w:bCs/>
          <w:color w:val="auto"/>
        </w:rPr>
        <w:t xml:space="preserve"> </w:t>
      </w:r>
      <w:r w:rsidRPr="00D704D2" w:rsidR="0066658E">
        <w:rPr>
          <w:b/>
          <w:bCs/>
          <w:color w:val="auto"/>
        </w:rPr>
        <w:t>Internationale aanpak illegale handel en misbruik van vuurwerk</w:t>
      </w:r>
    </w:p>
    <w:p w:rsidRPr="00D704D2" w:rsidR="00991BE6" w:rsidRDefault="00991BE6" w14:paraId="352EF061" w14:textId="77777777">
      <w:pPr>
        <w:rPr>
          <w:i/>
          <w:iCs/>
          <w:color w:val="auto"/>
        </w:rPr>
      </w:pPr>
    </w:p>
    <w:p w:rsidRPr="00D704D2" w:rsidR="007C2797" w:rsidRDefault="00920EA7" w14:paraId="2DEA33E4" w14:textId="6B79A800">
      <w:pPr>
        <w:rPr>
          <w:i/>
          <w:iCs/>
          <w:color w:val="auto"/>
        </w:rPr>
      </w:pPr>
      <w:r w:rsidRPr="00D704D2">
        <w:rPr>
          <w:i/>
          <w:iCs/>
          <w:color w:val="auto"/>
        </w:rPr>
        <w:t>Europese aanpak</w:t>
      </w:r>
      <w:r w:rsidRPr="00D704D2" w:rsidR="007C2797">
        <w:rPr>
          <w:i/>
          <w:iCs/>
          <w:color w:val="auto"/>
        </w:rPr>
        <w:t xml:space="preserve"> </w:t>
      </w:r>
    </w:p>
    <w:p w:rsidRPr="00D704D2" w:rsidR="008C261B" w:rsidP="008C261B" w:rsidRDefault="00812FC0" w14:paraId="5277AB71" w14:textId="5EB1A53F">
      <w:pPr>
        <w:rPr>
          <w:color w:val="auto"/>
        </w:rPr>
      </w:pPr>
      <w:bookmarkStart w:name="_Hlk233098388" w:id="14"/>
      <w:r w:rsidRPr="00D704D2">
        <w:rPr>
          <w:color w:val="auto"/>
        </w:rPr>
        <w:t>Het kabinet</w:t>
      </w:r>
      <w:r w:rsidRPr="00D704D2" w:rsidR="00920EA7">
        <w:rPr>
          <w:color w:val="auto"/>
        </w:rPr>
        <w:t xml:space="preserve"> zet zich, in nauwe samenwerking met Frankrijk en met steun van Zweden, al geruime tijd op Europees niveau in om de illegale handel in en het misbruik van vuurwerk tegen te gaan en de productconformiteit van vuurwerk te verbeteren.</w:t>
      </w:r>
      <w:r w:rsidRPr="00D704D2" w:rsidR="008C261B">
        <w:rPr>
          <w:color w:val="auto"/>
        </w:rPr>
        <w:t xml:space="preserve"> </w:t>
      </w:r>
      <w:bookmarkEnd w:id="14"/>
      <w:r w:rsidRPr="00D704D2" w:rsidR="008C261B">
        <w:rPr>
          <w:color w:val="auto"/>
        </w:rPr>
        <w:t xml:space="preserve">Ook dit jaar komt uit het </w:t>
      </w:r>
      <w:r w:rsidRPr="00D704D2" w:rsidR="00B95ED2">
        <w:rPr>
          <w:color w:val="auto"/>
        </w:rPr>
        <w:t xml:space="preserve">eerdergenoemde </w:t>
      </w:r>
      <w:r w:rsidRPr="00D704D2" w:rsidR="008C261B">
        <w:rPr>
          <w:color w:val="auto"/>
        </w:rPr>
        <w:t xml:space="preserve">vervolgonderzoek van </w:t>
      </w:r>
      <w:proofErr w:type="spellStart"/>
      <w:r w:rsidRPr="00D704D2" w:rsidR="008C261B">
        <w:rPr>
          <w:color w:val="auto"/>
        </w:rPr>
        <w:t>VeiligheidNL</w:t>
      </w:r>
      <w:proofErr w:type="spellEnd"/>
      <w:r w:rsidRPr="00D704D2" w:rsidR="008C261B">
        <w:rPr>
          <w:color w:val="auto"/>
        </w:rPr>
        <w:t xml:space="preserve"> naar voren </w:t>
      </w:r>
      <w:r w:rsidRPr="00D704D2" w:rsidR="00B95ED2">
        <w:rPr>
          <w:color w:val="auto"/>
        </w:rPr>
        <w:t xml:space="preserve">dat </w:t>
      </w:r>
      <w:r w:rsidRPr="00D704D2" w:rsidR="008C261B">
        <w:rPr>
          <w:color w:val="auto"/>
        </w:rPr>
        <w:t xml:space="preserve">de oorzaken voor letsel divers zijn, maar de ongevallen zijn relatief vaak het gevolg van </w:t>
      </w:r>
      <w:proofErr w:type="spellStart"/>
      <w:r w:rsidRPr="00D704D2" w:rsidR="008C261B">
        <w:rPr>
          <w:color w:val="auto"/>
        </w:rPr>
        <w:t>productfalen</w:t>
      </w:r>
      <w:proofErr w:type="spellEnd"/>
      <w:r w:rsidRPr="00D704D2" w:rsidR="00B95ED2">
        <w:rPr>
          <w:color w:val="auto"/>
        </w:rPr>
        <w:t>.</w:t>
      </w:r>
    </w:p>
    <w:p w:rsidRPr="00D704D2" w:rsidR="00920EA7" w:rsidP="00920EA7" w:rsidRDefault="00920EA7" w14:paraId="5A57F386" w14:textId="77777777">
      <w:pPr>
        <w:rPr>
          <w:color w:val="auto"/>
        </w:rPr>
      </w:pPr>
    </w:p>
    <w:p w:rsidRPr="00D704D2" w:rsidR="00140F96" w:rsidP="00140F96" w:rsidRDefault="00B95ED2" w14:paraId="1CF88753" w14:textId="26BF5A16">
      <w:pPr>
        <w:rPr>
          <w:color w:val="auto"/>
        </w:rPr>
      </w:pPr>
      <w:r w:rsidRPr="00D704D2">
        <w:rPr>
          <w:color w:val="auto"/>
        </w:rPr>
        <w:t xml:space="preserve">In 2025 voerde de Europese Commissie </w:t>
      </w:r>
      <w:r w:rsidRPr="00D704D2" w:rsidR="00140F96">
        <w:rPr>
          <w:color w:val="auto"/>
        </w:rPr>
        <w:t xml:space="preserve">de evaluatie van de </w:t>
      </w:r>
      <w:proofErr w:type="spellStart"/>
      <w:r w:rsidRPr="00D704D2" w:rsidR="00140F96">
        <w:rPr>
          <w:color w:val="auto"/>
        </w:rPr>
        <w:t>Pyrorichtlijn</w:t>
      </w:r>
      <w:proofErr w:type="spellEnd"/>
      <w:r w:rsidRPr="00D704D2" w:rsidR="00140F96">
        <w:rPr>
          <w:color w:val="auto"/>
        </w:rPr>
        <w:t xml:space="preserve"> uit</w:t>
      </w:r>
      <w:r w:rsidRPr="00D704D2" w:rsidR="002440C7">
        <w:rPr>
          <w:rStyle w:val="Voetnootmarkering"/>
          <w:color w:val="auto"/>
        </w:rPr>
        <w:footnoteReference w:id="9"/>
      </w:r>
      <w:r w:rsidRPr="00D704D2" w:rsidR="00140F96">
        <w:rPr>
          <w:color w:val="auto"/>
        </w:rPr>
        <w:t xml:space="preserve"> en deed zij een </w:t>
      </w:r>
      <w:r w:rsidRPr="00D704D2">
        <w:rPr>
          <w:color w:val="auto"/>
        </w:rPr>
        <w:t xml:space="preserve">haalbaarheidsstudie naar het </w:t>
      </w:r>
      <w:r w:rsidRPr="00D704D2" w:rsidR="002440C7">
        <w:rPr>
          <w:color w:val="auto"/>
        </w:rPr>
        <w:t>tegengaan</w:t>
      </w:r>
      <w:r w:rsidRPr="00D704D2">
        <w:rPr>
          <w:color w:val="auto"/>
        </w:rPr>
        <w:t xml:space="preserve"> van veiligheidsrisico’s door crimineel misbruik van pyrotechnische artikelen</w:t>
      </w:r>
      <w:r w:rsidRPr="00D704D2" w:rsidR="00140F96">
        <w:rPr>
          <w:color w:val="auto"/>
        </w:rPr>
        <w:t>.</w:t>
      </w:r>
      <w:r w:rsidRPr="00D704D2" w:rsidR="00140F96">
        <w:rPr>
          <w:rStyle w:val="Voetnootmarkering"/>
          <w:color w:val="auto"/>
        </w:rPr>
        <w:footnoteReference w:id="10"/>
      </w:r>
      <w:r w:rsidRPr="00D704D2">
        <w:rPr>
          <w:color w:val="auto"/>
        </w:rPr>
        <w:t xml:space="preserve"> Nederland droeg hier actief aan bij. </w:t>
      </w:r>
      <w:bookmarkStart w:name="_Hlk233098411" w:id="15"/>
      <w:r w:rsidRPr="00D704D2" w:rsidR="00140F96">
        <w:rPr>
          <w:color w:val="auto"/>
        </w:rPr>
        <w:t xml:space="preserve">Naar aanleiding hiervan hebben Nederland, Frankrijk en Zweden in een gezamenlijke brief aan </w:t>
      </w:r>
      <w:r w:rsidRPr="00D704D2">
        <w:rPr>
          <w:color w:val="auto"/>
        </w:rPr>
        <w:t xml:space="preserve">Eurocommissarissen </w:t>
      </w:r>
      <w:proofErr w:type="spellStart"/>
      <w:r w:rsidRPr="00D704D2">
        <w:rPr>
          <w:color w:val="auto"/>
        </w:rPr>
        <w:t>Brunner</w:t>
      </w:r>
      <w:proofErr w:type="spellEnd"/>
      <w:r w:rsidRPr="00D704D2">
        <w:rPr>
          <w:color w:val="auto"/>
        </w:rPr>
        <w:t xml:space="preserve"> (Binnenlandse Zaken en Migratie) en </w:t>
      </w:r>
      <w:proofErr w:type="spellStart"/>
      <w:r w:rsidRPr="00D704D2">
        <w:rPr>
          <w:color w:val="auto"/>
        </w:rPr>
        <w:t>Séjourné</w:t>
      </w:r>
      <w:proofErr w:type="spellEnd"/>
      <w:r w:rsidRPr="00D704D2">
        <w:rPr>
          <w:color w:val="auto"/>
        </w:rPr>
        <w:t xml:space="preserve"> (Interne Markt en Diensten) </w:t>
      </w:r>
      <w:r w:rsidRPr="00D704D2" w:rsidR="00140F96">
        <w:rPr>
          <w:color w:val="auto"/>
        </w:rPr>
        <w:t xml:space="preserve">nogmaals het belang om de </w:t>
      </w:r>
      <w:proofErr w:type="spellStart"/>
      <w:r w:rsidRPr="00D704D2" w:rsidR="00140F96">
        <w:rPr>
          <w:color w:val="auto"/>
        </w:rPr>
        <w:t>Pyrorichtlijn</w:t>
      </w:r>
      <w:proofErr w:type="spellEnd"/>
      <w:r w:rsidRPr="00D704D2" w:rsidR="00140F96">
        <w:rPr>
          <w:color w:val="auto"/>
        </w:rPr>
        <w:t xml:space="preserve"> te herzien wegens tekortkomingen op het gebied van veiligheid en handhaafbaarheid, benadrukt. </w:t>
      </w:r>
      <w:bookmarkEnd w:id="15"/>
      <w:r w:rsidRPr="00D704D2" w:rsidR="002440C7">
        <w:rPr>
          <w:color w:val="auto"/>
        </w:rPr>
        <w:t xml:space="preserve">Zoals uw Kamer onlangs is geïnformeerd, heeft </w:t>
      </w:r>
      <w:r w:rsidRPr="00D704D2" w:rsidR="00004C5A">
        <w:rPr>
          <w:color w:val="auto"/>
        </w:rPr>
        <w:t>o</w:t>
      </w:r>
      <w:r w:rsidRPr="00D704D2" w:rsidR="00140F96">
        <w:rPr>
          <w:color w:val="auto"/>
        </w:rPr>
        <w:t xml:space="preserve">nze gezamenlijke inzet, </w:t>
      </w:r>
      <w:r w:rsidRPr="00D704D2" w:rsidR="00004C5A">
        <w:rPr>
          <w:color w:val="auto"/>
        </w:rPr>
        <w:t>ook</w:t>
      </w:r>
      <w:r w:rsidRPr="00D704D2" w:rsidR="00140F96">
        <w:rPr>
          <w:color w:val="auto"/>
        </w:rPr>
        <w:t xml:space="preserve"> </w:t>
      </w:r>
      <w:r w:rsidRPr="00D704D2" w:rsidR="00004C5A">
        <w:rPr>
          <w:color w:val="auto"/>
        </w:rPr>
        <w:t>via</w:t>
      </w:r>
      <w:r w:rsidRPr="00D704D2" w:rsidR="00140F96">
        <w:rPr>
          <w:color w:val="auto"/>
        </w:rPr>
        <w:t xml:space="preserve"> het Offensief Tegen Explosies onder voorzitterschap van burgemeester Carola Schouten, geleid tot een mooi resultaat</w:t>
      </w:r>
      <w:r w:rsidRPr="00D704D2" w:rsidR="002440C7">
        <w:rPr>
          <w:color w:val="auto"/>
        </w:rPr>
        <w:t>.</w:t>
      </w:r>
      <w:r w:rsidRPr="00D704D2" w:rsidR="00140F96">
        <w:rPr>
          <w:rStyle w:val="Voetnootmarkering"/>
          <w:color w:val="auto"/>
        </w:rPr>
        <w:footnoteReference w:id="11"/>
      </w:r>
      <w:r w:rsidRPr="00D704D2" w:rsidR="00140F96">
        <w:rPr>
          <w:color w:val="auto"/>
        </w:rPr>
        <w:t xml:space="preserve"> </w:t>
      </w:r>
      <w:bookmarkStart w:name="_Hlk233098491" w:id="16"/>
      <w:r w:rsidRPr="00D704D2" w:rsidR="00140F96">
        <w:rPr>
          <w:color w:val="auto"/>
        </w:rPr>
        <w:t xml:space="preserve">De Europese Commissie heeft recent aangegeven de geuite zorgen en de urgentie van de problematiek te delen en </w:t>
      </w:r>
      <w:r w:rsidRPr="00D704D2" w:rsidR="00004C5A">
        <w:rPr>
          <w:color w:val="auto"/>
        </w:rPr>
        <w:t xml:space="preserve">heeft </w:t>
      </w:r>
      <w:r w:rsidRPr="00D704D2" w:rsidR="00140F96">
        <w:rPr>
          <w:color w:val="auto"/>
        </w:rPr>
        <w:t xml:space="preserve">aangekondigd voornemens te zijn de </w:t>
      </w:r>
      <w:proofErr w:type="spellStart"/>
      <w:r w:rsidRPr="00D704D2" w:rsidR="00140F96">
        <w:rPr>
          <w:color w:val="auto"/>
        </w:rPr>
        <w:t>Pyrorichtlijn</w:t>
      </w:r>
      <w:proofErr w:type="spellEnd"/>
      <w:r w:rsidRPr="00D704D2" w:rsidR="00140F96">
        <w:rPr>
          <w:color w:val="auto"/>
        </w:rPr>
        <w:t xml:space="preserve"> te herzien</w:t>
      </w:r>
      <w:bookmarkEnd w:id="16"/>
      <w:r w:rsidRPr="00D704D2" w:rsidR="00140F96">
        <w:rPr>
          <w:color w:val="auto"/>
        </w:rPr>
        <w:t xml:space="preserve">, conform de oproep van Nederland, Frankrijk en Zweden. </w:t>
      </w:r>
      <w:bookmarkStart w:name="_Hlk233098517" w:id="17"/>
      <w:r w:rsidRPr="00D704D2" w:rsidR="00140F96">
        <w:rPr>
          <w:color w:val="auto"/>
        </w:rPr>
        <w:t xml:space="preserve">In de komende periode werkt de </w:t>
      </w:r>
      <w:r w:rsidRPr="00D704D2" w:rsidR="00004C5A">
        <w:rPr>
          <w:color w:val="auto"/>
        </w:rPr>
        <w:t xml:space="preserve">Europese </w:t>
      </w:r>
      <w:r w:rsidRPr="00D704D2" w:rsidR="00140F96">
        <w:rPr>
          <w:color w:val="auto"/>
        </w:rPr>
        <w:t xml:space="preserve">Commissie aan een impact assessment op basis waarvan naar verwachting in 2027 een voorstel voor de herziening van de </w:t>
      </w:r>
      <w:proofErr w:type="spellStart"/>
      <w:r w:rsidRPr="00D704D2" w:rsidR="00004C5A">
        <w:rPr>
          <w:color w:val="auto"/>
        </w:rPr>
        <w:t>Pyro</w:t>
      </w:r>
      <w:r w:rsidRPr="00D704D2" w:rsidR="00140F96">
        <w:rPr>
          <w:color w:val="auto"/>
        </w:rPr>
        <w:t>richtlijn</w:t>
      </w:r>
      <w:proofErr w:type="spellEnd"/>
      <w:r w:rsidRPr="00D704D2" w:rsidR="00140F96">
        <w:rPr>
          <w:color w:val="auto"/>
        </w:rPr>
        <w:t xml:space="preserve"> </w:t>
      </w:r>
      <w:r w:rsidRPr="00D704D2" w:rsidR="00004C5A">
        <w:rPr>
          <w:color w:val="auto"/>
        </w:rPr>
        <w:t>zal worden</w:t>
      </w:r>
      <w:r w:rsidRPr="00D704D2" w:rsidR="00140F96">
        <w:rPr>
          <w:color w:val="auto"/>
        </w:rPr>
        <w:t xml:space="preserve"> gepresenteerd. </w:t>
      </w:r>
      <w:bookmarkEnd w:id="17"/>
      <w:r w:rsidRPr="00D704D2" w:rsidR="00140F96">
        <w:rPr>
          <w:color w:val="auto"/>
        </w:rPr>
        <w:t xml:space="preserve">Hiermee is tevens invulling gegeven aan de aanbevelingen van de </w:t>
      </w:r>
      <w:proofErr w:type="spellStart"/>
      <w:r w:rsidRPr="00D704D2" w:rsidR="00140F96">
        <w:rPr>
          <w:color w:val="auto"/>
        </w:rPr>
        <w:t>Onderzoeksraad</w:t>
      </w:r>
      <w:proofErr w:type="spellEnd"/>
      <w:r w:rsidRPr="00D704D2" w:rsidR="00140F96">
        <w:rPr>
          <w:color w:val="auto"/>
        </w:rPr>
        <w:t xml:space="preserve"> van Veiligheid.</w:t>
      </w:r>
      <w:r w:rsidRPr="00D704D2" w:rsidR="00140F96">
        <w:rPr>
          <w:rStyle w:val="Voetnootmarkering"/>
          <w:color w:val="auto"/>
        </w:rPr>
        <w:footnoteReference w:id="12"/>
      </w:r>
    </w:p>
    <w:p w:rsidRPr="00D704D2" w:rsidR="0088048A" w:rsidRDefault="0088048A" w14:paraId="481AC4B7" w14:textId="77777777">
      <w:pPr>
        <w:rPr>
          <w:color w:val="auto"/>
        </w:rPr>
      </w:pPr>
    </w:p>
    <w:p w:rsidRPr="00D704D2" w:rsidR="00920EA7" w:rsidRDefault="00156ABE" w14:paraId="1DD1CDE1" w14:textId="7FDD4DF4">
      <w:pPr>
        <w:rPr>
          <w:i/>
          <w:iCs/>
          <w:color w:val="auto"/>
        </w:rPr>
      </w:pPr>
      <w:r w:rsidRPr="00D704D2">
        <w:rPr>
          <w:i/>
          <w:iCs/>
          <w:color w:val="auto"/>
        </w:rPr>
        <w:t>N</w:t>
      </w:r>
      <w:r w:rsidRPr="00D704D2" w:rsidR="00A6716E">
        <w:rPr>
          <w:i/>
          <w:iCs/>
          <w:color w:val="auto"/>
        </w:rPr>
        <w:t>L</w:t>
      </w:r>
      <w:r w:rsidRPr="00D704D2">
        <w:rPr>
          <w:i/>
          <w:iCs/>
          <w:color w:val="auto"/>
        </w:rPr>
        <w:t xml:space="preserve"> </w:t>
      </w:r>
      <w:r w:rsidRPr="00D704D2" w:rsidR="00920EA7">
        <w:rPr>
          <w:i/>
          <w:iCs/>
          <w:color w:val="auto"/>
        </w:rPr>
        <w:t>Voorzitterschap Raad van Europa</w:t>
      </w:r>
      <w:r w:rsidRPr="00D704D2">
        <w:rPr>
          <w:i/>
          <w:iCs/>
          <w:color w:val="auto"/>
        </w:rPr>
        <w:t xml:space="preserve"> 2027</w:t>
      </w:r>
    </w:p>
    <w:p w:rsidRPr="00D704D2" w:rsidR="00715113" w:rsidRDefault="00715113" w14:paraId="363DB91D" w14:textId="6C0D9D6C">
      <w:pPr>
        <w:rPr>
          <w:color w:val="auto"/>
        </w:rPr>
      </w:pPr>
      <w:bookmarkStart w:name="_Hlk232170127" w:id="18"/>
      <w:r w:rsidRPr="00D704D2">
        <w:rPr>
          <w:color w:val="auto"/>
        </w:rPr>
        <w:t xml:space="preserve">Ook buiten de EU worden landen geconfronteerd met misbruik en illegale handel in pyrotechnische artikelen. </w:t>
      </w:r>
      <w:bookmarkStart w:name="_Hlk233098532" w:id="19"/>
      <w:r w:rsidRPr="00D704D2">
        <w:rPr>
          <w:color w:val="auto"/>
        </w:rPr>
        <w:t xml:space="preserve">In afstemming met de EU verkent het kabinet hoe deze problematiek </w:t>
      </w:r>
      <w:r w:rsidRPr="00D704D2" w:rsidR="00004C5A">
        <w:rPr>
          <w:color w:val="auto"/>
        </w:rPr>
        <w:t xml:space="preserve">ook </w:t>
      </w:r>
      <w:r w:rsidRPr="00D704D2">
        <w:rPr>
          <w:color w:val="auto"/>
        </w:rPr>
        <w:t xml:space="preserve">binnen de Raad van Europa onder de aandacht te brengen, om de bredere samenwerking met </w:t>
      </w:r>
      <w:proofErr w:type="spellStart"/>
      <w:r w:rsidRPr="00D704D2">
        <w:rPr>
          <w:color w:val="auto"/>
        </w:rPr>
        <w:t>RvE</w:t>
      </w:r>
      <w:proofErr w:type="spellEnd"/>
      <w:r w:rsidRPr="00D704D2">
        <w:rPr>
          <w:color w:val="auto"/>
        </w:rPr>
        <w:t>-lidstaten te versterken. Het kabinet beziet de mogelijkheden daartoe in het kader van het aanstaande voorzitterschap van het Comité van Ministers van de Raad van Europa in 2027.</w:t>
      </w:r>
      <w:bookmarkEnd w:id="19"/>
    </w:p>
    <w:bookmarkEnd w:id="18"/>
    <w:p w:rsidRPr="00D704D2" w:rsidR="00920EA7" w:rsidRDefault="00920EA7" w14:paraId="52A721A0" w14:textId="77777777">
      <w:pPr>
        <w:rPr>
          <w:color w:val="auto"/>
          <w:u w:val="single"/>
        </w:rPr>
      </w:pPr>
    </w:p>
    <w:p w:rsidRPr="00D704D2" w:rsidR="0066658E" w:rsidP="008A7DEF" w:rsidRDefault="00B95ED2" w14:paraId="261609A4" w14:textId="6ED0B609">
      <w:pPr>
        <w:rPr>
          <w:b/>
          <w:bCs/>
          <w:color w:val="auto"/>
        </w:rPr>
      </w:pPr>
      <w:r w:rsidRPr="00D704D2">
        <w:rPr>
          <w:b/>
          <w:bCs/>
          <w:color w:val="auto"/>
        </w:rPr>
        <w:t xml:space="preserve">4. Afdoening </w:t>
      </w:r>
      <w:r w:rsidRPr="00D704D2" w:rsidR="00156ABE">
        <w:rPr>
          <w:b/>
          <w:bCs/>
          <w:color w:val="auto"/>
        </w:rPr>
        <w:t>m</w:t>
      </w:r>
      <w:r w:rsidRPr="00D704D2" w:rsidR="001B3779">
        <w:rPr>
          <w:b/>
          <w:bCs/>
          <w:color w:val="auto"/>
        </w:rPr>
        <w:t>oties</w:t>
      </w:r>
    </w:p>
    <w:p w:rsidRPr="00D704D2" w:rsidR="00991BE6" w:rsidP="001B3779" w:rsidRDefault="00991BE6" w14:paraId="7B9750C4" w14:textId="77777777">
      <w:pPr>
        <w:rPr>
          <w:i/>
          <w:iCs/>
          <w:color w:val="auto"/>
        </w:rPr>
      </w:pPr>
    </w:p>
    <w:p w:rsidRPr="00D704D2" w:rsidR="00156ABE" w:rsidP="001B3779" w:rsidRDefault="00156ABE" w14:paraId="19EBB4FD" w14:textId="64C884B0">
      <w:pPr>
        <w:rPr>
          <w:i/>
          <w:iCs/>
          <w:color w:val="auto"/>
        </w:rPr>
      </w:pPr>
      <w:r w:rsidRPr="00D704D2">
        <w:rPr>
          <w:i/>
          <w:iCs/>
          <w:color w:val="auto"/>
        </w:rPr>
        <w:t>Ouderbetrokkenheid</w:t>
      </w:r>
    </w:p>
    <w:p w:rsidRPr="00D704D2" w:rsidR="006B224C" w:rsidP="001B3779" w:rsidRDefault="001B3779" w14:paraId="01E322DB" w14:textId="480CB417">
      <w:pPr>
        <w:rPr>
          <w:color w:val="auto"/>
        </w:rPr>
      </w:pPr>
      <w:r w:rsidRPr="00D704D2">
        <w:rPr>
          <w:color w:val="auto"/>
        </w:rPr>
        <w:t xml:space="preserve">De motie van </w:t>
      </w:r>
      <w:r w:rsidRPr="00D704D2" w:rsidR="00004C5A">
        <w:rPr>
          <w:color w:val="auto"/>
        </w:rPr>
        <w:t xml:space="preserve">het </w:t>
      </w:r>
      <w:r w:rsidRPr="00D704D2">
        <w:rPr>
          <w:color w:val="auto"/>
        </w:rPr>
        <w:t xml:space="preserve">lid Bikker verzoekt </w:t>
      </w:r>
      <w:bookmarkStart w:name="_Hlk233099141" w:id="20"/>
      <w:r w:rsidRPr="00D704D2">
        <w:rPr>
          <w:color w:val="auto"/>
        </w:rPr>
        <w:t>om meer aandacht en zo nodig dwingende invulling te geven aan de betrokkenheid van ouders indien minderjarigen structureel overlast veroorzaken en hiervoor in het najaar een strategie te presenteren</w:t>
      </w:r>
      <w:bookmarkEnd w:id="20"/>
      <w:r w:rsidRPr="00D704D2">
        <w:rPr>
          <w:color w:val="auto"/>
        </w:rPr>
        <w:t>.</w:t>
      </w:r>
      <w:r w:rsidRPr="00D704D2">
        <w:rPr>
          <w:rStyle w:val="Voetnootmarkering"/>
          <w:color w:val="auto"/>
        </w:rPr>
        <w:footnoteReference w:id="13"/>
      </w:r>
      <w:r w:rsidRPr="00D704D2">
        <w:rPr>
          <w:color w:val="auto"/>
        </w:rPr>
        <w:t xml:space="preserve"> De afdoening van deze motie ligt in lijn met de afdoening van een vergelijkbare motie van het </w:t>
      </w:r>
      <w:r w:rsidRPr="00D704D2" w:rsidR="00B058ED">
        <w:rPr>
          <w:color w:val="auto"/>
        </w:rPr>
        <w:t xml:space="preserve">voormalige </w:t>
      </w:r>
      <w:r w:rsidRPr="00D704D2">
        <w:rPr>
          <w:color w:val="auto"/>
        </w:rPr>
        <w:t xml:space="preserve">lid </w:t>
      </w:r>
      <w:proofErr w:type="spellStart"/>
      <w:r w:rsidRPr="00D704D2">
        <w:rPr>
          <w:color w:val="auto"/>
        </w:rPr>
        <w:t>Dral</w:t>
      </w:r>
      <w:proofErr w:type="spellEnd"/>
      <w:r w:rsidRPr="00D704D2">
        <w:rPr>
          <w:color w:val="auto"/>
        </w:rPr>
        <w:t xml:space="preserve"> in de voortgangsbrief </w:t>
      </w:r>
      <w:r w:rsidRPr="00D704D2" w:rsidR="00B058ED">
        <w:rPr>
          <w:color w:val="auto"/>
        </w:rPr>
        <w:t xml:space="preserve">Justitiële jeugd </w:t>
      </w:r>
      <w:r w:rsidRPr="00D704D2">
        <w:rPr>
          <w:color w:val="auto"/>
        </w:rPr>
        <w:t>uit januari 2026 om te verkennen welke effectieve dwangmiddelen jegens ouders mogelijk zijn en bij welke instanties deze bevoegdheid moet worden belegd.</w:t>
      </w:r>
      <w:r w:rsidRPr="00D704D2" w:rsidR="00004C5A">
        <w:rPr>
          <w:rStyle w:val="Voetnootmarkering"/>
          <w:color w:val="auto"/>
        </w:rPr>
        <w:footnoteReference w:id="14"/>
      </w:r>
      <w:r w:rsidRPr="00D704D2">
        <w:rPr>
          <w:color w:val="auto"/>
        </w:rPr>
        <w:t xml:space="preserve"> In deze brief is een overzicht gegeven van de wijze waarop ouders momenteel betrokken worden als hun kinderen met justitie te maken krijgen, en wordt aangegeven dat er geen aanvullende mogelijkheden worden gezien vanuit het strafrecht om ouders met dwang te betrekken. Verder is aangegeven dat er wel mogelijkheden voor de burgemeester zijn om, zij het soms indirect, in bepaalde gevallen dwang uit te oefenen op ouders, door middel van bestuurlijke handhaving op lokale verbodsbepalingen met betrekking tot de openbare orde en veiligheid. </w:t>
      </w:r>
      <w:r w:rsidRPr="00D704D2" w:rsidR="006B224C">
        <w:rPr>
          <w:color w:val="auto"/>
        </w:rPr>
        <w:t>Ten aanzien van ouders of gezagsdragers van kinderen onder de 12 jaar heeft de burgemeester daarnaast de bevoegdheid om rechtstreeks aan ouders het bevel te geven ervoor te zorgen dat kun kind zich niet onbegeleid op bepaalde plaatsen bevindt of ’s nachts op straat rondhangt.</w:t>
      </w:r>
      <w:r w:rsidRPr="00D704D2" w:rsidR="006B224C">
        <w:rPr>
          <w:rStyle w:val="Voetnootmarkering"/>
          <w:color w:val="auto"/>
        </w:rPr>
        <w:footnoteReference w:id="15"/>
      </w:r>
      <w:r w:rsidRPr="00D704D2" w:rsidR="006B224C">
        <w:rPr>
          <w:color w:val="auto"/>
        </w:rPr>
        <w:t xml:space="preserve"> De burgemeester kan in geval van overtreding van de APV een last onder dwangsom opleggen ter voorkoming van herhaalde overtreding. Hoewel de last onder dwangsom wordt opgelegd aan de overtreder, zal dit in geval van minderjarigheid van de overtreder naar verwachting ook voor de ouders als dwangmaatregel ervaren worden, aangezien zij een eventuele dwangsom in praktijk vermoedelijk voor hun rekening zullen nemen.  </w:t>
      </w:r>
    </w:p>
    <w:p w:rsidRPr="00D704D2" w:rsidR="00991BE6" w:rsidP="001B3779" w:rsidRDefault="00991BE6" w14:paraId="243DEA3F" w14:textId="77777777">
      <w:pPr>
        <w:rPr>
          <w:color w:val="auto"/>
        </w:rPr>
      </w:pPr>
    </w:p>
    <w:p w:rsidRPr="00D704D2" w:rsidR="001B3779" w:rsidP="001B3779" w:rsidRDefault="006B224C" w14:paraId="5069DB14" w14:textId="7FF2E061">
      <w:pPr>
        <w:rPr>
          <w:color w:val="auto"/>
        </w:rPr>
      </w:pPr>
      <w:r w:rsidRPr="00D704D2">
        <w:rPr>
          <w:color w:val="auto"/>
        </w:rPr>
        <w:t>D</w:t>
      </w:r>
      <w:r w:rsidRPr="00D704D2" w:rsidR="001B3779">
        <w:rPr>
          <w:color w:val="auto"/>
        </w:rPr>
        <w:t xml:space="preserve">e toenmalig minister voor Rechtsbescherming </w:t>
      </w:r>
      <w:r w:rsidRPr="00D704D2">
        <w:rPr>
          <w:color w:val="auto"/>
        </w:rPr>
        <w:t xml:space="preserve">heeft </w:t>
      </w:r>
      <w:r w:rsidRPr="00D704D2" w:rsidR="001B3779">
        <w:rPr>
          <w:color w:val="auto"/>
        </w:rPr>
        <w:t>in reactie op een voorstel daartoe uit de initiatiefnota van het lid Verkuijlen ‘Opvoeden die handel’, in 2024 een handreiking voor gemeenten beschikbaar gesteld met afwegingskaders voor prudent gebruik van de last onder dwangsom</w:t>
      </w:r>
      <w:r w:rsidRPr="00D704D2" w:rsidR="00991BE6">
        <w:rPr>
          <w:color w:val="auto"/>
        </w:rPr>
        <w:t>.</w:t>
      </w:r>
      <w:r w:rsidRPr="00D704D2" w:rsidR="003F3003">
        <w:rPr>
          <w:rStyle w:val="Voetnootmarkering"/>
          <w:color w:val="auto"/>
        </w:rPr>
        <w:footnoteReference w:id="16"/>
      </w:r>
      <w:r w:rsidRPr="00D704D2" w:rsidR="00812FC0">
        <w:rPr>
          <w:color w:val="auto"/>
        </w:rPr>
        <w:t xml:space="preserve"> Gelet op bovenstaande kan deze motie als </w:t>
      </w:r>
      <w:r w:rsidRPr="00D704D2" w:rsidR="00004C5A">
        <w:rPr>
          <w:color w:val="auto"/>
        </w:rPr>
        <w:t xml:space="preserve">afgedaan </w:t>
      </w:r>
      <w:r w:rsidRPr="00D704D2" w:rsidR="00812FC0">
        <w:rPr>
          <w:color w:val="auto"/>
        </w:rPr>
        <w:t xml:space="preserve">worden beschouwd. </w:t>
      </w:r>
    </w:p>
    <w:p w:rsidRPr="00D704D2" w:rsidR="00142D0B" w:rsidP="001B3779" w:rsidRDefault="00142D0B" w14:paraId="61DDD6A6" w14:textId="77777777">
      <w:pPr>
        <w:rPr>
          <w:color w:val="auto"/>
        </w:rPr>
      </w:pPr>
    </w:p>
    <w:p w:rsidRPr="00D704D2" w:rsidR="00156ABE" w:rsidP="001B3779" w:rsidRDefault="00156ABE" w14:paraId="0816EA08" w14:textId="59C776EF">
      <w:pPr>
        <w:rPr>
          <w:i/>
          <w:iCs/>
          <w:color w:val="auto"/>
        </w:rPr>
      </w:pPr>
      <w:r w:rsidRPr="00D704D2">
        <w:rPr>
          <w:i/>
          <w:iCs/>
          <w:color w:val="auto"/>
        </w:rPr>
        <w:t>Ervaringen last onder dwangsom</w:t>
      </w:r>
    </w:p>
    <w:p w:rsidRPr="00D704D2" w:rsidR="00142D0B" w:rsidP="00142D0B" w:rsidRDefault="00004C5A" w14:paraId="6EE46153" w14:textId="542AA37D">
      <w:pPr>
        <w:rPr>
          <w:color w:val="auto"/>
        </w:rPr>
      </w:pPr>
      <w:r w:rsidRPr="00D704D2">
        <w:rPr>
          <w:color w:val="auto"/>
        </w:rPr>
        <w:t xml:space="preserve">De motie van </w:t>
      </w:r>
      <w:r w:rsidRPr="00D704D2" w:rsidR="00142D0B">
        <w:rPr>
          <w:color w:val="auto"/>
        </w:rPr>
        <w:t>het lid Bikker c.s.</w:t>
      </w:r>
      <w:r w:rsidRPr="00D704D2">
        <w:rPr>
          <w:color w:val="auto"/>
        </w:rPr>
        <w:t xml:space="preserve"> vraagt</w:t>
      </w:r>
      <w:r w:rsidRPr="00D704D2" w:rsidR="00142D0B">
        <w:rPr>
          <w:color w:val="auto"/>
        </w:rPr>
        <w:t xml:space="preserve"> </w:t>
      </w:r>
      <w:bookmarkStart w:name="_Hlk233099192" w:id="22"/>
      <w:r w:rsidRPr="00D704D2" w:rsidR="00142D0B">
        <w:rPr>
          <w:color w:val="auto"/>
        </w:rPr>
        <w:t>om de goede ervaringen met het opleggen van een last onder dwangsom bij sommige gemeenten breder uit te werken, zodat relschoppers en hooligans in alle gemeenten hiermee geconfronteerd zullen worden.</w:t>
      </w:r>
      <w:bookmarkEnd w:id="22"/>
      <w:r w:rsidRPr="00D704D2" w:rsidR="00142D0B">
        <w:rPr>
          <w:color w:val="auto"/>
        </w:rPr>
        <w:t xml:space="preserve"> In die motie is daarbij genoemd dat de gemeenten Urk en Deventer, maar ook andere gemeenten, goede ervaringen met dit instrument hebben.</w:t>
      </w:r>
      <w:r w:rsidRPr="00D704D2">
        <w:rPr>
          <w:rStyle w:val="Voetnootmarkering"/>
          <w:color w:val="auto"/>
        </w:rPr>
        <w:footnoteReference w:id="17"/>
      </w:r>
    </w:p>
    <w:p w:rsidRPr="00D704D2" w:rsidR="00142D0B" w:rsidP="00142D0B" w:rsidRDefault="00142D0B" w14:paraId="41CC1D16" w14:textId="77777777">
      <w:pPr>
        <w:rPr>
          <w:color w:val="auto"/>
        </w:rPr>
      </w:pPr>
    </w:p>
    <w:p w:rsidRPr="00D704D2" w:rsidR="00142D0B" w:rsidP="00142D0B" w:rsidRDefault="00142D0B" w14:paraId="47F455D7" w14:textId="7E95ACC8">
      <w:pPr>
        <w:rPr>
          <w:color w:val="auto"/>
        </w:rPr>
      </w:pPr>
      <w:r w:rsidRPr="00D704D2">
        <w:rPr>
          <w:color w:val="auto"/>
        </w:rPr>
        <w:t>De burgemeester is belast met de opdracht de openbare orde te handhaven en beschikt daartoe over verschillende bevoegdheden. De Gemeentewet en de Algemene plaatselijke verordening bevatten verschillende instrumenten, zoals het aansturen van de politie en het (laten) geven van de nodige bevelen en de bevoegdheid tot het opleggen van gebiedsverboden en groepsverboden. Ook zijn bepaalde gedragingen in de openbare ruimte strafbaar gesteld. Wanneer overtreding van deze strafbare feiten plaatsvind</w:t>
      </w:r>
      <w:r w:rsidRPr="00D704D2" w:rsidR="00FF39DF">
        <w:rPr>
          <w:color w:val="auto"/>
        </w:rPr>
        <w:t>t</w:t>
      </w:r>
      <w:r w:rsidRPr="00D704D2">
        <w:rPr>
          <w:color w:val="auto"/>
        </w:rPr>
        <w:t xml:space="preserve">, kan naast of in plaats van strafrechtelijke afdoening daarvan ook voor een bestuurlijke maatregel worden gekozen. De burgemeester is op grond van art. 125 Gemeentewet bevoegd tot het opleggen van een last onder dwangsom </w:t>
      </w:r>
      <w:proofErr w:type="spellStart"/>
      <w:r w:rsidRPr="00D704D2">
        <w:rPr>
          <w:color w:val="auto"/>
        </w:rPr>
        <w:t>terzake</w:t>
      </w:r>
      <w:proofErr w:type="spellEnd"/>
      <w:r w:rsidRPr="00D704D2">
        <w:rPr>
          <w:color w:val="auto"/>
        </w:rPr>
        <w:t xml:space="preserve"> de regels die hij uitvoert. Het is aan de burgemeester om in situaties die zich daarvoor lenen toepassing te geven aan het hem ter beschikking staande handhavingsinstrumentarium, waarbij hij overigens is gehouden een afweging te maken rondom de proportionaliteit en de subsidiariteit van zijn maatregelen. Ook zal hij afwegen of en op welke wijze afdoening van een verstoring van de openbare orde reeds strafrechtelijk plaatsvindt.</w:t>
      </w:r>
    </w:p>
    <w:p w:rsidRPr="00D704D2" w:rsidR="00142D0B" w:rsidP="00142D0B" w:rsidRDefault="00142D0B" w14:paraId="50AD3026" w14:textId="77777777">
      <w:pPr>
        <w:rPr>
          <w:color w:val="auto"/>
        </w:rPr>
      </w:pPr>
    </w:p>
    <w:p w:rsidRPr="00D704D2" w:rsidR="00142D0B" w:rsidP="00142D0B" w:rsidRDefault="00142D0B" w14:paraId="798B2A1D" w14:textId="3A90394C">
      <w:pPr>
        <w:rPr>
          <w:color w:val="auto"/>
        </w:rPr>
      </w:pPr>
      <w:r w:rsidRPr="00D704D2">
        <w:rPr>
          <w:color w:val="auto"/>
        </w:rPr>
        <w:t>Naar aanleiding van deze motie is contact geweest met de betreffende gemeenten en gevraagd op welke wijze hun ervaringen het beste gedeeld kunnen worden. Zij gaven aan dat zij in hun regionale samenwerkingsverbanden hun ervaringen hebben toegelicht. Daarnaast heeft het CCV, dat op verschillende wijzen informatie aan gemeenten verstrekt over onder meer de toepassing van openbare ordebevoegdheden, op zijn website en tijdens online bijeenkomsten ook aan de hand van specifiek deze voorbeelden aandacht gegeven aan de toepassing van bestuurlijke bevoegdheden en de last onder dwangsom.</w:t>
      </w:r>
      <w:r w:rsidRPr="00D704D2" w:rsidR="00EE7378">
        <w:rPr>
          <w:color w:val="auto"/>
        </w:rPr>
        <w:t xml:space="preserve"> Hiermee kan de </w:t>
      </w:r>
      <w:r w:rsidRPr="00D704D2" w:rsidR="00991BE6">
        <w:rPr>
          <w:color w:val="auto"/>
        </w:rPr>
        <w:t xml:space="preserve"> </w:t>
      </w:r>
      <w:r w:rsidRPr="00D704D2" w:rsidR="00EE7378">
        <w:rPr>
          <w:color w:val="auto"/>
        </w:rPr>
        <w:t xml:space="preserve">motie als </w:t>
      </w:r>
      <w:r w:rsidRPr="00D704D2" w:rsidR="00004C5A">
        <w:rPr>
          <w:color w:val="auto"/>
        </w:rPr>
        <w:t xml:space="preserve">afgedaan </w:t>
      </w:r>
      <w:r w:rsidRPr="00D704D2" w:rsidR="00EE7378">
        <w:rPr>
          <w:color w:val="auto"/>
        </w:rPr>
        <w:t xml:space="preserve">worden beschouwd. </w:t>
      </w:r>
    </w:p>
    <w:p w:rsidRPr="00D704D2" w:rsidR="00B53665" w:rsidRDefault="00B53665" w14:paraId="4758B215" w14:textId="77777777">
      <w:pPr>
        <w:rPr>
          <w:color w:val="auto"/>
        </w:rPr>
      </w:pPr>
    </w:p>
    <w:p w:rsidRPr="00D704D2" w:rsidR="00156ABE" w:rsidRDefault="00156ABE" w14:paraId="1AD84026" w14:textId="515D3D26">
      <w:pPr>
        <w:rPr>
          <w:i/>
          <w:iCs/>
          <w:color w:val="auto"/>
        </w:rPr>
      </w:pPr>
      <w:r w:rsidRPr="00D704D2">
        <w:rPr>
          <w:i/>
          <w:iCs/>
          <w:color w:val="auto"/>
        </w:rPr>
        <w:t xml:space="preserve">Nieuwe normstelling </w:t>
      </w:r>
    </w:p>
    <w:p w:rsidRPr="00D704D2" w:rsidR="00B53665" w:rsidRDefault="001B3779" w14:paraId="30B49A8F" w14:textId="47C6154E">
      <w:pPr>
        <w:rPr>
          <w:color w:val="auto"/>
        </w:rPr>
      </w:pPr>
      <w:r w:rsidRPr="00D704D2">
        <w:rPr>
          <w:color w:val="auto"/>
        </w:rPr>
        <w:t xml:space="preserve">De motie van het lid </w:t>
      </w:r>
      <w:bookmarkStart w:name="_Hlk233099236" w:id="24"/>
      <w:proofErr w:type="spellStart"/>
      <w:r w:rsidRPr="00D704D2">
        <w:rPr>
          <w:color w:val="auto"/>
        </w:rPr>
        <w:t>Kostić</w:t>
      </w:r>
      <w:bookmarkEnd w:id="24"/>
      <w:proofErr w:type="spellEnd"/>
      <w:r w:rsidRPr="00D704D2">
        <w:rPr>
          <w:color w:val="auto"/>
        </w:rPr>
        <w:t xml:space="preserve"> c.s. verzoekt </w:t>
      </w:r>
      <w:r w:rsidRPr="00D704D2" w:rsidR="00571D8E">
        <w:rPr>
          <w:color w:val="auto"/>
        </w:rPr>
        <w:t xml:space="preserve">de regering </w:t>
      </w:r>
      <w:r w:rsidRPr="00D704D2">
        <w:rPr>
          <w:color w:val="auto"/>
        </w:rPr>
        <w:t xml:space="preserve">om </w:t>
      </w:r>
      <w:bookmarkStart w:name="_Hlk233099255" w:id="25"/>
      <w:r w:rsidRPr="00D704D2">
        <w:rPr>
          <w:color w:val="auto"/>
        </w:rPr>
        <w:t>in gesprek te gaan met onder andere gedragswetenschappers, politie en de VNG over welke maatregelen genomen kunnen worden om de nieuwe norm, een oud en nieuw zonder vuurwerk, goed te laten landen</w:t>
      </w:r>
      <w:bookmarkEnd w:id="25"/>
      <w:r w:rsidRPr="00D704D2">
        <w:rPr>
          <w:color w:val="auto"/>
        </w:rPr>
        <w:t>.</w:t>
      </w:r>
      <w:r w:rsidRPr="00D704D2">
        <w:rPr>
          <w:rStyle w:val="Voetnootmarkering"/>
          <w:color w:val="auto"/>
        </w:rPr>
        <w:footnoteReference w:id="18"/>
      </w:r>
      <w:r w:rsidRPr="00D704D2" w:rsidR="00F17748">
        <w:rPr>
          <w:color w:val="auto"/>
        </w:rPr>
        <w:t xml:space="preserve"> </w:t>
      </w:r>
      <w:r w:rsidRPr="00D704D2" w:rsidR="00D95E07">
        <w:rPr>
          <w:color w:val="auto"/>
        </w:rPr>
        <w:t>Het is</w:t>
      </w:r>
      <w:r w:rsidRPr="00D704D2" w:rsidR="00F17748">
        <w:rPr>
          <w:color w:val="auto"/>
        </w:rPr>
        <w:t xml:space="preserve"> belangrijk dat het vuurwerkverbod zo goed mogelijk landt in de samenleving. Voor het opstellen van het handhavingsplan is daarom ook nauw samengewerkt met veel partijen, waaronder de VNG, de politie en gedragswetenschappers, en is input opgehaald bij onder andere het jongerenpanel van HALT en de politie, en </w:t>
      </w:r>
      <w:r w:rsidRPr="00D704D2" w:rsidR="00333C27">
        <w:rPr>
          <w:color w:val="auto"/>
        </w:rPr>
        <w:t xml:space="preserve">de online community ‘Nederland denkt mee’ van de </w:t>
      </w:r>
      <w:r w:rsidRPr="00D704D2" w:rsidR="00EE3E57">
        <w:rPr>
          <w:color w:val="auto"/>
        </w:rPr>
        <w:t>dienst publiek en communicatie van het ministerie van Algemene Zaken</w:t>
      </w:r>
      <w:r w:rsidRPr="00D704D2" w:rsidR="00333C27">
        <w:rPr>
          <w:color w:val="auto"/>
        </w:rPr>
        <w:t>.</w:t>
      </w:r>
      <w:r w:rsidRPr="00D704D2" w:rsidR="00F17748">
        <w:rPr>
          <w:color w:val="auto"/>
        </w:rPr>
        <w:t xml:space="preserve"> De samenwerking met deze partners wordt in de uitvoering van de acties van het handhavingsplan voortgezet, bijvoorbeeld bij het organiseren van inleveracties voor vuurwerk en </w:t>
      </w:r>
      <w:r w:rsidRPr="00D704D2" w:rsidR="00EE7378">
        <w:rPr>
          <w:color w:val="auto"/>
        </w:rPr>
        <w:t>in de uitvoering</w:t>
      </w:r>
      <w:r w:rsidRPr="00D704D2" w:rsidR="00F17748">
        <w:rPr>
          <w:color w:val="auto"/>
        </w:rPr>
        <w:t xml:space="preserve"> van een communicatie</w:t>
      </w:r>
      <w:r w:rsidRPr="00D704D2" w:rsidR="00D95E07">
        <w:rPr>
          <w:color w:val="auto"/>
        </w:rPr>
        <w:t xml:space="preserve">-aanpak. </w:t>
      </w:r>
      <w:r w:rsidRPr="00D704D2" w:rsidR="00E715F0">
        <w:rPr>
          <w:color w:val="auto"/>
        </w:rPr>
        <w:t xml:space="preserve">Deze motie </w:t>
      </w:r>
      <w:r w:rsidRPr="00D704D2" w:rsidR="00991BE6">
        <w:rPr>
          <w:color w:val="auto"/>
        </w:rPr>
        <w:t>wordt daarmee</w:t>
      </w:r>
      <w:r w:rsidRPr="00D704D2" w:rsidR="00E715F0">
        <w:rPr>
          <w:color w:val="auto"/>
        </w:rPr>
        <w:t xml:space="preserve"> beschouwd als afgedaan. </w:t>
      </w:r>
    </w:p>
    <w:p w:rsidRPr="00D704D2" w:rsidR="00571D8E" w:rsidRDefault="00571D8E" w14:paraId="69B17361" w14:textId="77777777">
      <w:pPr>
        <w:rPr>
          <w:color w:val="auto"/>
        </w:rPr>
      </w:pPr>
    </w:p>
    <w:p w:rsidRPr="00D704D2" w:rsidR="00B53665" w:rsidRDefault="00B53665" w14:paraId="1B9A2C01" w14:textId="77777777">
      <w:pPr>
        <w:rPr>
          <w:color w:val="auto"/>
        </w:rPr>
      </w:pPr>
    </w:p>
    <w:tbl>
      <w:tblPr>
        <w:tblStyle w:val="Tabelzonderranden"/>
        <w:tblW w:w="7541" w:type="dxa"/>
        <w:tblInd w:w="0" w:type="dxa"/>
        <w:tblLayout w:type="fixed"/>
        <w:tblLook w:val="0740" w:firstRow="0" w:lastRow="1" w:firstColumn="0" w:lastColumn="1" w:noHBand="1" w:noVBand="1"/>
      </w:tblPr>
      <w:tblGrid>
        <w:gridCol w:w="3828"/>
        <w:gridCol w:w="2976"/>
        <w:gridCol w:w="737"/>
      </w:tblGrid>
      <w:tr w:rsidRPr="00D704D2" w:rsidR="00A6716E" w:rsidTr="00EE7378" w14:paraId="17FA873D" w14:textId="77777777">
        <w:trPr>
          <w:gridAfter w:val="1"/>
          <w:wAfter w:w="737" w:type="dxa"/>
        </w:trPr>
        <w:tc>
          <w:tcPr>
            <w:tcW w:w="3828" w:type="dxa"/>
          </w:tcPr>
          <w:p w:rsidRPr="00D704D2" w:rsidR="00B53665" w:rsidRDefault="005E1F20" w14:paraId="0496E3DB" w14:textId="77777777">
            <w:pPr>
              <w:rPr>
                <w:color w:val="auto"/>
              </w:rPr>
            </w:pPr>
            <w:r w:rsidRPr="00D704D2">
              <w:rPr>
                <w:color w:val="auto"/>
              </w:rPr>
              <w:t xml:space="preserve">De Minister van Justitie en </w:t>
            </w:r>
            <w:r w:rsidRPr="00D704D2">
              <w:rPr>
                <w:color w:val="auto"/>
              </w:rPr>
              <w:t>Veiligheid,</w:t>
            </w:r>
          </w:p>
        </w:tc>
        <w:tc>
          <w:tcPr>
            <w:tcW w:w="2976" w:type="dxa"/>
          </w:tcPr>
          <w:p w:rsidRPr="00D704D2" w:rsidR="00B53665" w:rsidRDefault="00B53665" w14:paraId="2BAFF298" w14:textId="77777777">
            <w:pPr>
              <w:rPr>
                <w:color w:val="auto"/>
              </w:rPr>
            </w:pPr>
          </w:p>
        </w:tc>
      </w:tr>
      <w:tr w:rsidRPr="00D704D2" w:rsidR="00A6716E" w:rsidTr="00EE7378" w14:paraId="1B28B32E" w14:textId="77777777">
        <w:tc>
          <w:tcPr>
            <w:tcW w:w="3828" w:type="dxa"/>
          </w:tcPr>
          <w:p w:rsidRPr="00D704D2" w:rsidR="00B53665" w:rsidRDefault="00B53665" w14:paraId="0122F6B9" w14:textId="77777777">
            <w:pPr>
              <w:rPr>
                <w:color w:val="auto"/>
              </w:rPr>
            </w:pPr>
          </w:p>
          <w:p w:rsidRPr="00D704D2" w:rsidR="00B53665" w:rsidRDefault="00B53665" w14:paraId="355FB63A" w14:textId="77777777">
            <w:pPr>
              <w:rPr>
                <w:color w:val="auto"/>
              </w:rPr>
            </w:pPr>
          </w:p>
          <w:p w:rsidRPr="00D704D2" w:rsidR="00B53665" w:rsidRDefault="00B53665" w14:paraId="33DEB08E" w14:textId="77777777">
            <w:pPr>
              <w:rPr>
                <w:color w:val="auto"/>
              </w:rPr>
            </w:pPr>
          </w:p>
          <w:p w:rsidRPr="00D704D2" w:rsidR="00B53665" w:rsidRDefault="00B53665" w14:paraId="76F99DCF" w14:textId="77777777">
            <w:pPr>
              <w:rPr>
                <w:color w:val="auto"/>
              </w:rPr>
            </w:pPr>
          </w:p>
        </w:tc>
        <w:tc>
          <w:tcPr>
            <w:tcW w:w="2976" w:type="dxa"/>
          </w:tcPr>
          <w:p w:rsidRPr="00D704D2" w:rsidR="00B53665" w:rsidRDefault="00B53665" w14:paraId="6128030D" w14:textId="77777777">
            <w:pPr>
              <w:rPr>
                <w:color w:val="auto"/>
              </w:rPr>
            </w:pPr>
          </w:p>
          <w:p w:rsidRPr="00D704D2" w:rsidR="00B53665" w:rsidRDefault="00B53665" w14:paraId="5709E642" w14:textId="77777777">
            <w:pPr>
              <w:rPr>
                <w:color w:val="auto"/>
              </w:rPr>
            </w:pPr>
          </w:p>
          <w:p w:rsidRPr="00D704D2" w:rsidR="00B53665" w:rsidRDefault="00B53665" w14:paraId="31D35854" w14:textId="77777777">
            <w:pPr>
              <w:rPr>
                <w:color w:val="auto"/>
              </w:rPr>
            </w:pPr>
          </w:p>
          <w:p w:rsidRPr="00D704D2" w:rsidR="00B53665" w:rsidRDefault="00B53665" w14:paraId="13F06D01" w14:textId="77777777">
            <w:pPr>
              <w:rPr>
                <w:color w:val="auto"/>
              </w:rPr>
            </w:pPr>
          </w:p>
          <w:p w:rsidRPr="00D704D2" w:rsidR="00B53665" w:rsidRDefault="00B53665" w14:paraId="099274B7" w14:textId="77777777">
            <w:pPr>
              <w:rPr>
                <w:color w:val="auto"/>
              </w:rPr>
            </w:pPr>
          </w:p>
        </w:tc>
        <w:tc>
          <w:tcPr>
            <w:tcW w:w="737" w:type="dxa"/>
          </w:tcPr>
          <w:p w:rsidRPr="00D704D2" w:rsidR="00B53665" w:rsidRDefault="00B53665" w14:paraId="5294508B" w14:textId="77777777">
            <w:pPr>
              <w:rPr>
                <w:color w:val="auto"/>
              </w:rPr>
            </w:pPr>
          </w:p>
          <w:p w:rsidRPr="00D704D2" w:rsidR="00B53665" w:rsidRDefault="00B53665" w14:paraId="1EE2C9F4" w14:textId="77777777">
            <w:pPr>
              <w:rPr>
                <w:color w:val="auto"/>
              </w:rPr>
            </w:pPr>
          </w:p>
          <w:p w:rsidRPr="00D704D2" w:rsidR="00B53665" w:rsidRDefault="00B53665" w14:paraId="7D6A46DD" w14:textId="77777777">
            <w:pPr>
              <w:rPr>
                <w:color w:val="auto"/>
              </w:rPr>
            </w:pPr>
          </w:p>
          <w:p w:rsidRPr="00D704D2" w:rsidR="00B53665" w:rsidRDefault="00B53665" w14:paraId="712D9973" w14:textId="77777777">
            <w:pPr>
              <w:rPr>
                <w:color w:val="auto"/>
              </w:rPr>
            </w:pPr>
          </w:p>
          <w:p w:rsidRPr="00D704D2" w:rsidR="00B53665" w:rsidRDefault="00B53665" w14:paraId="7D64B2B5" w14:textId="77777777">
            <w:pPr>
              <w:rPr>
                <w:color w:val="auto"/>
              </w:rPr>
            </w:pPr>
          </w:p>
        </w:tc>
      </w:tr>
      <w:tr w:rsidRPr="00D704D2" w:rsidR="00B53665" w:rsidTr="00EE7378" w14:paraId="3056C1A3" w14:textId="77777777">
        <w:trPr>
          <w:gridAfter w:val="1"/>
          <w:wAfter w:w="737" w:type="dxa"/>
        </w:trPr>
        <w:tc>
          <w:tcPr>
            <w:tcW w:w="3828" w:type="dxa"/>
          </w:tcPr>
          <w:p w:rsidRPr="00D704D2" w:rsidR="00EE7378" w:rsidRDefault="005E1F20" w14:paraId="036EB512" w14:textId="6B8C11F9">
            <w:pPr>
              <w:rPr>
                <w:color w:val="auto"/>
              </w:rPr>
            </w:pPr>
            <w:r w:rsidRPr="00D704D2">
              <w:rPr>
                <w:color w:val="auto"/>
              </w:rPr>
              <w:t>D.M. van Weel</w:t>
            </w:r>
          </w:p>
        </w:tc>
        <w:tc>
          <w:tcPr>
            <w:tcW w:w="2976" w:type="dxa"/>
          </w:tcPr>
          <w:p w:rsidRPr="00D704D2" w:rsidR="00B53665" w:rsidRDefault="00B53665" w14:paraId="49252059" w14:textId="77777777">
            <w:pPr>
              <w:rPr>
                <w:color w:val="auto"/>
              </w:rPr>
            </w:pPr>
          </w:p>
        </w:tc>
      </w:tr>
      <w:tr w:rsidRPr="00D704D2" w:rsidR="00EE7378" w:rsidTr="00EE7378" w14:paraId="73F8F080" w14:textId="77777777">
        <w:trPr>
          <w:gridAfter w:val="1"/>
          <w:wAfter w:w="737" w:type="dxa"/>
        </w:trPr>
        <w:tc>
          <w:tcPr>
            <w:tcW w:w="3828" w:type="dxa"/>
          </w:tcPr>
          <w:p w:rsidRPr="00D704D2" w:rsidR="00EE7378" w:rsidRDefault="00EE7378" w14:paraId="4665D537" w14:textId="29B5DDC6">
            <w:pPr>
              <w:rPr>
                <w:color w:val="auto"/>
              </w:rPr>
            </w:pPr>
          </w:p>
        </w:tc>
        <w:tc>
          <w:tcPr>
            <w:tcW w:w="2976" w:type="dxa"/>
          </w:tcPr>
          <w:p w:rsidRPr="00D704D2" w:rsidR="00EE7378" w:rsidRDefault="00EE7378" w14:paraId="4BB182EF" w14:textId="77777777">
            <w:pPr>
              <w:rPr>
                <w:color w:val="auto"/>
              </w:rPr>
            </w:pPr>
          </w:p>
        </w:tc>
      </w:tr>
    </w:tbl>
    <w:p w:rsidRPr="00D704D2" w:rsidR="00EE7378" w:rsidRDefault="00EE7378" w14:paraId="142CF8FC" w14:textId="77777777">
      <w:pPr>
        <w:rPr>
          <w:color w:val="auto"/>
        </w:rPr>
      </w:pPr>
    </w:p>
    <w:p w:rsidRPr="00D704D2" w:rsidR="00EE7378" w:rsidRDefault="00EE7378" w14:paraId="0BF8106B" w14:textId="1A37FFA0">
      <w:pPr>
        <w:rPr>
          <w:color w:val="auto"/>
        </w:rPr>
      </w:pPr>
      <w:r w:rsidRPr="00D704D2">
        <w:rPr>
          <w:color w:val="auto"/>
        </w:rPr>
        <w:t xml:space="preserve">De </w:t>
      </w:r>
      <w:r w:rsidRPr="00D704D2" w:rsidR="008C261B">
        <w:rPr>
          <w:color w:val="auto"/>
        </w:rPr>
        <w:t>S</w:t>
      </w:r>
      <w:r w:rsidRPr="00D704D2">
        <w:rPr>
          <w:color w:val="auto"/>
        </w:rPr>
        <w:t xml:space="preserve">taatssecretaris van Infrastructuur en Waterstaat, </w:t>
      </w:r>
    </w:p>
    <w:p w:rsidRPr="00D704D2" w:rsidR="00EE7378" w:rsidRDefault="00EE7378" w14:paraId="274A2BA0" w14:textId="77777777">
      <w:pPr>
        <w:rPr>
          <w:color w:val="auto"/>
        </w:rPr>
      </w:pPr>
    </w:p>
    <w:p w:rsidRPr="00D704D2" w:rsidR="00EE7378" w:rsidRDefault="00EE7378" w14:paraId="19E2F8D3" w14:textId="77777777">
      <w:pPr>
        <w:rPr>
          <w:color w:val="auto"/>
        </w:rPr>
      </w:pPr>
    </w:p>
    <w:p w:rsidR="00EE7378" w:rsidRDefault="00EE7378" w14:paraId="31D1BD4A" w14:textId="77777777">
      <w:pPr>
        <w:rPr>
          <w:color w:val="auto"/>
        </w:rPr>
      </w:pPr>
    </w:p>
    <w:p w:rsidRPr="00D704D2" w:rsidR="00F119D7" w:rsidRDefault="00F119D7" w14:paraId="7AE8C41D" w14:textId="77777777">
      <w:pPr>
        <w:rPr>
          <w:color w:val="auto"/>
        </w:rPr>
      </w:pPr>
    </w:p>
    <w:p w:rsidRPr="00D704D2" w:rsidR="00EE7378" w:rsidRDefault="00EE7378" w14:paraId="38A726D4" w14:textId="77777777">
      <w:pPr>
        <w:rPr>
          <w:color w:val="auto"/>
        </w:rPr>
      </w:pPr>
    </w:p>
    <w:p w:rsidRPr="00A6716E" w:rsidR="00EE7378" w:rsidP="00D10058" w:rsidRDefault="00D10058" w14:paraId="77E254B2" w14:textId="696188E4">
      <w:pPr>
        <w:rPr>
          <w:color w:val="auto"/>
        </w:rPr>
      </w:pPr>
      <w:r w:rsidRPr="00D704D2">
        <w:rPr>
          <w:color w:val="auto"/>
        </w:rPr>
        <w:t>A.W.H. Bertram</w:t>
      </w:r>
    </w:p>
    <w:sectPr w:rsidRPr="00A6716E" w:rsidR="00EE7378" w:rsidSect="0038023C">
      <w:headerReference w:type="default" r:id="rId9"/>
      <w:footerReference w:type="default" r:id="rId10"/>
      <w:headerReference w:type="first" r:id="rId11"/>
      <w:pgSz w:w="11905" w:h="16837"/>
      <w:pgMar w:top="3119"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0D39A" w14:textId="77777777" w:rsidR="005E1F20" w:rsidRDefault="005E1F20">
      <w:pPr>
        <w:spacing w:line="240" w:lineRule="auto"/>
      </w:pPr>
      <w:r>
        <w:separator/>
      </w:r>
    </w:p>
  </w:endnote>
  <w:endnote w:type="continuationSeparator" w:id="0">
    <w:p w14:paraId="2A8D1429" w14:textId="77777777" w:rsidR="005E1F20" w:rsidRDefault="005E1F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font>
  <w:font w:name="Lohit Hindi">
    <w:altName w:val="MS Gothic"/>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DDDD7" w14:textId="77777777" w:rsidR="00B53665" w:rsidRDefault="00B53665">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CB9DF" w14:textId="77777777" w:rsidR="005E1F20" w:rsidRDefault="005E1F20">
      <w:pPr>
        <w:pStyle w:val="Voetnoottekst"/>
      </w:pPr>
    </w:p>
  </w:footnote>
  <w:footnote w:type="continuationSeparator" w:id="0">
    <w:p w14:paraId="754E5909" w14:textId="77777777" w:rsidR="005E1F20" w:rsidRDefault="005E1F20">
      <w:pPr>
        <w:pStyle w:val="Voetnoottekst"/>
      </w:pPr>
    </w:p>
  </w:footnote>
  <w:footnote w:id="1">
    <w:p w14:paraId="42400E23" w14:textId="0E2CEC3F" w:rsidR="00612D5C" w:rsidRPr="002A5672" w:rsidRDefault="00612D5C">
      <w:pPr>
        <w:pStyle w:val="Voetnoottekst"/>
        <w:rPr>
          <w:sz w:val="16"/>
          <w:szCs w:val="16"/>
        </w:rPr>
      </w:pPr>
      <w:r w:rsidRPr="002A5672">
        <w:rPr>
          <w:rStyle w:val="Voetnootmarkering"/>
          <w:sz w:val="16"/>
          <w:szCs w:val="16"/>
        </w:rPr>
        <w:footnoteRef/>
      </w:r>
      <w:r w:rsidRPr="002A5672">
        <w:rPr>
          <w:sz w:val="16"/>
          <w:szCs w:val="16"/>
        </w:rPr>
        <w:t xml:space="preserve"> </w:t>
      </w:r>
      <w:r w:rsidR="00004C5A">
        <w:rPr>
          <w:sz w:val="16"/>
          <w:szCs w:val="16"/>
        </w:rPr>
        <w:t xml:space="preserve">Toezegging </w:t>
      </w:r>
      <w:bookmarkStart w:id="1" w:name="_Hlk233098731"/>
      <w:r w:rsidRPr="002A5672">
        <w:rPr>
          <w:sz w:val="16"/>
          <w:szCs w:val="16"/>
        </w:rPr>
        <w:t>TZ202606-063</w:t>
      </w:r>
      <w:bookmarkEnd w:id="1"/>
      <w:r w:rsidR="0038023C">
        <w:rPr>
          <w:sz w:val="16"/>
          <w:szCs w:val="16"/>
        </w:rPr>
        <w:t>.</w:t>
      </w:r>
    </w:p>
  </w:footnote>
  <w:footnote w:id="2">
    <w:p w14:paraId="0401AB75" w14:textId="5123ED65" w:rsidR="008C261B" w:rsidRPr="00A2457A" w:rsidRDefault="008C261B" w:rsidP="008C261B">
      <w:pPr>
        <w:pStyle w:val="Voetnoottekst"/>
        <w:rPr>
          <w:sz w:val="16"/>
          <w:szCs w:val="16"/>
        </w:rPr>
      </w:pPr>
      <w:r w:rsidRPr="00A2457A">
        <w:rPr>
          <w:rStyle w:val="Voetnootmarkering"/>
          <w:sz w:val="16"/>
          <w:szCs w:val="16"/>
        </w:rPr>
        <w:footnoteRef/>
      </w:r>
      <w:r w:rsidRPr="00A2457A">
        <w:rPr>
          <w:sz w:val="16"/>
          <w:szCs w:val="16"/>
        </w:rPr>
        <w:t xml:space="preserve"> </w:t>
      </w:r>
      <w:bookmarkStart w:id="2" w:name="_Hlk233098794"/>
      <w:r w:rsidRPr="00A2457A">
        <w:rPr>
          <w:sz w:val="16"/>
          <w:szCs w:val="16"/>
        </w:rPr>
        <w:t>Kamerstuk</w:t>
      </w:r>
      <w:r w:rsidR="00004C5A">
        <w:rPr>
          <w:sz w:val="16"/>
          <w:szCs w:val="16"/>
        </w:rPr>
        <w:t>ken</w:t>
      </w:r>
      <w:r w:rsidRPr="00A2457A">
        <w:rPr>
          <w:sz w:val="16"/>
          <w:szCs w:val="16"/>
        </w:rPr>
        <w:t xml:space="preserve"> </w:t>
      </w:r>
      <w:r w:rsidR="00A2457A">
        <w:rPr>
          <w:sz w:val="16"/>
          <w:szCs w:val="16"/>
        </w:rPr>
        <w:t>II</w:t>
      </w:r>
      <w:r w:rsidR="00991BE6">
        <w:rPr>
          <w:sz w:val="16"/>
          <w:szCs w:val="16"/>
        </w:rPr>
        <w:t>,</w:t>
      </w:r>
      <w:r w:rsidR="00A2457A">
        <w:rPr>
          <w:sz w:val="16"/>
          <w:szCs w:val="16"/>
        </w:rPr>
        <w:t xml:space="preserve"> 2025</w:t>
      </w:r>
      <w:r w:rsidR="00991BE6">
        <w:rPr>
          <w:sz w:val="16"/>
          <w:szCs w:val="16"/>
        </w:rPr>
        <w:t>-20</w:t>
      </w:r>
      <w:r w:rsidR="00A2457A">
        <w:rPr>
          <w:sz w:val="16"/>
          <w:szCs w:val="16"/>
        </w:rPr>
        <w:t xml:space="preserve">26, </w:t>
      </w:r>
      <w:r w:rsidRPr="00A2457A">
        <w:rPr>
          <w:sz w:val="16"/>
          <w:szCs w:val="16"/>
        </w:rPr>
        <w:t>35386, nr. 49.</w:t>
      </w:r>
      <w:bookmarkEnd w:id="2"/>
    </w:p>
  </w:footnote>
  <w:footnote w:id="3">
    <w:p w14:paraId="7CBC826D" w14:textId="7E2A9A50" w:rsidR="00612D5C" w:rsidRPr="002A5672" w:rsidRDefault="00612D5C">
      <w:pPr>
        <w:pStyle w:val="Voetnoottekst"/>
        <w:rPr>
          <w:sz w:val="16"/>
          <w:szCs w:val="16"/>
        </w:rPr>
      </w:pPr>
      <w:r w:rsidRPr="002A5672">
        <w:rPr>
          <w:rStyle w:val="Voetnootmarkering"/>
          <w:sz w:val="16"/>
          <w:szCs w:val="16"/>
        </w:rPr>
        <w:footnoteRef/>
      </w:r>
      <w:r w:rsidRPr="002A5672">
        <w:rPr>
          <w:sz w:val="16"/>
          <w:szCs w:val="16"/>
        </w:rPr>
        <w:t xml:space="preserve"> </w:t>
      </w:r>
      <w:bookmarkStart w:id="3" w:name="_Hlk233098876"/>
      <w:r w:rsidR="00004C5A">
        <w:rPr>
          <w:sz w:val="16"/>
          <w:szCs w:val="16"/>
        </w:rPr>
        <w:t xml:space="preserve">Toezegging </w:t>
      </w:r>
      <w:r w:rsidRPr="002A5672">
        <w:rPr>
          <w:sz w:val="16"/>
          <w:szCs w:val="16"/>
        </w:rPr>
        <w:t>TZ202606-062</w:t>
      </w:r>
      <w:bookmarkEnd w:id="3"/>
      <w:r w:rsidR="00991BE6">
        <w:rPr>
          <w:sz w:val="16"/>
          <w:szCs w:val="16"/>
        </w:rPr>
        <w:t>.</w:t>
      </w:r>
    </w:p>
  </w:footnote>
  <w:footnote w:id="4">
    <w:p w14:paraId="463B0025" w14:textId="77777777" w:rsidR="00541016" w:rsidRPr="00A15424" w:rsidRDefault="00541016" w:rsidP="00541016">
      <w:pPr>
        <w:pStyle w:val="Voetnoottekst"/>
        <w:rPr>
          <w:sz w:val="16"/>
          <w:szCs w:val="16"/>
        </w:rPr>
      </w:pPr>
      <w:r w:rsidRPr="00A2457A">
        <w:rPr>
          <w:rStyle w:val="Voetnootmarkering"/>
          <w:sz w:val="16"/>
          <w:szCs w:val="16"/>
        </w:rPr>
        <w:footnoteRef/>
      </w:r>
      <w:r w:rsidRPr="00A2457A">
        <w:rPr>
          <w:sz w:val="16"/>
          <w:szCs w:val="16"/>
        </w:rPr>
        <w:t xml:space="preserve"> Hiermee wordt jaarlijks invulling gegeven aan de aanbevelingen van de </w:t>
      </w:r>
      <w:proofErr w:type="spellStart"/>
      <w:r w:rsidRPr="00A2457A">
        <w:rPr>
          <w:sz w:val="16"/>
          <w:szCs w:val="16"/>
        </w:rPr>
        <w:t>Onderzoeksraad</w:t>
      </w:r>
      <w:proofErr w:type="spellEnd"/>
      <w:r w:rsidRPr="00A2457A">
        <w:rPr>
          <w:sz w:val="16"/>
          <w:szCs w:val="16"/>
        </w:rPr>
        <w:t xml:space="preserve"> voor Veiligheid: </w:t>
      </w:r>
      <w:hyperlink r:id="rId1" w:history="1">
        <w:r w:rsidRPr="00A2457A">
          <w:rPr>
            <w:rStyle w:val="Hyperlink"/>
            <w:sz w:val="16"/>
            <w:szCs w:val="16"/>
          </w:rPr>
          <w:t xml:space="preserve">Veiligheidsrisico’s jaarwisseling - </w:t>
        </w:r>
        <w:proofErr w:type="spellStart"/>
        <w:r w:rsidRPr="00A2457A">
          <w:rPr>
            <w:rStyle w:val="Hyperlink"/>
            <w:sz w:val="16"/>
            <w:szCs w:val="16"/>
          </w:rPr>
          <w:t>Onderzoeksraad</w:t>
        </w:r>
        <w:proofErr w:type="spellEnd"/>
        <w:r w:rsidRPr="00A2457A">
          <w:rPr>
            <w:rStyle w:val="Hyperlink"/>
            <w:sz w:val="16"/>
            <w:szCs w:val="16"/>
          </w:rPr>
          <w:t xml:space="preserve"> voor Veiligheid</w:t>
        </w:r>
      </w:hyperlink>
      <w:r w:rsidRPr="00A2457A">
        <w:rPr>
          <w:sz w:val="16"/>
          <w:szCs w:val="16"/>
        </w:rPr>
        <w:t>.</w:t>
      </w:r>
    </w:p>
  </w:footnote>
  <w:footnote w:id="5">
    <w:p w14:paraId="6EB84275" w14:textId="6A571959" w:rsidR="008C261B" w:rsidRPr="002A5672" w:rsidRDefault="008C261B" w:rsidP="008C261B">
      <w:pPr>
        <w:pStyle w:val="Voetnoottekst"/>
        <w:rPr>
          <w:sz w:val="16"/>
          <w:szCs w:val="16"/>
        </w:rPr>
      </w:pPr>
      <w:r w:rsidRPr="00541016">
        <w:rPr>
          <w:rStyle w:val="Voetnootmarkering"/>
          <w:sz w:val="16"/>
          <w:szCs w:val="16"/>
        </w:rPr>
        <w:footnoteRef/>
      </w:r>
      <w:r w:rsidRPr="00541016">
        <w:rPr>
          <w:sz w:val="16"/>
          <w:szCs w:val="16"/>
        </w:rPr>
        <w:t xml:space="preserve"> Kamerstuk</w:t>
      </w:r>
      <w:r w:rsidR="00004C5A">
        <w:rPr>
          <w:sz w:val="16"/>
          <w:szCs w:val="16"/>
        </w:rPr>
        <w:t>ken</w:t>
      </w:r>
      <w:r w:rsidRPr="00541016">
        <w:rPr>
          <w:sz w:val="16"/>
          <w:szCs w:val="16"/>
        </w:rPr>
        <w:t xml:space="preserve"> </w:t>
      </w:r>
      <w:r w:rsidR="00A2457A" w:rsidRPr="00541016">
        <w:rPr>
          <w:sz w:val="16"/>
          <w:szCs w:val="16"/>
        </w:rPr>
        <w:t>II</w:t>
      </w:r>
      <w:r w:rsidR="00991BE6">
        <w:rPr>
          <w:sz w:val="16"/>
          <w:szCs w:val="16"/>
        </w:rPr>
        <w:t>,</w:t>
      </w:r>
      <w:r w:rsidR="00A2457A" w:rsidRPr="00541016">
        <w:rPr>
          <w:sz w:val="16"/>
          <w:szCs w:val="16"/>
        </w:rPr>
        <w:t xml:space="preserve"> 2025</w:t>
      </w:r>
      <w:r w:rsidR="00991BE6">
        <w:rPr>
          <w:sz w:val="16"/>
          <w:szCs w:val="16"/>
        </w:rPr>
        <w:t>-20</w:t>
      </w:r>
      <w:r w:rsidR="00A2457A" w:rsidRPr="00541016">
        <w:rPr>
          <w:sz w:val="16"/>
          <w:szCs w:val="16"/>
        </w:rPr>
        <w:t xml:space="preserve">26, </w:t>
      </w:r>
      <w:r w:rsidRPr="00541016">
        <w:rPr>
          <w:sz w:val="16"/>
          <w:szCs w:val="16"/>
        </w:rPr>
        <w:t>28684, nr. 817.</w:t>
      </w:r>
    </w:p>
  </w:footnote>
  <w:footnote w:id="6">
    <w:p w14:paraId="0E1D4821" w14:textId="3A70DB66" w:rsidR="000F1C78" w:rsidRPr="00D74AD7" w:rsidRDefault="000F1C78">
      <w:pPr>
        <w:pStyle w:val="Voetnoottekst"/>
        <w:rPr>
          <w:sz w:val="16"/>
          <w:szCs w:val="16"/>
          <w:highlight w:val="yellow"/>
        </w:rPr>
      </w:pPr>
      <w:r w:rsidRPr="00F355FF">
        <w:rPr>
          <w:rStyle w:val="Voetnootmarkering"/>
          <w:sz w:val="16"/>
          <w:szCs w:val="16"/>
        </w:rPr>
        <w:footnoteRef/>
      </w:r>
      <w:r w:rsidRPr="00F355FF">
        <w:rPr>
          <w:sz w:val="16"/>
          <w:szCs w:val="16"/>
        </w:rPr>
        <w:t xml:space="preserve"> </w:t>
      </w:r>
      <w:r w:rsidR="00F355FF" w:rsidRPr="00F355FF">
        <w:rPr>
          <w:sz w:val="16"/>
          <w:szCs w:val="16"/>
        </w:rPr>
        <w:t>Kamerstukken II, 2025-2026, 28684, nr. 813.</w:t>
      </w:r>
    </w:p>
  </w:footnote>
  <w:footnote w:id="7">
    <w:p w14:paraId="1BB24EA5" w14:textId="68CC5ADD" w:rsidR="00D74AD7" w:rsidRDefault="00D74AD7">
      <w:pPr>
        <w:pStyle w:val="Voetnoottekst"/>
      </w:pPr>
      <w:r w:rsidRPr="00F20AB5">
        <w:rPr>
          <w:rStyle w:val="Voetnootmarkering"/>
          <w:sz w:val="16"/>
          <w:szCs w:val="16"/>
        </w:rPr>
        <w:footnoteRef/>
      </w:r>
      <w:r w:rsidR="00F20AB5" w:rsidRPr="00F20AB5">
        <w:rPr>
          <w:sz w:val="16"/>
          <w:szCs w:val="16"/>
        </w:rPr>
        <w:t xml:space="preserve"> Kamerstukken II, 2026-2026, 35386, nr. 36.</w:t>
      </w:r>
      <w:r w:rsidRPr="00F20AB5">
        <w:rPr>
          <w:sz w:val="16"/>
          <w:szCs w:val="16"/>
        </w:rPr>
        <w:t xml:space="preserve"> </w:t>
      </w:r>
    </w:p>
  </w:footnote>
  <w:footnote w:id="8">
    <w:p w14:paraId="60243105" w14:textId="01C7DD19" w:rsidR="00541016" w:rsidRPr="002A5672" w:rsidRDefault="00541016" w:rsidP="00541016">
      <w:pPr>
        <w:pStyle w:val="Voetnoottekst"/>
        <w:rPr>
          <w:sz w:val="16"/>
          <w:szCs w:val="16"/>
        </w:rPr>
      </w:pPr>
      <w:r w:rsidRPr="002A5672">
        <w:rPr>
          <w:rStyle w:val="Voetnootmarkering"/>
          <w:sz w:val="16"/>
          <w:szCs w:val="16"/>
        </w:rPr>
        <w:footnoteRef/>
      </w:r>
      <w:r w:rsidRPr="002A5672">
        <w:rPr>
          <w:sz w:val="16"/>
          <w:szCs w:val="16"/>
        </w:rPr>
        <w:t xml:space="preserve"> </w:t>
      </w:r>
      <w:bookmarkStart w:id="10" w:name="_Hlk233099095"/>
      <w:r w:rsidRPr="002A5672">
        <w:rPr>
          <w:sz w:val="16"/>
          <w:szCs w:val="16"/>
        </w:rPr>
        <w:t>Kamerstuk</w:t>
      </w:r>
      <w:r w:rsidR="00004C5A">
        <w:rPr>
          <w:sz w:val="16"/>
          <w:szCs w:val="16"/>
        </w:rPr>
        <w:t>ken</w:t>
      </w:r>
      <w:r w:rsidRPr="002A5672">
        <w:rPr>
          <w:sz w:val="16"/>
          <w:szCs w:val="16"/>
        </w:rPr>
        <w:t xml:space="preserve"> II</w:t>
      </w:r>
      <w:r w:rsidR="00991BE6">
        <w:rPr>
          <w:sz w:val="16"/>
          <w:szCs w:val="16"/>
        </w:rPr>
        <w:t>,</w:t>
      </w:r>
      <w:r w:rsidRPr="002A5672">
        <w:rPr>
          <w:sz w:val="16"/>
          <w:szCs w:val="16"/>
        </w:rPr>
        <w:t xml:space="preserve"> 2025</w:t>
      </w:r>
      <w:r w:rsidR="00991BE6">
        <w:rPr>
          <w:sz w:val="16"/>
          <w:szCs w:val="16"/>
        </w:rPr>
        <w:t>-20</w:t>
      </w:r>
      <w:r w:rsidRPr="002A5672">
        <w:rPr>
          <w:sz w:val="16"/>
          <w:szCs w:val="16"/>
        </w:rPr>
        <w:t>26, 35386, nr. 48</w:t>
      </w:r>
      <w:bookmarkEnd w:id="10"/>
      <w:r w:rsidR="0038023C">
        <w:rPr>
          <w:sz w:val="16"/>
          <w:szCs w:val="16"/>
        </w:rPr>
        <w:t>.</w:t>
      </w:r>
    </w:p>
  </w:footnote>
  <w:footnote w:id="9">
    <w:p w14:paraId="4BA1486C" w14:textId="23562D01" w:rsidR="002440C7" w:rsidRPr="004246A3" w:rsidRDefault="002440C7">
      <w:pPr>
        <w:pStyle w:val="Voetnoottekst"/>
        <w:rPr>
          <w:sz w:val="16"/>
          <w:szCs w:val="16"/>
          <w:lang w:val="en-US"/>
        </w:rPr>
      </w:pPr>
      <w:r w:rsidRPr="002A5672">
        <w:rPr>
          <w:rStyle w:val="Voetnootmarkering"/>
          <w:sz w:val="16"/>
          <w:szCs w:val="16"/>
        </w:rPr>
        <w:footnoteRef/>
      </w:r>
      <w:r w:rsidRPr="004246A3">
        <w:rPr>
          <w:sz w:val="16"/>
          <w:szCs w:val="16"/>
          <w:lang w:val="en-US"/>
        </w:rPr>
        <w:t xml:space="preserve"> </w:t>
      </w:r>
      <w:proofErr w:type="spellStart"/>
      <w:r w:rsidRPr="004246A3">
        <w:rPr>
          <w:sz w:val="16"/>
          <w:szCs w:val="16"/>
          <w:lang w:val="en-US"/>
        </w:rPr>
        <w:t>Europese</w:t>
      </w:r>
      <w:proofErr w:type="spellEnd"/>
      <w:r w:rsidRPr="004246A3">
        <w:rPr>
          <w:sz w:val="16"/>
          <w:szCs w:val="16"/>
          <w:lang w:val="en-US"/>
        </w:rPr>
        <w:t xml:space="preserve"> </w:t>
      </w:r>
      <w:proofErr w:type="spellStart"/>
      <w:r w:rsidRPr="004246A3">
        <w:rPr>
          <w:sz w:val="16"/>
          <w:szCs w:val="16"/>
          <w:lang w:val="en-US"/>
        </w:rPr>
        <w:t>Commissie</w:t>
      </w:r>
      <w:proofErr w:type="spellEnd"/>
      <w:r w:rsidRPr="004246A3">
        <w:rPr>
          <w:sz w:val="16"/>
          <w:szCs w:val="16"/>
          <w:lang w:val="en-US"/>
        </w:rPr>
        <w:t>, ‘</w:t>
      </w:r>
      <w:r>
        <w:fldChar w:fldCharType="begin"/>
      </w:r>
      <w:r w:rsidRPr="00F119D7">
        <w:rPr>
          <w:lang w:val="en-US"/>
        </w:rPr>
        <w:instrText>HYPERLINK "https://single-market-economy.ec.europa.eu/news/commission-publishes-evaluations-eu-rules-pyrotechnics-and-civil-explosives-2025-09-19_en"</w:instrText>
      </w:r>
      <w:r>
        <w:fldChar w:fldCharType="separate"/>
      </w:r>
      <w:r w:rsidRPr="004246A3">
        <w:rPr>
          <w:rStyle w:val="Hyperlink"/>
          <w:sz w:val="16"/>
          <w:szCs w:val="16"/>
          <w:lang w:val="en-US"/>
        </w:rPr>
        <w:t>Commission publishes evaluations of EU rules on pyrotechnics and civil explosives’</w:t>
      </w:r>
      <w:r>
        <w:fldChar w:fldCharType="end"/>
      </w:r>
      <w:r w:rsidRPr="004246A3">
        <w:rPr>
          <w:sz w:val="16"/>
          <w:szCs w:val="16"/>
          <w:lang w:val="en-US"/>
        </w:rPr>
        <w:t xml:space="preserve">, 19 </w:t>
      </w:r>
      <w:proofErr w:type="spellStart"/>
      <w:r w:rsidRPr="004246A3">
        <w:rPr>
          <w:sz w:val="16"/>
          <w:szCs w:val="16"/>
          <w:lang w:val="en-US"/>
        </w:rPr>
        <w:t>september</w:t>
      </w:r>
      <w:proofErr w:type="spellEnd"/>
      <w:r w:rsidRPr="004246A3">
        <w:rPr>
          <w:sz w:val="16"/>
          <w:szCs w:val="16"/>
          <w:lang w:val="en-US"/>
        </w:rPr>
        <w:t xml:space="preserve"> 2025.</w:t>
      </w:r>
    </w:p>
  </w:footnote>
  <w:footnote w:id="10">
    <w:p w14:paraId="080F562C" w14:textId="151230E7" w:rsidR="00140F96" w:rsidRPr="004246A3" w:rsidRDefault="00140F96">
      <w:pPr>
        <w:pStyle w:val="Voetnoottekst"/>
        <w:rPr>
          <w:lang w:val="en-US"/>
        </w:rPr>
      </w:pPr>
      <w:r w:rsidRPr="002A5672">
        <w:rPr>
          <w:rStyle w:val="Voetnootmarkering"/>
          <w:sz w:val="16"/>
          <w:szCs w:val="16"/>
        </w:rPr>
        <w:footnoteRef/>
      </w:r>
      <w:r w:rsidRPr="004246A3">
        <w:rPr>
          <w:sz w:val="16"/>
          <w:szCs w:val="16"/>
          <w:lang w:val="en-US"/>
        </w:rPr>
        <w:t xml:space="preserve"> </w:t>
      </w:r>
      <w:proofErr w:type="spellStart"/>
      <w:r w:rsidR="002440C7" w:rsidRPr="004246A3">
        <w:rPr>
          <w:sz w:val="16"/>
          <w:szCs w:val="16"/>
          <w:lang w:val="en-US"/>
        </w:rPr>
        <w:t>Europese</w:t>
      </w:r>
      <w:proofErr w:type="spellEnd"/>
      <w:r w:rsidR="002440C7" w:rsidRPr="004246A3">
        <w:rPr>
          <w:sz w:val="16"/>
          <w:szCs w:val="16"/>
          <w:lang w:val="en-US"/>
        </w:rPr>
        <w:t xml:space="preserve"> </w:t>
      </w:r>
      <w:proofErr w:type="spellStart"/>
      <w:r w:rsidR="002440C7" w:rsidRPr="004246A3">
        <w:rPr>
          <w:sz w:val="16"/>
          <w:szCs w:val="16"/>
          <w:lang w:val="en-US"/>
        </w:rPr>
        <w:t>Commissie</w:t>
      </w:r>
      <w:proofErr w:type="spellEnd"/>
      <w:r w:rsidR="002440C7" w:rsidRPr="004246A3">
        <w:rPr>
          <w:sz w:val="16"/>
          <w:szCs w:val="16"/>
          <w:lang w:val="en-US"/>
        </w:rPr>
        <w:t>, ‘</w:t>
      </w:r>
      <w:r w:rsidR="002440C7">
        <w:fldChar w:fldCharType="begin"/>
      </w:r>
      <w:r w:rsidR="002440C7" w:rsidRPr="00F119D7">
        <w:rPr>
          <w:lang w:val="en-US"/>
        </w:rPr>
        <w:instrText>HYPERLINK "https://op.europa.eu/en/publication-detail/-/publication/8c60b929-ba34-11f0-b37f-01aa75ed71a1?afd_azwaf_tok=eyJraWQiOiIxNkY3M0JFMkNDMjZDOUM1ODBGMzM4NjAzN0I1ODRCQTc4REQ1ODcwQUFFRkJGNEZDRUJFOUZEQkNGMENGMTNEIiwiYWxnIjoiUlMyNTYifQ.eyJhdWQiOiJvcC5ldXJvcGEuZXUiLCJleHAiOjE3ODIxNDM5NjcsImlhdCI6MTc4MjE0Mzk1NywiaXNzIjoidGllcjEtODU5N2RmNjQ3Ni13NmhqdiIsInN1YiI6IjE1OS40Ni4xOTYuNyIsImRhdGEiOnsidHlwZSI6Imlzc3VlZCIsInJlZiI6IjIwMjYwNjIyVDE1NTkxN1otMTg1OTdkZjY0NzZ3NmhqdmhDMUFNUzltZDgwMDAwMDAwZnYwMDAwMDAwMDA5dWhwIiwiYiI6InR1OWtJRkttd2F1YWJqUDNWZVFfMjJnOWNfN0toT0xFVXVNYTRZUU5aZ1EiLCJoIjoiMnNzcHp3SlVMOERRLWtldm5xUlVDVHdzekFjaU80RzVZS1doNGNVTjdWSSJ9fQ.Dix5ZbjKbw46eqlwPeJvwuKoewNizHSx_SKKtmnlRNLybhrEgaRrG4tQ3yipEMrbHggHSOxyftew6IR5CRI33i05dxyg2k0_3ro-wx6k7835_EaAgdRYa5jQPji7kPsrPnHQLJ3SmYa5QjNGQUsSSaqHpdHaodQHFPNmktOJWqUsWos0xeV3B3SrHJ4VVWCuJkvb7bKzJhfmXKdl2YyM84w8AN9umVZVNhM8IYBmYvu07dKOoFB4-aDCEZRfZFFR3Fmex1uidsPeY8W0kUJQPJ1ipWGefGbHCvxRl4QrHm8W5-U2jGhHZ1DQSauy7jsMmKK5rrdAdNDk7tBVQK3d6w.WF3obl2IDtqgvMFRqVdYkD5s"</w:instrText>
      </w:r>
      <w:r w:rsidR="002440C7">
        <w:fldChar w:fldCharType="separate"/>
      </w:r>
      <w:r w:rsidR="002440C7" w:rsidRPr="004246A3">
        <w:rPr>
          <w:rStyle w:val="Hyperlink"/>
          <w:sz w:val="16"/>
          <w:szCs w:val="16"/>
          <w:lang w:val="en-US"/>
        </w:rPr>
        <w:t>Feasibility study on reducing the security risks posed by the criminal misuse of pyrotechnics</w:t>
      </w:r>
      <w:r w:rsidR="002440C7">
        <w:fldChar w:fldCharType="end"/>
      </w:r>
      <w:r w:rsidR="002440C7" w:rsidRPr="004246A3">
        <w:rPr>
          <w:sz w:val="16"/>
          <w:szCs w:val="16"/>
          <w:lang w:val="en-US"/>
        </w:rPr>
        <w:t xml:space="preserve">’, </w:t>
      </w:r>
      <w:proofErr w:type="spellStart"/>
      <w:r w:rsidR="00E715F0" w:rsidRPr="004246A3">
        <w:rPr>
          <w:sz w:val="16"/>
          <w:szCs w:val="16"/>
          <w:lang w:val="en-US"/>
        </w:rPr>
        <w:t>ok</w:t>
      </w:r>
      <w:r w:rsidR="002440C7" w:rsidRPr="004246A3">
        <w:rPr>
          <w:sz w:val="16"/>
          <w:szCs w:val="16"/>
          <w:lang w:val="en-US"/>
        </w:rPr>
        <w:t>tober</w:t>
      </w:r>
      <w:proofErr w:type="spellEnd"/>
      <w:r w:rsidR="002440C7" w:rsidRPr="004246A3">
        <w:rPr>
          <w:sz w:val="16"/>
          <w:szCs w:val="16"/>
          <w:lang w:val="en-US"/>
        </w:rPr>
        <w:t xml:space="preserve"> 2025.</w:t>
      </w:r>
      <w:r w:rsidR="002440C7" w:rsidRPr="004246A3">
        <w:rPr>
          <w:lang w:val="en-US"/>
        </w:rPr>
        <w:t xml:space="preserve"> </w:t>
      </w:r>
    </w:p>
  </w:footnote>
  <w:footnote w:id="11">
    <w:p w14:paraId="22DE014F" w14:textId="0D373E60" w:rsidR="00140F96" w:rsidRPr="00A15424" w:rsidRDefault="00140F96" w:rsidP="00140F96">
      <w:pPr>
        <w:pStyle w:val="Voetnoottekst"/>
        <w:rPr>
          <w:sz w:val="16"/>
          <w:szCs w:val="16"/>
        </w:rPr>
      </w:pPr>
      <w:r w:rsidRPr="00A15424">
        <w:rPr>
          <w:rStyle w:val="Voetnootmarkering"/>
          <w:sz w:val="16"/>
          <w:szCs w:val="16"/>
        </w:rPr>
        <w:footnoteRef/>
      </w:r>
      <w:r w:rsidRPr="00A15424">
        <w:rPr>
          <w:sz w:val="16"/>
          <w:szCs w:val="16"/>
        </w:rPr>
        <w:t xml:space="preserve"> Kamerstukken </w:t>
      </w:r>
      <w:r w:rsidR="00004C5A">
        <w:rPr>
          <w:sz w:val="16"/>
          <w:szCs w:val="16"/>
        </w:rPr>
        <w:t>II</w:t>
      </w:r>
      <w:r w:rsidR="00614919">
        <w:rPr>
          <w:sz w:val="16"/>
          <w:szCs w:val="16"/>
        </w:rPr>
        <w:t>,</w:t>
      </w:r>
      <w:r w:rsidRPr="00A15424">
        <w:rPr>
          <w:sz w:val="16"/>
          <w:szCs w:val="16"/>
        </w:rPr>
        <w:t xml:space="preserve"> 2025</w:t>
      </w:r>
      <w:r w:rsidR="00614919">
        <w:rPr>
          <w:sz w:val="16"/>
          <w:szCs w:val="16"/>
        </w:rPr>
        <w:t>-202</w:t>
      </w:r>
      <w:r w:rsidRPr="00A15424">
        <w:rPr>
          <w:sz w:val="16"/>
          <w:szCs w:val="16"/>
        </w:rPr>
        <w:t>6, 28684, nr. 862</w:t>
      </w:r>
      <w:r>
        <w:rPr>
          <w:sz w:val="16"/>
          <w:szCs w:val="16"/>
        </w:rPr>
        <w:t>.</w:t>
      </w:r>
    </w:p>
  </w:footnote>
  <w:footnote w:id="12">
    <w:p w14:paraId="39E4F27D" w14:textId="7B8F9636" w:rsidR="00140F96" w:rsidRDefault="00140F96" w:rsidP="00140F96">
      <w:pPr>
        <w:pStyle w:val="Voetnoottekst"/>
      </w:pPr>
      <w:r w:rsidRPr="00A15424">
        <w:rPr>
          <w:rStyle w:val="Voetnootmarkering"/>
          <w:sz w:val="16"/>
          <w:szCs w:val="16"/>
        </w:rPr>
        <w:footnoteRef/>
      </w:r>
      <w:r w:rsidRPr="00A15424">
        <w:rPr>
          <w:sz w:val="16"/>
          <w:szCs w:val="16"/>
        </w:rPr>
        <w:t xml:space="preserve"> </w:t>
      </w:r>
      <w:proofErr w:type="spellStart"/>
      <w:r w:rsidR="00004C5A" w:rsidRPr="00004C5A">
        <w:rPr>
          <w:sz w:val="16"/>
          <w:szCs w:val="16"/>
        </w:rPr>
        <w:t>Onderzoeksraad</w:t>
      </w:r>
      <w:proofErr w:type="spellEnd"/>
      <w:r w:rsidR="00004C5A" w:rsidRPr="00004C5A">
        <w:rPr>
          <w:sz w:val="16"/>
          <w:szCs w:val="16"/>
        </w:rPr>
        <w:t xml:space="preserve"> voor Veiligheid, </w:t>
      </w:r>
      <w:r w:rsidR="00004C5A">
        <w:rPr>
          <w:sz w:val="16"/>
          <w:szCs w:val="16"/>
        </w:rPr>
        <w:t>‘</w:t>
      </w:r>
      <w:hyperlink r:id="rId2" w:history="1">
        <w:r w:rsidR="00004C5A" w:rsidRPr="00004C5A">
          <w:rPr>
            <w:rStyle w:val="Hyperlink"/>
            <w:sz w:val="16"/>
            <w:szCs w:val="16"/>
          </w:rPr>
          <w:t>Veiligheidsrisico’s jaarwisseling</w:t>
        </w:r>
      </w:hyperlink>
      <w:r w:rsidR="00004C5A">
        <w:rPr>
          <w:sz w:val="16"/>
          <w:szCs w:val="16"/>
        </w:rPr>
        <w:t xml:space="preserve">’, 2017. </w:t>
      </w:r>
    </w:p>
  </w:footnote>
  <w:footnote w:id="13">
    <w:p w14:paraId="08065B85" w14:textId="32B3A88D" w:rsidR="001B3779" w:rsidRPr="00A15424" w:rsidRDefault="001B3779" w:rsidP="001B3779">
      <w:pPr>
        <w:pStyle w:val="Voetnoottekst"/>
        <w:rPr>
          <w:sz w:val="16"/>
          <w:szCs w:val="16"/>
        </w:rPr>
      </w:pPr>
      <w:r w:rsidRPr="00A15424">
        <w:rPr>
          <w:rStyle w:val="Voetnootmarkering"/>
          <w:sz w:val="16"/>
          <w:szCs w:val="16"/>
        </w:rPr>
        <w:footnoteRef/>
      </w:r>
      <w:r w:rsidRPr="00A15424">
        <w:rPr>
          <w:sz w:val="16"/>
          <w:szCs w:val="16"/>
        </w:rPr>
        <w:t xml:space="preserve"> </w:t>
      </w:r>
      <w:bookmarkStart w:id="21" w:name="_Hlk233099157"/>
      <w:r w:rsidRPr="00A15424">
        <w:rPr>
          <w:sz w:val="16"/>
          <w:szCs w:val="16"/>
        </w:rPr>
        <w:t xml:space="preserve">Kamerstukken </w:t>
      </w:r>
      <w:r w:rsidR="00004C5A">
        <w:rPr>
          <w:sz w:val="16"/>
          <w:szCs w:val="16"/>
        </w:rPr>
        <w:t>II</w:t>
      </w:r>
      <w:r w:rsidR="00614919">
        <w:rPr>
          <w:sz w:val="16"/>
          <w:szCs w:val="16"/>
        </w:rPr>
        <w:t>,</w:t>
      </w:r>
      <w:r w:rsidRPr="00A15424">
        <w:rPr>
          <w:sz w:val="16"/>
          <w:szCs w:val="16"/>
        </w:rPr>
        <w:t xml:space="preserve"> 2025</w:t>
      </w:r>
      <w:r w:rsidR="00614919">
        <w:rPr>
          <w:sz w:val="16"/>
          <w:szCs w:val="16"/>
        </w:rPr>
        <w:t>-20</w:t>
      </w:r>
      <w:r w:rsidRPr="00A15424">
        <w:rPr>
          <w:sz w:val="16"/>
          <w:szCs w:val="16"/>
        </w:rPr>
        <w:t xml:space="preserve">26, 28684, nr. 846. </w:t>
      </w:r>
      <w:bookmarkEnd w:id="21"/>
    </w:p>
  </w:footnote>
  <w:footnote w:id="14">
    <w:p w14:paraId="5010D017" w14:textId="63FBE242" w:rsidR="00004C5A" w:rsidRPr="00A15424" w:rsidRDefault="00004C5A" w:rsidP="00004C5A">
      <w:pPr>
        <w:pStyle w:val="Voetnoottekst"/>
        <w:rPr>
          <w:sz w:val="16"/>
          <w:szCs w:val="16"/>
        </w:rPr>
      </w:pPr>
      <w:r w:rsidRPr="00C21C86">
        <w:rPr>
          <w:rStyle w:val="Voetnootmarkering"/>
          <w:sz w:val="16"/>
          <w:szCs w:val="16"/>
        </w:rPr>
        <w:footnoteRef/>
      </w:r>
      <w:r w:rsidRPr="00C21C86">
        <w:rPr>
          <w:sz w:val="16"/>
          <w:szCs w:val="16"/>
        </w:rPr>
        <w:t xml:space="preserve"> Kamerstukken </w:t>
      </w:r>
      <w:r>
        <w:rPr>
          <w:sz w:val="16"/>
          <w:szCs w:val="16"/>
        </w:rPr>
        <w:t>II</w:t>
      </w:r>
      <w:r w:rsidR="00614919">
        <w:rPr>
          <w:sz w:val="16"/>
          <w:szCs w:val="16"/>
        </w:rPr>
        <w:t>,</w:t>
      </w:r>
      <w:r w:rsidRPr="00C21C86">
        <w:rPr>
          <w:sz w:val="16"/>
          <w:szCs w:val="16"/>
        </w:rPr>
        <w:t xml:space="preserve"> 2025</w:t>
      </w:r>
      <w:r w:rsidR="00614919">
        <w:rPr>
          <w:sz w:val="16"/>
          <w:szCs w:val="16"/>
        </w:rPr>
        <w:t>-20</w:t>
      </w:r>
      <w:r w:rsidRPr="00C21C86">
        <w:rPr>
          <w:sz w:val="16"/>
          <w:szCs w:val="16"/>
        </w:rPr>
        <w:t>26, 28741, nr. 133.</w:t>
      </w:r>
    </w:p>
  </w:footnote>
  <w:footnote w:id="15">
    <w:p w14:paraId="5E827829" w14:textId="77777777" w:rsidR="006B224C" w:rsidRPr="00A15424" w:rsidRDefault="006B224C" w:rsidP="006B224C">
      <w:pPr>
        <w:pStyle w:val="Voetnoottekst"/>
        <w:rPr>
          <w:sz w:val="16"/>
          <w:szCs w:val="16"/>
        </w:rPr>
      </w:pPr>
      <w:r w:rsidRPr="00A15424">
        <w:rPr>
          <w:rStyle w:val="Voetnootmarkering"/>
          <w:sz w:val="16"/>
          <w:szCs w:val="16"/>
        </w:rPr>
        <w:footnoteRef/>
      </w:r>
      <w:r w:rsidRPr="00A15424">
        <w:rPr>
          <w:sz w:val="16"/>
          <w:szCs w:val="16"/>
        </w:rPr>
        <w:t xml:space="preserve"> Artikel 172b van de Gemeentewet</w:t>
      </w:r>
      <w:r>
        <w:rPr>
          <w:sz w:val="16"/>
          <w:szCs w:val="16"/>
        </w:rPr>
        <w:t>.</w:t>
      </w:r>
    </w:p>
  </w:footnote>
  <w:footnote w:id="16">
    <w:p w14:paraId="56BEA482" w14:textId="55F63F4D" w:rsidR="003F3003" w:rsidRPr="002A5672" w:rsidRDefault="003F3003">
      <w:pPr>
        <w:pStyle w:val="Voetnoottekst"/>
        <w:rPr>
          <w:sz w:val="16"/>
          <w:szCs w:val="16"/>
        </w:rPr>
      </w:pPr>
      <w:r w:rsidRPr="00E715F0">
        <w:rPr>
          <w:rStyle w:val="Voetnootmarkering"/>
          <w:sz w:val="16"/>
          <w:szCs w:val="16"/>
        </w:rPr>
        <w:footnoteRef/>
      </w:r>
      <w:r w:rsidRPr="00E715F0">
        <w:rPr>
          <w:sz w:val="16"/>
          <w:szCs w:val="16"/>
        </w:rPr>
        <w:t xml:space="preserve"> </w:t>
      </w:r>
      <w:r w:rsidR="00004C5A" w:rsidRPr="00E715F0">
        <w:rPr>
          <w:sz w:val="16"/>
          <w:szCs w:val="16"/>
        </w:rPr>
        <w:t>Centrum voor Criminaliteitspreventie en Veiligheid (CCV), ‘</w:t>
      </w:r>
      <w:hyperlink r:id="rId3" w:history="1">
        <w:r w:rsidR="00004C5A" w:rsidRPr="00E715F0">
          <w:rPr>
            <w:rStyle w:val="Hyperlink"/>
            <w:sz w:val="16"/>
            <w:szCs w:val="16"/>
          </w:rPr>
          <w:t>Last onder dwangsom</w:t>
        </w:r>
      </w:hyperlink>
      <w:r w:rsidR="00004C5A" w:rsidRPr="00E715F0">
        <w:rPr>
          <w:sz w:val="16"/>
          <w:szCs w:val="16"/>
        </w:rPr>
        <w:t xml:space="preserve">’ (Tool Openbare orde en Veiligheid). </w:t>
      </w:r>
    </w:p>
  </w:footnote>
  <w:footnote w:id="17">
    <w:p w14:paraId="6534D48E" w14:textId="7FC92E23" w:rsidR="00004C5A" w:rsidRPr="002A5672" w:rsidRDefault="00004C5A">
      <w:pPr>
        <w:pStyle w:val="Voetnoottekst"/>
        <w:rPr>
          <w:sz w:val="16"/>
          <w:szCs w:val="16"/>
        </w:rPr>
      </w:pPr>
      <w:r w:rsidRPr="002A5672">
        <w:rPr>
          <w:rStyle w:val="Voetnootmarkering"/>
          <w:sz w:val="16"/>
          <w:szCs w:val="16"/>
        </w:rPr>
        <w:footnoteRef/>
      </w:r>
      <w:r w:rsidRPr="002A5672">
        <w:rPr>
          <w:sz w:val="16"/>
          <w:szCs w:val="16"/>
        </w:rPr>
        <w:t xml:space="preserve"> </w:t>
      </w:r>
      <w:bookmarkStart w:id="23" w:name="_Hlk233099206"/>
      <w:r w:rsidRPr="002A5672">
        <w:rPr>
          <w:sz w:val="16"/>
          <w:szCs w:val="16"/>
        </w:rPr>
        <w:t>Kamerstukken II</w:t>
      </w:r>
      <w:r w:rsidR="00614919">
        <w:rPr>
          <w:sz w:val="16"/>
          <w:szCs w:val="16"/>
        </w:rPr>
        <w:t>,</w:t>
      </w:r>
      <w:r w:rsidRPr="002A5672">
        <w:rPr>
          <w:sz w:val="16"/>
          <w:szCs w:val="16"/>
        </w:rPr>
        <w:t xml:space="preserve"> 2025</w:t>
      </w:r>
      <w:r w:rsidR="00614919">
        <w:rPr>
          <w:sz w:val="16"/>
          <w:szCs w:val="16"/>
        </w:rPr>
        <w:t>-20</w:t>
      </w:r>
      <w:r w:rsidRPr="002A5672">
        <w:rPr>
          <w:sz w:val="16"/>
          <w:szCs w:val="16"/>
        </w:rPr>
        <w:t>26, 28684, nr. 826.</w:t>
      </w:r>
      <w:bookmarkEnd w:id="23"/>
    </w:p>
  </w:footnote>
  <w:footnote w:id="18">
    <w:p w14:paraId="48923939" w14:textId="10B7DEB4" w:rsidR="001B3779" w:rsidRDefault="001B3779">
      <w:pPr>
        <w:pStyle w:val="Voetnoottekst"/>
      </w:pPr>
      <w:r w:rsidRPr="002A5672">
        <w:rPr>
          <w:rStyle w:val="Voetnootmarkering"/>
          <w:sz w:val="16"/>
          <w:szCs w:val="16"/>
        </w:rPr>
        <w:footnoteRef/>
      </w:r>
      <w:r w:rsidRPr="002A5672">
        <w:rPr>
          <w:sz w:val="16"/>
          <w:szCs w:val="16"/>
        </w:rPr>
        <w:t xml:space="preserve"> </w:t>
      </w:r>
      <w:bookmarkStart w:id="26" w:name="_Hlk233099267"/>
      <w:r w:rsidR="00E715F0" w:rsidRPr="002A5672">
        <w:rPr>
          <w:sz w:val="16"/>
          <w:szCs w:val="16"/>
        </w:rPr>
        <w:t>Kamerstukken II</w:t>
      </w:r>
      <w:r w:rsidR="00614919">
        <w:rPr>
          <w:sz w:val="16"/>
          <w:szCs w:val="16"/>
        </w:rPr>
        <w:t>,</w:t>
      </w:r>
      <w:r w:rsidR="00E715F0" w:rsidRPr="002A5672">
        <w:rPr>
          <w:sz w:val="16"/>
          <w:szCs w:val="16"/>
        </w:rPr>
        <w:t xml:space="preserve"> 2025</w:t>
      </w:r>
      <w:r w:rsidR="00614919">
        <w:rPr>
          <w:sz w:val="16"/>
          <w:szCs w:val="16"/>
        </w:rPr>
        <w:t>-20</w:t>
      </w:r>
      <w:r w:rsidR="00E715F0" w:rsidRPr="002A5672">
        <w:rPr>
          <w:sz w:val="16"/>
          <w:szCs w:val="16"/>
        </w:rPr>
        <w:t>26, 28684, nr. 841.</w:t>
      </w:r>
      <w:bookmarkEnd w:id="26"/>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6A801" w14:textId="77777777" w:rsidR="00B53665" w:rsidRDefault="005E1F20">
    <w:r>
      <w:rPr>
        <w:noProof/>
      </w:rPr>
      <mc:AlternateContent>
        <mc:Choice Requires="wps">
          <w:drawing>
            <wp:anchor distT="0" distB="0" distL="0" distR="0" simplePos="0" relativeHeight="251652096" behindDoc="0" locked="1" layoutInCell="1" allowOverlap="1" wp14:anchorId="76A4C565" wp14:editId="2A35BA7D">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2EC8D06" w14:textId="77777777" w:rsidR="001B682B" w:rsidRDefault="001B682B"/>
                      </w:txbxContent>
                    </wps:txbx>
                    <wps:bodyPr vert="horz" wrap="square" lIns="0" tIns="0" rIns="0" bIns="0" anchor="t" anchorCtr="0"/>
                  </wps:wsp>
                </a:graphicData>
              </a:graphic>
            </wp:anchor>
          </w:drawing>
        </mc:Choice>
        <mc:Fallback>
          <w:pict>
            <v:shapetype w14:anchorId="76A4C56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2EC8D06" w14:textId="77777777" w:rsidR="001B682B" w:rsidRDefault="001B682B"/>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6A401E8E" wp14:editId="38E122ED">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B4EF2C6" w14:textId="77777777" w:rsidR="00B53665" w:rsidRDefault="005E1F20">
                          <w:pPr>
                            <w:pStyle w:val="Referentiegegevensbold"/>
                          </w:pPr>
                          <w:r>
                            <w:t>DG Rechtspleging en Rechtshandhaving</w:t>
                          </w:r>
                        </w:p>
                        <w:p w14:paraId="4EC47730" w14:textId="77777777" w:rsidR="00B53665" w:rsidRDefault="005E1F20">
                          <w:pPr>
                            <w:pStyle w:val="Referentiegegevens"/>
                          </w:pPr>
                          <w:r>
                            <w:t>Directie Veiligheid en Bestuur</w:t>
                          </w:r>
                        </w:p>
                        <w:p w14:paraId="621D3D95" w14:textId="77777777" w:rsidR="00B53665" w:rsidRDefault="00B53665">
                          <w:pPr>
                            <w:pStyle w:val="WitregelW2"/>
                          </w:pPr>
                        </w:p>
                        <w:p w14:paraId="16D07278" w14:textId="77777777" w:rsidR="00B53665" w:rsidRDefault="005E1F20">
                          <w:pPr>
                            <w:pStyle w:val="Referentiegegevensbold"/>
                          </w:pPr>
                          <w:r>
                            <w:t>Datum</w:t>
                          </w:r>
                        </w:p>
                        <w:p w14:paraId="55C42A4D" w14:textId="460C2400" w:rsidR="00B53665" w:rsidRDefault="00F119D7">
                          <w:pPr>
                            <w:pStyle w:val="Referentiegegevens"/>
                          </w:pPr>
                          <w:r>
                            <w:t>1 juli 2026</w:t>
                          </w:r>
                        </w:p>
                        <w:p w14:paraId="6197BB77" w14:textId="77777777" w:rsidR="00B53665" w:rsidRDefault="00B53665">
                          <w:pPr>
                            <w:pStyle w:val="WitregelW1"/>
                          </w:pPr>
                        </w:p>
                        <w:p w14:paraId="14FFA8DD" w14:textId="77777777" w:rsidR="00B53665" w:rsidRDefault="005E1F20">
                          <w:pPr>
                            <w:pStyle w:val="Referentiegegevensbold"/>
                          </w:pPr>
                          <w:r>
                            <w:t>Onze referentie</w:t>
                          </w:r>
                        </w:p>
                        <w:p w14:paraId="2652357C" w14:textId="77777777" w:rsidR="0038023C" w:rsidRDefault="0038023C" w:rsidP="0038023C">
                          <w:pPr>
                            <w:pStyle w:val="Referentiegegevens"/>
                          </w:pPr>
                          <w:r>
                            <w:t>7720260</w:t>
                          </w:r>
                        </w:p>
                        <w:p w14:paraId="2EFDD797" w14:textId="23B3084D" w:rsidR="00B53665" w:rsidRDefault="00B53665">
                          <w:pPr>
                            <w:pStyle w:val="Referentiegegevens"/>
                          </w:pPr>
                        </w:p>
                      </w:txbxContent>
                    </wps:txbx>
                    <wps:bodyPr vert="horz" wrap="square" lIns="0" tIns="0" rIns="0" bIns="0" anchor="t" anchorCtr="0"/>
                  </wps:wsp>
                </a:graphicData>
              </a:graphic>
            </wp:anchor>
          </w:drawing>
        </mc:Choice>
        <mc:Fallback>
          <w:pict>
            <v:shape w14:anchorId="6A401E8E"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B4EF2C6" w14:textId="77777777" w:rsidR="00B53665" w:rsidRDefault="005E1F20">
                    <w:pPr>
                      <w:pStyle w:val="Referentiegegevensbold"/>
                    </w:pPr>
                    <w:r>
                      <w:t>DG Rechtspleging en Rechtshandhaving</w:t>
                    </w:r>
                  </w:p>
                  <w:p w14:paraId="4EC47730" w14:textId="77777777" w:rsidR="00B53665" w:rsidRDefault="005E1F20">
                    <w:pPr>
                      <w:pStyle w:val="Referentiegegevens"/>
                    </w:pPr>
                    <w:r>
                      <w:t>Directie Veiligheid en Bestuur</w:t>
                    </w:r>
                  </w:p>
                  <w:p w14:paraId="621D3D95" w14:textId="77777777" w:rsidR="00B53665" w:rsidRDefault="00B53665">
                    <w:pPr>
                      <w:pStyle w:val="WitregelW2"/>
                    </w:pPr>
                  </w:p>
                  <w:p w14:paraId="16D07278" w14:textId="77777777" w:rsidR="00B53665" w:rsidRDefault="005E1F20">
                    <w:pPr>
                      <w:pStyle w:val="Referentiegegevensbold"/>
                    </w:pPr>
                    <w:r>
                      <w:t>Datum</w:t>
                    </w:r>
                  </w:p>
                  <w:p w14:paraId="55C42A4D" w14:textId="460C2400" w:rsidR="00B53665" w:rsidRDefault="00F119D7">
                    <w:pPr>
                      <w:pStyle w:val="Referentiegegevens"/>
                    </w:pPr>
                    <w:r>
                      <w:t>1 juli 2026</w:t>
                    </w:r>
                  </w:p>
                  <w:p w14:paraId="6197BB77" w14:textId="77777777" w:rsidR="00B53665" w:rsidRDefault="00B53665">
                    <w:pPr>
                      <w:pStyle w:val="WitregelW1"/>
                    </w:pPr>
                  </w:p>
                  <w:p w14:paraId="14FFA8DD" w14:textId="77777777" w:rsidR="00B53665" w:rsidRDefault="005E1F20">
                    <w:pPr>
                      <w:pStyle w:val="Referentiegegevensbold"/>
                    </w:pPr>
                    <w:r>
                      <w:t>Onze referentie</w:t>
                    </w:r>
                  </w:p>
                  <w:p w14:paraId="2652357C" w14:textId="77777777" w:rsidR="0038023C" w:rsidRDefault="0038023C" w:rsidP="0038023C">
                    <w:pPr>
                      <w:pStyle w:val="Referentiegegevens"/>
                    </w:pPr>
                    <w:r>
                      <w:t>7720260</w:t>
                    </w:r>
                  </w:p>
                  <w:p w14:paraId="2EFDD797" w14:textId="23B3084D" w:rsidR="00B53665" w:rsidRDefault="00B53665">
                    <w:pPr>
                      <w:pStyle w:val="Referentiegegevens"/>
                    </w:pP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3005A2CF" wp14:editId="6343A854">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E6C7F26" w14:textId="77777777" w:rsidR="001B682B" w:rsidRDefault="001B682B"/>
                      </w:txbxContent>
                    </wps:txbx>
                    <wps:bodyPr vert="horz" wrap="square" lIns="0" tIns="0" rIns="0" bIns="0" anchor="t" anchorCtr="0"/>
                  </wps:wsp>
                </a:graphicData>
              </a:graphic>
            </wp:anchor>
          </w:drawing>
        </mc:Choice>
        <mc:Fallback>
          <w:pict>
            <v:shape w14:anchorId="3005A2CF"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E6C7F26" w14:textId="77777777" w:rsidR="001B682B" w:rsidRDefault="001B682B"/>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359D8325" wp14:editId="76BCFA1B">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1D82645" w14:textId="470869C9" w:rsidR="00B53665" w:rsidRDefault="005E1F20">
                          <w:pPr>
                            <w:pStyle w:val="Referentiegegevens"/>
                          </w:pPr>
                          <w:r>
                            <w:t xml:space="preserve">Pagina </w:t>
                          </w:r>
                          <w:r>
                            <w:fldChar w:fldCharType="begin"/>
                          </w:r>
                          <w:r>
                            <w:instrText>PAGE</w:instrText>
                          </w:r>
                          <w:r>
                            <w:fldChar w:fldCharType="separate"/>
                          </w:r>
                          <w:r w:rsidR="007C2797">
                            <w:rPr>
                              <w:noProof/>
                            </w:rPr>
                            <w:t>2</w:t>
                          </w:r>
                          <w:r>
                            <w:fldChar w:fldCharType="end"/>
                          </w:r>
                          <w:r>
                            <w:t xml:space="preserve"> van </w:t>
                          </w:r>
                          <w:r>
                            <w:fldChar w:fldCharType="begin"/>
                          </w:r>
                          <w:r>
                            <w:instrText>NUMPAGES</w:instrText>
                          </w:r>
                          <w:r>
                            <w:fldChar w:fldCharType="separate"/>
                          </w:r>
                          <w:r w:rsidR="007C2797">
                            <w:rPr>
                              <w:noProof/>
                            </w:rPr>
                            <w:t>2</w:t>
                          </w:r>
                          <w:r>
                            <w:fldChar w:fldCharType="end"/>
                          </w:r>
                        </w:p>
                      </w:txbxContent>
                    </wps:txbx>
                    <wps:bodyPr vert="horz" wrap="square" lIns="0" tIns="0" rIns="0" bIns="0" anchor="t" anchorCtr="0"/>
                  </wps:wsp>
                </a:graphicData>
              </a:graphic>
            </wp:anchor>
          </w:drawing>
        </mc:Choice>
        <mc:Fallback>
          <w:pict>
            <v:shape w14:anchorId="359D8325"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1D82645" w14:textId="470869C9" w:rsidR="00B53665" w:rsidRDefault="005E1F20">
                    <w:pPr>
                      <w:pStyle w:val="Referentiegegevens"/>
                    </w:pPr>
                    <w:r>
                      <w:t xml:space="preserve">Pagina </w:t>
                    </w:r>
                    <w:r>
                      <w:fldChar w:fldCharType="begin"/>
                    </w:r>
                    <w:r>
                      <w:instrText>PAGE</w:instrText>
                    </w:r>
                    <w:r>
                      <w:fldChar w:fldCharType="separate"/>
                    </w:r>
                    <w:r w:rsidR="007C2797">
                      <w:rPr>
                        <w:noProof/>
                      </w:rPr>
                      <w:t>2</w:t>
                    </w:r>
                    <w:r>
                      <w:fldChar w:fldCharType="end"/>
                    </w:r>
                    <w:r>
                      <w:t xml:space="preserve"> van </w:t>
                    </w:r>
                    <w:r>
                      <w:fldChar w:fldCharType="begin"/>
                    </w:r>
                    <w:r>
                      <w:instrText>NUMPAGES</w:instrText>
                    </w:r>
                    <w:r>
                      <w:fldChar w:fldCharType="separate"/>
                    </w:r>
                    <w:r w:rsidR="007C2797">
                      <w:rPr>
                        <w:noProof/>
                      </w:rP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E6B57" w14:textId="77777777" w:rsidR="00B53665" w:rsidRDefault="005E1F20">
    <w:pPr>
      <w:spacing w:after="6377" w:line="14" w:lineRule="exact"/>
    </w:pPr>
    <w:r>
      <w:rPr>
        <w:noProof/>
      </w:rPr>
      <mc:AlternateContent>
        <mc:Choice Requires="wps">
          <w:drawing>
            <wp:anchor distT="0" distB="0" distL="0" distR="0" simplePos="0" relativeHeight="251656192" behindDoc="0" locked="1" layoutInCell="1" allowOverlap="1" wp14:anchorId="4AD3CB94" wp14:editId="3A35CAA7">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19A9BFA" w14:textId="77777777" w:rsidR="00B53665" w:rsidRDefault="005E1F20">
                          <w:pPr>
                            <w:spacing w:line="240" w:lineRule="auto"/>
                          </w:pPr>
                          <w:r>
                            <w:rPr>
                              <w:noProof/>
                            </w:rPr>
                            <w:drawing>
                              <wp:inline distT="0" distB="0" distL="0" distR="0" wp14:anchorId="29FBF0D6" wp14:editId="41530F4B">
                                <wp:extent cx="467995" cy="1583865"/>
                                <wp:effectExtent l="0" t="0" r="0" b="0"/>
                                <wp:docPr id="176532353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AD3CB94"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19A9BFA" w14:textId="77777777" w:rsidR="00B53665" w:rsidRDefault="005E1F20">
                    <w:pPr>
                      <w:spacing w:line="240" w:lineRule="auto"/>
                    </w:pPr>
                    <w:r>
                      <w:rPr>
                        <w:noProof/>
                      </w:rPr>
                      <w:drawing>
                        <wp:inline distT="0" distB="0" distL="0" distR="0" wp14:anchorId="29FBF0D6" wp14:editId="41530F4B">
                          <wp:extent cx="467995" cy="1583865"/>
                          <wp:effectExtent l="0" t="0" r="0" b="0"/>
                          <wp:docPr id="176532353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CAC32FF" wp14:editId="352D41AB">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0F77E5E" w14:textId="77777777" w:rsidR="00B53665" w:rsidRDefault="005E1F20">
                          <w:pPr>
                            <w:spacing w:line="240" w:lineRule="auto"/>
                          </w:pPr>
                          <w:r>
                            <w:rPr>
                              <w:noProof/>
                            </w:rPr>
                            <w:drawing>
                              <wp:inline distT="0" distB="0" distL="0" distR="0" wp14:anchorId="2A7E8A03" wp14:editId="53815FCB">
                                <wp:extent cx="2339975" cy="1582834"/>
                                <wp:effectExtent l="0" t="0" r="0" b="0"/>
                                <wp:docPr id="116243034"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CAC32FF"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0F77E5E" w14:textId="77777777" w:rsidR="00B53665" w:rsidRDefault="005E1F20">
                    <w:pPr>
                      <w:spacing w:line="240" w:lineRule="auto"/>
                    </w:pPr>
                    <w:r>
                      <w:rPr>
                        <w:noProof/>
                      </w:rPr>
                      <w:drawing>
                        <wp:inline distT="0" distB="0" distL="0" distR="0" wp14:anchorId="2A7E8A03" wp14:editId="53815FCB">
                          <wp:extent cx="2339975" cy="1582834"/>
                          <wp:effectExtent l="0" t="0" r="0" b="0"/>
                          <wp:docPr id="116243034"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243D1F94" wp14:editId="57F13E2A">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F68E11C" w14:textId="77777777" w:rsidR="00B53665" w:rsidRDefault="005E1F20">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43D1F94"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4F68E11C" w14:textId="77777777" w:rsidR="00B53665" w:rsidRDefault="005E1F20">
                    <w:pPr>
                      <w:pStyle w:val="Referentiegegevens"/>
                    </w:pPr>
                    <w:r>
                      <w:t>&gt; Retouradres Postbus 20301 2500 EH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5CEAC372" wp14:editId="3558E5B9">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2C58327" w14:textId="77777777" w:rsidR="00D53DA6" w:rsidRDefault="00D53DA6" w:rsidP="00D53DA6">
                          <w:r>
                            <w:t>Aan de Voorzitter van de Tweede Kamer</w:t>
                          </w:r>
                        </w:p>
                        <w:p w14:paraId="1E4563E9" w14:textId="77777777" w:rsidR="00D53DA6" w:rsidRDefault="00D53DA6" w:rsidP="00D53DA6">
                          <w:r>
                            <w:t>der Staten-Generaal</w:t>
                          </w:r>
                        </w:p>
                        <w:p w14:paraId="6716951E" w14:textId="77777777" w:rsidR="00D53DA6" w:rsidRDefault="00D53DA6" w:rsidP="00D53DA6">
                          <w:r>
                            <w:t>Postbus 20018</w:t>
                          </w:r>
                        </w:p>
                        <w:p w14:paraId="0FAB3B56" w14:textId="686397EE" w:rsidR="00B53665" w:rsidRDefault="00D53DA6" w:rsidP="00D53DA6">
                          <w:r>
                            <w:t>2500 EA  DEN HAAG</w:t>
                          </w:r>
                        </w:p>
                      </w:txbxContent>
                    </wps:txbx>
                    <wps:bodyPr vert="horz" wrap="square" lIns="0" tIns="0" rIns="0" bIns="0" anchor="t" anchorCtr="0"/>
                  </wps:wsp>
                </a:graphicData>
              </a:graphic>
            </wp:anchor>
          </w:drawing>
        </mc:Choice>
        <mc:Fallback>
          <w:pict>
            <v:shape w14:anchorId="5CEAC372"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2C58327" w14:textId="77777777" w:rsidR="00D53DA6" w:rsidRDefault="00D53DA6" w:rsidP="00D53DA6">
                    <w:r>
                      <w:t>Aan de Voorzitter van de Tweede Kamer</w:t>
                    </w:r>
                  </w:p>
                  <w:p w14:paraId="1E4563E9" w14:textId="77777777" w:rsidR="00D53DA6" w:rsidRDefault="00D53DA6" w:rsidP="00D53DA6">
                    <w:r>
                      <w:t>der Staten-Generaal</w:t>
                    </w:r>
                  </w:p>
                  <w:p w14:paraId="6716951E" w14:textId="77777777" w:rsidR="00D53DA6" w:rsidRDefault="00D53DA6" w:rsidP="00D53DA6">
                    <w:r>
                      <w:t>Postbus 20018</w:t>
                    </w:r>
                  </w:p>
                  <w:p w14:paraId="0FAB3B56" w14:textId="686397EE" w:rsidR="00B53665" w:rsidRDefault="00D53DA6" w:rsidP="00D53DA6">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2E71C6F8" wp14:editId="5DEAECFC">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B53665" w14:paraId="276345B1" w14:textId="77777777">
                            <w:trPr>
                              <w:trHeight w:val="240"/>
                            </w:trPr>
                            <w:tc>
                              <w:tcPr>
                                <w:tcW w:w="1140" w:type="dxa"/>
                              </w:tcPr>
                              <w:p w14:paraId="7F3C188B" w14:textId="77777777" w:rsidR="00B53665" w:rsidRDefault="005E1F20">
                                <w:r>
                                  <w:t>Datum</w:t>
                                </w:r>
                              </w:p>
                            </w:tc>
                            <w:tc>
                              <w:tcPr>
                                <w:tcW w:w="5918" w:type="dxa"/>
                              </w:tcPr>
                              <w:p w14:paraId="3F8689DA" w14:textId="78DF233B" w:rsidR="00B53665" w:rsidRDefault="00DD3689">
                                <w:r>
                                  <w:t>1 juli 2026</w:t>
                                </w:r>
                              </w:p>
                            </w:tc>
                          </w:tr>
                          <w:tr w:rsidR="00B53665" w14:paraId="5F158A04" w14:textId="77777777">
                            <w:trPr>
                              <w:trHeight w:val="240"/>
                            </w:trPr>
                            <w:tc>
                              <w:tcPr>
                                <w:tcW w:w="1140" w:type="dxa"/>
                              </w:tcPr>
                              <w:p w14:paraId="26755472" w14:textId="77777777" w:rsidR="00B53665" w:rsidRDefault="005E1F20">
                                <w:r>
                                  <w:t>Betreft</w:t>
                                </w:r>
                              </w:p>
                            </w:tc>
                            <w:tc>
                              <w:tcPr>
                                <w:tcW w:w="5918" w:type="dxa"/>
                              </w:tcPr>
                              <w:p w14:paraId="7E355547" w14:textId="353E72E8" w:rsidR="00B53665" w:rsidRDefault="00DD3689">
                                <w:r>
                                  <w:t xml:space="preserve">Verzamelbrief vuurwerk en jaarwisseling </w:t>
                                </w:r>
                              </w:p>
                            </w:tc>
                          </w:tr>
                        </w:tbl>
                        <w:p w14:paraId="585C93CB" w14:textId="77777777" w:rsidR="001B682B" w:rsidRDefault="001B682B"/>
                      </w:txbxContent>
                    </wps:txbx>
                    <wps:bodyPr vert="horz" wrap="square" lIns="0" tIns="0" rIns="0" bIns="0" anchor="t" anchorCtr="0"/>
                  </wps:wsp>
                </a:graphicData>
              </a:graphic>
            </wp:anchor>
          </w:drawing>
        </mc:Choice>
        <mc:Fallback>
          <w:pict>
            <v:shape w14:anchorId="2E71C6F8"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Layout w:type="fixed"/>
                      <w:tblLook w:val="0740" w:firstRow="0" w:lastRow="1" w:firstColumn="0" w:lastColumn="1" w:noHBand="1" w:noVBand="1"/>
                    </w:tblPr>
                    <w:tblGrid>
                      <w:gridCol w:w="1140"/>
                      <w:gridCol w:w="5918"/>
                    </w:tblGrid>
                    <w:tr w:rsidR="00B53665" w14:paraId="276345B1" w14:textId="77777777">
                      <w:trPr>
                        <w:trHeight w:val="240"/>
                      </w:trPr>
                      <w:tc>
                        <w:tcPr>
                          <w:tcW w:w="1140" w:type="dxa"/>
                        </w:tcPr>
                        <w:p w14:paraId="7F3C188B" w14:textId="77777777" w:rsidR="00B53665" w:rsidRDefault="005E1F20">
                          <w:r>
                            <w:t>Datum</w:t>
                          </w:r>
                        </w:p>
                      </w:tc>
                      <w:tc>
                        <w:tcPr>
                          <w:tcW w:w="5918" w:type="dxa"/>
                        </w:tcPr>
                        <w:p w14:paraId="3F8689DA" w14:textId="78DF233B" w:rsidR="00B53665" w:rsidRDefault="00DD3689">
                          <w:r>
                            <w:t>1 juli 2026</w:t>
                          </w:r>
                        </w:p>
                      </w:tc>
                    </w:tr>
                    <w:tr w:rsidR="00B53665" w14:paraId="5F158A04" w14:textId="77777777">
                      <w:trPr>
                        <w:trHeight w:val="240"/>
                      </w:trPr>
                      <w:tc>
                        <w:tcPr>
                          <w:tcW w:w="1140" w:type="dxa"/>
                        </w:tcPr>
                        <w:p w14:paraId="26755472" w14:textId="77777777" w:rsidR="00B53665" w:rsidRDefault="005E1F20">
                          <w:r>
                            <w:t>Betreft</w:t>
                          </w:r>
                        </w:p>
                      </w:tc>
                      <w:tc>
                        <w:tcPr>
                          <w:tcW w:w="5918" w:type="dxa"/>
                        </w:tcPr>
                        <w:p w14:paraId="7E355547" w14:textId="353E72E8" w:rsidR="00B53665" w:rsidRDefault="00DD3689">
                          <w:r>
                            <w:t xml:space="preserve">Verzamelbrief vuurwerk en jaarwisseling </w:t>
                          </w:r>
                        </w:p>
                      </w:tc>
                    </w:tr>
                  </w:tbl>
                  <w:p w14:paraId="585C93CB" w14:textId="77777777" w:rsidR="001B682B" w:rsidRDefault="001B682B"/>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18927809" wp14:editId="4613A7BE">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D32DDF2" w14:textId="77777777" w:rsidR="00B53665" w:rsidRDefault="005E1F20">
                          <w:pPr>
                            <w:pStyle w:val="Referentiegegevensbold"/>
                          </w:pPr>
                          <w:r>
                            <w:t>DG Rechtspleging en Rechtshandhaving</w:t>
                          </w:r>
                        </w:p>
                        <w:p w14:paraId="33797A16" w14:textId="77777777" w:rsidR="00B53665" w:rsidRDefault="005E1F20">
                          <w:pPr>
                            <w:pStyle w:val="Referentiegegevens"/>
                          </w:pPr>
                          <w:r>
                            <w:t>Directie Veiligheid en Bestuur</w:t>
                          </w:r>
                        </w:p>
                        <w:p w14:paraId="564D6A6B" w14:textId="77777777" w:rsidR="00B53665" w:rsidRDefault="00B53665">
                          <w:pPr>
                            <w:pStyle w:val="WitregelW1"/>
                          </w:pPr>
                        </w:p>
                        <w:p w14:paraId="72F86F33" w14:textId="77777777" w:rsidR="00B53665" w:rsidRPr="004246A3" w:rsidRDefault="005E1F20">
                          <w:pPr>
                            <w:pStyle w:val="Referentiegegevens"/>
                            <w:rPr>
                              <w:lang w:val="de-DE"/>
                            </w:rPr>
                          </w:pPr>
                          <w:proofErr w:type="spellStart"/>
                          <w:r w:rsidRPr="004246A3">
                            <w:rPr>
                              <w:lang w:val="de-DE"/>
                            </w:rPr>
                            <w:t>Turfmarkt</w:t>
                          </w:r>
                          <w:proofErr w:type="spellEnd"/>
                          <w:r w:rsidRPr="004246A3">
                            <w:rPr>
                              <w:lang w:val="de-DE"/>
                            </w:rPr>
                            <w:t xml:space="preserve"> 147</w:t>
                          </w:r>
                        </w:p>
                        <w:p w14:paraId="3FCED9AF" w14:textId="77777777" w:rsidR="00B53665" w:rsidRPr="004246A3" w:rsidRDefault="005E1F20">
                          <w:pPr>
                            <w:pStyle w:val="Referentiegegevens"/>
                            <w:rPr>
                              <w:lang w:val="de-DE"/>
                            </w:rPr>
                          </w:pPr>
                          <w:r w:rsidRPr="004246A3">
                            <w:rPr>
                              <w:lang w:val="de-DE"/>
                            </w:rPr>
                            <w:t>2511 DP  Den Haag</w:t>
                          </w:r>
                        </w:p>
                        <w:p w14:paraId="7D81E69D" w14:textId="77777777" w:rsidR="00B53665" w:rsidRPr="004246A3" w:rsidRDefault="005E1F20">
                          <w:pPr>
                            <w:pStyle w:val="Referentiegegevens"/>
                            <w:rPr>
                              <w:lang w:val="de-DE"/>
                            </w:rPr>
                          </w:pPr>
                          <w:r w:rsidRPr="004246A3">
                            <w:rPr>
                              <w:lang w:val="de-DE"/>
                            </w:rPr>
                            <w:t>Postbus 20301</w:t>
                          </w:r>
                        </w:p>
                        <w:p w14:paraId="7B78FF48" w14:textId="77777777" w:rsidR="00B53665" w:rsidRPr="004246A3" w:rsidRDefault="005E1F20">
                          <w:pPr>
                            <w:pStyle w:val="Referentiegegevens"/>
                            <w:rPr>
                              <w:lang w:val="de-DE"/>
                            </w:rPr>
                          </w:pPr>
                          <w:r w:rsidRPr="004246A3">
                            <w:rPr>
                              <w:lang w:val="de-DE"/>
                            </w:rPr>
                            <w:t>2500 EH  Den Haag</w:t>
                          </w:r>
                        </w:p>
                        <w:p w14:paraId="6BE65CDF" w14:textId="77777777" w:rsidR="00B53665" w:rsidRPr="004246A3" w:rsidRDefault="005E1F20">
                          <w:pPr>
                            <w:pStyle w:val="Referentiegegevens"/>
                            <w:rPr>
                              <w:lang w:val="de-DE"/>
                            </w:rPr>
                          </w:pPr>
                          <w:r w:rsidRPr="004246A3">
                            <w:rPr>
                              <w:lang w:val="de-DE"/>
                            </w:rPr>
                            <w:t>www.rijksoverheid.nl/jenv</w:t>
                          </w:r>
                        </w:p>
                        <w:p w14:paraId="7F85D09E" w14:textId="77777777" w:rsidR="00B53665" w:rsidRPr="004246A3" w:rsidRDefault="00B53665">
                          <w:pPr>
                            <w:pStyle w:val="WitregelW1"/>
                            <w:rPr>
                              <w:lang w:val="de-DE"/>
                            </w:rPr>
                          </w:pPr>
                        </w:p>
                        <w:p w14:paraId="4BA1361C" w14:textId="77777777" w:rsidR="00B53665" w:rsidRDefault="005E1F20">
                          <w:pPr>
                            <w:pStyle w:val="Referentiegegevensbold"/>
                          </w:pPr>
                          <w:r>
                            <w:t>Onze referentie</w:t>
                          </w:r>
                        </w:p>
                        <w:p w14:paraId="02A59BA1" w14:textId="4F28EA22" w:rsidR="00B53665" w:rsidRDefault="0038023C">
                          <w:pPr>
                            <w:pStyle w:val="Referentiegegevens"/>
                          </w:pPr>
                          <w:r>
                            <w:t>7720260</w:t>
                          </w:r>
                        </w:p>
                      </w:txbxContent>
                    </wps:txbx>
                    <wps:bodyPr vert="horz" wrap="square" lIns="0" tIns="0" rIns="0" bIns="0" anchor="t" anchorCtr="0"/>
                  </wps:wsp>
                </a:graphicData>
              </a:graphic>
            </wp:anchor>
          </w:drawing>
        </mc:Choice>
        <mc:Fallback>
          <w:pict>
            <v:shape w14:anchorId="18927809"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D32DDF2" w14:textId="77777777" w:rsidR="00B53665" w:rsidRDefault="005E1F20">
                    <w:pPr>
                      <w:pStyle w:val="Referentiegegevensbold"/>
                    </w:pPr>
                    <w:r>
                      <w:t>DG Rechtspleging en Rechtshandhaving</w:t>
                    </w:r>
                  </w:p>
                  <w:p w14:paraId="33797A16" w14:textId="77777777" w:rsidR="00B53665" w:rsidRDefault="005E1F20">
                    <w:pPr>
                      <w:pStyle w:val="Referentiegegevens"/>
                    </w:pPr>
                    <w:r>
                      <w:t>Directie Veiligheid en Bestuur</w:t>
                    </w:r>
                  </w:p>
                  <w:p w14:paraId="564D6A6B" w14:textId="77777777" w:rsidR="00B53665" w:rsidRDefault="00B53665">
                    <w:pPr>
                      <w:pStyle w:val="WitregelW1"/>
                    </w:pPr>
                  </w:p>
                  <w:p w14:paraId="72F86F33" w14:textId="77777777" w:rsidR="00B53665" w:rsidRPr="004246A3" w:rsidRDefault="005E1F20">
                    <w:pPr>
                      <w:pStyle w:val="Referentiegegevens"/>
                      <w:rPr>
                        <w:lang w:val="de-DE"/>
                      </w:rPr>
                    </w:pPr>
                    <w:proofErr w:type="spellStart"/>
                    <w:r w:rsidRPr="004246A3">
                      <w:rPr>
                        <w:lang w:val="de-DE"/>
                      </w:rPr>
                      <w:t>Turfmarkt</w:t>
                    </w:r>
                    <w:proofErr w:type="spellEnd"/>
                    <w:r w:rsidRPr="004246A3">
                      <w:rPr>
                        <w:lang w:val="de-DE"/>
                      </w:rPr>
                      <w:t xml:space="preserve"> 147</w:t>
                    </w:r>
                  </w:p>
                  <w:p w14:paraId="3FCED9AF" w14:textId="77777777" w:rsidR="00B53665" w:rsidRPr="004246A3" w:rsidRDefault="005E1F20">
                    <w:pPr>
                      <w:pStyle w:val="Referentiegegevens"/>
                      <w:rPr>
                        <w:lang w:val="de-DE"/>
                      </w:rPr>
                    </w:pPr>
                    <w:r w:rsidRPr="004246A3">
                      <w:rPr>
                        <w:lang w:val="de-DE"/>
                      </w:rPr>
                      <w:t>2511 DP  Den Haag</w:t>
                    </w:r>
                  </w:p>
                  <w:p w14:paraId="7D81E69D" w14:textId="77777777" w:rsidR="00B53665" w:rsidRPr="004246A3" w:rsidRDefault="005E1F20">
                    <w:pPr>
                      <w:pStyle w:val="Referentiegegevens"/>
                      <w:rPr>
                        <w:lang w:val="de-DE"/>
                      </w:rPr>
                    </w:pPr>
                    <w:r w:rsidRPr="004246A3">
                      <w:rPr>
                        <w:lang w:val="de-DE"/>
                      </w:rPr>
                      <w:t>Postbus 20301</w:t>
                    </w:r>
                  </w:p>
                  <w:p w14:paraId="7B78FF48" w14:textId="77777777" w:rsidR="00B53665" w:rsidRPr="004246A3" w:rsidRDefault="005E1F20">
                    <w:pPr>
                      <w:pStyle w:val="Referentiegegevens"/>
                      <w:rPr>
                        <w:lang w:val="de-DE"/>
                      </w:rPr>
                    </w:pPr>
                    <w:r w:rsidRPr="004246A3">
                      <w:rPr>
                        <w:lang w:val="de-DE"/>
                      </w:rPr>
                      <w:t>2500 EH  Den Haag</w:t>
                    </w:r>
                  </w:p>
                  <w:p w14:paraId="6BE65CDF" w14:textId="77777777" w:rsidR="00B53665" w:rsidRPr="004246A3" w:rsidRDefault="005E1F20">
                    <w:pPr>
                      <w:pStyle w:val="Referentiegegevens"/>
                      <w:rPr>
                        <w:lang w:val="de-DE"/>
                      </w:rPr>
                    </w:pPr>
                    <w:r w:rsidRPr="004246A3">
                      <w:rPr>
                        <w:lang w:val="de-DE"/>
                      </w:rPr>
                      <w:t>www.rijksoverheid.nl/jenv</w:t>
                    </w:r>
                  </w:p>
                  <w:p w14:paraId="7F85D09E" w14:textId="77777777" w:rsidR="00B53665" w:rsidRPr="004246A3" w:rsidRDefault="00B53665">
                    <w:pPr>
                      <w:pStyle w:val="WitregelW1"/>
                      <w:rPr>
                        <w:lang w:val="de-DE"/>
                      </w:rPr>
                    </w:pPr>
                  </w:p>
                  <w:p w14:paraId="4BA1361C" w14:textId="77777777" w:rsidR="00B53665" w:rsidRDefault="005E1F20">
                    <w:pPr>
                      <w:pStyle w:val="Referentiegegevensbold"/>
                    </w:pPr>
                    <w:r>
                      <w:t>Onze referentie</w:t>
                    </w:r>
                  </w:p>
                  <w:p w14:paraId="02A59BA1" w14:textId="4F28EA22" w:rsidR="00B53665" w:rsidRDefault="0038023C">
                    <w:pPr>
                      <w:pStyle w:val="Referentiegegevens"/>
                    </w:pPr>
                    <w:r>
                      <w:t>7720260</w:t>
                    </w:r>
                  </w:p>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7B16FFE2" wp14:editId="3C637577">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AD8D539" w14:textId="77777777" w:rsidR="00B53665" w:rsidRDefault="005E1F20">
                          <w:pPr>
                            <w:pStyle w:val="Referentiegegevens"/>
                          </w:pPr>
                          <w:r>
                            <w:t xml:space="preserve">Pagina </w:t>
                          </w:r>
                          <w:r>
                            <w:fldChar w:fldCharType="begin"/>
                          </w:r>
                          <w:r>
                            <w:instrText>PAGE</w:instrText>
                          </w:r>
                          <w:r>
                            <w:fldChar w:fldCharType="separate"/>
                          </w:r>
                          <w:r w:rsidR="00961F77">
                            <w:rPr>
                              <w:noProof/>
                            </w:rPr>
                            <w:t>1</w:t>
                          </w:r>
                          <w:r>
                            <w:fldChar w:fldCharType="end"/>
                          </w:r>
                          <w:r>
                            <w:t xml:space="preserve"> van </w:t>
                          </w:r>
                          <w:r>
                            <w:fldChar w:fldCharType="begin"/>
                          </w:r>
                          <w:r>
                            <w:instrText>NUMPAGES</w:instrText>
                          </w:r>
                          <w:r>
                            <w:fldChar w:fldCharType="separate"/>
                          </w:r>
                          <w:r w:rsidR="00961F77">
                            <w:rPr>
                              <w:noProof/>
                            </w:rPr>
                            <w:t>1</w:t>
                          </w:r>
                          <w:r>
                            <w:fldChar w:fldCharType="end"/>
                          </w:r>
                        </w:p>
                      </w:txbxContent>
                    </wps:txbx>
                    <wps:bodyPr vert="horz" wrap="square" lIns="0" tIns="0" rIns="0" bIns="0" anchor="t" anchorCtr="0"/>
                  </wps:wsp>
                </a:graphicData>
              </a:graphic>
            </wp:anchor>
          </w:drawing>
        </mc:Choice>
        <mc:Fallback>
          <w:pict>
            <v:shape w14:anchorId="7B16FFE2"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6AD8D539" w14:textId="77777777" w:rsidR="00B53665" w:rsidRDefault="005E1F20">
                    <w:pPr>
                      <w:pStyle w:val="Referentiegegevens"/>
                    </w:pPr>
                    <w:r>
                      <w:t xml:space="preserve">Pagina </w:t>
                    </w:r>
                    <w:r>
                      <w:fldChar w:fldCharType="begin"/>
                    </w:r>
                    <w:r>
                      <w:instrText>PAGE</w:instrText>
                    </w:r>
                    <w:r>
                      <w:fldChar w:fldCharType="separate"/>
                    </w:r>
                    <w:r w:rsidR="00961F77">
                      <w:rPr>
                        <w:noProof/>
                      </w:rPr>
                      <w:t>1</w:t>
                    </w:r>
                    <w:r>
                      <w:fldChar w:fldCharType="end"/>
                    </w:r>
                    <w:r>
                      <w:t xml:space="preserve"> van </w:t>
                    </w:r>
                    <w:r>
                      <w:fldChar w:fldCharType="begin"/>
                    </w:r>
                    <w:r>
                      <w:instrText>NUMPAGES</w:instrText>
                    </w:r>
                    <w:r>
                      <w:fldChar w:fldCharType="separate"/>
                    </w:r>
                    <w:r w:rsidR="00961F77">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4E9E3384" wp14:editId="262B2E44">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5AC41AD" w14:textId="77777777" w:rsidR="001B682B" w:rsidRDefault="001B682B"/>
                      </w:txbxContent>
                    </wps:txbx>
                    <wps:bodyPr vert="horz" wrap="square" lIns="0" tIns="0" rIns="0" bIns="0" anchor="t" anchorCtr="0"/>
                  </wps:wsp>
                </a:graphicData>
              </a:graphic>
            </wp:anchor>
          </w:drawing>
        </mc:Choice>
        <mc:Fallback>
          <w:pict>
            <v:shape w14:anchorId="4E9E3384"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5AC41AD" w14:textId="77777777" w:rsidR="001B682B" w:rsidRDefault="001B682B"/>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528D94"/>
    <w:multiLevelType w:val="multilevel"/>
    <w:tmpl w:val="CFE3AE18"/>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A913F2A"/>
    <w:multiLevelType w:val="multilevel"/>
    <w:tmpl w:val="180336A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11FB740"/>
    <w:multiLevelType w:val="multilevel"/>
    <w:tmpl w:val="4F3CB0F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F107C69"/>
    <w:multiLevelType w:val="hybridMultilevel"/>
    <w:tmpl w:val="C774263E"/>
    <w:lvl w:ilvl="0" w:tplc="860CF5FE">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3A01E2E"/>
    <w:multiLevelType w:val="hybridMultilevel"/>
    <w:tmpl w:val="F8BCD5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43838D0"/>
    <w:multiLevelType w:val="hybridMultilevel"/>
    <w:tmpl w:val="A172FC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4607EEA"/>
    <w:multiLevelType w:val="multilevel"/>
    <w:tmpl w:val="5AD4F676"/>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3888AE04"/>
    <w:multiLevelType w:val="multilevel"/>
    <w:tmpl w:val="07A14DCE"/>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3FE865F9"/>
    <w:multiLevelType w:val="multilevel"/>
    <w:tmpl w:val="259E65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1ED5D34"/>
    <w:multiLevelType w:val="multilevel"/>
    <w:tmpl w:val="9C68CB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18E0BA6"/>
    <w:multiLevelType w:val="hybridMultilevel"/>
    <w:tmpl w:val="78C810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7B92D52"/>
    <w:multiLevelType w:val="hybridMultilevel"/>
    <w:tmpl w:val="A978EA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20100E6"/>
    <w:multiLevelType w:val="hybridMultilevel"/>
    <w:tmpl w:val="4CDCF5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E0E33FD"/>
    <w:multiLevelType w:val="hybridMultilevel"/>
    <w:tmpl w:val="5A2227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E694A9F"/>
    <w:multiLevelType w:val="multilevel"/>
    <w:tmpl w:val="1A16150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578444598">
    <w:abstractNumId w:val="2"/>
  </w:num>
  <w:num w:numId="2" w16cid:durableId="1672442005">
    <w:abstractNumId w:val="1"/>
  </w:num>
  <w:num w:numId="3" w16cid:durableId="911159143">
    <w:abstractNumId w:val="7"/>
  </w:num>
  <w:num w:numId="4" w16cid:durableId="559824148">
    <w:abstractNumId w:val="0"/>
  </w:num>
  <w:num w:numId="5" w16cid:durableId="1839421232">
    <w:abstractNumId w:val="3"/>
  </w:num>
  <w:num w:numId="6" w16cid:durableId="2023892626">
    <w:abstractNumId w:val="11"/>
  </w:num>
  <w:num w:numId="7" w16cid:durableId="407313940">
    <w:abstractNumId w:val="5"/>
  </w:num>
  <w:num w:numId="8" w16cid:durableId="583953245">
    <w:abstractNumId w:val="8"/>
  </w:num>
  <w:num w:numId="9" w16cid:durableId="1343241202">
    <w:abstractNumId w:val="6"/>
  </w:num>
  <w:num w:numId="10" w16cid:durableId="169608031">
    <w:abstractNumId w:val="4"/>
  </w:num>
  <w:num w:numId="11" w16cid:durableId="1898273484">
    <w:abstractNumId w:val="13"/>
  </w:num>
  <w:num w:numId="12" w16cid:durableId="783580476">
    <w:abstractNumId w:val="14"/>
  </w:num>
  <w:num w:numId="13" w16cid:durableId="1285966098">
    <w:abstractNumId w:val="9"/>
  </w:num>
  <w:num w:numId="14" w16cid:durableId="926690691">
    <w:abstractNumId w:val="10"/>
  </w:num>
  <w:num w:numId="15" w16cid:durableId="3062091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665"/>
    <w:rsid w:val="00004C5A"/>
    <w:rsid w:val="00005488"/>
    <w:rsid w:val="00007D45"/>
    <w:rsid w:val="000533E1"/>
    <w:rsid w:val="00066F38"/>
    <w:rsid w:val="000802DE"/>
    <w:rsid w:val="000A6E3F"/>
    <w:rsid w:val="000C4A92"/>
    <w:rsid w:val="000D37FF"/>
    <w:rsid w:val="000D3D7E"/>
    <w:rsid w:val="000F1C78"/>
    <w:rsid w:val="001207A1"/>
    <w:rsid w:val="00140F96"/>
    <w:rsid w:val="00142D0B"/>
    <w:rsid w:val="00147079"/>
    <w:rsid w:val="00156ABE"/>
    <w:rsid w:val="001A2AC6"/>
    <w:rsid w:val="001B3779"/>
    <w:rsid w:val="001B51B3"/>
    <w:rsid w:val="001B682B"/>
    <w:rsid w:val="001D15B4"/>
    <w:rsid w:val="001E1A56"/>
    <w:rsid w:val="002073FE"/>
    <w:rsid w:val="00215D6B"/>
    <w:rsid w:val="002162DC"/>
    <w:rsid w:val="0022134D"/>
    <w:rsid w:val="002240C6"/>
    <w:rsid w:val="002440C7"/>
    <w:rsid w:val="00244C82"/>
    <w:rsid w:val="00244D50"/>
    <w:rsid w:val="002471D7"/>
    <w:rsid w:val="00261E03"/>
    <w:rsid w:val="00272568"/>
    <w:rsid w:val="00283252"/>
    <w:rsid w:val="0029454F"/>
    <w:rsid w:val="002A5672"/>
    <w:rsid w:val="002A7D81"/>
    <w:rsid w:val="002B1158"/>
    <w:rsid w:val="002C4A90"/>
    <w:rsid w:val="00304FA9"/>
    <w:rsid w:val="00333C27"/>
    <w:rsid w:val="00376A41"/>
    <w:rsid w:val="0038023C"/>
    <w:rsid w:val="00384765"/>
    <w:rsid w:val="003915A1"/>
    <w:rsid w:val="00394F21"/>
    <w:rsid w:val="003B22B6"/>
    <w:rsid w:val="003D02A2"/>
    <w:rsid w:val="003D0731"/>
    <w:rsid w:val="003F3003"/>
    <w:rsid w:val="003F45C5"/>
    <w:rsid w:val="00415B31"/>
    <w:rsid w:val="004246A3"/>
    <w:rsid w:val="004336A6"/>
    <w:rsid w:val="004348E5"/>
    <w:rsid w:val="004615E6"/>
    <w:rsid w:val="004961A0"/>
    <w:rsid w:val="00503279"/>
    <w:rsid w:val="0051009B"/>
    <w:rsid w:val="005223A2"/>
    <w:rsid w:val="00526307"/>
    <w:rsid w:val="0052779D"/>
    <w:rsid w:val="00541016"/>
    <w:rsid w:val="00545A23"/>
    <w:rsid w:val="00562AFE"/>
    <w:rsid w:val="00562B47"/>
    <w:rsid w:val="00571D8E"/>
    <w:rsid w:val="0057388D"/>
    <w:rsid w:val="005830C9"/>
    <w:rsid w:val="005875D2"/>
    <w:rsid w:val="005A75CD"/>
    <w:rsid w:val="005B0EF4"/>
    <w:rsid w:val="005C43A2"/>
    <w:rsid w:val="005D429E"/>
    <w:rsid w:val="005D696E"/>
    <w:rsid w:val="005E1F20"/>
    <w:rsid w:val="005F001B"/>
    <w:rsid w:val="00612D5C"/>
    <w:rsid w:val="00614919"/>
    <w:rsid w:val="0062088C"/>
    <w:rsid w:val="00653972"/>
    <w:rsid w:val="0066658E"/>
    <w:rsid w:val="00696508"/>
    <w:rsid w:val="006A62E1"/>
    <w:rsid w:val="006B224C"/>
    <w:rsid w:val="006B73E8"/>
    <w:rsid w:val="006D047A"/>
    <w:rsid w:val="006D5788"/>
    <w:rsid w:val="006D7D40"/>
    <w:rsid w:val="006F6527"/>
    <w:rsid w:val="00715113"/>
    <w:rsid w:val="00727CD5"/>
    <w:rsid w:val="00743581"/>
    <w:rsid w:val="00793141"/>
    <w:rsid w:val="00793EDD"/>
    <w:rsid w:val="007C2268"/>
    <w:rsid w:val="007C2797"/>
    <w:rsid w:val="007C3950"/>
    <w:rsid w:val="007C41D5"/>
    <w:rsid w:val="007D1FDB"/>
    <w:rsid w:val="00804B4F"/>
    <w:rsid w:val="008117D5"/>
    <w:rsid w:val="00812FC0"/>
    <w:rsid w:val="00815DDE"/>
    <w:rsid w:val="00816DE7"/>
    <w:rsid w:val="00821493"/>
    <w:rsid w:val="00823E1C"/>
    <w:rsid w:val="00825FC8"/>
    <w:rsid w:val="00831A59"/>
    <w:rsid w:val="00857274"/>
    <w:rsid w:val="0088048A"/>
    <w:rsid w:val="008843F7"/>
    <w:rsid w:val="00895658"/>
    <w:rsid w:val="008A4A6C"/>
    <w:rsid w:val="008A7DEF"/>
    <w:rsid w:val="008C261B"/>
    <w:rsid w:val="008E1369"/>
    <w:rsid w:val="008F5B97"/>
    <w:rsid w:val="009028E9"/>
    <w:rsid w:val="00920EA7"/>
    <w:rsid w:val="00934C2E"/>
    <w:rsid w:val="00937387"/>
    <w:rsid w:val="009531E8"/>
    <w:rsid w:val="00960B5F"/>
    <w:rsid w:val="00961F77"/>
    <w:rsid w:val="00991BE6"/>
    <w:rsid w:val="009E6015"/>
    <w:rsid w:val="009E7316"/>
    <w:rsid w:val="00A015F1"/>
    <w:rsid w:val="00A05E70"/>
    <w:rsid w:val="00A15424"/>
    <w:rsid w:val="00A2457A"/>
    <w:rsid w:val="00A3391A"/>
    <w:rsid w:val="00A55E9B"/>
    <w:rsid w:val="00A65572"/>
    <w:rsid w:val="00A65EA2"/>
    <w:rsid w:val="00A6716E"/>
    <w:rsid w:val="00A77DE0"/>
    <w:rsid w:val="00A81B03"/>
    <w:rsid w:val="00A81FA7"/>
    <w:rsid w:val="00A8388A"/>
    <w:rsid w:val="00A850D5"/>
    <w:rsid w:val="00A91850"/>
    <w:rsid w:val="00AA7D23"/>
    <w:rsid w:val="00AD6E2C"/>
    <w:rsid w:val="00AE5E28"/>
    <w:rsid w:val="00AE72FE"/>
    <w:rsid w:val="00AF7EFD"/>
    <w:rsid w:val="00B00097"/>
    <w:rsid w:val="00B058ED"/>
    <w:rsid w:val="00B07B0E"/>
    <w:rsid w:val="00B10AFF"/>
    <w:rsid w:val="00B16AC2"/>
    <w:rsid w:val="00B20A69"/>
    <w:rsid w:val="00B3116B"/>
    <w:rsid w:val="00B424DD"/>
    <w:rsid w:val="00B43A20"/>
    <w:rsid w:val="00B53665"/>
    <w:rsid w:val="00B53FD1"/>
    <w:rsid w:val="00B85371"/>
    <w:rsid w:val="00B8617E"/>
    <w:rsid w:val="00B95ED2"/>
    <w:rsid w:val="00BA4E22"/>
    <w:rsid w:val="00BB31AD"/>
    <w:rsid w:val="00BD1C92"/>
    <w:rsid w:val="00BD3515"/>
    <w:rsid w:val="00BE5A87"/>
    <w:rsid w:val="00BE636C"/>
    <w:rsid w:val="00C21C86"/>
    <w:rsid w:val="00C30AA7"/>
    <w:rsid w:val="00C71721"/>
    <w:rsid w:val="00C74E78"/>
    <w:rsid w:val="00C76126"/>
    <w:rsid w:val="00CC1F00"/>
    <w:rsid w:val="00CC7058"/>
    <w:rsid w:val="00CD4A50"/>
    <w:rsid w:val="00CF68E5"/>
    <w:rsid w:val="00D10058"/>
    <w:rsid w:val="00D21D89"/>
    <w:rsid w:val="00D22300"/>
    <w:rsid w:val="00D252C8"/>
    <w:rsid w:val="00D32DFE"/>
    <w:rsid w:val="00D42C49"/>
    <w:rsid w:val="00D53DA6"/>
    <w:rsid w:val="00D56203"/>
    <w:rsid w:val="00D704D2"/>
    <w:rsid w:val="00D74AD7"/>
    <w:rsid w:val="00D879BF"/>
    <w:rsid w:val="00D911B4"/>
    <w:rsid w:val="00D93625"/>
    <w:rsid w:val="00D95E07"/>
    <w:rsid w:val="00DA4270"/>
    <w:rsid w:val="00DB79F5"/>
    <w:rsid w:val="00DD3689"/>
    <w:rsid w:val="00E0006E"/>
    <w:rsid w:val="00E04C44"/>
    <w:rsid w:val="00E15FAA"/>
    <w:rsid w:val="00E26F37"/>
    <w:rsid w:val="00E322F7"/>
    <w:rsid w:val="00E42B93"/>
    <w:rsid w:val="00E500E1"/>
    <w:rsid w:val="00E61CD6"/>
    <w:rsid w:val="00E715F0"/>
    <w:rsid w:val="00E9710B"/>
    <w:rsid w:val="00EA1997"/>
    <w:rsid w:val="00EE3E57"/>
    <w:rsid w:val="00EE7378"/>
    <w:rsid w:val="00EF6CF2"/>
    <w:rsid w:val="00F119D7"/>
    <w:rsid w:val="00F14A99"/>
    <w:rsid w:val="00F16B60"/>
    <w:rsid w:val="00F17748"/>
    <w:rsid w:val="00F20AB5"/>
    <w:rsid w:val="00F23A23"/>
    <w:rsid w:val="00F24FFD"/>
    <w:rsid w:val="00F355FF"/>
    <w:rsid w:val="00F3597C"/>
    <w:rsid w:val="00F42D45"/>
    <w:rsid w:val="00F45CBF"/>
    <w:rsid w:val="00F71A3B"/>
    <w:rsid w:val="00F71BF4"/>
    <w:rsid w:val="00F76779"/>
    <w:rsid w:val="00F8173F"/>
    <w:rsid w:val="00F851A0"/>
    <w:rsid w:val="00FC3582"/>
    <w:rsid w:val="00FC3F88"/>
    <w:rsid w:val="00FC4BD1"/>
    <w:rsid w:val="00FD4E60"/>
    <w:rsid w:val="00FF143E"/>
    <w:rsid w:val="00FF39DF"/>
    <w:rsid w:val="00FF5B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CCDD3"/>
  <w15:docId w15:val="{01947AE3-D249-41E5-9E1C-014CAEAA2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tabs>
        <w:tab w:val="num" w:pos="360"/>
      </w:tabs>
      <w:ind w:left="0" w:firstLine="0"/>
    </w:pPr>
  </w:style>
  <w:style w:type="paragraph" w:customStyle="1" w:styleId="Artikelstreepjeinspringen">
    <w:name w:val="Artikel streepje inspringen"/>
    <w:basedOn w:val="Standaard"/>
    <w:next w:val="Standaard"/>
    <w:pPr>
      <w:numPr>
        <w:ilvl w:val="4"/>
        <w:numId w:val="1"/>
      </w:numPr>
      <w:tabs>
        <w:tab w:val="num" w:pos="360"/>
      </w:tabs>
      <w:ind w:left="0" w:firstLine="0"/>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tabs>
        <w:tab w:val="num" w:pos="360"/>
      </w:tabs>
      <w:ind w:left="0" w:firstLine="0"/>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link w:val="VoetnoottekstChar"/>
    <w:uiPriority w:val="99"/>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61F7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61F77"/>
    <w:rPr>
      <w:rFonts w:ascii="Verdana" w:hAnsi="Verdana"/>
      <w:color w:val="000000"/>
      <w:sz w:val="18"/>
      <w:szCs w:val="18"/>
    </w:rPr>
  </w:style>
  <w:style w:type="paragraph" w:styleId="Voettekst">
    <w:name w:val="footer"/>
    <w:basedOn w:val="Standaard"/>
    <w:link w:val="VoettekstChar"/>
    <w:uiPriority w:val="99"/>
    <w:unhideWhenUsed/>
    <w:rsid w:val="00961F7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61F77"/>
    <w:rPr>
      <w:rFonts w:ascii="Verdana" w:hAnsi="Verdana"/>
      <w:color w:val="000000"/>
      <w:sz w:val="18"/>
      <w:szCs w:val="18"/>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7C2797"/>
    <w:pPr>
      <w:ind w:left="720"/>
      <w:contextualSpacing/>
    </w:pPr>
  </w:style>
  <w:style w:type="character" w:customStyle="1" w:styleId="VoetnoottekstChar">
    <w:name w:val="Voetnoottekst Char"/>
    <w:basedOn w:val="Standaardalinea-lettertype"/>
    <w:link w:val="Voetnoottekst"/>
    <w:uiPriority w:val="99"/>
    <w:rsid w:val="001B3779"/>
    <w:rPr>
      <w:rFonts w:ascii="Verdana" w:hAnsi="Verdana"/>
      <w:sz w:val="13"/>
      <w:szCs w:val="13"/>
    </w:rPr>
  </w:style>
  <w:style w:type="character" w:styleId="Voetnootmarkering">
    <w:name w:val="footnote reference"/>
    <w:basedOn w:val="Standaardalinea-lettertype"/>
    <w:uiPriority w:val="99"/>
    <w:semiHidden/>
    <w:unhideWhenUsed/>
    <w:rsid w:val="001B3779"/>
    <w:rPr>
      <w:vertAlign w:val="superscript"/>
    </w:rPr>
  </w:style>
  <w:style w:type="character" w:styleId="Verwijzingopmerking">
    <w:name w:val="annotation reference"/>
    <w:basedOn w:val="Standaardalinea-lettertype"/>
    <w:uiPriority w:val="99"/>
    <w:semiHidden/>
    <w:unhideWhenUsed/>
    <w:rsid w:val="001B3779"/>
    <w:rPr>
      <w:sz w:val="16"/>
      <w:szCs w:val="16"/>
    </w:rPr>
  </w:style>
  <w:style w:type="paragraph" w:styleId="Tekstopmerking">
    <w:name w:val="annotation text"/>
    <w:basedOn w:val="Standaard"/>
    <w:link w:val="TekstopmerkingChar"/>
    <w:uiPriority w:val="99"/>
    <w:unhideWhenUsed/>
    <w:rsid w:val="001B3779"/>
    <w:pPr>
      <w:spacing w:line="240" w:lineRule="auto"/>
    </w:pPr>
    <w:rPr>
      <w:sz w:val="20"/>
      <w:szCs w:val="20"/>
    </w:rPr>
  </w:style>
  <w:style w:type="character" w:customStyle="1" w:styleId="TekstopmerkingChar">
    <w:name w:val="Tekst opmerking Char"/>
    <w:basedOn w:val="Standaardalinea-lettertype"/>
    <w:link w:val="Tekstopmerking"/>
    <w:uiPriority w:val="99"/>
    <w:rsid w:val="001B377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B3779"/>
    <w:rPr>
      <w:b/>
      <w:bCs/>
    </w:rPr>
  </w:style>
  <w:style w:type="character" w:customStyle="1" w:styleId="OnderwerpvanopmerkingChar">
    <w:name w:val="Onderwerp van opmerking Char"/>
    <w:basedOn w:val="TekstopmerkingChar"/>
    <w:link w:val="Onderwerpvanopmerking"/>
    <w:uiPriority w:val="99"/>
    <w:semiHidden/>
    <w:rsid w:val="001B3779"/>
    <w:rPr>
      <w:rFonts w:ascii="Verdana" w:hAnsi="Verdana"/>
      <w:b/>
      <w:bCs/>
      <w:color w:val="000000"/>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link w:val="Lijstalinea"/>
    <w:uiPriority w:val="34"/>
    <w:qFormat/>
    <w:locked/>
    <w:rsid w:val="0088048A"/>
    <w:rPr>
      <w:rFonts w:ascii="Verdana" w:hAnsi="Verdana"/>
      <w:color w:val="000000"/>
      <w:sz w:val="18"/>
      <w:szCs w:val="18"/>
    </w:rPr>
  </w:style>
  <w:style w:type="paragraph" w:styleId="Revisie">
    <w:name w:val="Revision"/>
    <w:hidden/>
    <w:uiPriority w:val="99"/>
    <w:semiHidden/>
    <w:rsid w:val="0066658E"/>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156ABE"/>
    <w:rPr>
      <w:color w:val="605E5C"/>
      <w:shd w:val="clear" w:color="auto" w:fill="E1DFDD"/>
    </w:rPr>
  </w:style>
  <w:style w:type="table" w:styleId="Rastertabel1licht">
    <w:name w:val="Grid Table 1 Light"/>
    <w:basedOn w:val="Standaardtabel"/>
    <w:uiPriority w:val="46"/>
    <w:rsid w:val="008C261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GevolgdeHyperlink">
    <w:name w:val="FollowedHyperlink"/>
    <w:basedOn w:val="Standaardalinea-lettertype"/>
    <w:uiPriority w:val="99"/>
    <w:semiHidden/>
    <w:unhideWhenUsed/>
    <w:rsid w:val="00004C5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80190">
      <w:bodyDiv w:val="1"/>
      <w:marLeft w:val="0"/>
      <w:marRight w:val="0"/>
      <w:marTop w:val="0"/>
      <w:marBottom w:val="0"/>
      <w:divBdr>
        <w:top w:val="none" w:sz="0" w:space="0" w:color="auto"/>
        <w:left w:val="none" w:sz="0" w:space="0" w:color="auto"/>
        <w:bottom w:val="none" w:sz="0" w:space="0" w:color="auto"/>
        <w:right w:val="none" w:sz="0" w:space="0" w:color="auto"/>
      </w:divBdr>
      <w:divsChild>
        <w:div w:id="1521621577">
          <w:marLeft w:val="0"/>
          <w:marRight w:val="0"/>
          <w:marTop w:val="240"/>
          <w:marBottom w:val="240"/>
          <w:divBdr>
            <w:top w:val="none" w:sz="0" w:space="0" w:color="auto"/>
            <w:left w:val="none" w:sz="0" w:space="0" w:color="auto"/>
            <w:bottom w:val="none" w:sz="0" w:space="0" w:color="auto"/>
            <w:right w:val="none" w:sz="0" w:space="0" w:color="auto"/>
          </w:divBdr>
        </w:div>
        <w:div w:id="2117365378">
          <w:marLeft w:val="0"/>
          <w:marRight w:val="0"/>
          <w:marTop w:val="240"/>
          <w:marBottom w:val="240"/>
          <w:divBdr>
            <w:top w:val="none" w:sz="0" w:space="0" w:color="auto"/>
            <w:left w:val="none" w:sz="0" w:space="0" w:color="auto"/>
            <w:bottom w:val="none" w:sz="0" w:space="0" w:color="auto"/>
            <w:right w:val="none" w:sz="0" w:space="0" w:color="auto"/>
          </w:divBdr>
        </w:div>
        <w:div w:id="290718463">
          <w:marLeft w:val="0"/>
          <w:marRight w:val="0"/>
          <w:marTop w:val="240"/>
          <w:marBottom w:val="240"/>
          <w:divBdr>
            <w:top w:val="none" w:sz="0" w:space="0" w:color="auto"/>
            <w:left w:val="none" w:sz="0" w:space="0" w:color="auto"/>
            <w:bottom w:val="none" w:sz="0" w:space="0" w:color="auto"/>
            <w:right w:val="none" w:sz="0" w:space="0" w:color="auto"/>
          </w:divBdr>
        </w:div>
      </w:divsChild>
    </w:div>
    <w:div w:id="287668314">
      <w:bodyDiv w:val="1"/>
      <w:marLeft w:val="0"/>
      <w:marRight w:val="0"/>
      <w:marTop w:val="0"/>
      <w:marBottom w:val="0"/>
      <w:divBdr>
        <w:top w:val="none" w:sz="0" w:space="0" w:color="auto"/>
        <w:left w:val="none" w:sz="0" w:space="0" w:color="auto"/>
        <w:bottom w:val="none" w:sz="0" w:space="0" w:color="auto"/>
        <w:right w:val="none" w:sz="0" w:space="0" w:color="auto"/>
      </w:divBdr>
    </w:div>
    <w:div w:id="289633082">
      <w:bodyDiv w:val="1"/>
      <w:marLeft w:val="0"/>
      <w:marRight w:val="0"/>
      <w:marTop w:val="0"/>
      <w:marBottom w:val="0"/>
      <w:divBdr>
        <w:top w:val="none" w:sz="0" w:space="0" w:color="auto"/>
        <w:left w:val="none" w:sz="0" w:space="0" w:color="auto"/>
        <w:bottom w:val="none" w:sz="0" w:space="0" w:color="auto"/>
        <w:right w:val="none" w:sz="0" w:space="0" w:color="auto"/>
      </w:divBdr>
    </w:div>
    <w:div w:id="416097541">
      <w:bodyDiv w:val="1"/>
      <w:marLeft w:val="0"/>
      <w:marRight w:val="0"/>
      <w:marTop w:val="0"/>
      <w:marBottom w:val="0"/>
      <w:divBdr>
        <w:top w:val="none" w:sz="0" w:space="0" w:color="auto"/>
        <w:left w:val="none" w:sz="0" w:space="0" w:color="auto"/>
        <w:bottom w:val="none" w:sz="0" w:space="0" w:color="auto"/>
        <w:right w:val="none" w:sz="0" w:space="0" w:color="auto"/>
      </w:divBdr>
    </w:div>
    <w:div w:id="580986488">
      <w:bodyDiv w:val="1"/>
      <w:marLeft w:val="0"/>
      <w:marRight w:val="0"/>
      <w:marTop w:val="0"/>
      <w:marBottom w:val="0"/>
      <w:divBdr>
        <w:top w:val="none" w:sz="0" w:space="0" w:color="auto"/>
        <w:left w:val="none" w:sz="0" w:space="0" w:color="auto"/>
        <w:bottom w:val="none" w:sz="0" w:space="0" w:color="auto"/>
        <w:right w:val="none" w:sz="0" w:space="0" w:color="auto"/>
      </w:divBdr>
    </w:div>
    <w:div w:id="655837975">
      <w:bodyDiv w:val="1"/>
      <w:marLeft w:val="0"/>
      <w:marRight w:val="0"/>
      <w:marTop w:val="0"/>
      <w:marBottom w:val="0"/>
      <w:divBdr>
        <w:top w:val="none" w:sz="0" w:space="0" w:color="auto"/>
        <w:left w:val="none" w:sz="0" w:space="0" w:color="auto"/>
        <w:bottom w:val="none" w:sz="0" w:space="0" w:color="auto"/>
        <w:right w:val="none" w:sz="0" w:space="0" w:color="auto"/>
      </w:divBdr>
    </w:div>
    <w:div w:id="879973878">
      <w:bodyDiv w:val="1"/>
      <w:marLeft w:val="0"/>
      <w:marRight w:val="0"/>
      <w:marTop w:val="0"/>
      <w:marBottom w:val="0"/>
      <w:divBdr>
        <w:top w:val="none" w:sz="0" w:space="0" w:color="auto"/>
        <w:left w:val="none" w:sz="0" w:space="0" w:color="auto"/>
        <w:bottom w:val="none" w:sz="0" w:space="0" w:color="auto"/>
        <w:right w:val="none" w:sz="0" w:space="0" w:color="auto"/>
      </w:divBdr>
    </w:div>
    <w:div w:id="947545682">
      <w:bodyDiv w:val="1"/>
      <w:marLeft w:val="0"/>
      <w:marRight w:val="0"/>
      <w:marTop w:val="0"/>
      <w:marBottom w:val="0"/>
      <w:divBdr>
        <w:top w:val="none" w:sz="0" w:space="0" w:color="auto"/>
        <w:left w:val="none" w:sz="0" w:space="0" w:color="auto"/>
        <w:bottom w:val="none" w:sz="0" w:space="0" w:color="auto"/>
        <w:right w:val="none" w:sz="0" w:space="0" w:color="auto"/>
      </w:divBdr>
    </w:div>
    <w:div w:id="990670311">
      <w:bodyDiv w:val="1"/>
      <w:marLeft w:val="0"/>
      <w:marRight w:val="0"/>
      <w:marTop w:val="0"/>
      <w:marBottom w:val="0"/>
      <w:divBdr>
        <w:top w:val="none" w:sz="0" w:space="0" w:color="auto"/>
        <w:left w:val="none" w:sz="0" w:space="0" w:color="auto"/>
        <w:bottom w:val="none" w:sz="0" w:space="0" w:color="auto"/>
        <w:right w:val="none" w:sz="0" w:space="0" w:color="auto"/>
      </w:divBdr>
    </w:div>
    <w:div w:id="1005862416">
      <w:bodyDiv w:val="1"/>
      <w:marLeft w:val="0"/>
      <w:marRight w:val="0"/>
      <w:marTop w:val="0"/>
      <w:marBottom w:val="0"/>
      <w:divBdr>
        <w:top w:val="none" w:sz="0" w:space="0" w:color="auto"/>
        <w:left w:val="none" w:sz="0" w:space="0" w:color="auto"/>
        <w:bottom w:val="none" w:sz="0" w:space="0" w:color="auto"/>
        <w:right w:val="none" w:sz="0" w:space="0" w:color="auto"/>
      </w:divBdr>
    </w:div>
    <w:div w:id="1106198467">
      <w:bodyDiv w:val="1"/>
      <w:marLeft w:val="0"/>
      <w:marRight w:val="0"/>
      <w:marTop w:val="0"/>
      <w:marBottom w:val="0"/>
      <w:divBdr>
        <w:top w:val="none" w:sz="0" w:space="0" w:color="auto"/>
        <w:left w:val="none" w:sz="0" w:space="0" w:color="auto"/>
        <w:bottom w:val="none" w:sz="0" w:space="0" w:color="auto"/>
        <w:right w:val="none" w:sz="0" w:space="0" w:color="auto"/>
      </w:divBdr>
    </w:div>
    <w:div w:id="1258447665">
      <w:bodyDiv w:val="1"/>
      <w:marLeft w:val="0"/>
      <w:marRight w:val="0"/>
      <w:marTop w:val="0"/>
      <w:marBottom w:val="0"/>
      <w:divBdr>
        <w:top w:val="none" w:sz="0" w:space="0" w:color="auto"/>
        <w:left w:val="none" w:sz="0" w:space="0" w:color="auto"/>
        <w:bottom w:val="none" w:sz="0" w:space="0" w:color="auto"/>
        <w:right w:val="none" w:sz="0" w:space="0" w:color="auto"/>
      </w:divBdr>
    </w:div>
    <w:div w:id="1427574114">
      <w:bodyDiv w:val="1"/>
      <w:marLeft w:val="0"/>
      <w:marRight w:val="0"/>
      <w:marTop w:val="0"/>
      <w:marBottom w:val="0"/>
      <w:divBdr>
        <w:top w:val="none" w:sz="0" w:space="0" w:color="auto"/>
        <w:left w:val="none" w:sz="0" w:space="0" w:color="auto"/>
        <w:bottom w:val="none" w:sz="0" w:space="0" w:color="auto"/>
        <w:right w:val="none" w:sz="0" w:space="0" w:color="auto"/>
      </w:divBdr>
    </w:div>
    <w:div w:id="1558735632">
      <w:bodyDiv w:val="1"/>
      <w:marLeft w:val="0"/>
      <w:marRight w:val="0"/>
      <w:marTop w:val="0"/>
      <w:marBottom w:val="0"/>
      <w:divBdr>
        <w:top w:val="none" w:sz="0" w:space="0" w:color="auto"/>
        <w:left w:val="none" w:sz="0" w:space="0" w:color="auto"/>
        <w:bottom w:val="none" w:sz="0" w:space="0" w:color="auto"/>
        <w:right w:val="none" w:sz="0" w:space="0" w:color="auto"/>
      </w:divBdr>
      <w:divsChild>
        <w:div w:id="1451515013">
          <w:marLeft w:val="0"/>
          <w:marRight w:val="0"/>
          <w:marTop w:val="240"/>
          <w:marBottom w:val="240"/>
          <w:divBdr>
            <w:top w:val="none" w:sz="0" w:space="0" w:color="auto"/>
            <w:left w:val="none" w:sz="0" w:space="0" w:color="auto"/>
            <w:bottom w:val="none" w:sz="0" w:space="0" w:color="auto"/>
            <w:right w:val="none" w:sz="0" w:space="0" w:color="auto"/>
          </w:divBdr>
        </w:div>
        <w:div w:id="2097438921">
          <w:marLeft w:val="0"/>
          <w:marRight w:val="0"/>
          <w:marTop w:val="240"/>
          <w:marBottom w:val="240"/>
          <w:divBdr>
            <w:top w:val="none" w:sz="0" w:space="0" w:color="auto"/>
            <w:left w:val="none" w:sz="0" w:space="0" w:color="auto"/>
            <w:bottom w:val="none" w:sz="0" w:space="0" w:color="auto"/>
            <w:right w:val="none" w:sz="0" w:space="0" w:color="auto"/>
          </w:divBdr>
        </w:div>
        <w:div w:id="734666002">
          <w:marLeft w:val="0"/>
          <w:marRight w:val="0"/>
          <w:marTop w:val="240"/>
          <w:marBottom w:val="240"/>
          <w:divBdr>
            <w:top w:val="none" w:sz="0" w:space="0" w:color="auto"/>
            <w:left w:val="none" w:sz="0" w:space="0" w:color="auto"/>
            <w:bottom w:val="none" w:sz="0" w:space="0" w:color="auto"/>
            <w:right w:val="none" w:sz="0" w:space="0" w:color="auto"/>
          </w:divBdr>
        </w:div>
      </w:divsChild>
    </w:div>
    <w:div w:id="1665160395">
      <w:bodyDiv w:val="1"/>
      <w:marLeft w:val="0"/>
      <w:marRight w:val="0"/>
      <w:marTop w:val="0"/>
      <w:marBottom w:val="0"/>
      <w:divBdr>
        <w:top w:val="none" w:sz="0" w:space="0" w:color="auto"/>
        <w:left w:val="none" w:sz="0" w:space="0" w:color="auto"/>
        <w:bottom w:val="none" w:sz="0" w:space="0" w:color="auto"/>
        <w:right w:val="none" w:sz="0" w:space="0" w:color="auto"/>
      </w:divBdr>
    </w:div>
    <w:div w:id="1741755999">
      <w:bodyDiv w:val="1"/>
      <w:marLeft w:val="0"/>
      <w:marRight w:val="0"/>
      <w:marTop w:val="0"/>
      <w:marBottom w:val="0"/>
      <w:divBdr>
        <w:top w:val="none" w:sz="0" w:space="0" w:color="auto"/>
        <w:left w:val="none" w:sz="0" w:space="0" w:color="auto"/>
        <w:bottom w:val="none" w:sz="0" w:space="0" w:color="auto"/>
        <w:right w:val="none" w:sz="0" w:space="0" w:color="auto"/>
      </w:divBdr>
    </w:div>
    <w:div w:id="1867911639">
      <w:bodyDiv w:val="1"/>
      <w:marLeft w:val="0"/>
      <w:marRight w:val="0"/>
      <w:marTop w:val="0"/>
      <w:marBottom w:val="0"/>
      <w:divBdr>
        <w:top w:val="none" w:sz="0" w:space="0" w:color="auto"/>
        <w:left w:val="none" w:sz="0" w:space="0" w:color="auto"/>
        <w:bottom w:val="none" w:sz="0" w:space="0" w:color="auto"/>
        <w:right w:val="none" w:sz="0" w:space="0" w:color="auto"/>
      </w:divBdr>
    </w:div>
    <w:div w:id="1984236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hetccv.nl/tool-oaov/filters/last-onder-dwangsom/" TargetMode="External"/><Relationship Id="rId2" Type="http://schemas.openxmlformats.org/officeDocument/2006/relationships/hyperlink" Target="https://onderzoeksraad.nl/onderzoek/veiligheidsrisicos-jaarwisseling/" TargetMode="External"/><Relationship Id="rId1" Type="http://schemas.openxmlformats.org/officeDocument/2006/relationships/hyperlink" Target="https://onderzoeksraad.nl/onderzoek/veiligheidsrisicos-jaarwisselin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3351</ap:Words>
  <ap:Characters>18431</ap:Characters>
  <ap:DocSecurity>0</ap:DocSecurity>
  <ap:Lines>153</ap:Lines>
  <ap:Paragraphs>43</ap:Paragraphs>
  <ap:ScaleCrop>false</ap:ScaleCrop>
  <ap:LinksUpToDate>false</ap:LinksUpToDate>
  <ap:CharactersWithSpaces>21739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2026-07-01T07:22:00.0000000Z</dcterms:created>
  <dcterms:modified xsi:type="dcterms:W3CDTF">2026-07-01T07:24:00.0000000Z</dcterms:modified>
  <dc:description>------------------------</dc:description>
  <dc:subject/>
  <keywords/>
  <version/>
  <category/>
</coreProperties>
</file>