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5690" w:rsidR="007D5493" w:rsidP="007D5493" w:rsidRDefault="007D5493" w14:paraId="00A78AB2" w14:textId="77777777">
      <w:pPr>
        <w:pStyle w:val="broodtekst"/>
      </w:pPr>
      <w:r w:rsidRPr="00295690">
        <w:t xml:space="preserve">Sinds de inval van Rusland in Oekraïne in februari 2022 wordt in beginsel niet beslist op asielaanvragen van Oekraïense verzoekers. Voor degenen die vallen onder de Richtlijn Tijdelijke Bescherming (RTB) geldt dat de daaraan onderliggende asielaanvraag wordt opgeschort voor de duur van de tijdelijke bescherming. Buiten deze groep om zijn er in de voorraad van de IND momenteel ook aanvragen van Oekraïners die niet in aanmerking komen voor tijdelijke bescherming. Dit betreft ca. 1.010 openstaande asielaanvragen. Ook in deze zaken worden veelal nog geen beslissingen genomen, mede vanwege het ontbreken van </w:t>
      </w:r>
      <w:proofErr w:type="spellStart"/>
      <w:r w:rsidRPr="00295690">
        <w:t>landgebonden</w:t>
      </w:r>
      <w:proofErr w:type="spellEnd"/>
      <w:r w:rsidRPr="00295690">
        <w:t xml:space="preserve"> asielbeleid. De Procedurerichtlijn, waar deze zaken onder vallen, vereist echter dat beslissingen uiterlijk binnen 21 maanden worden genomen. Inmiddels is deze termijn in een relevant deel van de gevallen verlopen. Mede om deze reden heb ik nu landenbeleid voor Oekraïne vastgesteld. Hiervoor is gebruik gemaakt van een overzicht gebaseerd op verschillende openbare bronnen dat ook bij deze brief is bijgevoegd. Ik acht het van belang om expliciet te benadrukken dat op dit moment niet beslist wordt op asielaanvragen van Oekraïners die onder de RTB vallen. In het vierde kwartaal van dit jaar wordt een ambtsbericht Oekraïne verwacht. Aan de hand daarvan zal het landenbeleid opnieuw tegen het licht worden gehouden.</w:t>
      </w:r>
    </w:p>
    <w:p w:rsidRPr="00295690" w:rsidR="007D5493" w:rsidP="007D5493" w:rsidRDefault="007D5493" w14:paraId="368087FC" w14:textId="77777777">
      <w:pPr>
        <w:pStyle w:val="broodtekst"/>
      </w:pPr>
    </w:p>
    <w:p w:rsidRPr="00295690" w:rsidR="007D5493" w:rsidP="007D5493" w:rsidRDefault="007D5493" w14:paraId="7BEDA6A9" w14:textId="77777777">
      <w:pPr>
        <w:pStyle w:val="broodtekst"/>
        <w:rPr>
          <w:i/>
          <w:iCs/>
        </w:rPr>
      </w:pPr>
      <w:r w:rsidRPr="00295690">
        <w:rPr>
          <w:i/>
          <w:iCs/>
        </w:rPr>
        <w:t>Veiligheidssituatie</w:t>
      </w:r>
    </w:p>
    <w:p w:rsidRPr="00295690" w:rsidR="007D5493" w:rsidP="007D5493" w:rsidRDefault="007D5493" w14:paraId="671F9E13" w14:textId="77777777">
      <w:pPr>
        <w:pStyle w:val="broodtekst"/>
      </w:pPr>
      <w:r w:rsidRPr="00295690">
        <w:t xml:space="preserve">Uit openbare bronnen blijkt dat sinds het begin van de oorlog er aanvallen zijn geweest in alle </w:t>
      </w:r>
      <w:proofErr w:type="spellStart"/>
      <w:r w:rsidRPr="00295690">
        <w:t>oblasten</w:t>
      </w:r>
      <w:proofErr w:type="spellEnd"/>
      <w:r w:rsidRPr="00295690">
        <w:t xml:space="preserve"> van Oekraïne. In 2025 lag het zwaartepunt van de gevechten in de </w:t>
      </w:r>
      <w:proofErr w:type="spellStart"/>
      <w:r w:rsidRPr="00295690">
        <w:t>Donetsk-oblast</w:t>
      </w:r>
      <w:proofErr w:type="spellEnd"/>
      <w:r w:rsidRPr="00295690">
        <w:t xml:space="preserve">, gevolgd door Kharkiv, en </w:t>
      </w:r>
      <w:proofErr w:type="spellStart"/>
      <w:r w:rsidRPr="00295690">
        <w:t>Zaporizhzhia</w:t>
      </w:r>
      <w:proofErr w:type="spellEnd"/>
      <w:r w:rsidRPr="00295690">
        <w:t xml:space="preserve">, </w:t>
      </w:r>
      <w:proofErr w:type="spellStart"/>
      <w:r w:rsidRPr="00295690">
        <w:t>Dnipropetrovsk</w:t>
      </w:r>
      <w:proofErr w:type="spellEnd"/>
      <w:r w:rsidRPr="00295690">
        <w:t xml:space="preserve">, </w:t>
      </w:r>
      <w:proofErr w:type="spellStart"/>
      <w:r w:rsidRPr="00295690">
        <w:t>Sumy</w:t>
      </w:r>
      <w:proofErr w:type="spellEnd"/>
      <w:r w:rsidRPr="00295690">
        <w:t xml:space="preserve">, </w:t>
      </w:r>
      <w:proofErr w:type="spellStart"/>
      <w:r w:rsidRPr="00295690">
        <w:t>Luhansk</w:t>
      </w:r>
      <w:proofErr w:type="spellEnd"/>
      <w:r w:rsidRPr="00295690">
        <w:t xml:space="preserve"> en </w:t>
      </w:r>
      <w:proofErr w:type="spellStart"/>
      <w:r w:rsidRPr="00295690">
        <w:t>Kherson</w:t>
      </w:r>
      <w:proofErr w:type="spellEnd"/>
      <w:r w:rsidRPr="00295690">
        <w:t xml:space="preserve">. OHCHR benoemt daarbij dat 67% van de burgerdoden en –gewonden in de buurt van het frontgebied vallen, met name in </w:t>
      </w:r>
      <w:proofErr w:type="spellStart"/>
      <w:r w:rsidRPr="00295690">
        <w:t>Donetsk</w:t>
      </w:r>
      <w:proofErr w:type="spellEnd"/>
      <w:r w:rsidRPr="00295690">
        <w:t xml:space="preserve">, Kharkiv en </w:t>
      </w:r>
      <w:proofErr w:type="spellStart"/>
      <w:r w:rsidRPr="00295690">
        <w:t>Kherson</w:t>
      </w:r>
      <w:proofErr w:type="spellEnd"/>
      <w:r w:rsidRPr="00295690">
        <w:t xml:space="preserve">. Om deze reden wordt voor de </w:t>
      </w:r>
      <w:proofErr w:type="spellStart"/>
      <w:r w:rsidRPr="00295690">
        <w:t>oblasten</w:t>
      </w:r>
      <w:proofErr w:type="spellEnd"/>
      <w:r w:rsidRPr="00295690">
        <w:t xml:space="preserve"> Kharkiv, </w:t>
      </w:r>
      <w:proofErr w:type="spellStart"/>
      <w:r w:rsidRPr="00295690">
        <w:t>Luhansk</w:t>
      </w:r>
      <w:proofErr w:type="spellEnd"/>
      <w:r w:rsidRPr="00295690">
        <w:t xml:space="preserve">, </w:t>
      </w:r>
      <w:proofErr w:type="spellStart"/>
      <w:r w:rsidRPr="00295690">
        <w:t>Donetsk</w:t>
      </w:r>
      <w:proofErr w:type="spellEnd"/>
      <w:r w:rsidRPr="00295690">
        <w:t xml:space="preserve">, </w:t>
      </w:r>
      <w:proofErr w:type="spellStart"/>
      <w:r w:rsidRPr="00295690">
        <w:t>Zaporizhzhia</w:t>
      </w:r>
      <w:proofErr w:type="spellEnd"/>
      <w:r w:rsidRPr="00295690">
        <w:t xml:space="preserve">, </w:t>
      </w:r>
      <w:proofErr w:type="spellStart"/>
      <w:r w:rsidRPr="00295690">
        <w:t>Kherson</w:t>
      </w:r>
      <w:proofErr w:type="spellEnd"/>
      <w:r w:rsidRPr="00295690">
        <w:t xml:space="preserve">, </w:t>
      </w:r>
      <w:proofErr w:type="spellStart"/>
      <w:r w:rsidRPr="00295690">
        <w:t>Dnipropetrovsk</w:t>
      </w:r>
      <w:proofErr w:type="spellEnd"/>
      <w:r w:rsidRPr="00295690">
        <w:t xml:space="preserve"> en </w:t>
      </w:r>
      <w:proofErr w:type="spellStart"/>
      <w:r w:rsidRPr="00295690">
        <w:t>Sumy</w:t>
      </w:r>
      <w:proofErr w:type="spellEnd"/>
      <w:r w:rsidRPr="00295690">
        <w:t xml:space="preserve"> aangenomen dat er sprake is van de meest uitzonderlijke situatie zoals bedoeld in artikel 15 onder c van de Kwalificatieverordening (hierna: artikel 15c) waarbij de enkele aanwezigheid van een persoon reeds leidt tot een reëel risico op ernstige schade.</w:t>
      </w:r>
    </w:p>
    <w:p w:rsidRPr="00295690" w:rsidR="007D5493" w:rsidP="007D5493" w:rsidRDefault="007D5493" w14:paraId="43002255" w14:textId="77777777">
      <w:pPr>
        <w:pStyle w:val="broodtekst"/>
      </w:pPr>
    </w:p>
    <w:p w:rsidRPr="00295690" w:rsidR="007D5493" w:rsidP="007D5493" w:rsidRDefault="007D5493" w14:paraId="7731F223" w14:textId="77777777">
      <w:pPr>
        <w:pStyle w:val="broodtekst"/>
      </w:pPr>
      <w:r w:rsidRPr="00295690">
        <w:t xml:space="preserve">Ook verder van het front- en tijdelijk bezet gebied kregen </w:t>
      </w:r>
      <w:proofErr w:type="spellStart"/>
      <w:r w:rsidRPr="00295690">
        <w:t>oblasten</w:t>
      </w:r>
      <w:proofErr w:type="spellEnd"/>
      <w:r w:rsidRPr="00295690">
        <w:t xml:space="preserve"> en steden toenemend te maken met aanvallen. Deze raakten civiele infrastructuur, onder andere energie-infrastructuur, spoorwegen, woonwijken en andere burgerdoelen. De bronnen en data geven in deze </w:t>
      </w:r>
      <w:proofErr w:type="spellStart"/>
      <w:r w:rsidRPr="00295690">
        <w:t>oblasten</w:t>
      </w:r>
      <w:proofErr w:type="spellEnd"/>
      <w:r w:rsidRPr="00295690">
        <w:t xml:space="preserve"> echter geen blijk van een niveau van willekeurig geweld waarbij eenieder enkel door zijn aanwezigheid aldaar een reëel risico loopt op ernstige schade. Gelet op de beschikbare informatie en data omtrent de veiligheidssituatie wordt daarom voor de </w:t>
      </w:r>
      <w:proofErr w:type="spellStart"/>
      <w:r w:rsidRPr="00295690">
        <w:t>oblasten</w:t>
      </w:r>
      <w:proofErr w:type="spellEnd"/>
      <w:r w:rsidRPr="00295690">
        <w:t xml:space="preserve"> </w:t>
      </w:r>
      <w:proofErr w:type="spellStart"/>
      <w:r w:rsidRPr="00295690">
        <w:t>Mykolaiv</w:t>
      </w:r>
      <w:proofErr w:type="spellEnd"/>
      <w:r w:rsidRPr="00295690">
        <w:t xml:space="preserve"> en </w:t>
      </w:r>
      <w:proofErr w:type="spellStart"/>
      <w:r w:rsidRPr="00295690">
        <w:t>Chernihiv</w:t>
      </w:r>
      <w:proofErr w:type="spellEnd"/>
      <w:r w:rsidRPr="00295690">
        <w:t xml:space="preserve"> aangenomen dat er een relatief hoger niveau van willekeurig geweld is in de zin van artikel 15c. Voor de overige delen van Oekraïne wordt een relatief lager niveau van willekeurig geweld aangenomen in de zin van artikel 15c. Bij deze laatste twee categorieën worden de individuele situatie en persoonlijke omstandigheden van de vreemdeling betrokken om vast te stellen of er sprake is van een reëel risico op ernstige schade.</w:t>
      </w:r>
    </w:p>
    <w:p w:rsidRPr="00295690" w:rsidR="007D5493" w:rsidP="007D5493" w:rsidRDefault="007D5493" w14:paraId="5223320F" w14:textId="77777777">
      <w:pPr>
        <w:pStyle w:val="broodtekst"/>
      </w:pPr>
    </w:p>
    <w:p w:rsidRPr="00295690" w:rsidR="007D5493" w:rsidP="007D5493" w:rsidRDefault="007D5493" w14:paraId="2B444157" w14:textId="77777777">
      <w:pPr>
        <w:pStyle w:val="broodtekst"/>
        <w:rPr>
          <w:i/>
          <w:iCs/>
        </w:rPr>
      </w:pPr>
      <w:r w:rsidRPr="00295690">
        <w:rPr>
          <w:i/>
          <w:iCs/>
        </w:rPr>
        <w:t>Binnenlands beschermingsalternatief</w:t>
      </w:r>
    </w:p>
    <w:p w:rsidRPr="00295690" w:rsidR="007D5493" w:rsidP="007D5493" w:rsidRDefault="007D5493" w14:paraId="748B82EA" w14:textId="77777777">
      <w:pPr>
        <w:pStyle w:val="broodtekst"/>
        <w:rPr>
          <w:sz w:val="20"/>
          <w:szCs w:val="20"/>
        </w:rPr>
      </w:pPr>
      <w:r w:rsidRPr="00295690">
        <w:t xml:space="preserve">De landeninformatie schetst een beeld waarbinnen Oekraïners uit andere delen van Oekraïne in beginsel bescherming kunnen verkrijgen in de </w:t>
      </w:r>
      <w:proofErr w:type="spellStart"/>
      <w:r w:rsidRPr="00295690">
        <w:t>oblasten</w:t>
      </w:r>
      <w:proofErr w:type="spellEnd"/>
      <w:r w:rsidRPr="00295690">
        <w:t xml:space="preserve"> waarvoor geldt dat er sprake is van een relatief lager niveau van willekeurig geweld, met uitzondering van het bezette Krim en </w:t>
      </w:r>
      <w:proofErr w:type="spellStart"/>
      <w:r w:rsidRPr="00295690">
        <w:t>Sevastopol</w:t>
      </w:r>
      <w:proofErr w:type="spellEnd"/>
      <w:r w:rsidRPr="00295690">
        <w:t xml:space="preserve">. Er is voorts geen blijk dat Oekraïners uit andere delen van Oekraïne achtergesteld zouden worden in de uitoefening van hun essentiële rechten ten opzichte van de lokale bevolking. </w:t>
      </w:r>
    </w:p>
    <w:p w:rsidRPr="00295690" w:rsidR="007D5493" w:rsidP="007D5493" w:rsidRDefault="007D5493" w14:paraId="272A42D2" w14:textId="77777777">
      <w:pPr>
        <w:pStyle w:val="broodtekst"/>
      </w:pPr>
    </w:p>
    <w:p w:rsidRPr="00295690" w:rsidR="007D5493" w:rsidP="007D5493" w:rsidRDefault="007D5493" w14:paraId="1B5236DA" w14:textId="77777777">
      <w:pPr>
        <w:pStyle w:val="broodtekst"/>
      </w:pPr>
      <w:r w:rsidRPr="00295690">
        <w:t xml:space="preserve">Gezien dat wordt voldaan aan de wettelijke voorwaarden zullen de delen van Oekraïne waarvoor geldt dat sprake is van een relatief lager niveau van </w:t>
      </w:r>
      <w:proofErr w:type="spellStart"/>
      <w:r w:rsidRPr="00295690">
        <w:t>willlekeurig</w:t>
      </w:r>
      <w:proofErr w:type="spellEnd"/>
      <w:r w:rsidRPr="00295690">
        <w:t xml:space="preserve"> geweld, met uitzondering van het bezette Krim en </w:t>
      </w:r>
      <w:proofErr w:type="spellStart"/>
      <w:r w:rsidRPr="00295690">
        <w:t>Sevastopol</w:t>
      </w:r>
      <w:proofErr w:type="spellEnd"/>
      <w:r w:rsidRPr="00295690">
        <w:t>, in beginsel worden aangemerkt als binnenlands beschermingsalternatief. Er zal voorafgaand aan het tegenwerpen van een binnenlands beschermingsalternatief in alle individuele gevallen uiteraard beoordeeld worden of er een vrees voor vervolging of risico op ernstige schade bestaat in de overige delen van Oekraïne.</w:t>
      </w:r>
    </w:p>
    <w:p w:rsidRPr="00295690" w:rsidR="007D5493" w:rsidP="007D5493" w:rsidRDefault="007D5493" w14:paraId="3C0F0464" w14:textId="77777777">
      <w:pPr>
        <w:pStyle w:val="broodtekst"/>
      </w:pPr>
    </w:p>
    <w:p w:rsidRPr="00295690" w:rsidR="007D5493" w:rsidP="007D5493" w:rsidRDefault="007D5493" w14:paraId="272836D6" w14:textId="77777777">
      <w:pPr>
        <w:pStyle w:val="broodtekst"/>
      </w:pPr>
      <w:r w:rsidRPr="00295690">
        <w:t>Op basis van bovenstaand landenbeleid kan de IND overgaan tot het nemen van beslissingen op de ca 1.010 openstaande asielaanvragen van Oekraïners die niet in aanmerking komen voor tijdelijke bescherming. Nadat deze beslissingen genomen zijn zal de reguliere asielprocedure haar vervolg krijgen. Nederland houdt bij dit alles steeds oog voor de diplomatieke en geopolitieke verhoudingen.</w:t>
      </w:r>
    </w:p>
    <w:p w:rsidR="00531E12" w:rsidRDefault="00531E12" w14:paraId="1D39114A" w14:textId="77777777"/>
    <w:p w:rsidR="00531E12" w:rsidRDefault="00531E12" w14:paraId="3DB74EDA" w14:textId="77777777"/>
    <w:p w:rsidR="00531E12" w:rsidRDefault="00531E12" w14:paraId="37AF7BC1" w14:textId="4563C9D9">
      <w:r>
        <w:t xml:space="preserve">De Minister van Asiel en Migratie, </w:t>
      </w:r>
    </w:p>
    <w:p w:rsidR="00531E12" w:rsidRDefault="00531E12" w14:paraId="51962EB6" w14:textId="77777777"/>
    <w:p w:rsidR="00531E12" w:rsidRDefault="00531E12" w14:paraId="2F641C7C" w14:textId="77777777"/>
    <w:p w:rsidR="00531E12" w:rsidRDefault="00531E12" w14:paraId="2261C612" w14:textId="77777777"/>
    <w:p w:rsidR="00531E12" w:rsidRDefault="00531E12" w14:paraId="22489D48" w14:textId="77777777"/>
    <w:p w:rsidR="00531E12" w:rsidRDefault="00531E12" w14:paraId="1A193BAA" w14:textId="7B79194B">
      <w:r>
        <w:t>Bart van den Brink</w:t>
      </w:r>
    </w:p>
    <w:p w:rsidR="00841314" w:rsidRDefault="00841314" w14:paraId="4879E23A" w14:textId="77777777"/>
    <w:p w:rsidR="00841314" w:rsidRDefault="00841314" w14:paraId="06E8AFA1" w14:textId="77777777"/>
    <w:p w:rsidR="00841314" w:rsidRDefault="00841314" w14:paraId="27A65DD3" w14:textId="77777777"/>
    <w:p w:rsidR="00841314" w:rsidRDefault="00841314" w14:paraId="346A332E" w14:textId="77777777"/>
    <w:p w:rsidR="00841314" w:rsidRDefault="00841314" w14:paraId="693A4925" w14:textId="77777777"/>
    <w:p w:rsidR="00841314" w:rsidRDefault="00841314" w14:paraId="7C14FDAF" w14:textId="77777777">
      <w:pPr>
        <w:pStyle w:val="WitregelW1bodytekst"/>
      </w:pPr>
    </w:p>
    <w:p w:rsidR="00841314" w:rsidRDefault="00841314" w14:paraId="4C551C55"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841314" w14:paraId="137849D4" w14:textId="77777777">
        <w:tc>
          <w:tcPr>
            <w:tcW w:w="3620" w:type="dxa"/>
          </w:tcPr>
          <w:p w:rsidR="00841314" w:rsidRDefault="00841314" w14:paraId="782CC929" w14:textId="77777777"/>
          <w:p w:rsidR="00841314" w:rsidRDefault="00841314" w14:paraId="692E1364" w14:textId="77777777"/>
          <w:p w:rsidR="00841314" w:rsidRDefault="00841314" w14:paraId="27AAD9F1" w14:textId="77777777"/>
          <w:p w:rsidR="00841314" w:rsidRDefault="00841314" w14:paraId="6077BAA1" w14:textId="77777777"/>
          <w:p w:rsidR="00841314" w:rsidRDefault="00841314" w14:paraId="6C3FA8A6" w14:textId="77777777"/>
        </w:tc>
        <w:tc>
          <w:tcPr>
            <w:tcW w:w="302" w:type="dxa"/>
          </w:tcPr>
          <w:p w:rsidR="00841314" w:rsidRDefault="00841314" w14:paraId="6135D34D" w14:textId="77777777"/>
          <w:p w:rsidR="00841314" w:rsidRDefault="00841314" w14:paraId="68F8197F" w14:textId="77777777"/>
          <w:p w:rsidR="00841314" w:rsidRDefault="00841314" w14:paraId="10F705E4" w14:textId="77777777"/>
          <w:p w:rsidR="00841314" w:rsidRDefault="00841314" w14:paraId="6FA9ACC1" w14:textId="77777777"/>
          <w:p w:rsidR="00841314" w:rsidRDefault="00841314" w14:paraId="5B555967" w14:textId="77777777"/>
        </w:tc>
        <w:tc>
          <w:tcPr>
            <w:tcW w:w="3620" w:type="dxa"/>
          </w:tcPr>
          <w:p w:rsidR="00841314" w:rsidRDefault="00841314" w14:paraId="7453B6D5" w14:textId="77777777"/>
          <w:p w:rsidR="00841314" w:rsidRDefault="00841314" w14:paraId="4A99F13B" w14:textId="77777777"/>
          <w:p w:rsidR="00841314" w:rsidRDefault="00841314" w14:paraId="0EC834FC" w14:textId="77777777"/>
          <w:p w:rsidR="00841314" w:rsidRDefault="00841314" w14:paraId="31A56524" w14:textId="77777777"/>
          <w:p w:rsidR="00841314" w:rsidRDefault="00841314" w14:paraId="3125D565" w14:textId="77777777"/>
        </w:tc>
      </w:tr>
    </w:tbl>
    <w:p w:rsidR="00841314" w:rsidRDefault="00841314" w14:paraId="08B4FE18" w14:textId="77777777"/>
    <w:sectPr w:rsidR="0084131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6434" w14:textId="77777777" w:rsidR="00CE03C5" w:rsidRDefault="00CE03C5">
      <w:pPr>
        <w:spacing w:line="240" w:lineRule="auto"/>
      </w:pPr>
      <w:r>
        <w:separator/>
      </w:r>
    </w:p>
  </w:endnote>
  <w:endnote w:type="continuationSeparator" w:id="0">
    <w:p w14:paraId="5FAC4CD5" w14:textId="77777777" w:rsidR="00CE03C5" w:rsidRDefault="00CE0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98F5" w14:textId="77777777" w:rsidR="00841314" w:rsidRDefault="0084131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0F65" w14:textId="77777777" w:rsidR="00CE03C5" w:rsidRDefault="00CE03C5">
      <w:pPr>
        <w:pStyle w:val="Voetnoottekst"/>
      </w:pPr>
    </w:p>
  </w:footnote>
  <w:footnote w:type="continuationSeparator" w:id="0">
    <w:p w14:paraId="20C8FAEA" w14:textId="77777777" w:rsidR="00CE03C5" w:rsidRDefault="00CE03C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D3D0" w14:textId="77777777" w:rsidR="00841314" w:rsidRDefault="002D1108">
    <w:r>
      <w:rPr>
        <w:noProof/>
      </w:rPr>
      <mc:AlternateContent>
        <mc:Choice Requires="wps">
          <w:drawing>
            <wp:anchor distT="0" distB="0" distL="0" distR="0" simplePos="0" relativeHeight="251652608" behindDoc="0" locked="1" layoutInCell="1" allowOverlap="1" wp14:anchorId="1D2E1D85" wp14:editId="0D2F35E3">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8285E6" w14:textId="77777777" w:rsidR="00841314" w:rsidRDefault="00841314">
                          <w:pPr>
                            <w:pStyle w:val="WitregelW1"/>
                          </w:pPr>
                        </w:p>
                        <w:p w14:paraId="4D57C0E4" w14:textId="77777777" w:rsidR="00841314" w:rsidRDefault="002D1108">
                          <w:pPr>
                            <w:pStyle w:val="Referentiegegevensbold"/>
                          </w:pPr>
                          <w:r>
                            <w:t>Onze referentie</w:t>
                          </w:r>
                        </w:p>
                        <w:p w14:paraId="3A8FB9E1" w14:textId="77777777" w:rsidR="00841314" w:rsidRDefault="002D1108">
                          <w:pPr>
                            <w:pStyle w:val="Referentiegegevens"/>
                          </w:pPr>
                          <w:r>
                            <w:t>7747650</w:t>
                          </w:r>
                        </w:p>
                      </w:txbxContent>
                    </wps:txbx>
                    <wps:bodyPr vert="horz" wrap="square" lIns="0" tIns="0" rIns="0" bIns="0" anchor="t" anchorCtr="0"/>
                  </wps:wsp>
                </a:graphicData>
              </a:graphic>
            </wp:anchor>
          </w:drawing>
        </mc:Choice>
        <mc:Fallback>
          <w:pict>
            <v:shapetype w14:anchorId="1D2E1D85"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F8285E6" w14:textId="77777777" w:rsidR="00841314" w:rsidRDefault="00841314">
                    <w:pPr>
                      <w:pStyle w:val="WitregelW1"/>
                    </w:pPr>
                  </w:p>
                  <w:p w14:paraId="4D57C0E4" w14:textId="77777777" w:rsidR="00841314" w:rsidRDefault="002D1108">
                    <w:pPr>
                      <w:pStyle w:val="Referentiegegevensbold"/>
                    </w:pPr>
                    <w:r>
                      <w:t>Onze referentie</w:t>
                    </w:r>
                  </w:p>
                  <w:p w14:paraId="3A8FB9E1" w14:textId="77777777" w:rsidR="00841314" w:rsidRDefault="002D1108">
                    <w:pPr>
                      <w:pStyle w:val="Referentiegegevens"/>
                    </w:pPr>
                    <w:r>
                      <w:t>7747650</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6732EC47" wp14:editId="279F3D15">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FE1A5E0" w14:textId="77777777" w:rsidR="00C56FA9" w:rsidRDefault="00C56FA9"/>
                      </w:txbxContent>
                    </wps:txbx>
                    <wps:bodyPr vert="horz" wrap="square" lIns="0" tIns="0" rIns="0" bIns="0" anchor="t" anchorCtr="0"/>
                  </wps:wsp>
                </a:graphicData>
              </a:graphic>
            </wp:anchor>
          </w:drawing>
        </mc:Choice>
        <mc:Fallback>
          <w:pict>
            <v:shape w14:anchorId="6732EC47"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FE1A5E0" w14:textId="77777777" w:rsidR="00C56FA9" w:rsidRDefault="00C56FA9"/>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22F70794" wp14:editId="79EA6E09">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3B862C" w14:textId="33580812" w:rsidR="00841314" w:rsidRDefault="002D1108">
                          <w:pPr>
                            <w:pStyle w:val="Referentiegegevens"/>
                          </w:pPr>
                          <w:r>
                            <w:t xml:space="preserve">Pagina </w:t>
                          </w:r>
                          <w:r>
                            <w:fldChar w:fldCharType="begin"/>
                          </w:r>
                          <w:r>
                            <w:instrText>PAGE</w:instrText>
                          </w:r>
                          <w:r>
                            <w:fldChar w:fldCharType="separate"/>
                          </w:r>
                          <w:r w:rsidR="007D5493">
                            <w:rPr>
                              <w:noProof/>
                            </w:rPr>
                            <w:t>2</w:t>
                          </w:r>
                          <w:r>
                            <w:fldChar w:fldCharType="end"/>
                          </w:r>
                          <w:r>
                            <w:t xml:space="preserve"> van </w:t>
                          </w:r>
                          <w:r>
                            <w:fldChar w:fldCharType="begin"/>
                          </w:r>
                          <w:r>
                            <w:instrText>NUMPAGES</w:instrText>
                          </w:r>
                          <w:r>
                            <w:fldChar w:fldCharType="separate"/>
                          </w:r>
                          <w:r w:rsidR="007D5493">
                            <w:rPr>
                              <w:noProof/>
                            </w:rPr>
                            <w:t>3</w:t>
                          </w:r>
                          <w:r>
                            <w:fldChar w:fldCharType="end"/>
                          </w:r>
                        </w:p>
                      </w:txbxContent>
                    </wps:txbx>
                    <wps:bodyPr vert="horz" wrap="square" lIns="0" tIns="0" rIns="0" bIns="0" anchor="t" anchorCtr="0"/>
                  </wps:wsp>
                </a:graphicData>
              </a:graphic>
            </wp:anchor>
          </w:drawing>
        </mc:Choice>
        <mc:Fallback>
          <w:pict>
            <v:shape w14:anchorId="22F70794"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03B862C" w14:textId="33580812" w:rsidR="00841314" w:rsidRDefault="002D1108">
                    <w:pPr>
                      <w:pStyle w:val="Referentiegegevens"/>
                    </w:pPr>
                    <w:r>
                      <w:t xml:space="preserve">Pagina </w:t>
                    </w:r>
                    <w:r>
                      <w:fldChar w:fldCharType="begin"/>
                    </w:r>
                    <w:r>
                      <w:instrText>PAGE</w:instrText>
                    </w:r>
                    <w:r>
                      <w:fldChar w:fldCharType="separate"/>
                    </w:r>
                    <w:r w:rsidR="007D5493">
                      <w:rPr>
                        <w:noProof/>
                      </w:rPr>
                      <w:t>2</w:t>
                    </w:r>
                    <w:r>
                      <w:fldChar w:fldCharType="end"/>
                    </w:r>
                    <w:r>
                      <w:t xml:space="preserve"> van </w:t>
                    </w:r>
                    <w:r>
                      <w:fldChar w:fldCharType="begin"/>
                    </w:r>
                    <w:r>
                      <w:instrText>NUMPAGES</w:instrText>
                    </w:r>
                    <w:r>
                      <w:fldChar w:fldCharType="separate"/>
                    </w:r>
                    <w:r w:rsidR="007D5493">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3446" w14:textId="77777777" w:rsidR="00841314" w:rsidRDefault="002D1108">
    <w:pPr>
      <w:spacing w:after="6377" w:line="14" w:lineRule="exact"/>
    </w:pPr>
    <w:r>
      <w:rPr>
        <w:noProof/>
      </w:rPr>
      <mc:AlternateContent>
        <mc:Choice Requires="wps">
          <w:drawing>
            <wp:anchor distT="0" distB="0" distL="0" distR="0" simplePos="0" relativeHeight="251655680" behindDoc="0" locked="1" layoutInCell="1" allowOverlap="1" wp14:anchorId="318C5518" wp14:editId="6FA93D14">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B20C04" w14:textId="77777777" w:rsidR="00531E12" w:rsidRDefault="002D1108">
                          <w:r>
                            <w:t xml:space="preserve">Aan de Voorzitter van de Tweede Kamer </w:t>
                          </w:r>
                        </w:p>
                        <w:p w14:paraId="37C50676" w14:textId="6E045808" w:rsidR="00841314" w:rsidRDefault="002D1108">
                          <w:r>
                            <w:t>der Staten-Generaal</w:t>
                          </w:r>
                        </w:p>
                        <w:p w14:paraId="1C95AFD1" w14:textId="77777777" w:rsidR="00841314" w:rsidRDefault="002D1108">
                          <w:r>
                            <w:t>Postbus 20018</w:t>
                          </w:r>
                        </w:p>
                        <w:p w14:paraId="35869B53" w14:textId="77777777" w:rsidR="00841314" w:rsidRDefault="002D1108">
                          <w:r>
                            <w:t>2500 EA  DEN HAAG</w:t>
                          </w:r>
                        </w:p>
                      </w:txbxContent>
                    </wps:txbx>
                    <wps:bodyPr vert="horz" wrap="square" lIns="0" tIns="0" rIns="0" bIns="0" anchor="t" anchorCtr="0"/>
                  </wps:wsp>
                </a:graphicData>
              </a:graphic>
            </wp:anchor>
          </w:drawing>
        </mc:Choice>
        <mc:Fallback>
          <w:pict>
            <v:shapetype w14:anchorId="318C5518"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7B20C04" w14:textId="77777777" w:rsidR="00531E12" w:rsidRDefault="002D1108">
                    <w:r>
                      <w:t xml:space="preserve">Aan de Voorzitter van de Tweede Kamer </w:t>
                    </w:r>
                  </w:p>
                  <w:p w14:paraId="37C50676" w14:textId="6E045808" w:rsidR="00841314" w:rsidRDefault="002D1108">
                    <w:r>
                      <w:t>der Staten-Generaal</w:t>
                    </w:r>
                  </w:p>
                  <w:p w14:paraId="1C95AFD1" w14:textId="77777777" w:rsidR="00841314" w:rsidRDefault="002D1108">
                    <w:r>
                      <w:t>Postbus 20018</w:t>
                    </w:r>
                  </w:p>
                  <w:p w14:paraId="35869B53" w14:textId="77777777" w:rsidR="00841314" w:rsidRDefault="002D1108">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4A990D6B" wp14:editId="6CA4A41A">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841314" w14:paraId="6568FB2D" w14:textId="77777777">
                            <w:trPr>
                              <w:trHeight w:val="240"/>
                            </w:trPr>
                            <w:tc>
                              <w:tcPr>
                                <w:tcW w:w="1140" w:type="dxa"/>
                              </w:tcPr>
                              <w:p w14:paraId="3F99627B" w14:textId="77777777" w:rsidR="00841314" w:rsidRDefault="002D1108">
                                <w:r>
                                  <w:t>Datum</w:t>
                                </w:r>
                              </w:p>
                            </w:tc>
                            <w:tc>
                              <w:tcPr>
                                <w:tcW w:w="5918" w:type="dxa"/>
                              </w:tcPr>
                              <w:p w14:paraId="7A63E584" w14:textId="7E96E9C6" w:rsidR="00841314" w:rsidRDefault="002D1108">
                                <w:r>
                                  <w:t>1 juli 2026</w:t>
                                </w:r>
                              </w:p>
                            </w:tc>
                          </w:tr>
                          <w:tr w:rsidR="00841314" w14:paraId="4572A2A3" w14:textId="77777777">
                            <w:trPr>
                              <w:trHeight w:val="240"/>
                            </w:trPr>
                            <w:tc>
                              <w:tcPr>
                                <w:tcW w:w="1140" w:type="dxa"/>
                              </w:tcPr>
                              <w:p w14:paraId="0778E1DD" w14:textId="77777777" w:rsidR="00841314" w:rsidRDefault="002D1108">
                                <w:r>
                                  <w:t>Betreft</w:t>
                                </w:r>
                              </w:p>
                            </w:tc>
                            <w:tc>
                              <w:tcPr>
                                <w:tcW w:w="5918" w:type="dxa"/>
                              </w:tcPr>
                              <w:p w14:paraId="437DA012" w14:textId="52C998D4" w:rsidR="00841314" w:rsidRDefault="002D1108">
                                <w:r>
                                  <w:t xml:space="preserve">Landenbeleid Oekraïne </w:t>
                                </w:r>
                              </w:p>
                            </w:tc>
                          </w:tr>
                        </w:tbl>
                        <w:p w14:paraId="59D627B9" w14:textId="77777777" w:rsidR="00C56FA9" w:rsidRDefault="00C56FA9"/>
                      </w:txbxContent>
                    </wps:txbx>
                    <wps:bodyPr vert="horz" wrap="square" lIns="0" tIns="0" rIns="0" bIns="0" anchor="t" anchorCtr="0"/>
                  </wps:wsp>
                </a:graphicData>
              </a:graphic>
            </wp:anchor>
          </w:drawing>
        </mc:Choice>
        <mc:Fallback>
          <w:pict>
            <v:shape w14:anchorId="4A990D6B"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841314" w14:paraId="6568FB2D" w14:textId="77777777">
                      <w:trPr>
                        <w:trHeight w:val="240"/>
                      </w:trPr>
                      <w:tc>
                        <w:tcPr>
                          <w:tcW w:w="1140" w:type="dxa"/>
                        </w:tcPr>
                        <w:p w14:paraId="3F99627B" w14:textId="77777777" w:rsidR="00841314" w:rsidRDefault="002D1108">
                          <w:r>
                            <w:t>Datum</w:t>
                          </w:r>
                        </w:p>
                      </w:tc>
                      <w:tc>
                        <w:tcPr>
                          <w:tcW w:w="5918" w:type="dxa"/>
                        </w:tcPr>
                        <w:p w14:paraId="7A63E584" w14:textId="7E96E9C6" w:rsidR="00841314" w:rsidRDefault="002D1108">
                          <w:r>
                            <w:t>1 juli 2026</w:t>
                          </w:r>
                        </w:p>
                      </w:tc>
                    </w:tr>
                    <w:tr w:rsidR="00841314" w14:paraId="4572A2A3" w14:textId="77777777">
                      <w:trPr>
                        <w:trHeight w:val="240"/>
                      </w:trPr>
                      <w:tc>
                        <w:tcPr>
                          <w:tcW w:w="1140" w:type="dxa"/>
                        </w:tcPr>
                        <w:p w14:paraId="0778E1DD" w14:textId="77777777" w:rsidR="00841314" w:rsidRDefault="002D1108">
                          <w:r>
                            <w:t>Betreft</w:t>
                          </w:r>
                        </w:p>
                      </w:tc>
                      <w:tc>
                        <w:tcPr>
                          <w:tcW w:w="5918" w:type="dxa"/>
                        </w:tcPr>
                        <w:p w14:paraId="437DA012" w14:textId="52C998D4" w:rsidR="00841314" w:rsidRDefault="002D1108">
                          <w:r>
                            <w:t xml:space="preserve">Landenbeleid Oekraïne </w:t>
                          </w:r>
                        </w:p>
                      </w:tc>
                    </w:tr>
                  </w:tbl>
                  <w:p w14:paraId="59D627B9" w14:textId="77777777" w:rsidR="00C56FA9" w:rsidRDefault="00C56FA9"/>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0338584F" wp14:editId="23A080AE">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4A693D" w14:textId="2AC0E4F3" w:rsidR="00531E12" w:rsidRPr="00531E12" w:rsidRDefault="00531E12">
                          <w:pPr>
                            <w:pStyle w:val="Referentiegegevens"/>
                            <w:rPr>
                              <w:b/>
                              <w:bCs/>
                            </w:rPr>
                          </w:pPr>
                          <w:r w:rsidRPr="00531E12">
                            <w:rPr>
                              <w:b/>
                              <w:bCs/>
                            </w:rPr>
                            <w:t>Directoraat-Generaal Migratie</w:t>
                          </w:r>
                        </w:p>
                        <w:p w14:paraId="3B48A723" w14:textId="4483B884" w:rsidR="00841314" w:rsidRDefault="002D1108">
                          <w:pPr>
                            <w:pStyle w:val="Referentiegegevens"/>
                          </w:pPr>
                          <w:r>
                            <w:t>Turfmarkt 147</w:t>
                          </w:r>
                        </w:p>
                        <w:p w14:paraId="6D40B2EB" w14:textId="77777777" w:rsidR="00841314" w:rsidRDefault="002D1108">
                          <w:pPr>
                            <w:pStyle w:val="Referentiegegevens"/>
                          </w:pPr>
                          <w:r>
                            <w:t>2511 DP  Den Haag</w:t>
                          </w:r>
                        </w:p>
                        <w:p w14:paraId="661CCCF7" w14:textId="77777777" w:rsidR="00841314" w:rsidRPr="00637F9F" w:rsidRDefault="002D1108">
                          <w:pPr>
                            <w:pStyle w:val="Referentiegegevens"/>
                            <w:rPr>
                              <w:lang w:val="de-DE"/>
                            </w:rPr>
                          </w:pPr>
                          <w:r w:rsidRPr="00637F9F">
                            <w:rPr>
                              <w:lang w:val="de-DE"/>
                            </w:rPr>
                            <w:t>Postbus 20301</w:t>
                          </w:r>
                        </w:p>
                        <w:p w14:paraId="79F019A3" w14:textId="77777777" w:rsidR="00841314" w:rsidRPr="00637F9F" w:rsidRDefault="002D1108">
                          <w:pPr>
                            <w:pStyle w:val="Referentiegegevens"/>
                            <w:rPr>
                              <w:lang w:val="de-DE"/>
                            </w:rPr>
                          </w:pPr>
                          <w:r w:rsidRPr="00637F9F">
                            <w:rPr>
                              <w:lang w:val="de-DE"/>
                            </w:rPr>
                            <w:t>2500 EH  Den Haag</w:t>
                          </w:r>
                        </w:p>
                        <w:p w14:paraId="0B14705D" w14:textId="77777777" w:rsidR="00841314" w:rsidRPr="00637F9F" w:rsidRDefault="002D1108">
                          <w:pPr>
                            <w:pStyle w:val="Referentiegegevens"/>
                            <w:rPr>
                              <w:lang w:val="de-DE"/>
                            </w:rPr>
                          </w:pPr>
                          <w:r w:rsidRPr="00637F9F">
                            <w:rPr>
                              <w:lang w:val="de-DE"/>
                            </w:rPr>
                            <w:t>www.rijksoverheid.nl/jenv</w:t>
                          </w:r>
                        </w:p>
                        <w:p w14:paraId="2A2753DD" w14:textId="77777777" w:rsidR="00841314" w:rsidRPr="00637F9F" w:rsidRDefault="00841314">
                          <w:pPr>
                            <w:pStyle w:val="WitregelW2"/>
                            <w:rPr>
                              <w:lang w:val="de-DE"/>
                            </w:rPr>
                          </w:pPr>
                        </w:p>
                        <w:p w14:paraId="41C901FA" w14:textId="77777777" w:rsidR="00841314" w:rsidRDefault="002D1108">
                          <w:pPr>
                            <w:pStyle w:val="Referentiegegevensbold"/>
                          </w:pPr>
                          <w:r>
                            <w:t>Onze referentie</w:t>
                          </w:r>
                        </w:p>
                        <w:p w14:paraId="575DB29A" w14:textId="77777777" w:rsidR="00841314" w:rsidRDefault="002D1108">
                          <w:pPr>
                            <w:pStyle w:val="Referentiegegevens"/>
                          </w:pPr>
                          <w:r>
                            <w:t>7747650</w:t>
                          </w:r>
                        </w:p>
                        <w:p w14:paraId="4099B588" w14:textId="77777777" w:rsidR="00841314" w:rsidRDefault="00841314">
                          <w:pPr>
                            <w:pStyle w:val="WitregelW1"/>
                          </w:pPr>
                        </w:p>
                        <w:p w14:paraId="3BC59B06" w14:textId="2196D551" w:rsidR="00841314" w:rsidRDefault="002D1108" w:rsidP="00637F9F">
                          <w:pPr>
                            <w:pStyle w:val="Referentiegegevensbold"/>
                          </w:pPr>
                          <w:r>
                            <w:t>Bijlage(n)</w:t>
                          </w:r>
                        </w:p>
                        <w:p w14:paraId="4AF4B014" w14:textId="2813C7D5" w:rsidR="00637F9F" w:rsidRPr="00637F9F" w:rsidRDefault="00637F9F" w:rsidP="00637F9F">
                          <w:pPr>
                            <w:rPr>
                              <w:sz w:val="13"/>
                              <w:szCs w:val="13"/>
                            </w:rPr>
                          </w:pPr>
                          <w:r w:rsidRPr="00637F9F">
                            <w:rPr>
                              <w:sz w:val="13"/>
                              <w:szCs w:val="13"/>
                            </w:rPr>
                            <w:t>2</w:t>
                          </w:r>
                        </w:p>
                      </w:txbxContent>
                    </wps:txbx>
                    <wps:bodyPr vert="horz" wrap="square" lIns="0" tIns="0" rIns="0" bIns="0" anchor="t" anchorCtr="0"/>
                  </wps:wsp>
                </a:graphicData>
              </a:graphic>
            </wp:anchor>
          </w:drawing>
        </mc:Choice>
        <mc:Fallback>
          <w:pict>
            <v:shape w14:anchorId="0338584F"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C4A693D" w14:textId="2AC0E4F3" w:rsidR="00531E12" w:rsidRPr="00531E12" w:rsidRDefault="00531E12">
                    <w:pPr>
                      <w:pStyle w:val="Referentiegegevens"/>
                      <w:rPr>
                        <w:b/>
                        <w:bCs/>
                      </w:rPr>
                    </w:pPr>
                    <w:r w:rsidRPr="00531E12">
                      <w:rPr>
                        <w:b/>
                        <w:bCs/>
                      </w:rPr>
                      <w:t>Directoraat-Generaal Migratie</w:t>
                    </w:r>
                  </w:p>
                  <w:p w14:paraId="3B48A723" w14:textId="4483B884" w:rsidR="00841314" w:rsidRDefault="002D1108">
                    <w:pPr>
                      <w:pStyle w:val="Referentiegegevens"/>
                    </w:pPr>
                    <w:r>
                      <w:t>Turfmarkt 147</w:t>
                    </w:r>
                  </w:p>
                  <w:p w14:paraId="6D40B2EB" w14:textId="77777777" w:rsidR="00841314" w:rsidRDefault="002D1108">
                    <w:pPr>
                      <w:pStyle w:val="Referentiegegevens"/>
                    </w:pPr>
                    <w:r>
                      <w:t>2511 DP  Den Haag</w:t>
                    </w:r>
                  </w:p>
                  <w:p w14:paraId="661CCCF7" w14:textId="77777777" w:rsidR="00841314" w:rsidRPr="00637F9F" w:rsidRDefault="002D1108">
                    <w:pPr>
                      <w:pStyle w:val="Referentiegegevens"/>
                      <w:rPr>
                        <w:lang w:val="de-DE"/>
                      </w:rPr>
                    </w:pPr>
                    <w:r w:rsidRPr="00637F9F">
                      <w:rPr>
                        <w:lang w:val="de-DE"/>
                      </w:rPr>
                      <w:t>Postbus 20301</w:t>
                    </w:r>
                  </w:p>
                  <w:p w14:paraId="79F019A3" w14:textId="77777777" w:rsidR="00841314" w:rsidRPr="00637F9F" w:rsidRDefault="002D1108">
                    <w:pPr>
                      <w:pStyle w:val="Referentiegegevens"/>
                      <w:rPr>
                        <w:lang w:val="de-DE"/>
                      </w:rPr>
                    </w:pPr>
                    <w:r w:rsidRPr="00637F9F">
                      <w:rPr>
                        <w:lang w:val="de-DE"/>
                      </w:rPr>
                      <w:t>2500 EH  Den Haag</w:t>
                    </w:r>
                  </w:p>
                  <w:p w14:paraId="0B14705D" w14:textId="77777777" w:rsidR="00841314" w:rsidRPr="00637F9F" w:rsidRDefault="002D1108">
                    <w:pPr>
                      <w:pStyle w:val="Referentiegegevens"/>
                      <w:rPr>
                        <w:lang w:val="de-DE"/>
                      </w:rPr>
                    </w:pPr>
                    <w:r w:rsidRPr="00637F9F">
                      <w:rPr>
                        <w:lang w:val="de-DE"/>
                      </w:rPr>
                      <w:t>www.rijksoverheid.nl/jenv</w:t>
                    </w:r>
                  </w:p>
                  <w:p w14:paraId="2A2753DD" w14:textId="77777777" w:rsidR="00841314" w:rsidRPr="00637F9F" w:rsidRDefault="00841314">
                    <w:pPr>
                      <w:pStyle w:val="WitregelW2"/>
                      <w:rPr>
                        <w:lang w:val="de-DE"/>
                      </w:rPr>
                    </w:pPr>
                  </w:p>
                  <w:p w14:paraId="41C901FA" w14:textId="77777777" w:rsidR="00841314" w:rsidRDefault="002D1108">
                    <w:pPr>
                      <w:pStyle w:val="Referentiegegevensbold"/>
                    </w:pPr>
                    <w:r>
                      <w:t>Onze referentie</w:t>
                    </w:r>
                  </w:p>
                  <w:p w14:paraId="575DB29A" w14:textId="77777777" w:rsidR="00841314" w:rsidRDefault="002D1108">
                    <w:pPr>
                      <w:pStyle w:val="Referentiegegevens"/>
                    </w:pPr>
                    <w:r>
                      <w:t>7747650</w:t>
                    </w:r>
                  </w:p>
                  <w:p w14:paraId="4099B588" w14:textId="77777777" w:rsidR="00841314" w:rsidRDefault="00841314">
                    <w:pPr>
                      <w:pStyle w:val="WitregelW1"/>
                    </w:pPr>
                  </w:p>
                  <w:p w14:paraId="3BC59B06" w14:textId="2196D551" w:rsidR="00841314" w:rsidRDefault="002D1108" w:rsidP="00637F9F">
                    <w:pPr>
                      <w:pStyle w:val="Referentiegegevensbold"/>
                    </w:pPr>
                    <w:r>
                      <w:t>Bijlage(n)</w:t>
                    </w:r>
                  </w:p>
                  <w:p w14:paraId="4AF4B014" w14:textId="2813C7D5" w:rsidR="00637F9F" w:rsidRPr="00637F9F" w:rsidRDefault="00637F9F" w:rsidP="00637F9F">
                    <w:pPr>
                      <w:rPr>
                        <w:sz w:val="13"/>
                        <w:szCs w:val="13"/>
                      </w:rPr>
                    </w:pPr>
                    <w:r w:rsidRPr="00637F9F">
                      <w:rPr>
                        <w:sz w:val="13"/>
                        <w:szCs w:val="13"/>
                      </w:rPr>
                      <w:t>2</w:t>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5F754C9B" wp14:editId="3208CC66">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38D7F1" w14:textId="77777777" w:rsidR="00C56FA9" w:rsidRDefault="00C56FA9"/>
                      </w:txbxContent>
                    </wps:txbx>
                    <wps:bodyPr vert="horz" wrap="square" lIns="0" tIns="0" rIns="0" bIns="0" anchor="t" anchorCtr="0"/>
                  </wps:wsp>
                </a:graphicData>
              </a:graphic>
            </wp:anchor>
          </w:drawing>
        </mc:Choice>
        <mc:Fallback>
          <w:pict>
            <v:shape w14:anchorId="5F754C9B"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138D7F1" w14:textId="77777777" w:rsidR="00C56FA9" w:rsidRDefault="00C56FA9"/>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169622B9" wp14:editId="18BED97E">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92FD285" w14:textId="77777777" w:rsidR="00841314" w:rsidRDefault="002D1108">
                          <w:pPr>
                            <w:pStyle w:val="Referentiegegevens"/>
                          </w:pPr>
                          <w:r>
                            <w:t xml:space="preserve">Pagina </w:t>
                          </w:r>
                          <w:r>
                            <w:fldChar w:fldCharType="begin"/>
                          </w:r>
                          <w:r>
                            <w:instrText>PAGE</w:instrText>
                          </w:r>
                          <w:r>
                            <w:fldChar w:fldCharType="separate"/>
                          </w:r>
                          <w:r w:rsidR="00531E12">
                            <w:rPr>
                              <w:noProof/>
                            </w:rPr>
                            <w:t>1</w:t>
                          </w:r>
                          <w:r>
                            <w:fldChar w:fldCharType="end"/>
                          </w:r>
                          <w:r>
                            <w:t xml:space="preserve"> van </w:t>
                          </w:r>
                          <w:r>
                            <w:fldChar w:fldCharType="begin"/>
                          </w:r>
                          <w:r>
                            <w:instrText>NUMPAGES</w:instrText>
                          </w:r>
                          <w:r>
                            <w:fldChar w:fldCharType="separate"/>
                          </w:r>
                          <w:r w:rsidR="00531E12">
                            <w:rPr>
                              <w:noProof/>
                            </w:rPr>
                            <w:t>1</w:t>
                          </w:r>
                          <w:r>
                            <w:fldChar w:fldCharType="end"/>
                          </w:r>
                        </w:p>
                      </w:txbxContent>
                    </wps:txbx>
                    <wps:bodyPr vert="horz" wrap="square" lIns="0" tIns="0" rIns="0" bIns="0" anchor="t" anchorCtr="0"/>
                  </wps:wsp>
                </a:graphicData>
              </a:graphic>
            </wp:anchor>
          </w:drawing>
        </mc:Choice>
        <mc:Fallback>
          <w:pict>
            <v:shape w14:anchorId="169622B9"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92FD285" w14:textId="77777777" w:rsidR="00841314" w:rsidRDefault="002D1108">
                    <w:pPr>
                      <w:pStyle w:val="Referentiegegevens"/>
                    </w:pPr>
                    <w:r>
                      <w:t xml:space="preserve">Pagina </w:t>
                    </w:r>
                    <w:r>
                      <w:fldChar w:fldCharType="begin"/>
                    </w:r>
                    <w:r>
                      <w:instrText>PAGE</w:instrText>
                    </w:r>
                    <w:r>
                      <w:fldChar w:fldCharType="separate"/>
                    </w:r>
                    <w:r w:rsidR="00531E12">
                      <w:rPr>
                        <w:noProof/>
                      </w:rPr>
                      <w:t>1</w:t>
                    </w:r>
                    <w:r>
                      <w:fldChar w:fldCharType="end"/>
                    </w:r>
                    <w:r>
                      <w:t xml:space="preserve"> van </w:t>
                    </w:r>
                    <w:r>
                      <w:fldChar w:fldCharType="begin"/>
                    </w:r>
                    <w:r>
                      <w:instrText>NUMPAGES</w:instrText>
                    </w:r>
                    <w:r>
                      <w:fldChar w:fldCharType="separate"/>
                    </w:r>
                    <w:r w:rsidR="00531E12">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CAA78C8" wp14:editId="62E891D5">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08B658" w14:textId="77777777" w:rsidR="00841314" w:rsidRDefault="002D1108">
                          <w:pPr>
                            <w:spacing w:line="240" w:lineRule="auto"/>
                          </w:pPr>
                          <w:r>
                            <w:rPr>
                              <w:noProof/>
                            </w:rPr>
                            <w:drawing>
                              <wp:inline distT="0" distB="0" distL="0" distR="0" wp14:anchorId="051ADDE2" wp14:editId="72BED64E">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AA78C8"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108B658" w14:textId="77777777" w:rsidR="00841314" w:rsidRDefault="002D1108">
                    <w:pPr>
                      <w:spacing w:line="240" w:lineRule="auto"/>
                    </w:pPr>
                    <w:r>
                      <w:rPr>
                        <w:noProof/>
                      </w:rPr>
                      <w:drawing>
                        <wp:inline distT="0" distB="0" distL="0" distR="0" wp14:anchorId="051ADDE2" wp14:editId="72BED64E">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0F2F77EA" wp14:editId="2B181630">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132818" w14:textId="77777777" w:rsidR="00841314" w:rsidRDefault="002D1108">
                          <w:pPr>
                            <w:spacing w:line="240" w:lineRule="auto"/>
                          </w:pPr>
                          <w:r>
                            <w:rPr>
                              <w:noProof/>
                            </w:rPr>
                            <w:drawing>
                              <wp:inline distT="0" distB="0" distL="0" distR="0" wp14:anchorId="1E3058D0" wp14:editId="3FCBDB6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2F77EA"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3132818" w14:textId="77777777" w:rsidR="00841314" w:rsidRDefault="002D1108">
                    <w:pPr>
                      <w:spacing w:line="240" w:lineRule="auto"/>
                    </w:pPr>
                    <w:r>
                      <w:rPr>
                        <w:noProof/>
                      </w:rPr>
                      <w:drawing>
                        <wp:inline distT="0" distB="0" distL="0" distR="0" wp14:anchorId="1E3058D0" wp14:editId="3FCBDB6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56180288" wp14:editId="7226061A">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2668C2" w14:textId="77777777" w:rsidR="00841314" w:rsidRDefault="002D110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618028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B2668C2" w14:textId="77777777" w:rsidR="00841314" w:rsidRDefault="002D1108">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BEB4E1"/>
    <w:multiLevelType w:val="multilevel"/>
    <w:tmpl w:val="00A262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CD31723"/>
    <w:multiLevelType w:val="multilevel"/>
    <w:tmpl w:val="BCAD66E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462450BF"/>
    <w:multiLevelType w:val="multilevel"/>
    <w:tmpl w:val="347ABDD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75241376"/>
    <w:multiLevelType w:val="multilevel"/>
    <w:tmpl w:val="E8A3A70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81655995">
    <w:abstractNumId w:val="3"/>
  </w:num>
  <w:num w:numId="2" w16cid:durableId="2099598137">
    <w:abstractNumId w:val="0"/>
  </w:num>
  <w:num w:numId="3" w16cid:durableId="1808425447">
    <w:abstractNumId w:val="1"/>
  </w:num>
  <w:num w:numId="4" w16cid:durableId="647052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314"/>
    <w:rsid w:val="001478B9"/>
    <w:rsid w:val="002D1108"/>
    <w:rsid w:val="00531E12"/>
    <w:rsid w:val="005A71CB"/>
    <w:rsid w:val="005E02EF"/>
    <w:rsid w:val="00637F9F"/>
    <w:rsid w:val="006A6DA4"/>
    <w:rsid w:val="007A1083"/>
    <w:rsid w:val="007D37C5"/>
    <w:rsid w:val="007D5493"/>
    <w:rsid w:val="00841314"/>
    <w:rsid w:val="008861E7"/>
    <w:rsid w:val="00C3483D"/>
    <w:rsid w:val="00C56FA9"/>
    <w:rsid w:val="00CE03C5"/>
    <w:rsid w:val="00DE6DF2"/>
    <w:rsid w:val="00EC2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C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31E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1E12"/>
    <w:rPr>
      <w:rFonts w:ascii="Verdana" w:hAnsi="Verdana"/>
      <w:color w:val="000000"/>
      <w:sz w:val="18"/>
      <w:szCs w:val="18"/>
    </w:rPr>
  </w:style>
  <w:style w:type="paragraph" w:styleId="Voettekst">
    <w:name w:val="footer"/>
    <w:basedOn w:val="Standaard"/>
    <w:link w:val="VoettekstChar"/>
    <w:uiPriority w:val="99"/>
    <w:unhideWhenUsed/>
    <w:rsid w:val="00531E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1E12"/>
    <w:rPr>
      <w:rFonts w:ascii="Verdana" w:hAnsi="Verdana"/>
      <w:color w:val="000000"/>
      <w:sz w:val="18"/>
      <w:szCs w:val="18"/>
    </w:rPr>
  </w:style>
  <w:style w:type="paragraph" w:customStyle="1" w:styleId="broodtekst">
    <w:name w:val="broodtekst"/>
    <w:basedOn w:val="Standaard"/>
    <w:qFormat/>
    <w:rsid w:val="007D5493"/>
    <w:pPr>
      <w:tabs>
        <w:tab w:val="left" w:pos="227"/>
        <w:tab w:val="left" w:pos="454"/>
        <w:tab w:val="left" w:pos="680"/>
      </w:tabs>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712</ap:Words>
  <ap:Characters>3917</ap:Characters>
  <ap:DocSecurity>0</ap:DocSecurity>
  <ap:Lines>32</ap:Lines>
  <ap:Paragraphs>9</ap:Paragraphs>
  <ap:ScaleCrop>false</ap:ScaleCrop>
  <ap:LinksUpToDate>false</ap:LinksUpToDate>
  <ap:CharactersWithSpaces>4620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2026-07-01T07:26:00.0000000Z</dcterms:created>
  <dcterms:modified xsi:type="dcterms:W3CDTF">2026-07-01T07:27:00.0000000Z</dcterms:modified>
  <dc:description>------------------------</dc:description>
  <dc:subject/>
  <keywords/>
  <version/>
  <category/>
</coreProperties>
</file>