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1D86" w:rsidR="008A1D86" w:rsidRDefault="008A1D86" w14:paraId="36022B7C" w14:textId="77777777">
      <w:pPr>
        <w:rPr>
          <w:rFonts w:cs="Times New Roman" w:asciiTheme="minorHAnsi" w:hAnsiTheme="minorHAnsi"/>
          <w:sz w:val="20"/>
          <w:szCs w:val="20"/>
        </w:rPr>
      </w:pPr>
      <w:r w:rsidRPr="008A1D86">
        <w:rPr>
          <w:rFonts w:eastAsia="Verdana" w:cs="Verdana" w:asciiTheme="minorHAnsi" w:hAnsiTheme="minorHAnsi"/>
          <w:b/>
          <w:sz w:val="20"/>
          <w:szCs w:val="20"/>
        </w:rPr>
        <w:t>36 919</w:t>
      </w:r>
      <w:r w:rsidRPr="008A1D86">
        <w:rPr>
          <w:rFonts w:eastAsia="Verdana" w:cs="Verdana" w:asciiTheme="minorHAnsi" w:hAnsiTheme="minorHAnsi"/>
          <w:b/>
          <w:sz w:val="20"/>
          <w:szCs w:val="20"/>
        </w:rPr>
        <w:tab/>
      </w:r>
      <w:r w:rsidRPr="008A1D86">
        <w:rPr>
          <w:rFonts w:eastAsia="Verdana" w:cs="Verdana" w:asciiTheme="minorHAnsi" w:hAnsiTheme="minorHAnsi"/>
          <w:b/>
          <w:sz w:val="20"/>
          <w:szCs w:val="20"/>
        </w:rPr>
        <w:tab/>
      </w:r>
      <w:r w:rsidRPr="008A1D86">
        <w:rPr>
          <w:rFonts w:cs="Times New Roman" w:asciiTheme="minorHAnsi" w:hAnsiTheme="minorHAnsi"/>
          <w:b/>
          <w:bCs/>
          <w:sz w:val="20"/>
          <w:szCs w:val="20"/>
        </w:rPr>
        <w:t>Raming der voor de Tweede Kamer in 2027 benodigde uitgaven, alsmede aanwijzing en raming van de ontvangsten</w:t>
      </w:r>
    </w:p>
    <w:p w:rsidRPr="008A1D86" w:rsidR="003E5BDC" w:rsidRDefault="00B13E7E" w14:paraId="65FAE6D5" w14:textId="67805975">
      <w:pPr>
        <w:spacing w:after="168"/>
        <w:ind w:left="6"/>
        <w:rPr>
          <w:rFonts w:asciiTheme="minorHAnsi" w:hAnsiTheme="minorHAnsi"/>
          <w:sz w:val="20"/>
          <w:szCs w:val="20"/>
        </w:rPr>
      </w:pPr>
      <w:r>
        <w:rPr>
          <w:rFonts w:eastAsia="Verdana" w:cs="Verdana" w:asciiTheme="minorHAnsi" w:hAnsiTheme="minorHAnsi"/>
          <w:b/>
          <w:sz w:val="20"/>
          <w:szCs w:val="20"/>
        </w:rPr>
        <w:t xml:space="preserve">Nr. </w:t>
      </w:r>
      <w:r w:rsidRPr="008A1D86" w:rsidR="008A1D86">
        <w:rPr>
          <w:rFonts w:eastAsia="Verdana" w:cs="Verdana" w:asciiTheme="minorHAnsi" w:hAnsiTheme="minorHAnsi"/>
          <w:b/>
          <w:sz w:val="20"/>
          <w:szCs w:val="20"/>
        </w:rPr>
        <w:tab/>
      </w:r>
      <w:r w:rsidRPr="008A1D86" w:rsidR="008A1D86">
        <w:rPr>
          <w:rFonts w:eastAsia="Verdana" w:cs="Verdana" w:asciiTheme="minorHAnsi" w:hAnsiTheme="minorHAnsi"/>
          <w:b/>
          <w:sz w:val="20"/>
          <w:szCs w:val="20"/>
        </w:rPr>
        <w:tab/>
      </w:r>
      <w:r w:rsidR="00855D2D">
        <w:rPr>
          <w:rFonts w:eastAsia="Verdana" w:cs="Verdana" w:asciiTheme="minorHAnsi" w:hAnsiTheme="minorHAnsi"/>
          <w:b/>
          <w:sz w:val="20"/>
          <w:szCs w:val="20"/>
        </w:rPr>
        <w:t xml:space="preserve">GEWIJZIGDE </w:t>
      </w:r>
      <w:r w:rsidRPr="008A1D86" w:rsidR="008A1D86">
        <w:rPr>
          <w:rFonts w:eastAsia="Verdana" w:cs="Verdana" w:asciiTheme="minorHAnsi" w:hAnsiTheme="minorHAnsi"/>
          <w:b/>
          <w:sz w:val="20"/>
          <w:szCs w:val="20"/>
        </w:rPr>
        <w:t>RAMING VAN DE UITGAVEN EN DE ONTVANGSTEN</w:t>
      </w:r>
      <w:r>
        <w:rPr>
          <w:rStyle w:val="Voetnootmarkering"/>
          <w:rFonts w:eastAsia="Verdana" w:cs="Verdana" w:asciiTheme="minorHAnsi" w:hAnsiTheme="minorHAnsi"/>
          <w:b/>
          <w:sz w:val="20"/>
          <w:szCs w:val="20"/>
        </w:rPr>
        <w:footnoteReference w:id="1"/>
      </w:r>
      <w:r w:rsidR="008A1D86">
        <w:rPr>
          <w:rFonts w:eastAsia="Verdana" w:cs="Verdana" w:asciiTheme="minorHAnsi" w:hAnsiTheme="minorHAnsi"/>
          <w:b/>
          <w:sz w:val="20"/>
          <w:szCs w:val="20"/>
        </w:rPr>
        <w:br/>
      </w:r>
      <w:r w:rsidRPr="008A1D86" w:rsidR="008A1D86">
        <w:rPr>
          <w:rFonts w:eastAsia="Verdana" w:cs="Verdana" w:asciiTheme="minorHAnsi" w:hAnsiTheme="minorHAnsi"/>
          <w:b/>
          <w:sz w:val="20"/>
          <w:szCs w:val="20"/>
        </w:rPr>
        <w:br/>
      </w:r>
      <w:r w:rsidRPr="008A1D86" w:rsidR="008A1D86">
        <w:rPr>
          <w:rFonts w:eastAsia="Verdana" w:cs="Verdana" w:asciiTheme="minorHAnsi" w:hAnsiTheme="minorHAnsi"/>
          <w:b/>
          <w:sz w:val="20"/>
          <w:szCs w:val="20"/>
        </w:rPr>
        <w:br/>
      </w:r>
      <w:r w:rsidRPr="008A1D86" w:rsidR="000A4D44">
        <w:rPr>
          <w:rFonts w:eastAsia="Verdana" w:cs="Verdana" w:asciiTheme="minorHAnsi" w:hAnsiTheme="minorHAnsi"/>
          <w:b/>
          <w:sz w:val="20"/>
          <w:szCs w:val="20"/>
        </w:rPr>
        <w:t>Raming van de uitgaven (bedragen x € 1.000)</w:t>
      </w:r>
    </w:p>
    <w:tbl>
      <w:tblPr>
        <w:tblStyle w:val="TableGrid"/>
        <w:tblW w:w="16162" w:type="dxa"/>
        <w:tblInd w:w="0" w:type="dxa"/>
        <w:tblLook w:val="04A0" w:firstRow="1" w:lastRow="0" w:firstColumn="1" w:lastColumn="0" w:noHBand="0" w:noVBand="1"/>
      </w:tblPr>
      <w:tblGrid>
        <w:gridCol w:w="7824"/>
        <w:gridCol w:w="1232"/>
        <w:gridCol w:w="1263"/>
        <w:gridCol w:w="1247"/>
        <w:gridCol w:w="1248"/>
        <w:gridCol w:w="1247"/>
        <w:gridCol w:w="1247"/>
        <w:gridCol w:w="854"/>
      </w:tblGrid>
      <w:tr w:rsidRPr="008A1D86" w:rsidR="003E5BDC" w14:paraId="4169EAFF" w14:textId="77777777">
        <w:trPr>
          <w:trHeight w:val="219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5767768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artikelnummer + omschrijving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CCFBE8E" w14:textId="77777777">
            <w:pPr>
              <w:ind w:left="38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realisatie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8CE0509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begroting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2A3EDA2" w14:textId="77777777">
            <w:pPr>
              <w:ind w:left="7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Raming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5E01EA4" w14:textId="77777777">
            <w:pPr>
              <w:ind w:left="119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mjc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2045BAA" w14:textId="77777777">
            <w:pPr>
              <w:ind w:left="119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mjc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C3D3351" w14:textId="77777777">
            <w:pPr>
              <w:ind w:left="119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mjc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2E68ADB" w14:textId="77777777">
            <w:pPr>
              <w:ind w:right="5"/>
              <w:jc w:val="righ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mjc</w:t>
            </w:r>
            <w:proofErr w:type="spellEnd"/>
          </w:p>
        </w:tc>
      </w:tr>
      <w:tr w:rsidRPr="008A1D86" w:rsidR="003E5BDC" w14:paraId="68073DE0" w14:textId="77777777">
        <w:trPr>
          <w:trHeight w:val="88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176900A5" w14:textId="77777777">
            <w:pPr>
              <w:ind w:left="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Artikel 2.</w:t>
            </w: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 xml:space="preserve"> </w:t>
            </w: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 xml:space="preserve">Uitgaven ten behoeve van leden en oud-leden Tweede Kamer,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24A82C6" w14:textId="77777777">
            <w:pPr>
              <w:ind w:left="2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asciiTheme="minorHAnsi" w:hAnsiTheme="minorHAnsi"/>
                <w:sz w:val="20"/>
                <w:szCs w:val="20"/>
              </w:rPr>
              <w:t>2025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F87AEAF" w14:textId="77777777">
            <w:pPr>
              <w:ind w:left="2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asciiTheme="minorHAnsi" w:hAnsiTheme="minorHAnsi"/>
                <w:sz w:val="20"/>
                <w:szCs w:val="20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34557BA" w14:textId="77777777">
            <w:pPr>
              <w:ind w:left="1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asciiTheme="minorHAnsi" w:hAnsiTheme="minorHAnsi"/>
                <w:sz w:val="20"/>
                <w:szCs w:val="20"/>
              </w:rPr>
              <w:t>2027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64340A1" w14:textId="77777777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2028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D1333F5" w14:textId="77777777">
            <w:pPr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2029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4BD252F" w14:textId="77777777">
            <w:pPr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2030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7483432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2031</w:t>
            </w:r>
          </w:p>
        </w:tc>
      </w:tr>
      <w:tr w:rsidRPr="008A1D86" w:rsidR="003E5BDC" w14:paraId="09B2B15D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8DDA0CD" w14:textId="77777777">
            <w:pPr>
              <w:ind w:left="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alsmede leden van het Europees Parlement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96EBDEC" w14:textId="77777777">
            <w:pPr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44.288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87904D6" w14:textId="77777777">
            <w:pPr>
              <w:ind w:left="14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53.739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5BB7A7B" w14:textId="77777777">
            <w:pPr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49.922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4569A5F" w14:textId="77777777">
            <w:pPr>
              <w:ind w:left="130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47.773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96D189C" w14:textId="77777777">
            <w:pPr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46.105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955FA4E" w14:textId="77777777">
            <w:pPr>
              <w:ind w:left="130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49.938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2704FCF" w14:textId="77777777">
            <w:pPr>
              <w:ind w:left="130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40.170</w:t>
            </w:r>
          </w:p>
        </w:tc>
      </w:tr>
      <w:tr w:rsidRPr="008A1D86" w:rsidR="003E5BDC" w14:paraId="0B83028B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274AE540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01. Schadeloosstelling, reiskosten en overige kosten*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F497F05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29.544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419ADA8D" w14:textId="77777777">
            <w:pPr>
              <w:ind w:left="230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30.805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6CBF3740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30.805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EB77EE4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30.805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608BFFB7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30.805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5DDF84D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30.805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5F8BA698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30.805</w:t>
            </w:r>
          </w:p>
        </w:tc>
      </w:tr>
      <w:tr w:rsidRPr="008A1D86" w:rsidR="003E5BDC" w14:paraId="66E76125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C05427F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02. Pensioenen en wachtgelden**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0D4DE3A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14.745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15E139C" w14:textId="77777777">
            <w:pPr>
              <w:ind w:left="230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22.934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1233EE2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19.117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0303DA5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16.968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5B998BD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15.300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C257489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19.133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3F486E2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9.365</w:t>
            </w:r>
          </w:p>
        </w:tc>
      </w:tr>
      <w:tr w:rsidRPr="008A1D86" w:rsidR="003E5BDC" w14:paraId="48135EB0" w14:textId="77777777">
        <w:trPr>
          <w:trHeight w:val="581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5586A880" w14:textId="77777777">
            <w:pPr>
              <w:ind w:left="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 xml:space="preserve">Ontvangsten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29FB0B19" w14:textId="77777777">
            <w:pPr>
              <w:ind w:left="6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103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1EE57455" w14:textId="77777777">
            <w:pPr>
              <w:ind w:left="19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63ACA7D6" w14:textId="77777777">
            <w:pPr>
              <w:ind w:left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86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71AF971A" w14:textId="77777777">
            <w:pPr>
              <w:ind w:left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7844C2E4" w14:textId="77777777">
            <w:pPr>
              <w:ind w:left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00F5AE2D" w14:textId="77777777">
            <w:pPr>
              <w:ind w:left="17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86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6C27A5DF" w14:textId="77777777">
            <w:pPr>
              <w:ind w:right="12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86</w:t>
            </w:r>
          </w:p>
        </w:tc>
      </w:tr>
      <w:tr w:rsidRPr="008A1D86" w:rsidR="003E5BDC" w14:paraId="04279C17" w14:textId="77777777">
        <w:trPr>
          <w:trHeight w:val="581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2A2462ED" w14:textId="77777777">
            <w:pPr>
              <w:ind w:left="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Artikel 3.</w:t>
            </w: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 xml:space="preserve"> </w:t>
            </w: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Wetgeving en controle Tweede Kamer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50F3E188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203.169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37200A87" w14:textId="77777777">
            <w:pPr>
              <w:ind w:left="1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219.215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6340BB00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203.506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4552E6A9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202.831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1867BE4F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200.761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5EFC992A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215.256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1B8CD081" w14:textId="7777777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206.018</w:t>
            </w:r>
          </w:p>
        </w:tc>
      </w:tr>
      <w:tr w:rsidRPr="008A1D86" w:rsidR="003E5BDC" w14:paraId="5FE70F14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E9BCCCF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01. Apparaatsuitgaven*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3A0D12B7" w14:textId="77777777">
            <w:pPr>
              <w:ind w:left="101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145.276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2293D784" w14:textId="0EE1A5CC">
            <w:pPr>
              <w:ind w:left="117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15</w:t>
            </w:r>
            <w:r w:rsidR="00C363B7">
              <w:rPr>
                <w:rFonts w:eastAsia="Verdana" w:cs="Verdana" w:asciiTheme="minorHAnsi" w:hAnsiTheme="minorHAnsi"/>
                <w:sz w:val="20"/>
                <w:szCs w:val="20"/>
              </w:rPr>
              <w:t>2.409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1CBF9F0C" w14:textId="01A24739">
            <w:pPr>
              <w:ind w:left="101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14</w:t>
            </w:r>
            <w:r w:rsidR="00C363B7">
              <w:rPr>
                <w:rFonts w:eastAsia="Verdana" w:cs="Verdana" w:asciiTheme="minorHAnsi" w:hAnsiTheme="minorHAnsi"/>
                <w:sz w:val="20"/>
                <w:szCs w:val="20"/>
              </w:rPr>
              <w:t>5.518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E455CC2" w14:textId="49930D74">
            <w:pPr>
              <w:ind w:left="101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</w:t>
            </w:r>
            <w:r w:rsidR="00C363B7">
              <w:rPr>
                <w:rFonts w:eastAsia="Verdana" w:cs="Verdana" w:asciiTheme="minorHAnsi" w:hAnsiTheme="minorHAnsi"/>
                <w:sz w:val="20"/>
                <w:szCs w:val="20"/>
              </w:rPr>
              <w:t>44.273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460470AB" w14:textId="2977FA61">
            <w:pPr>
              <w:ind w:left="101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14</w:t>
            </w:r>
            <w:r w:rsidR="00C363B7">
              <w:rPr>
                <w:rFonts w:eastAsia="Verdana" w:cs="Verdana" w:asciiTheme="minorHAnsi" w:hAnsiTheme="minorHAnsi"/>
                <w:sz w:val="20"/>
                <w:szCs w:val="20"/>
              </w:rPr>
              <w:t>1.633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33632311" w14:textId="7ACD1501">
            <w:pPr>
              <w:ind w:left="101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</w:t>
            </w:r>
            <w:r w:rsidR="00C363B7">
              <w:rPr>
                <w:rFonts w:eastAsia="Verdana" w:cs="Verdana" w:asciiTheme="minorHAnsi" w:hAnsiTheme="minorHAnsi"/>
                <w:sz w:val="20"/>
                <w:szCs w:val="20"/>
              </w:rPr>
              <w:t>51.830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P="00E35DD7" w:rsidRDefault="000A4D44" w14:paraId="7D451FEF" w14:textId="28ABC94A">
            <w:pPr>
              <w:ind w:left="101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14</w:t>
            </w:r>
            <w:r w:rsidR="00C363B7">
              <w:rPr>
                <w:rFonts w:eastAsia="Verdana" w:cs="Verdana" w:asciiTheme="minorHAnsi" w:hAnsiTheme="minorHAnsi"/>
                <w:sz w:val="20"/>
                <w:szCs w:val="20"/>
              </w:rPr>
              <w:t>2.084</w:t>
            </w:r>
          </w:p>
        </w:tc>
      </w:tr>
      <w:tr w:rsidRPr="008A1D86" w:rsidR="003E5BDC" w14:paraId="00167285" w14:textId="77777777">
        <w:trPr>
          <w:trHeight w:val="290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E3A6AD3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02. Kennis en onderzoek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2210474" w14:textId="77777777">
            <w:pPr>
              <w:ind w:left="12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7B4D43F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1.421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F3F4343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1.421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9043B08" w14:textId="77777777">
            <w:pPr>
              <w:ind w:right="6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1.421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25965A4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1.421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A9D2636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1.421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9CFB319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1.421</w:t>
            </w:r>
          </w:p>
        </w:tc>
      </w:tr>
      <w:tr w:rsidRPr="008A1D86" w:rsidR="003E5BDC" w14:paraId="663021FB" w14:textId="77777777">
        <w:trPr>
          <w:trHeight w:val="290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83400C6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03. Publicatie officiële documenten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E0EAF6D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1.808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46CEE0C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2.273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1F5092B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2.273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06D830D" w14:textId="77777777">
            <w:pPr>
              <w:ind w:right="6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2.273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44947B1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2.273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A500D18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2.273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C13299C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2.273</w:t>
            </w:r>
          </w:p>
        </w:tc>
      </w:tr>
      <w:tr w:rsidRPr="008A1D86" w:rsidR="003E5BDC" w14:paraId="6D89DB54" w14:textId="77777777">
        <w:trPr>
          <w:trHeight w:val="291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F9491FE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04. Fractiekosten**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1B1A81F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49.809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78B87D9" w14:textId="6155F485">
            <w:pPr>
              <w:ind w:left="234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5</w:t>
            </w:r>
            <w:r w:rsidR="00C363B7">
              <w:rPr>
                <w:rFonts w:eastAsia="Verdana" w:cs="Verdana" w:asciiTheme="minorHAnsi" w:hAnsiTheme="minorHAnsi"/>
                <w:sz w:val="20"/>
                <w:szCs w:val="20"/>
              </w:rPr>
              <w:t>6.843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C363B7" w14:paraId="3EE780D3" w14:textId="39928DF3">
            <w:pPr>
              <w:ind w:left="2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Verdana" w:cs="Verdana" w:asciiTheme="minorHAnsi" w:hAnsiTheme="minorHAnsi"/>
                <w:sz w:val="20"/>
                <w:szCs w:val="20"/>
              </w:rPr>
              <w:t>51.181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C363B7" w14:paraId="5245F532" w14:textId="465C71E1">
            <w:pPr>
              <w:ind w:left="2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Verdana" w:cs="Verdana" w:asciiTheme="minorHAnsi" w:hAnsiTheme="minorHAnsi"/>
                <w:sz w:val="20"/>
                <w:szCs w:val="20"/>
              </w:rPr>
              <w:t>51.751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59115C" w14:paraId="60DC5122" w14:textId="63898CF8">
            <w:pPr>
              <w:ind w:left="2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Verdana" w:cs="Verdana" w:asciiTheme="minorHAnsi" w:hAnsiTheme="minorHAnsi"/>
                <w:sz w:val="20"/>
                <w:szCs w:val="20"/>
              </w:rPr>
              <w:t>52.321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59115C" w14:paraId="7F217A9C" w14:textId="2EF1E3D5">
            <w:pPr>
              <w:ind w:left="2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Verdana" w:cs="Verdana" w:asciiTheme="minorHAnsi" w:hAnsiTheme="minorHAnsi"/>
                <w:sz w:val="20"/>
                <w:szCs w:val="20"/>
              </w:rPr>
              <w:t>56.619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269BD24" w14:textId="10BE1EC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5</w:t>
            </w:r>
            <w:r w:rsidR="0059115C">
              <w:rPr>
                <w:rFonts w:eastAsia="Verdana" w:cs="Verdana" w:asciiTheme="minorHAnsi" w:hAnsiTheme="minorHAnsi"/>
                <w:sz w:val="20"/>
                <w:szCs w:val="20"/>
              </w:rPr>
              <w:t>7.127</w:t>
            </w:r>
          </w:p>
        </w:tc>
      </w:tr>
      <w:tr w:rsidRPr="008A1D86" w:rsidR="003E5BDC" w14:paraId="54680424" w14:textId="77777777">
        <w:trPr>
          <w:trHeight w:val="291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CB009C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05. Uitzending leden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873A5E7" w14:textId="77777777">
            <w:pPr>
              <w:ind w:left="12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435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7B078DE" w14:textId="77777777">
            <w:pPr>
              <w:ind w:left="12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819B059" w14:textId="77777777">
            <w:pPr>
              <w:ind w:left="11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547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C8EF5AF" w14:textId="77777777">
            <w:pPr>
              <w:ind w:left="11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37432FB" w14:textId="77777777">
            <w:pPr>
              <w:ind w:left="11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BD4C36A" w14:textId="77777777">
            <w:pPr>
              <w:ind w:left="11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547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C5999A4" w14:textId="7777777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547</w:t>
            </w:r>
          </w:p>
        </w:tc>
      </w:tr>
      <w:tr w:rsidRPr="008A1D86" w:rsidR="003E5BDC" w14:paraId="1CEF783F" w14:textId="77777777">
        <w:trPr>
          <w:trHeight w:val="290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573B192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 xml:space="preserve">06. Parlementaire </w:t>
            </w:r>
            <w:proofErr w:type="spellStart"/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enquetes</w:t>
            </w:r>
            <w:proofErr w:type="spellEnd"/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26FF55F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3.035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C25145B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3.156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58AAE8B" w14:textId="77777777">
            <w:pPr>
              <w:ind w:left="33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456C8EA" w14:textId="77777777">
            <w:pPr>
              <w:ind w:left="3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0667840" w14:textId="77777777">
            <w:pPr>
              <w:ind w:left="33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61FEE69" w14:textId="77777777">
            <w:pPr>
              <w:ind w:left="33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20A3712" w14:textId="77777777">
            <w:pPr>
              <w:ind w:right="3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</w:t>
            </w:r>
          </w:p>
        </w:tc>
      </w:tr>
      <w:tr w:rsidRPr="008A1D86" w:rsidR="003E5BDC" w14:paraId="2EF0AF02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9E4C009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 xml:space="preserve">07. Bijdrage aan </w:t>
            </w:r>
            <w:proofErr w:type="spellStart"/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ProDemos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7A7E71F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2.566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F5A5F8A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2.566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90FEB5B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2.566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2C4BAB5" w14:textId="77777777">
            <w:pPr>
              <w:ind w:right="6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2.566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03B7185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2.566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37EC4E6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2.566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51546D44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2.566</w:t>
            </w:r>
          </w:p>
        </w:tc>
      </w:tr>
      <w:tr w:rsidRPr="008A1D86" w:rsidR="003E5BDC" w14:paraId="53BAEEEE" w14:textId="77777777">
        <w:trPr>
          <w:trHeight w:val="567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6276A961" w14:textId="77777777">
            <w:pPr>
              <w:ind w:left="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 xml:space="preserve">Ontvangsten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7D4CDD47" w14:textId="77777777">
            <w:pPr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16.783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08D1F458" w14:textId="77777777">
            <w:pPr>
              <w:ind w:left="27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3.939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799777B5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3.939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42D84D3F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3.939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7F183257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3.939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5E50263F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3.939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A1D86" w:rsidR="003E5BDC" w:rsidRDefault="000A4D44" w14:paraId="43D8156E" w14:textId="77777777">
            <w:pPr>
              <w:ind w:right="12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3.939</w:t>
            </w:r>
          </w:p>
        </w:tc>
      </w:tr>
      <w:tr w:rsidRPr="008A1D86" w:rsidR="003E5BDC" w14:paraId="3AA7010F" w14:textId="77777777">
        <w:trPr>
          <w:trHeight w:val="450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456D15B9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01.</w:t>
            </w:r>
            <w:r w:rsidRPr="008A1D86">
              <w:rPr>
                <w:rFonts w:eastAsia="Times New Roman" w:cs="Times New Roman" w:asciiTheme="minorHAnsi" w:hAnsiTheme="minorHAnsi"/>
                <w:sz w:val="20"/>
                <w:szCs w:val="20"/>
              </w:rPr>
              <w:t xml:space="preserve">  </w:t>
            </w: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Omzet Restaurantbedrijf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04E73E51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1.355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364E5051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56BF150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49158B9D" w14:textId="77777777">
            <w:pPr>
              <w:ind w:right="6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5A99E21F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5C84A22A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1.300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674E1C77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1.300</w:t>
            </w:r>
          </w:p>
        </w:tc>
      </w:tr>
      <w:tr w:rsidRPr="008A1D86" w:rsidR="003E5BDC" w14:paraId="213DF180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3E071A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 xml:space="preserve">02. Diverse ontvangsten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4748E93" w14:textId="77777777">
            <w:pPr>
              <w:ind w:left="21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15.428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68E69C1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2.639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07BEE79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2.639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D787E3D" w14:textId="77777777">
            <w:pPr>
              <w:ind w:right="6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2.639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628F9B50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2.639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A462BE5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2.639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310ED63F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2.639</w:t>
            </w:r>
          </w:p>
        </w:tc>
      </w:tr>
      <w:tr w:rsidRPr="008A1D86" w:rsidR="003E5BDC" w14:paraId="27EB6C32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60668155" w14:textId="77777777">
            <w:pPr>
              <w:ind w:left="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Artikel 4.</w:t>
            </w: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 xml:space="preserve"> </w:t>
            </w: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Wetgeving en controle Eerste en Tweede Kamer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577C7ECE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2.444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5E199860" w14:textId="77777777">
            <w:pPr>
              <w:ind w:left="275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4.703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16F7782A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1.683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2EC99C34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1.683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077A5288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1.683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ABCE480" w14:textId="77777777">
            <w:pPr>
              <w:ind w:left="259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1.683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3B96EC13" w14:textId="77777777">
            <w:pPr>
              <w:ind w:right="12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1.683</w:t>
            </w:r>
          </w:p>
        </w:tc>
      </w:tr>
      <w:tr w:rsidRPr="008A1D86" w:rsidR="003E5BDC" w14:paraId="5152CF07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0DA28519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 xml:space="preserve">03. Interparlementaire betrekkingen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2ED8B5C6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2.444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4AC22E6B" w14:textId="77777777">
            <w:pPr>
              <w:ind w:right="5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4.703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67B8F46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1.683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D342016" w14:textId="77777777">
            <w:pPr>
              <w:ind w:right="6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1.683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3BFB38C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1.683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1C57ED9C" w14:textId="77777777">
            <w:pPr>
              <w:ind w:right="6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1.683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Pr="008A1D86" w:rsidR="003E5BDC" w:rsidRDefault="000A4D44" w14:paraId="744334F0" w14:textId="77777777">
            <w:pPr>
              <w:ind w:right="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sz w:val="20"/>
                <w:szCs w:val="20"/>
              </w:rPr>
              <w:t>1.683</w:t>
            </w:r>
          </w:p>
        </w:tc>
      </w:tr>
      <w:tr w:rsidRPr="008A1D86" w:rsidR="003E5BDC" w14:paraId="24C198F3" w14:textId="77777777">
        <w:trPr>
          <w:trHeight w:val="379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0DD127C" w14:textId="77777777">
            <w:pPr>
              <w:ind w:left="6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 xml:space="preserve">Ontvangsten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6C1B222B" w14:textId="77777777">
            <w:pPr>
              <w:ind w:left="32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67FAC707" w14:textId="77777777">
            <w:pPr>
              <w:ind w:left="32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1AB237AE" w14:textId="77777777">
            <w:pPr>
              <w:ind w:left="3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420EC369" w14:textId="77777777">
            <w:pPr>
              <w:ind w:left="3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4B6B6BA2" w14:textId="77777777">
            <w:pPr>
              <w:ind w:left="3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730D138B" w14:textId="77777777">
            <w:pPr>
              <w:ind w:left="3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A1D86" w:rsidR="003E5BDC" w:rsidRDefault="000A4D44" w14:paraId="57B3B8B3" w14:textId="77777777">
            <w:pPr>
              <w:ind w:right="12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A1D86">
              <w:rPr>
                <w:rFonts w:eastAsia="Verdana" w:cs="Verdana" w:asciiTheme="minorHAnsi" w:hAnsiTheme="minorHAnsi"/>
                <w:b/>
                <w:sz w:val="20"/>
                <w:szCs w:val="20"/>
              </w:rPr>
              <w:t>0</w:t>
            </w:r>
          </w:p>
        </w:tc>
      </w:tr>
    </w:tbl>
    <w:p w:rsidRPr="008A1D86" w:rsidR="003E5BDC" w:rsidRDefault="000A4D44" w14:paraId="321567AA" w14:textId="77777777">
      <w:pPr>
        <w:spacing w:after="25"/>
        <w:rPr>
          <w:rFonts w:asciiTheme="minorHAnsi" w:hAnsiTheme="minorHAnsi"/>
          <w:sz w:val="20"/>
          <w:szCs w:val="20"/>
        </w:rPr>
      </w:pPr>
      <w:r w:rsidRPr="008A1D86">
        <w:rPr>
          <w:rFonts w:eastAsia="Verdana" w:cs="Verdana" w:asciiTheme="minorHAnsi" w:hAnsiTheme="minorHAnsi"/>
          <w:sz w:val="20"/>
          <w:szCs w:val="20"/>
        </w:rPr>
        <w:t>* Inclusief mutaties naar aanleiding van de Voorjaarsnota 2026</w:t>
      </w:r>
    </w:p>
    <w:p w:rsidRPr="008A1D86" w:rsidR="003E5BDC" w:rsidRDefault="000A4D44" w14:paraId="7A369FDF" w14:textId="77777777">
      <w:pPr>
        <w:spacing w:after="0" w:line="255" w:lineRule="auto"/>
        <w:ind w:right="3148"/>
        <w:rPr>
          <w:rFonts w:asciiTheme="minorHAnsi" w:hAnsiTheme="minorHAnsi"/>
          <w:sz w:val="20"/>
          <w:szCs w:val="20"/>
        </w:rPr>
      </w:pPr>
      <w:r w:rsidRPr="008A1D86">
        <w:rPr>
          <w:rFonts w:eastAsia="Verdana" w:cs="Verdana" w:asciiTheme="minorHAnsi" w:hAnsiTheme="minorHAnsi"/>
          <w:sz w:val="20"/>
          <w:szCs w:val="20"/>
        </w:rPr>
        <w:t xml:space="preserve">** De hogere ramingen bij de artikelen 2.2 “pensioenen en wachtgelden” en 3.4 “fractiekosten” in 2028 houden verband met de gevolgen van de te verwachten reguliere Tweede Kamer verkiezingen in 2030 . </w:t>
      </w:r>
    </w:p>
    <w:sectPr w:rsidRPr="008A1D86" w:rsidR="003E5BDC">
      <w:pgSz w:w="22159" w:h="15657" w:orient="landscape"/>
      <w:pgMar w:top="1440" w:right="1440" w:bottom="1440" w:left="137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CF86" w14:textId="77777777" w:rsidR="00A30A5B" w:rsidRDefault="00A30A5B" w:rsidP="00B13E7E">
      <w:pPr>
        <w:spacing w:after="0" w:line="240" w:lineRule="auto"/>
      </w:pPr>
      <w:r>
        <w:separator/>
      </w:r>
    </w:p>
  </w:endnote>
  <w:endnote w:type="continuationSeparator" w:id="0">
    <w:p w14:paraId="39B797B0" w14:textId="77777777" w:rsidR="00A30A5B" w:rsidRDefault="00A30A5B" w:rsidP="00B1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005B" w14:textId="77777777" w:rsidR="00A30A5B" w:rsidRDefault="00A30A5B" w:rsidP="00B13E7E">
      <w:pPr>
        <w:spacing w:after="0" w:line="240" w:lineRule="auto"/>
      </w:pPr>
      <w:r>
        <w:separator/>
      </w:r>
    </w:p>
  </w:footnote>
  <w:footnote w:type="continuationSeparator" w:id="0">
    <w:p w14:paraId="4001D6FC" w14:textId="77777777" w:rsidR="00A30A5B" w:rsidRDefault="00A30A5B" w:rsidP="00B13E7E">
      <w:pPr>
        <w:spacing w:after="0" w:line="240" w:lineRule="auto"/>
      </w:pPr>
      <w:r>
        <w:continuationSeparator/>
      </w:r>
    </w:p>
  </w:footnote>
  <w:footnote w:id="1">
    <w:p w14:paraId="5C5C5628" w14:textId="03F78791" w:rsidR="00B13E7E" w:rsidRPr="001665E1" w:rsidRDefault="00B13E7E">
      <w:pPr>
        <w:pStyle w:val="Voetnoottekst"/>
        <w:rPr>
          <w:rFonts w:ascii="Times New Roman" w:hAnsi="Times New Roman" w:cs="Times New Roman"/>
        </w:rPr>
      </w:pPr>
      <w:r w:rsidRPr="001665E1">
        <w:rPr>
          <w:rStyle w:val="Voetnootmarkering"/>
          <w:rFonts w:ascii="Times New Roman" w:hAnsi="Times New Roman" w:cs="Times New Roman"/>
        </w:rPr>
        <w:footnoteRef/>
      </w:r>
      <w:r w:rsidRPr="001665E1">
        <w:rPr>
          <w:rFonts w:ascii="Times New Roman" w:hAnsi="Times New Roman" w:cs="Times New Roman"/>
        </w:rPr>
        <w:t xml:space="preserve"> Zoals </w:t>
      </w:r>
      <w:r w:rsidR="0065526C">
        <w:rPr>
          <w:rFonts w:ascii="Times New Roman" w:hAnsi="Times New Roman" w:cs="Times New Roman"/>
        </w:rPr>
        <w:t xml:space="preserve">gewijzigd </w:t>
      </w:r>
      <w:r w:rsidRPr="001665E1">
        <w:rPr>
          <w:rFonts w:ascii="Times New Roman" w:hAnsi="Times New Roman" w:cs="Times New Roman"/>
        </w:rPr>
        <w:t xml:space="preserve">vastgesteld in de vergadering van 30 juni 2026.  </w:t>
      </w:r>
      <w:r w:rsidR="001665E1" w:rsidRPr="001665E1">
        <w:rPr>
          <w:rFonts w:ascii="Times New Roman" w:hAnsi="Times New Roman" w:cs="Times New Roman"/>
        </w:rPr>
        <w:t xml:space="preserve">Het ontwerp voor de Raming is daarbij </w:t>
      </w:r>
      <w:r w:rsidRPr="001665E1">
        <w:rPr>
          <w:rFonts w:ascii="Times New Roman" w:hAnsi="Times New Roman" w:cs="Times New Roman"/>
        </w:rPr>
        <w:t xml:space="preserve">gewijzigd door het aangenomen gewijzigd amendement onder </w:t>
      </w:r>
      <w:r w:rsidR="001665E1">
        <w:rPr>
          <w:rFonts w:ascii="Times New Roman" w:hAnsi="Times New Roman" w:cs="Times New Roman"/>
        </w:rPr>
        <w:t>Kamer</w:t>
      </w:r>
      <w:r w:rsidR="001665E1" w:rsidRPr="001665E1">
        <w:rPr>
          <w:rFonts w:ascii="Times New Roman" w:hAnsi="Times New Roman" w:cs="Times New Roman"/>
        </w:rPr>
        <w:t>stuk</w:t>
      </w:r>
      <w:r w:rsidR="001665E1">
        <w:rPr>
          <w:rFonts w:ascii="Times New Roman" w:hAnsi="Times New Roman" w:cs="Times New Roman"/>
        </w:rPr>
        <w:t>ken</w:t>
      </w:r>
      <w:r w:rsidR="001665E1" w:rsidRPr="001665E1">
        <w:rPr>
          <w:rFonts w:ascii="Times New Roman" w:hAnsi="Times New Roman" w:cs="Times New Roman"/>
        </w:rPr>
        <w:t xml:space="preserve"> </w:t>
      </w:r>
      <w:r w:rsidR="001665E1">
        <w:rPr>
          <w:rFonts w:ascii="Times New Roman" w:hAnsi="Times New Roman" w:cs="Times New Roman"/>
        </w:rPr>
        <w:t xml:space="preserve">36919 </w:t>
      </w:r>
      <w:r w:rsidRPr="001665E1">
        <w:rPr>
          <w:rFonts w:ascii="Times New Roman" w:hAnsi="Times New Roman" w:cs="Times New Roman"/>
        </w:rPr>
        <w:t>nr. 22</w:t>
      </w:r>
      <w:r w:rsidR="001665E1" w:rsidRPr="001665E1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DC"/>
    <w:rsid w:val="000A4D44"/>
    <w:rsid w:val="001665E1"/>
    <w:rsid w:val="00176D54"/>
    <w:rsid w:val="003246A1"/>
    <w:rsid w:val="003E5BDC"/>
    <w:rsid w:val="0059115C"/>
    <w:rsid w:val="0065526C"/>
    <w:rsid w:val="00855D2D"/>
    <w:rsid w:val="008842D2"/>
    <w:rsid w:val="008A1D86"/>
    <w:rsid w:val="00A30A5B"/>
    <w:rsid w:val="00A84F5D"/>
    <w:rsid w:val="00AE0648"/>
    <w:rsid w:val="00B13E7E"/>
    <w:rsid w:val="00BD135C"/>
    <w:rsid w:val="00C363B7"/>
    <w:rsid w:val="00E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8B52"/>
  <w15:docId w15:val="{7D4832F8-9660-4200-8AA0-D6879C13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855D2D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13E7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13E7E"/>
    <w:rPr>
      <w:rFonts w:ascii="Calibri" w:eastAsia="Calibri" w:hAnsi="Calibri" w:cs="Calibri"/>
      <w:color w:val="000000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13E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300</ap:Words>
  <ap:Characters>1651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2026-07-01T13:14:00.0000000Z</lastPrinted>
  <dcterms:created xsi:type="dcterms:W3CDTF">2026-07-01T13:22:00.0000000Z</dcterms:created>
  <dcterms:modified xsi:type="dcterms:W3CDTF">2026-07-01T13:22:00.0000000Z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