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133E5E" w:rsidP="00A80741" w14:paraId="3FD72ADC" w14:textId="77777777">
      <w:bookmarkStart w:name="_Hlk232416659" w:id="0"/>
      <w:bookmarkStart w:name="_Hlk232150023" w:id="1"/>
      <w:r>
        <w:t xml:space="preserve">Iedereen verdient een eigen thuis. </w:t>
      </w:r>
      <w:r w:rsidR="00A80741">
        <w:t xml:space="preserve">Het kabinet wil </w:t>
      </w:r>
      <w:r>
        <w:t xml:space="preserve">daarom </w:t>
      </w:r>
      <w:r w:rsidR="00A80741">
        <w:t xml:space="preserve">meer, sneller en betaalbaar bouwen. </w:t>
      </w:r>
      <w:r w:rsidR="00C601B8">
        <w:t>Het is daarbij</w:t>
      </w:r>
      <w:r>
        <w:t xml:space="preserve"> van belang te monitoren hoe de woningmarkt in Nederland zich ontwikkelt. Daartoe deel ik </w:t>
      </w:r>
      <w:r w:rsidR="00A80741">
        <w:t xml:space="preserve">met uw Kamer de uitkomsten van de </w:t>
      </w:r>
      <w:r>
        <w:t xml:space="preserve">jaarlijkse </w:t>
      </w:r>
      <w:r w:rsidR="00A80741">
        <w:t xml:space="preserve">regionale bevolkings- huishoudensprognose </w:t>
      </w:r>
      <w:r w:rsidR="00A80741">
        <w:t>Primos</w:t>
      </w:r>
      <w:r w:rsidR="00A80741">
        <w:t xml:space="preserve"> (ABF Research</w:t>
      </w:r>
      <w:r>
        <w:t>), de ‘Landelijke Monitor Voortgang Woningbouw’ (LMVW, voorjaar 2026) en de ‘</w:t>
      </w:r>
      <w:r w:rsidRPr="005925FB">
        <w:rPr>
          <w:rFonts w:eastAsia="Times New Roman"/>
        </w:rPr>
        <w:t xml:space="preserve">Toelichting </w:t>
      </w:r>
      <w:r>
        <w:rPr>
          <w:rFonts w:eastAsia="Times New Roman"/>
        </w:rPr>
        <w:t xml:space="preserve">op de </w:t>
      </w:r>
      <w:r w:rsidRPr="005925FB">
        <w:rPr>
          <w:rFonts w:eastAsia="Times New Roman"/>
        </w:rPr>
        <w:t>herijking</w:t>
      </w:r>
      <w:r>
        <w:rPr>
          <w:rFonts w:eastAsia="Times New Roman"/>
        </w:rPr>
        <w:t>sopgave</w:t>
      </w:r>
      <w:r w:rsidRPr="005925FB">
        <w:rPr>
          <w:rFonts w:eastAsia="Times New Roman"/>
        </w:rPr>
        <w:t xml:space="preserve"> woondeal</w:t>
      </w:r>
      <w:r>
        <w:rPr>
          <w:rFonts w:eastAsia="Times New Roman"/>
        </w:rPr>
        <w:t>s tot en met 2036</w:t>
      </w:r>
      <w:r>
        <w:t xml:space="preserve">’. </w:t>
      </w:r>
    </w:p>
    <w:p w:rsidR="00A80741" w:rsidP="00A80741" w14:paraId="3C942213" w14:textId="77777777"/>
    <w:p w:rsidR="00133E5E" w:rsidP="00133E5E" w14:paraId="19EBF8D0" w14:textId="77777777">
      <w:pPr>
        <w:rPr>
          <w:rFonts w:eastAsia="Times New Roman"/>
        </w:rPr>
      </w:pPr>
      <w:r>
        <w:rPr>
          <w:rFonts w:eastAsia="Times New Roman"/>
        </w:rPr>
        <w:t xml:space="preserve">Uit de prognose van ABF Research blijkt </w:t>
      </w:r>
      <w:r w:rsidRPr="003E700A">
        <w:rPr>
          <w:rFonts w:eastAsia="Times New Roman"/>
        </w:rPr>
        <w:t xml:space="preserve">dat het woningtekort </w:t>
      </w:r>
      <w:r>
        <w:rPr>
          <w:rFonts w:eastAsia="Times New Roman"/>
        </w:rPr>
        <w:t xml:space="preserve">voor het tweede jaar op rij is </w:t>
      </w:r>
      <w:r w:rsidRPr="003E700A">
        <w:rPr>
          <w:rFonts w:eastAsia="Times New Roman"/>
        </w:rPr>
        <w:t>gedaald</w:t>
      </w:r>
      <w:r>
        <w:rPr>
          <w:rFonts w:eastAsia="Times New Roman"/>
        </w:rPr>
        <w:t xml:space="preserve">: </w:t>
      </w:r>
      <w:r w:rsidR="00531F52">
        <w:rPr>
          <w:rFonts w:eastAsia="Times New Roman"/>
        </w:rPr>
        <w:t xml:space="preserve">dit jaar van </w:t>
      </w:r>
      <w:r>
        <w:rPr>
          <w:rFonts w:eastAsia="Times New Roman"/>
        </w:rPr>
        <w:t>4,8 procent in 2025 naar 4,6 procent</w:t>
      </w:r>
      <w:r w:rsidR="00541B5A">
        <w:rPr>
          <w:rFonts w:eastAsia="Times New Roman"/>
        </w:rPr>
        <w:t xml:space="preserve"> </w:t>
      </w:r>
      <w:r w:rsidR="00531F52">
        <w:rPr>
          <w:rFonts w:eastAsia="Times New Roman"/>
        </w:rPr>
        <w:t>in 2026</w:t>
      </w:r>
      <w:r>
        <w:rPr>
          <w:rFonts w:eastAsia="Times New Roman"/>
        </w:rPr>
        <w:t>.</w:t>
      </w:r>
      <w:r w:rsidRPr="003E700A">
        <w:rPr>
          <w:rFonts w:eastAsia="Times New Roman"/>
        </w:rPr>
        <w:t xml:space="preserve"> </w:t>
      </w:r>
      <w:r>
        <w:rPr>
          <w:rFonts w:eastAsia="Times New Roman"/>
        </w:rPr>
        <w:t xml:space="preserve">ABF </w:t>
      </w:r>
      <w:r w:rsidR="00ED4682">
        <w:rPr>
          <w:rFonts w:eastAsia="Times New Roman"/>
        </w:rPr>
        <w:t xml:space="preserve">Research </w:t>
      </w:r>
      <w:r w:rsidR="00177BA9">
        <w:rPr>
          <w:rFonts w:eastAsia="Times New Roman"/>
        </w:rPr>
        <w:t xml:space="preserve">verwacht </w:t>
      </w:r>
      <w:r>
        <w:rPr>
          <w:rFonts w:eastAsia="Times New Roman"/>
        </w:rPr>
        <w:t>dat het tekort gestaag blijft afnemen.</w:t>
      </w:r>
      <w:r>
        <w:rPr>
          <w:rFonts w:eastAsia="Times New Roman"/>
        </w:rPr>
        <w:t xml:space="preserve"> </w:t>
      </w:r>
      <w:r w:rsidR="00ED4682">
        <w:rPr>
          <w:rFonts w:eastAsia="Times New Roman"/>
        </w:rPr>
        <w:t>Daarnaast</w:t>
      </w:r>
      <w:r>
        <w:rPr>
          <w:rFonts w:eastAsia="Times New Roman"/>
        </w:rPr>
        <w:t xml:space="preserve"> </w:t>
      </w:r>
      <w:r w:rsidR="00C601B8">
        <w:rPr>
          <w:rFonts w:eastAsia="Times New Roman"/>
        </w:rPr>
        <w:t>verwacht</w:t>
      </w:r>
      <w:r>
        <w:rPr>
          <w:rFonts w:eastAsia="Times New Roman"/>
        </w:rPr>
        <w:t xml:space="preserve"> ABF </w:t>
      </w:r>
      <w:r w:rsidR="00ED4682">
        <w:rPr>
          <w:rFonts w:eastAsia="Times New Roman"/>
        </w:rPr>
        <w:t xml:space="preserve">Research </w:t>
      </w:r>
      <w:r>
        <w:rPr>
          <w:rFonts w:eastAsia="Times New Roman"/>
        </w:rPr>
        <w:t>dat er in 2027 100.000 woningen gerealiseerd kunnen worden. Dat zou voor het eerst sinds 1990</w:t>
      </w:r>
      <w:r>
        <w:rPr>
          <w:rStyle w:val="FootnoteReference"/>
          <w:rFonts w:eastAsia="Times New Roman"/>
        </w:rPr>
        <w:footnoteReference w:id="2"/>
      </w:r>
      <w:r w:rsidR="0043356F">
        <w:rPr>
          <w:rFonts w:eastAsia="Times New Roman"/>
        </w:rPr>
        <w:t xml:space="preserve"> zijn</w:t>
      </w:r>
      <w:r>
        <w:rPr>
          <w:rFonts w:eastAsia="Times New Roman"/>
        </w:rPr>
        <w:t xml:space="preserve">. Een doorbraak. Om </w:t>
      </w:r>
      <w:r w:rsidR="0043356F">
        <w:rPr>
          <w:rFonts w:eastAsia="Times New Roman"/>
        </w:rPr>
        <w:t>deze prognose om te zetten in resulta</w:t>
      </w:r>
      <w:r w:rsidR="001361E8">
        <w:rPr>
          <w:rFonts w:eastAsia="Times New Roman"/>
        </w:rPr>
        <w:t>ten</w:t>
      </w:r>
      <w:r w:rsidR="0043356F">
        <w:rPr>
          <w:rFonts w:eastAsia="Times New Roman"/>
        </w:rPr>
        <w:t>, moe</w:t>
      </w:r>
      <w:r>
        <w:rPr>
          <w:rFonts w:eastAsia="Times New Roman"/>
        </w:rPr>
        <w:t>ten</w:t>
      </w:r>
      <w:r w:rsidR="0043356F">
        <w:rPr>
          <w:rFonts w:eastAsia="Times New Roman"/>
        </w:rPr>
        <w:t xml:space="preserve"> </w:t>
      </w:r>
      <w:r w:rsidR="00C601B8">
        <w:rPr>
          <w:rFonts w:eastAsia="Times New Roman"/>
        </w:rPr>
        <w:t xml:space="preserve">de komende tijd </w:t>
      </w:r>
      <w:r w:rsidR="00ED4682">
        <w:rPr>
          <w:rFonts w:eastAsia="Times New Roman"/>
        </w:rPr>
        <w:t>a</w:t>
      </w:r>
      <w:r>
        <w:rPr>
          <w:rFonts w:eastAsia="Times New Roman"/>
        </w:rPr>
        <w:t xml:space="preserve">lle krachten </w:t>
      </w:r>
      <w:r w:rsidR="00C601B8">
        <w:rPr>
          <w:rFonts w:eastAsia="Times New Roman"/>
        </w:rPr>
        <w:t>gebundeld worden</w:t>
      </w:r>
      <w:r w:rsidR="0043356F">
        <w:rPr>
          <w:rFonts w:eastAsia="Times New Roman"/>
        </w:rPr>
        <w:t>.</w:t>
      </w:r>
    </w:p>
    <w:p w:rsidR="00177BA9" w:rsidP="00133E5E" w14:paraId="0CB50919" w14:textId="77777777">
      <w:pPr>
        <w:rPr>
          <w:rFonts w:eastAsia="Times New Roman"/>
        </w:rPr>
      </w:pPr>
    </w:p>
    <w:p w:rsidR="00177BA9" w:rsidP="00177BA9" w14:paraId="182ACD24" w14:textId="77777777">
      <w:r>
        <w:t xml:space="preserve">Naast het </w:t>
      </w:r>
      <w:r>
        <w:t>Primos</w:t>
      </w:r>
      <w:r>
        <w:t>-rapport bied ik u de ‘Landelijke Monitor Voortgang Woningbouw’ (LMVW, voorjaar 2026) aan, met inzicht in de beschikbare plancapaciteit.</w:t>
      </w:r>
      <w:r>
        <w:rPr>
          <w:rFonts w:eastAsia="Times New Roman"/>
        </w:rPr>
        <w:t xml:space="preserve"> Daaruit blijkt dat er genoeg</w:t>
      </w:r>
      <w:r w:rsidRPr="003E700A">
        <w:rPr>
          <w:rFonts w:eastAsia="Times New Roman"/>
        </w:rPr>
        <w:t xml:space="preserve"> plancapaciteit</w:t>
      </w:r>
      <w:r>
        <w:rPr>
          <w:rFonts w:eastAsia="Times New Roman"/>
        </w:rPr>
        <w:t xml:space="preserve"> is</w:t>
      </w:r>
      <w:r w:rsidRPr="003E700A">
        <w:rPr>
          <w:rFonts w:eastAsia="Times New Roman"/>
        </w:rPr>
        <w:t xml:space="preserve"> </w:t>
      </w:r>
      <w:r>
        <w:rPr>
          <w:rFonts w:eastAsia="Times New Roman"/>
        </w:rPr>
        <w:t>om jaarlijks</w:t>
      </w:r>
      <w:r w:rsidR="00C601B8">
        <w:rPr>
          <w:rFonts w:eastAsia="Times New Roman"/>
        </w:rPr>
        <w:t xml:space="preserve"> </w:t>
      </w:r>
      <w:r>
        <w:rPr>
          <w:rFonts w:eastAsia="Times New Roman"/>
        </w:rPr>
        <w:t>100.000 woningen te bouwen.</w:t>
      </w:r>
      <w:r w:rsidRPr="00225330">
        <w:rPr>
          <w:rFonts w:eastAsia="Times New Roman"/>
        </w:rPr>
        <w:t xml:space="preserve"> </w:t>
      </w:r>
      <w:r>
        <w:rPr>
          <w:rFonts w:eastAsia="Times New Roman"/>
        </w:rPr>
        <w:t>Voor e</w:t>
      </w:r>
      <w:r w:rsidRPr="00BD6B99">
        <w:rPr>
          <w:rFonts w:eastAsia="Times New Roman"/>
        </w:rPr>
        <w:t xml:space="preserve">en deel van deze bouwplannen </w:t>
      </w:r>
      <w:r>
        <w:rPr>
          <w:rFonts w:eastAsia="Times New Roman"/>
        </w:rPr>
        <w:t>moet</w:t>
      </w:r>
      <w:r w:rsidR="001361E8">
        <w:rPr>
          <w:rFonts w:eastAsia="Times New Roman"/>
        </w:rPr>
        <w:t xml:space="preserve">en </w:t>
      </w:r>
      <w:r>
        <w:rPr>
          <w:rFonts w:eastAsia="Times New Roman"/>
        </w:rPr>
        <w:t>gemeenterad</w:t>
      </w:r>
      <w:r w:rsidR="001361E8">
        <w:rPr>
          <w:rFonts w:eastAsia="Times New Roman"/>
        </w:rPr>
        <w:t>en</w:t>
      </w:r>
      <w:r>
        <w:rPr>
          <w:rFonts w:eastAsia="Times New Roman"/>
        </w:rPr>
        <w:t xml:space="preserve"> de wijziging van het omgevingsplan nog vaststellen.</w:t>
      </w:r>
      <w:r w:rsidRPr="00BD6B99">
        <w:rPr>
          <w:rFonts w:eastAsia="Times New Roman"/>
        </w:rPr>
        <w:t xml:space="preserve"> Vanuit </w:t>
      </w:r>
      <w:r w:rsidR="00ED4682">
        <w:rPr>
          <w:rFonts w:eastAsia="Times New Roman"/>
        </w:rPr>
        <w:t>het kabinet</w:t>
      </w:r>
      <w:r w:rsidRPr="00BD6B99">
        <w:rPr>
          <w:rFonts w:eastAsia="Times New Roman"/>
        </w:rPr>
        <w:t xml:space="preserve"> ondersteunen wij gemeenten om dit zo spoedig mogelijk</w:t>
      </w:r>
      <w:r>
        <w:rPr>
          <w:rFonts w:eastAsia="Times New Roman"/>
        </w:rPr>
        <w:t xml:space="preserve"> te</w:t>
      </w:r>
      <w:r w:rsidRPr="00BD6B99">
        <w:rPr>
          <w:rFonts w:eastAsia="Times New Roman"/>
        </w:rPr>
        <w:t xml:space="preserve"> </w:t>
      </w:r>
      <w:r>
        <w:rPr>
          <w:rFonts w:eastAsia="Times New Roman"/>
        </w:rPr>
        <w:t xml:space="preserve">realiseren. </w:t>
      </w:r>
      <w:r>
        <w:rPr>
          <w:rFonts w:eastAsia="Times New Roman"/>
        </w:rPr>
        <w:br/>
      </w:r>
    </w:p>
    <w:p w:rsidR="00177BA9" w:rsidP="00133E5E" w14:paraId="3D0C9560" w14:textId="77777777">
      <w:pPr>
        <w:rPr>
          <w:rFonts w:eastAsia="Times New Roman"/>
        </w:rPr>
      </w:pPr>
      <w:r>
        <w:t>Tot slot ontvangt u de ‘</w:t>
      </w:r>
      <w:r w:rsidRPr="005925FB">
        <w:rPr>
          <w:rFonts w:eastAsia="Times New Roman"/>
        </w:rPr>
        <w:t xml:space="preserve">Toelichting </w:t>
      </w:r>
      <w:r>
        <w:rPr>
          <w:rFonts w:eastAsia="Times New Roman"/>
        </w:rPr>
        <w:t xml:space="preserve">op de </w:t>
      </w:r>
      <w:r w:rsidRPr="005925FB">
        <w:rPr>
          <w:rFonts w:eastAsia="Times New Roman"/>
        </w:rPr>
        <w:t>herijking</w:t>
      </w:r>
      <w:r>
        <w:rPr>
          <w:rFonts w:eastAsia="Times New Roman"/>
        </w:rPr>
        <w:t>sopgave</w:t>
      </w:r>
      <w:r w:rsidRPr="005925FB">
        <w:rPr>
          <w:rFonts w:eastAsia="Times New Roman"/>
        </w:rPr>
        <w:t xml:space="preserve"> woondeal</w:t>
      </w:r>
      <w:r>
        <w:rPr>
          <w:rFonts w:eastAsia="Times New Roman"/>
        </w:rPr>
        <w:t>s tot en met 2036</w:t>
      </w:r>
      <w:r>
        <w:t>’ waarin de woningbouwopgave regionaal is vertaald.</w:t>
      </w:r>
      <w:r w:rsidRPr="003E700A">
        <w:rPr>
          <w:rFonts w:eastAsia="Times New Roman"/>
        </w:rPr>
        <w:t xml:space="preserve"> </w:t>
      </w:r>
      <w:r>
        <w:rPr>
          <w:rFonts w:eastAsia="Times New Roman"/>
        </w:rPr>
        <w:t xml:space="preserve">Dit rapport dient als het startpunt voor de gesprekken met provincies en gemeenten over de actualisatie van de woondeals tot en met 2036. </w:t>
      </w:r>
      <w:r w:rsidR="001361E8">
        <w:rPr>
          <w:rFonts w:eastAsia="Times New Roman"/>
        </w:rPr>
        <w:t>H</w:t>
      </w:r>
      <w:r>
        <w:rPr>
          <w:rFonts w:eastAsia="Times New Roman"/>
        </w:rPr>
        <w:t xml:space="preserve">ieronder </w:t>
      </w:r>
      <w:r w:rsidR="001361E8">
        <w:rPr>
          <w:rFonts w:eastAsia="Times New Roman"/>
        </w:rPr>
        <w:t xml:space="preserve">licht ik alle bovenstaande punten </w:t>
      </w:r>
      <w:r w:rsidR="001F1394">
        <w:rPr>
          <w:rFonts w:eastAsia="Times New Roman"/>
        </w:rPr>
        <w:t xml:space="preserve">en uitdagingen </w:t>
      </w:r>
      <w:r>
        <w:rPr>
          <w:rFonts w:eastAsia="Times New Roman"/>
        </w:rPr>
        <w:t xml:space="preserve">nader toe, </w:t>
      </w:r>
      <w:r w:rsidR="00C601B8">
        <w:rPr>
          <w:rFonts w:eastAsia="Times New Roman"/>
        </w:rPr>
        <w:t>ook</w:t>
      </w:r>
      <w:r>
        <w:rPr>
          <w:rFonts w:eastAsia="Times New Roman"/>
        </w:rPr>
        <w:t xml:space="preserve"> ga ik kort in op enkele demografische ontwikkelingen. </w:t>
      </w:r>
    </w:p>
    <w:p w:rsidR="00A80741" w:rsidP="00A80741" w14:paraId="26CB5FAA" w14:textId="77777777">
      <w:pPr>
        <w:rPr>
          <w:rFonts w:eastAsia="Times New Roman"/>
        </w:rPr>
      </w:pPr>
    </w:p>
    <w:bookmarkEnd w:id="0"/>
    <w:p w:rsidRPr="004E5BFB" w:rsidR="00211014" w:rsidP="00211014" w14:paraId="6321C3CA" w14:textId="77777777">
      <w:pPr>
        <w:rPr>
          <w:rFonts w:eastAsia="Times New Roman"/>
          <w:b/>
          <w:bCs/>
        </w:rPr>
      </w:pPr>
      <w:r>
        <w:rPr>
          <w:rFonts w:eastAsia="Times New Roman"/>
          <w:b/>
          <w:bCs/>
        </w:rPr>
        <w:t>Gezamenlijk i</w:t>
      </w:r>
      <w:r w:rsidRPr="0005365A">
        <w:rPr>
          <w:rFonts w:eastAsia="Times New Roman"/>
          <w:b/>
          <w:bCs/>
        </w:rPr>
        <w:t>nzet</w:t>
      </w:r>
      <w:r>
        <w:rPr>
          <w:rFonts w:eastAsia="Times New Roman"/>
          <w:b/>
          <w:bCs/>
        </w:rPr>
        <w:t>ten</w:t>
      </w:r>
      <w:r w:rsidRPr="0005365A">
        <w:rPr>
          <w:rFonts w:eastAsia="Times New Roman"/>
          <w:b/>
          <w:bCs/>
        </w:rPr>
        <w:t xml:space="preserve"> op </w:t>
      </w:r>
      <w:r>
        <w:rPr>
          <w:rFonts w:eastAsia="Times New Roman"/>
          <w:b/>
          <w:bCs/>
        </w:rPr>
        <w:t>woningbouw</w:t>
      </w:r>
      <w:r w:rsidRPr="004E5BFB">
        <w:rPr>
          <w:rFonts w:eastAsia="Times New Roman"/>
          <w:b/>
          <w:bCs/>
        </w:rPr>
        <w:t xml:space="preserve"> </w:t>
      </w:r>
    </w:p>
    <w:p w:rsidR="001361E8" w:rsidP="003043D6" w14:paraId="2160FDB8" w14:textId="77777777">
      <w:pPr>
        <w:rPr>
          <w:rFonts w:eastAsia="Times New Roman"/>
        </w:rPr>
      </w:pPr>
      <w:r>
        <w:t>ABF Research verwacht dat - o</w:t>
      </w:r>
      <w:r w:rsidR="003043D6">
        <w:t>p basis van verschillende indicatoren zoals de in het recente verleden afgegeven bouwvergunningen</w:t>
      </w:r>
      <w:r>
        <w:t xml:space="preserve"> -</w:t>
      </w:r>
      <w:r w:rsidR="003043D6">
        <w:t xml:space="preserve"> </w:t>
      </w:r>
      <w:r w:rsidR="003043D6">
        <w:rPr>
          <w:rFonts w:eastAsia="Times New Roman"/>
        </w:rPr>
        <w:t>er</w:t>
      </w:r>
      <w:r w:rsidRPr="00736272" w:rsidR="003043D6">
        <w:rPr>
          <w:rFonts w:eastAsia="Times New Roman"/>
        </w:rPr>
        <w:t xml:space="preserve"> in 2027 </w:t>
      </w:r>
      <w:r w:rsidR="004166E9">
        <w:rPr>
          <w:rFonts w:eastAsia="Times New Roman"/>
        </w:rPr>
        <w:t xml:space="preserve">bijna </w:t>
      </w:r>
      <w:r w:rsidRPr="00736272" w:rsidR="003043D6">
        <w:rPr>
          <w:rFonts w:eastAsia="Times New Roman"/>
        </w:rPr>
        <w:t xml:space="preserve">100.000 </w:t>
      </w:r>
      <w:r w:rsidR="00D33F57">
        <w:rPr>
          <w:rFonts w:eastAsia="Times New Roman"/>
        </w:rPr>
        <w:t xml:space="preserve">(99.700) </w:t>
      </w:r>
      <w:r w:rsidRPr="00736272" w:rsidR="003043D6">
        <w:rPr>
          <w:rFonts w:eastAsia="Times New Roman"/>
        </w:rPr>
        <w:t xml:space="preserve">woningen gerealiseerd kunnen worden. </w:t>
      </w:r>
      <w:r>
        <w:rPr>
          <w:rFonts w:eastAsia="Times New Roman"/>
        </w:rPr>
        <w:t xml:space="preserve">Een belangrijke mijlpaal en goed nieuws voor alle woningzoekenden. </w:t>
      </w:r>
      <w:r>
        <w:rPr>
          <w:rFonts w:eastAsia="Times New Roman"/>
        </w:rPr>
        <w:t>Al m</w:t>
      </w:r>
      <w:r>
        <w:rPr>
          <w:rFonts w:eastAsia="Times New Roman"/>
        </w:rPr>
        <w:t>ijn inspanningen zijn erop gericht om de jaarlijkse bouw van 100.000 woningen</w:t>
      </w:r>
      <w:r>
        <w:rPr>
          <w:rFonts w:eastAsia="Times New Roman"/>
        </w:rPr>
        <w:t xml:space="preserve"> te halen en vervolgens</w:t>
      </w:r>
      <w:r>
        <w:rPr>
          <w:rFonts w:eastAsia="Times New Roman"/>
        </w:rPr>
        <w:t xml:space="preserve"> langdurig vast te houden. Het is daarom nodig dat we voortvarend knelpunten </w:t>
      </w:r>
      <w:r w:rsidR="004B796F">
        <w:rPr>
          <w:rFonts w:eastAsia="Times New Roman"/>
        </w:rPr>
        <w:t>zo</w:t>
      </w:r>
      <w:r>
        <w:rPr>
          <w:rFonts w:eastAsia="Times New Roman"/>
        </w:rPr>
        <w:t>als netcongestie</w:t>
      </w:r>
      <w:r w:rsidR="004B796F">
        <w:rPr>
          <w:rFonts w:eastAsia="Times New Roman"/>
        </w:rPr>
        <w:t>, stikstof en lange procedures</w:t>
      </w:r>
      <w:r w:rsidR="00ED4682">
        <w:rPr>
          <w:rFonts w:eastAsia="Times New Roman"/>
        </w:rPr>
        <w:t xml:space="preserve"> </w:t>
      </w:r>
      <w:r>
        <w:rPr>
          <w:rFonts w:eastAsia="Times New Roman"/>
        </w:rPr>
        <w:t xml:space="preserve">aanpakken en alles op alles zetten om </w:t>
      </w:r>
      <w:r>
        <w:rPr>
          <w:rFonts w:eastAsia="Times New Roman"/>
        </w:rPr>
        <w:t xml:space="preserve">in Nederland </w:t>
      </w:r>
      <w:r>
        <w:rPr>
          <w:rFonts w:eastAsia="Times New Roman"/>
        </w:rPr>
        <w:t xml:space="preserve">meer, sneller en beter te bouwen. </w:t>
      </w:r>
    </w:p>
    <w:p w:rsidR="001361E8" w:rsidP="003043D6" w14:paraId="20F22D73" w14:textId="77777777">
      <w:pPr>
        <w:rPr>
          <w:rFonts w:eastAsia="Times New Roman"/>
        </w:rPr>
      </w:pPr>
    </w:p>
    <w:p w:rsidR="003043D6" w:rsidP="003043D6" w14:paraId="05C651B3" w14:textId="77777777">
      <w:pPr>
        <w:rPr>
          <w:rFonts w:eastAsia="Times New Roman"/>
        </w:rPr>
      </w:pPr>
      <w:r>
        <w:rPr>
          <w:rFonts w:eastAsia="Times New Roman"/>
        </w:rPr>
        <w:t xml:space="preserve">In haar prognose verwacht </w:t>
      </w:r>
      <w:r w:rsidRPr="00736272">
        <w:rPr>
          <w:rFonts w:eastAsia="Times New Roman"/>
        </w:rPr>
        <w:t>ABF</w:t>
      </w:r>
      <w:r>
        <w:rPr>
          <w:rFonts w:eastAsia="Times New Roman"/>
        </w:rPr>
        <w:t xml:space="preserve"> Research</w:t>
      </w:r>
      <w:r w:rsidRPr="00736272">
        <w:rPr>
          <w:rFonts w:eastAsia="Times New Roman"/>
        </w:rPr>
        <w:t xml:space="preserve"> dat </w:t>
      </w:r>
      <w:r>
        <w:rPr>
          <w:rFonts w:eastAsia="Times New Roman"/>
        </w:rPr>
        <w:t xml:space="preserve">na 2027 </w:t>
      </w:r>
      <w:r w:rsidRPr="00736272">
        <w:rPr>
          <w:rFonts w:eastAsia="Times New Roman"/>
        </w:rPr>
        <w:t xml:space="preserve">de productie </w:t>
      </w:r>
      <w:r>
        <w:rPr>
          <w:rFonts w:eastAsia="Times New Roman"/>
        </w:rPr>
        <w:t xml:space="preserve">weer </w:t>
      </w:r>
      <w:r w:rsidRPr="00736272">
        <w:rPr>
          <w:rFonts w:eastAsia="Times New Roman"/>
        </w:rPr>
        <w:t>wat terug</w:t>
      </w:r>
      <w:r w:rsidR="00A80741">
        <w:rPr>
          <w:rFonts w:eastAsia="Times New Roman"/>
        </w:rPr>
        <w:t xml:space="preserve"> kan vallen</w:t>
      </w:r>
      <w:r w:rsidRPr="00736272">
        <w:rPr>
          <w:rFonts w:eastAsia="Times New Roman"/>
        </w:rPr>
        <w:t xml:space="preserve">. </w:t>
      </w:r>
      <w:r w:rsidR="00636970">
        <w:rPr>
          <w:rFonts w:eastAsia="Times New Roman"/>
        </w:rPr>
        <w:t xml:space="preserve">Ik wil met alle betrokken partijen nauw </w:t>
      </w:r>
      <w:r w:rsidR="00A80741">
        <w:rPr>
          <w:rFonts w:eastAsia="Times New Roman"/>
        </w:rPr>
        <w:t xml:space="preserve">en intensief </w:t>
      </w:r>
      <w:r w:rsidR="00636970">
        <w:rPr>
          <w:rFonts w:eastAsia="Times New Roman"/>
        </w:rPr>
        <w:t xml:space="preserve">samenwerken om de productie op peil te houden. </w:t>
      </w:r>
      <w:r>
        <w:rPr>
          <w:rFonts w:eastAsia="Times New Roman"/>
        </w:rPr>
        <w:t>Dit</w:t>
      </w:r>
      <w:r w:rsidRPr="00736272">
        <w:rPr>
          <w:rFonts w:eastAsia="Times New Roman"/>
        </w:rPr>
        <w:t xml:space="preserve"> vraagt </w:t>
      </w:r>
      <w:r>
        <w:rPr>
          <w:rFonts w:eastAsia="Times New Roman"/>
        </w:rPr>
        <w:t>om</w:t>
      </w:r>
      <w:r w:rsidRPr="00736272">
        <w:rPr>
          <w:rFonts w:eastAsia="Times New Roman"/>
        </w:rPr>
        <w:t xml:space="preserve"> verenigde krachten binnen het kabinet en een gezamenlijke inzet met medeoverheden, corporaties en marktpartijen</w:t>
      </w:r>
      <w:r>
        <w:rPr>
          <w:rFonts w:eastAsia="Times New Roman"/>
        </w:rPr>
        <w:t xml:space="preserve">. </w:t>
      </w:r>
      <w:r w:rsidRPr="003C68A1">
        <w:rPr>
          <w:rFonts w:eastAsia="Times New Roman"/>
        </w:rPr>
        <w:t xml:space="preserve">In april </w:t>
      </w:r>
      <w:r w:rsidRPr="00736272">
        <w:rPr>
          <w:rFonts w:eastAsia="Times New Roman"/>
        </w:rPr>
        <w:t xml:space="preserve">(TK 32.847 nr. 1448) </w:t>
      </w:r>
      <w:r w:rsidRPr="003C68A1">
        <w:rPr>
          <w:rFonts w:eastAsia="Times New Roman"/>
        </w:rPr>
        <w:t>heb ik u geïnformeerd over</w:t>
      </w:r>
      <w:r w:rsidRPr="00736272">
        <w:rPr>
          <w:rFonts w:eastAsia="Times New Roman"/>
        </w:rPr>
        <w:t xml:space="preserve"> de Ministeriële Taskforce Versnelling Woningbouw en de eerste resultaten die zijn geboekt. In september stuur ik uw Kamer het Actieplan Versnelling Woningbouw, met daarin de koers richting de realisatie van </w:t>
      </w:r>
      <w:r>
        <w:rPr>
          <w:rFonts w:eastAsia="Times New Roman"/>
        </w:rPr>
        <w:t xml:space="preserve">langdurig </w:t>
      </w:r>
      <w:r w:rsidRPr="00736272">
        <w:rPr>
          <w:rFonts w:eastAsia="Times New Roman"/>
        </w:rPr>
        <w:t>100.000 woningen per jaar en de vertaling naar een operationeel plan.</w:t>
      </w:r>
      <w:r>
        <w:rPr>
          <w:rFonts w:eastAsia="Times New Roman"/>
        </w:rPr>
        <w:t xml:space="preserve"> </w:t>
      </w:r>
    </w:p>
    <w:p w:rsidR="003043D6" w:rsidP="00403625" w14:paraId="2438E6FE" w14:textId="77777777"/>
    <w:p w:rsidR="00403625" w:rsidP="00403625" w14:paraId="36026322" w14:textId="77777777">
      <w:r>
        <w:rPr>
          <w:rFonts w:eastAsia="Times New Roman"/>
        </w:rPr>
        <w:t xml:space="preserve">Een woningtekort van 4,6 procent in 2026 betekent dat er nog veel werk te doen is om op een </w:t>
      </w:r>
      <w:r w:rsidR="005D1421">
        <w:t>woning</w:t>
      </w:r>
      <w:r w:rsidRPr="00FC2550" w:rsidR="00F80A6E">
        <w:t xml:space="preserve">tekort van </w:t>
      </w:r>
      <w:r w:rsidR="004B796F">
        <w:t>twee</w:t>
      </w:r>
      <w:r w:rsidR="0033111F">
        <w:t xml:space="preserve"> procent</w:t>
      </w:r>
      <w:r w:rsidRPr="00FC2550" w:rsidR="00F80A6E">
        <w:t xml:space="preserve"> </w:t>
      </w:r>
      <w:r>
        <w:t xml:space="preserve">te komen. Twee procent </w:t>
      </w:r>
      <w:r w:rsidRPr="00FC2550" w:rsidR="00F80A6E">
        <w:t>wordt gezien als een situatie waarbij er sprake is van een normale spanning op de woningmarkt</w:t>
      </w:r>
      <w:r>
        <w:rPr>
          <w:rStyle w:val="FootnoteReference"/>
        </w:rPr>
        <w:footnoteReference w:id="3"/>
      </w:r>
      <w:r w:rsidRPr="00FC2550" w:rsidR="00F80A6E">
        <w:t>. Om dit te bereiken zouden per direct 2</w:t>
      </w:r>
      <w:r w:rsidRPr="00FC2550" w:rsidR="006F1A3B">
        <w:t xml:space="preserve">13 </w:t>
      </w:r>
      <w:r w:rsidRPr="00FC2550" w:rsidR="00F80A6E">
        <w:t xml:space="preserve">duizend extra woningen nodig zijn. </w:t>
      </w:r>
      <w:bookmarkStart w:name="_Hlk232407231" w:id="2"/>
      <w:r w:rsidR="00F80A6E">
        <w:rPr>
          <w:rFonts w:eastAsia="Times New Roman"/>
          <w:bCs/>
        </w:rPr>
        <w:t xml:space="preserve">Rekening houdend met de huishoudensgroei en de sloop van woningen wordt bij een realisatie van </w:t>
      </w:r>
      <w:r w:rsidRPr="0088408E" w:rsidR="00F80A6E">
        <w:rPr>
          <w:rFonts w:eastAsia="Times New Roman"/>
          <w:bCs/>
        </w:rPr>
        <w:t xml:space="preserve">100.000 woningen per jaar </w:t>
      </w:r>
      <w:r w:rsidR="00F80A6E">
        <w:rPr>
          <w:rFonts w:eastAsia="Times New Roman"/>
          <w:bCs/>
        </w:rPr>
        <w:t>in</w:t>
      </w:r>
      <w:r w:rsidR="00C14041">
        <w:rPr>
          <w:rFonts w:eastAsia="Times New Roman"/>
          <w:bCs/>
        </w:rPr>
        <w:t xml:space="preserve"> de loop van</w:t>
      </w:r>
      <w:r w:rsidRPr="0088408E" w:rsidR="00F80A6E">
        <w:rPr>
          <w:rFonts w:eastAsia="Times New Roman"/>
          <w:bCs/>
        </w:rPr>
        <w:t xml:space="preserve"> 2034 </w:t>
      </w:r>
      <w:r w:rsidR="00F80A6E">
        <w:rPr>
          <w:rFonts w:eastAsia="Times New Roman"/>
          <w:bCs/>
        </w:rPr>
        <w:t xml:space="preserve">het evenwichtige niveau van </w:t>
      </w:r>
      <w:r w:rsidR="004B796F">
        <w:rPr>
          <w:rFonts w:eastAsia="Times New Roman"/>
          <w:bCs/>
        </w:rPr>
        <w:t>twee</w:t>
      </w:r>
      <w:r w:rsidR="0033111F">
        <w:rPr>
          <w:rFonts w:eastAsia="Times New Roman"/>
          <w:bCs/>
        </w:rPr>
        <w:t xml:space="preserve"> procent</w:t>
      </w:r>
      <w:r w:rsidR="00F80A6E">
        <w:rPr>
          <w:rFonts w:eastAsia="Times New Roman"/>
          <w:bCs/>
        </w:rPr>
        <w:t xml:space="preserve"> bereikt, zo blijkt ui</w:t>
      </w:r>
      <w:r w:rsidRPr="00E55065" w:rsidR="00F80A6E">
        <w:rPr>
          <w:rFonts w:eastAsia="Times New Roman"/>
          <w:bCs/>
        </w:rPr>
        <w:t xml:space="preserve">t </w:t>
      </w:r>
      <w:r w:rsidR="00F80A6E">
        <w:rPr>
          <w:rFonts w:eastAsia="Times New Roman"/>
          <w:bCs/>
        </w:rPr>
        <w:t>Primos</w:t>
      </w:r>
      <w:r w:rsidR="00C86E7D">
        <w:rPr>
          <w:rFonts w:eastAsia="Times New Roman"/>
          <w:bCs/>
        </w:rPr>
        <w:t xml:space="preserve"> 2026</w:t>
      </w:r>
      <w:r w:rsidR="00F80A6E">
        <w:rPr>
          <w:rFonts w:eastAsia="Times New Roman"/>
          <w:bCs/>
        </w:rPr>
        <w:t xml:space="preserve">. Dit </w:t>
      </w:r>
      <w:r w:rsidR="001938AE">
        <w:rPr>
          <w:rFonts w:eastAsia="Times New Roman"/>
          <w:bCs/>
        </w:rPr>
        <w:t>benadrukt</w:t>
      </w:r>
      <w:r w:rsidR="00F80A6E">
        <w:rPr>
          <w:rFonts w:eastAsia="Times New Roman"/>
          <w:bCs/>
        </w:rPr>
        <w:t xml:space="preserve"> de urgentie om op nationaal </w:t>
      </w:r>
      <w:r w:rsidRPr="00E55065" w:rsidR="00F80A6E">
        <w:rPr>
          <w:rFonts w:eastAsia="Times New Roman"/>
          <w:bCs/>
        </w:rPr>
        <w:t xml:space="preserve">niveau vast </w:t>
      </w:r>
      <w:r w:rsidR="00F80A6E">
        <w:rPr>
          <w:rFonts w:eastAsia="Times New Roman"/>
          <w:bCs/>
        </w:rPr>
        <w:t xml:space="preserve">te </w:t>
      </w:r>
      <w:r w:rsidRPr="00E55065" w:rsidR="00F80A6E">
        <w:rPr>
          <w:rFonts w:eastAsia="Times New Roman"/>
          <w:bCs/>
        </w:rPr>
        <w:t xml:space="preserve">houden aan </w:t>
      </w:r>
      <w:r w:rsidR="00F80A6E">
        <w:rPr>
          <w:rFonts w:eastAsia="Times New Roman"/>
          <w:bCs/>
        </w:rPr>
        <w:t xml:space="preserve">de koers om </w:t>
      </w:r>
      <w:r w:rsidRPr="00E55065" w:rsidR="00F80A6E">
        <w:rPr>
          <w:rFonts w:eastAsia="Times New Roman"/>
          <w:bCs/>
        </w:rPr>
        <w:t xml:space="preserve">100.000 </w:t>
      </w:r>
      <w:r w:rsidR="00F80A6E">
        <w:rPr>
          <w:rFonts w:eastAsia="Times New Roman"/>
          <w:bCs/>
        </w:rPr>
        <w:t>woningen per jaar te realiseren</w:t>
      </w:r>
      <w:r w:rsidRPr="00E55065" w:rsidR="00F80A6E">
        <w:rPr>
          <w:rFonts w:eastAsia="Times New Roman"/>
          <w:bCs/>
        </w:rPr>
        <w:t>.</w:t>
      </w:r>
    </w:p>
    <w:bookmarkEnd w:id="2"/>
    <w:p w:rsidR="00D50568" w:rsidP="00580919" w14:paraId="14A1E66C" w14:textId="77777777"/>
    <w:p w:rsidRPr="003C7D7C" w:rsidR="000347D0" w:rsidP="000347D0" w14:paraId="22117343" w14:textId="77777777">
      <w:pPr>
        <w:rPr>
          <w:rFonts w:eastAsia="Times New Roman"/>
          <w:b/>
          <w:bCs/>
        </w:rPr>
      </w:pPr>
      <w:r w:rsidRPr="003C7D7C">
        <w:rPr>
          <w:rFonts w:eastAsia="Times New Roman"/>
          <w:b/>
          <w:bCs/>
        </w:rPr>
        <w:t>Voldoende woningbouwplannen</w:t>
      </w:r>
    </w:p>
    <w:p w:rsidR="000347D0" w:rsidP="000347D0" w14:paraId="127F8365" w14:textId="77777777">
      <w:r>
        <w:t>D</w:t>
      </w:r>
      <w:r w:rsidRPr="009C7F3A">
        <w:t xml:space="preserve">e </w:t>
      </w:r>
      <w:r>
        <w:t xml:space="preserve">bijgevoegde </w:t>
      </w:r>
      <w:r>
        <w:t>LMVW</w:t>
      </w:r>
      <w:r>
        <w:t xml:space="preserve"> </w:t>
      </w:r>
      <w:r w:rsidRPr="009C7F3A">
        <w:t>(</w:t>
      </w:r>
      <w:r>
        <w:t>v</w:t>
      </w:r>
      <w:r>
        <w:t xml:space="preserve">oorjaar 2026, </w:t>
      </w:r>
      <w:r w:rsidRPr="009C7F3A">
        <w:t>ABF</w:t>
      </w:r>
      <w:r w:rsidR="00C86E7D">
        <w:t xml:space="preserve"> </w:t>
      </w:r>
      <w:r w:rsidRPr="009C7F3A">
        <w:t xml:space="preserve">Research), </w:t>
      </w:r>
      <w:r>
        <w:t xml:space="preserve">laat zien dat er </w:t>
      </w:r>
      <w:r w:rsidRPr="009C7F3A">
        <w:t xml:space="preserve">voor de middellange termijn </w:t>
      </w:r>
      <w:r>
        <w:t xml:space="preserve">op nationaal niveau </w:t>
      </w:r>
      <w:r w:rsidRPr="009C7F3A">
        <w:t>voldoende plancapaciteit beschikbaar</w:t>
      </w:r>
      <w:r>
        <w:t xml:space="preserve"> </w:t>
      </w:r>
      <w:r w:rsidR="00D83208">
        <w:t xml:space="preserve">is </w:t>
      </w:r>
      <w:r w:rsidRPr="00DD64BA">
        <w:t xml:space="preserve">om 100.000 woningen per jaar te realiseren. </w:t>
      </w:r>
      <w:r w:rsidR="000B789F">
        <w:t>Omdat w</w:t>
      </w:r>
      <w:r w:rsidRPr="00DD64BA" w:rsidR="009A1188">
        <w:t>oningbouwplannen vertraging op</w:t>
      </w:r>
      <w:r w:rsidR="000B789F">
        <w:t xml:space="preserve"> kunnen </w:t>
      </w:r>
      <w:r w:rsidRPr="00DD64BA" w:rsidR="009A1188">
        <w:t>lopen of niet doorgaan</w:t>
      </w:r>
      <w:r w:rsidR="008162F6">
        <w:t>,</w:t>
      </w:r>
      <w:r w:rsidR="000B789F">
        <w:t xml:space="preserve"> </w:t>
      </w:r>
      <w:r w:rsidR="008162F6">
        <w:t>moet er</w:t>
      </w:r>
      <w:r w:rsidR="009A1188">
        <w:t xml:space="preserve"> </w:t>
      </w:r>
      <w:r w:rsidRPr="00DD64BA" w:rsidR="009A1188">
        <w:t>30</w:t>
      </w:r>
      <w:r w:rsidR="0033111F">
        <w:t xml:space="preserve"> procent</w:t>
      </w:r>
      <w:r w:rsidRPr="00DD64BA" w:rsidR="009A1188">
        <w:t xml:space="preserve"> meer plancapaciteit beschikbaar </w:t>
      </w:r>
      <w:r w:rsidR="009A1188">
        <w:t>zijn</w:t>
      </w:r>
      <w:r w:rsidRPr="00DD64BA" w:rsidR="009A1188">
        <w:t xml:space="preserve"> dan de bouwopgave.</w:t>
      </w:r>
      <w:r w:rsidR="00BD28BB">
        <w:t xml:space="preserve"> </w:t>
      </w:r>
      <w:r w:rsidRPr="009C7F3A">
        <w:t>Voor de periode 202</w:t>
      </w:r>
      <w:r>
        <w:t>6</w:t>
      </w:r>
      <w:r w:rsidRPr="009C7F3A">
        <w:t xml:space="preserve"> t</w:t>
      </w:r>
      <w:r>
        <w:t xml:space="preserve">ot en met </w:t>
      </w:r>
      <w:r w:rsidRPr="009C7F3A">
        <w:t xml:space="preserve">2030 </w:t>
      </w:r>
      <w:r w:rsidRPr="0089420E">
        <w:t>(</w:t>
      </w:r>
      <w:r>
        <w:t xml:space="preserve">resterende </w:t>
      </w:r>
      <w:r w:rsidRPr="0089420E">
        <w:t xml:space="preserve">looptijd </w:t>
      </w:r>
      <w:r w:rsidR="009E2697">
        <w:t xml:space="preserve">van de </w:t>
      </w:r>
      <w:r w:rsidRPr="0089420E">
        <w:t>huidige woondeals)</w:t>
      </w:r>
      <w:r>
        <w:t xml:space="preserve"> </w:t>
      </w:r>
      <w:r w:rsidRPr="009C7F3A">
        <w:t xml:space="preserve">is de geraamde plancapaciteit </w:t>
      </w:r>
      <w:r>
        <w:t>82</w:t>
      </w:r>
      <w:r w:rsidR="00887D09">
        <w:t>3</w:t>
      </w:r>
      <w:r w:rsidRPr="00DD64BA">
        <w:t>.</w:t>
      </w:r>
      <w:r>
        <w:t>4</w:t>
      </w:r>
      <w:r w:rsidRPr="00DD64BA">
        <w:t xml:space="preserve">00 </w:t>
      </w:r>
      <w:r w:rsidRPr="008A72F5">
        <w:t xml:space="preserve">woningen </w:t>
      </w:r>
      <w:r w:rsidRPr="00792790">
        <w:t>(12</w:t>
      </w:r>
      <w:r>
        <w:t>6</w:t>
      </w:r>
      <w:r w:rsidR="0033111F">
        <w:t xml:space="preserve"> procent</w:t>
      </w:r>
      <w:r w:rsidRPr="00792790">
        <w:t>)</w:t>
      </w:r>
      <w:r w:rsidRPr="008A72F5">
        <w:t>. Een</w:t>
      </w:r>
      <w:r>
        <w:t xml:space="preserve"> punt van zorg is dat een groot deel van deze plannen nog niet </w:t>
      </w:r>
      <w:r>
        <w:t xml:space="preserve">bestuurlijk </w:t>
      </w:r>
      <w:r>
        <w:t>hard is</w:t>
      </w:r>
      <w:r w:rsidR="00452B00">
        <w:t xml:space="preserve"> (grafiek 1)</w:t>
      </w:r>
      <w:r>
        <w:t xml:space="preserve">. </w:t>
      </w:r>
      <w:r w:rsidRPr="00596FFF" w:rsidR="007615F8">
        <w:t xml:space="preserve">De totale harde plancapaciteit tot en met 2030 bedraagt </w:t>
      </w:r>
      <w:r w:rsidR="007615F8">
        <w:t>386</w:t>
      </w:r>
      <w:r w:rsidRPr="00596FFF" w:rsidR="007615F8">
        <w:t>.</w:t>
      </w:r>
      <w:r w:rsidR="007615F8">
        <w:t>2</w:t>
      </w:r>
      <w:r w:rsidRPr="00596FFF" w:rsidR="007615F8">
        <w:t xml:space="preserve">00 woningen. Dat is </w:t>
      </w:r>
      <w:r w:rsidR="007615F8">
        <w:t>59 procent</w:t>
      </w:r>
      <w:r w:rsidRPr="00596FFF" w:rsidR="007615F8">
        <w:t xml:space="preserve"> van de restopgave </w:t>
      </w:r>
      <w:r w:rsidR="007615F8">
        <w:t xml:space="preserve">in de woondeals </w:t>
      </w:r>
      <w:r w:rsidRPr="00596FFF" w:rsidR="007615F8">
        <w:t>en dit aandeel varieert sterk tussen</w:t>
      </w:r>
      <w:r w:rsidRPr="003043D6" w:rsidR="003043D6">
        <w:t xml:space="preserve"> </w:t>
      </w:r>
      <w:r w:rsidRPr="00596FFF" w:rsidR="003043D6">
        <w:t>provincies</w:t>
      </w:r>
      <w:r w:rsidR="003043D6">
        <w:t>. Om de afspraken t/m 2030 te kunnen nakomen, moet er gewerkt worden aan het hard maken van de woningbouwplannen en het vervolgens vergunnen ervan.</w:t>
      </w:r>
      <w:r>
        <w:br/>
      </w:r>
    </w:p>
    <w:p w:rsidRPr="004B796F" w:rsidR="004B796F" w:rsidP="004B796F" w14:paraId="40E07A0E" w14:textId="77777777">
      <w:pPr>
        <w:spacing w:line="240" w:lineRule="auto"/>
        <w:rPr>
          <w:sz w:val="14"/>
          <w:szCs w:val="14"/>
        </w:rPr>
      </w:pPr>
      <w:r>
        <w:t xml:space="preserve">Een ander aandachtspunt is dat na 2031 </w:t>
      </w:r>
      <w:r w:rsidRPr="00DD64BA">
        <w:t xml:space="preserve">de beschikbare plancapaciteit </w:t>
      </w:r>
      <w:r>
        <w:t>flink daalt</w:t>
      </w:r>
      <w:r w:rsidRPr="00DD64BA">
        <w:t>.</w:t>
      </w:r>
      <w:r>
        <w:t xml:space="preserve"> Omdat het gemiddeld 10 jaar duurt voordat een woningbouwplan het hele proces tot oplevering heeft doorlopen, moet er tijdig duidelijkheid komen over de opgave na 2031 en de daarvoor benodigde plancapaciteit. </w:t>
      </w:r>
      <w:r w:rsidRPr="00BF5F52">
        <w:t xml:space="preserve">Mede daarom ben ik </w:t>
      </w:r>
      <w:r>
        <w:t xml:space="preserve">met provincies en gemeenten </w:t>
      </w:r>
      <w:r w:rsidRPr="00BF5F52">
        <w:t xml:space="preserve">gestart met de actualisatie van de woondeals voor de periode </w:t>
      </w:r>
      <w:r w:rsidRPr="000D322A">
        <w:t>t/m 2036</w:t>
      </w:r>
      <w:r w:rsidRPr="00BF5F52">
        <w:t>.</w:t>
      </w:r>
      <w:r>
        <w:t xml:space="preserve"> </w:t>
      </w:r>
    </w:p>
    <w:p w:rsidR="004B796F" w:rsidP="004B796F" w14:paraId="7EB7460C" w14:textId="77777777"/>
    <w:p w:rsidR="004B796F" w:rsidP="004B796F" w14:paraId="580727D4" w14:textId="77777777">
      <w:r w:rsidRPr="00DD64BA">
        <w:t>Naast het realiseren van voldoende woningen is het noodzakelijk dat de gerealiseerde woningen ook betaalbaar zijn.</w:t>
      </w:r>
      <w:r>
        <w:t xml:space="preserve"> </w:t>
      </w:r>
      <w:r w:rsidRPr="00DD64BA">
        <w:t>Op basis van de inventarisatie is van de woningen waarvan de eigendomsvorm bekend is</w:t>
      </w:r>
      <w:r>
        <w:t>,</w:t>
      </w:r>
      <w:r w:rsidRPr="00DD64BA">
        <w:t xml:space="preserve"> 6</w:t>
      </w:r>
      <w:r>
        <w:t>9 procent betaalbaar</w:t>
      </w:r>
      <w:r w:rsidRPr="00DD64BA">
        <w:t>. Voor zover het woningtype bekend is, bestaat de plancapaciteit voor 3</w:t>
      </w:r>
      <w:r>
        <w:t>0 procent</w:t>
      </w:r>
      <w:r w:rsidRPr="00DD64BA">
        <w:t xml:space="preserve"> uit eengezinswoningen</w:t>
      </w:r>
      <w:r>
        <w:t xml:space="preserve"> en 70 procent uit appartementen</w:t>
      </w:r>
      <w:r w:rsidRPr="00DD64BA">
        <w:t>.</w:t>
      </w:r>
    </w:p>
    <w:p w:rsidRPr="00A3548A" w:rsidR="000347D0" w:rsidP="000347D0" w14:paraId="258FD865" w14:textId="77777777">
      <w:pPr>
        <w:rPr>
          <w:b/>
          <w:bCs/>
          <w:sz w:val="16"/>
          <w:szCs w:val="16"/>
        </w:rPr>
      </w:pPr>
      <w:r w:rsidRPr="00A3548A">
        <w:rPr>
          <w:b/>
          <w:bCs/>
          <w:sz w:val="16"/>
          <w:szCs w:val="16"/>
        </w:rPr>
        <w:t xml:space="preserve">Grafiek 1. Realisaties en bruto plancapaciteit, verwacht opleverjaar en planstatus </w:t>
      </w:r>
    </w:p>
    <w:p w:rsidR="000347D0" w:rsidP="000347D0" w14:paraId="1A6D4F25" w14:textId="77777777">
      <w:r w:rsidRPr="00277A69">
        <w:rPr>
          <w:noProof/>
        </w:rPr>
        <w:drawing>
          <wp:inline distT="0" distB="0" distL="0" distR="0">
            <wp:extent cx="4429125" cy="1950552"/>
            <wp:effectExtent l="0" t="0" r="0" b="0"/>
            <wp:docPr id="196310334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103345" name=""/>
                    <pic:cNvPicPr/>
                  </pic:nvPicPr>
                  <pic:blipFill>
                    <a:blip xmlns:r="http://schemas.openxmlformats.org/officeDocument/2006/relationships" r:embed="rId7"/>
                    <a:stretch>
                      <a:fillRect/>
                    </a:stretch>
                  </pic:blipFill>
                  <pic:spPr>
                    <a:xfrm>
                      <a:off x="0" y="0"/>
                      <a:ext cx="4467091" cy="1967272"/>
                    </a:xfrm>
                    <a:prstGeom prst="rect">
                      <a:avLst/>
                    </a:prstGeom>
                  </pic:spPr>
                </pic:pic>
              </a:graphicData>
            </a:graphic>
          </wp:inline>
        </w:drawing>
      </w:r>
    </w:p>
    <w:p w:rsidRPr="00024EDE" w:rsidR="000347D0" w:rsidP="000347D0" w14:paraId="6E81F79C" w14:textId="77777777">
      <w:pPr>
        <w:rPr>
          <w:sz w:val="14"/>
          <w:szCs w:val="14"/>
        </w:rPr>
      </w:pPr>
      <w:r w:rsidRPr="00024EDE">
        <w:rPr>
          <w:sz w:val="14"/>
          <w:szCs w:val="14"/>
        </w:rPr>
        <w:t>Bron: BAG en Landelijke Monitor Voortgang Woningbouw Voorjaar 202</w:t>
      </w:r>
      <w:r>
        <w:rPr>
          <w:sz w:val="14"/>
          <w:szCs w:val="14"/>
        </w:rPr>
        <w:t>6</w:t>
      </w:r>
      <w:r w:rsidRPr="00024EDE">
        <w:rPr>
          <w:sz w:val="14"/>
          <w:szCs w:val="14"/>
        </w:rPr>
        <w:t>, bewerking ABF Research</w:t>
      </w:r>
      <w:r w:rsidR="00A3548A">
        <w:rPr>
          <w:sz w:val="14"/>
          <w:szCs w:val="14"/>
        </w:rPr>
        <w:br/>
      </w:r>
    </w:p>
    <w:p w:rsidR="00C540CF" w:rsidP="00C540CF" w14:paraId="0B050C38" w14:textId="77777777">
      <w:pPr>
        <w:rPr>
          <w:rFonts w:eastAsia="Times New Roman"/>
          <w:b/>
          <w:bCs/>
        </w:rPr>
      </w:pPr>
    </w:p>
    <w:p w:rsidRPr="003C7D7C" w:rsidR="00C540CF" w:rsidP="00C540CF" w14:paraId="5BB26D39" w14:textId="77777777">
      <w:pPr>
        <w:rPr>
          <w:rFonts w:eastAsia="Times New Roman"/>
          <w:b/>
          <w:bCs/>
        </w:rPr>
      </w:pPr>
      <w:r>
        <w:rPr>
          <w:rFonts w:eastAsia="Times New Roman"/>
          <w:b/>
          <w:bCs/>
        </w:rPr>
        <w:t>Actualisatie woondealafspraken</w:t>
      </w:r>
    </w:p>
    <w:p w:rsidRPr="007B2A07" w:rsidR="00C540CF" w:rsidP="00C540CF" w14:paraId="67151C57" w14:textId="77777777">
      <w:pPr>
        <w:rPr>
          <w:rFonts w:cs="Arial"/>
        </w:rPr>
      </w:pPr>
      <w:r w:rsidRPr="00923995">
        <w:rPr>
          <w:rFonts w:cs="Arial"/>
        </w:rPr>
        <w:t>In het kader van de actualisatie</w:t>
      </w:r>
      <w:r>
        <w:rPr>
          <w:rFonts w:cs="Arial"/>
        </w:rPr>
        <w:t xml:space="preserve"> van de woondeals worden </w:t>
      </w:r>
      <w:r w:rsidRPr="00923995">
        <w:rPr>
          <w:rFonts w:cs="Arial"/>
        </w:rPr>
        <w:t xml:space="preserve">afspraken </w:t>
      </w:r>
      <w:r>
        <w:rPr>
          <w:rFonts w:cs="Arial"/>
        </w:rPr>
        <w:t xml:space="preserve">gemaakt </w:t>
      </w:r>
      <w:r w:rsidRPr="00923995">
        <w:rPr>
          <w:rFonts w:cs="Arial"/>
        </w:rPr>
        <w:t xml:space="preserve">tussen gemeenten, provincies en </w:t>
      </w:r>
      <w:r w:rsidR="007615F8">
        <w:rPr>
          <w:rFonts w:cs="Arial"/>
        </w:rPr>
        <w:t>r</w:t>
      </w:r>
      <w:r w:rsidRPr="00923995">
        <w:rPr>
          <w:rFonts w:cs="Arial"/>
        </w:rPr>
        <w:t xml:space="preserve">ijk over de woningbouwprogrammering voor de periode tot en met 2036. </w:t>
      </w:r>
      <w:r>
        <w:rPr>
          <w:rFonts w:cs="Arial"/>
        </w:rPr>
        <w:t>Concreet betreft het:</w:t>
      </w:r>
    </w:p>
    <w:p w:rsidRPr="00923995" w:rsidR="00C540CF" w:rsidP="00C540CF" w14:paraId="2FED2061" w14:textId="77777777">
      <w:pPr>
        <w:numPr>
          <w:ilvl w:val="0"/>
          <w:numId w:val="5"/>
        </w:numPr>
        <w:rPr>
          <w:bCs/>
        </w:rPr>
      </w:pPr>
      <w:r>
        <w:rPr>
          <w:bCs/>
        </w:rPr>
        <w:t>Het aantal</w:t>
      </w:r>
      <w:r w:rsidRPr="00923995">
        <w:rPr>
          <w:bCs/>
        </w:rPr>
        <w:t xml:space="preserve"> te realiseren woningen </w:t>
      </w:r>
      <w:r>
        <w:rPr>
          <w:bCs/>
        </w:rPr>
        <w:t>per woondealregio voor de periode 2027-2036.</w:t>
      </w:r>
    </w:p>
    <w:p w:rsidRPr="00923995" w:rsidR="00C540CF" w:rsidP="00C540CF" w14:paraId="36FFFCDC" w14:textId="77777777">
      <w:pPr>
        <w:numPr>
          <w:ilvl w:val="0"/>
          <w:numId w:val="5"/>
        </w:numPr>
        <w:rPr>
          <w:bCs/>
        </w:rPr>
      </w:pPr>
      <w:r>
        <w:rPr>
          <w:bCs/>
        </w:rPr>
        <w:t xml:space="preserve">Afspraken over de programmering van betaalbare woningen conform de </w:t>
      </w:r>
      <w:r>
        <w:rPr>
          <w:bCs/>
        </w:rPr>
        <w:t xml:space="preserve">kaders </w:t>
      </w:r>
      <w:r>
        <w:rPr>
          <w:bCs/>
        </w:rPr>
        <w:t xml:space="preserve">van </w:t>
      </w:r>
      <w:r>
        <w:rPr>
          <w:bCs/>
        </w:rPr>
        <w:t xml:space="preserve">de </w:t>
      </w:r>
      <w:r w:rsidR="00F412FA">
        <w:rPr>
          <w:bCs/>
        </w:rPr>
        <w:t>W</w:t>
      </w:r>
      <w:r w:rsidRPr="00923995">
        <w:rPr>
          <w:bCs/>
        </w:rPr>
        <w:t xml:space="preserve">et versterking regie </w:t>
      </w:r>
      <w:r>
        <w:rPr>
          <w:bCs/>
        </w:rPr>
        <w:t>volkshuisvesting</w:t>
      </w:r>
      <w:r w:rsidR="00C022F4">
        <w:rPr>
          <w:bCs/>
        </w:rPr>
        <w:t>, z</w:t>
      </w:r>
      <w:r w:rsidR="00B9521A">
        <w:rPr>
          <w:bCs/>
        </w:rPr>
        <w:t xml:space="preserve">odat </w:t>
      </w:r>
      <w:r>
        <w:rPr>
          <w:bCs/>
        </w:rPr>
        <w:t xml:space="preserve">deze de basis </w:t>
      </w:r>
      <w:r w:rsidR="00C022F4">
        <w:rPr>
          <w:bCs/>
        </w:rPr>
        <w:t xml:space="preserve">bieden </w:t>
      </w:r>
      <w:r>
        <w:rPr>
          <w:bCs/>
        </w:rPr>
        <w:t>voor de volkshuisvestelijke programma’s</w:t>
      </w:r>
      <w:r>
        <w:rPr>
          <w:bCs/>
        </w:rPr>
        <w:t>.</w:t>
      </w:r>
    </w:p>
    <w:p w:rsidR="00C540CF" w:rsidP="00C540CF" w14:paraId="159452AD" w14:textId="77777777">
      <w:pPr>
        <w:numPr>
          <w:ilvl w:val="0"/>
          <w:numId w:val="5"/>
        </w:numPr>
        <w:rPr>
          <w:bCs/>
        </w:rPr>
      </w:pPr>
      <w:r>
        <w:rPr>
          <w:bCs/>
        </w:rPr>
        <w:t xml:space="preserve">Afspraken over het aantal te realiseren woningen voor </w:t>
      </w:r>
      <w:r w:rsidR="00BF5F52">
        <w:rPr>
          <w:bCs/>
        </w:rPr>
        <w:t xml:space="preserve">ouderen en </w:t>
      </w:r>
      <w:r>
        <w:rPr>
          <w:bCs/>
        </w:rPr>
        <w:t xml:space="preserve">studenten in de woningbouw en </w:t>
      </w:r>
      <w:r w:rsidR="009E2697">
        <w:rPr>
          <w:bCs/>
        </w:rPr>
        <w:t xml:space="preserve">in </w:t>
      </w:r>
      <w:r>
        <w:rPr>
          <w:bCs/>
        </w:rPr>
        <w:t xml:space="preserve">de bestaande </w:t>
      </w:r>
      <w:r w:rsidR="00887D09">
        <w:rPr>
          <w:bCs/>
        </w:rPr>
        <w:t>woning</w:t>
      </w:r>
      <w:r>
        <w:rPr>
          <w:bCs/>
        </w:rPr>
        <w:t>voorraad.</w:t>
      </w:r>
    </w:p>
    <w:p w:rsidRPr="00923995" w:rsidR="00C540CF" w:rsidP="00C540CF" w14:paraId="763466A6" w14:textId="77777777">
      <w:pPr>
        <w:numPr>
          <w:ilvl w:val="0"/>
          <w:numId w:val="5"/>
        </w:numPr>
        <w:rPr>
          <w:bCs/>
        </w:rPr>
      </w:pPr>
      <w:r>
        <w:rPr>
          <w:bCs/>
        </w:rPr>
        <w:t xml:space="preserve">Een </w:t>
      </w:r>
      <w:r w:rsidR="007C26D6">
        <w:rPr>
          <w:bCs/>
        </w:rPr>
        <w:t xml:space="preserve">samenwerkingsagenda </w:t>
      </w:r>
      <w:r>
        <w:rPr>
          <w:bCs/>
        </w:rPr>
        <w:t xml:space="preserve">op de woningbouwvoorwaarden. </w:t>
      </w:r>
    </w:p>
    <w:p w:rsidR="00C540CF" w:rsidP="00C540CF" w14:paraId="5352EA29" w14:textId="77777777">
      <w:pPr>
        <w:rPr>
          <w:rFonts w:cs="Arial"/>
        </w:rPr>
      </w:pPr>
    </w:p>
    <w:p w:rsidR="00C540CF" w:rsidP="00C540CF" w14:paraId="2EEE0A7A" w14:textId="77777777">
      <w:pPr>
        <w:rPr>
          <w:bCs/>
        </w:rPr>
      </w:pPr>
      <w:r>
        <w:rPr>
          <w:bCs/>
        </w:rPr>
        <w:t xml:space="preserve">Hierbij houden we vast aan het doel van het realiseren van 100.000 woningen per jaar om zo het woningtekort zo snel mogelijk terug te dringen. </w:t>
      </w:r>
    </w:p>
    <w:p w:rsidRPr="007B2A07" w:rsidR="00BF5F52" w:rsidP="00BF5F52" w14:paraId="7D14AD27" w14:textId="77777777">
      <w:pPr>
        <w:rPr>
          <w:bCs/>
        </w:rPr>
      </w:pPr>
      <w:r>
        <w:rPr>
          <w:bCs/>
        </w:rPr>
        <w:t>Als startpunt voor het maken van afspraken is de regionale woningbouwopgave voor de periode 2027-2036 in beeld gebracht</w:t>
      </w:r>
      <w:r w:rsidR="005236A9">
        <w:rPr>
          <w:bCs/>
        </w:rPr>
        <w:t>,</w:t>
      </w:r>
      <w:r>
        <w:rPr>
          <w:bCs/>
        </w:rPr>
        <w:t xml:space="preserve"> met als uitgangspunt het</w:t>
      </w:r>
      <w:r>
        <w:rPr>
          <w:rFonts w:eastAsia="Times New Roman"/>
        </w:rPr>
        <w:t xml:space="preserve"> terugdringen van het woningtekort naar 2</w:t>
      </w:r>
      <w:r w:rsidR="00866D6C">
        <w:rPr>
          <w:rFonts w:eastAsia="Times New Roman"/>
        </w:rPr>
        <w:t xml:space="preserve"> procent </w:t>
      </w:r>
      <w:r>
        <w:rPr>
          <w:rFonts w:eastAsia="Times New Roman"/>
        </w:rPr>
        <w:t>in elke woondealregio</w:t>
      </w:r>
      <w:r>
        <w:rPr>
          <w:bCs/>
        </w:rPr>
        <w:t xml:space="preserve"> </w:t>
      </w:r>
      <w:r w:rsidRPr="005925FB">
        <w:rPr>
          <w:bCs/>
        </w:rPr>
        <w:t xml:space="preserve">(bijlage: </w:t>
      </w:r>
      <w:r w:rsidRPr="005925FB">
        <w:rPr>
          <w:rFonts w:eastAsia="Times New Roman"/>
        </w:rPr>
        <w:t xml:space="preserve">Toelichting </w:t>
      </w:r>
      <w:r w:rsidR="00F412FA">
        <w:rPr>
          <w:rFonts w:eastAsia="Times New Roman"/>
        </w:rPr>
        <w:t xml:space="preserve">op de </w:t>
      </w:r>
      <w:r w:rsidRPr="005925FB">
        <w:rPr>
          <w:rFonts w:eastAsia="Times New Roman"/>
        </w:rPr>
        <w:t>herijking</w:t>
      </w:r>
      <w:r w:rsidR="00F412FA">
        <w:rPr>
          <w:rFonts w:eastAsia="Times New Roman"/>
        </w:rPr>
        <w:t>sopgave</w:t>
      </w:r>
      <w:r w:rsidRPr="005925FB">
        <w:rPr>
          <w:rFonts w:eastAsia="Times New Roman"/>
        </w:rPr>
        <w:t xml:space="preserve"> woondeal</w:t>
      </w:r>
      <w:r w:rsidR="00F412FA">
        <w:rPr>
          <w:rFonts w:eastAsia="Times New Roman"/>
        </w:rPr>
        <w:t>s tot en met 2036</w:t>
      </w:r>
      <w:r>
        <w:rPr>
          <w:rFonts w:eastAsia="Times New Roman"/>
        </w:rPr>
        <w:t>, ABF Research</w:t>
      </w:r>
      <w:r w:rsidRPr="005925FB">
        <w:rPr>
          <w:bCs/>
        </w:rPr>
        <w:t>).</w:t>
      </w:r>
      <w:r>
        <w:rPr>
          <w:bCs/>
        </w:rPr>
        <w:t xml:space="preserve"> </w:t>
      </w:r>
    </w:p>
    <w:p w:rsidR="00E64233" w:rsidP="00580919" w14:paraId="1D43B246" w14:textId="77777777">
      <w:pPr>
        <w:rPr>
          <w:rFonts w:eastAsia="Times New Roman"/>
          <w:b/>
          <w:bCs/>
        </w:rPr>
      </w:pPr>
    </w:p>
    <w:p w:rsidR="00A9708F" w:rsidP="00580919" w14:paraId="491AD9B5" w14:textId="77777777">
      <w:pPr>
        <w:rPr>
          <w:rFonts w:eastAsia="Times New Roman"/>
          <w:b/>
          <w:bCs/>
        </w:rPr>
      </w:pPr>
      <w:r>
        <w:rPr>
          <w:rFonts w:eastAsia="Times New Roman"/>
          <w:b/>
          <w:bCs/>
        </w:rPr>
        <w:t>V</w:t>
      </w:r>
      <w:r w:rsidR="00F460FF">
        <w:rPr>
          <w:rFonts w:eastAsia="Times New Roman"/>
          <w:b/>
          <w:bCs/>
        </w:rPr>
        <w:t xml:space="preserve">ergrijzing en </w:t>
      </w:r>
      <w:r w:rsidR="001E1A3A">
        <w:rPr>
          <w:rFonts w:eastAsia="Times New Roman"/>
          <w:b/>
          <w:bCs/>
        </w:rPr>
        <w:t>l</w:t>
      </w:r>
      <w:r>
        <w:rPr>
          <w:rFonts w:eastAsia="Times New Roman"/>
          <w:b/>
          <w:bCs/>
        </w:rPr>
        <w:t>atente vraag thuiswonende (jong) volwassenen</w:t>
      </w:r>
    </w:p>
    <w:p w:rsidR="00200994" w:rsidP="00A7121C" w14:paraId="261ECA06" w14:textId="77777777">
      <w:r>
        <w:t xml:space="preserve">Demografische ontwikkelingen </w:t>
      </w:r>
      <w:r w:rsidR="00CA3281">
        <w:t>en verwachtingen vormen de basis voor de inschatting van de woningbehoefte</w:t>
      </w:r>
      <w:r>
        <w:t xml:space="preserve">. </w:t>
      </w:r>
      <w:r w:rsidR="00B01CA5">
        <w:t>In de nationale CBS-bevolkingsprognose</w:t>
      </w:r>
      <w:r>
        <w:t xml:space="preserve"> </w:t>
      </w:r>
      <w:r w:rsidR="00455F3E">
        <w:t xml:space="preserve">van </w:t>
      </w:r>
      <w:r>
        <w:t>december 2025</w:t>
      </w:r>
      <w:r w:rsidR="00B01CA5">
        <w:t xml:space="preserve"> is de verwachte bevolkingsgroei beperkt lager dan in de vorige. </w:t>
      </w:r>
      <w:r w:rsidR="00A7121C">
        <w:t>De bevolking</w:t>
      </w:r>
      <w:r w:rsidR="00B01CA5">
        <w:t xml:space="preserve"> </w:t>
      </w:r>
      <w:r w:rsidR="00A7121C">
        <w:t xml:space="preserve">groeit </w:t>
      </w:r>
      <w:r>
        <w:t>van</w:t>
      </w:r>
      <w:r w:rsidR="00A7121C">
        <w:t xml:space="preserve"> 2026 t/m 2040 </w:t>
      </w:r>
      <w:r w:rsidR="00EF49B3">
        <w:t>met ruim 1 miljoen n</w:t>
      </w:r>
      <w:r w:rsidR="00A7121C">
        <w:t>aar 19</w:t>
      </w:r>
      <w:r w:rsidR="00EF49B3">
        <w:t>,2</w:t>
      </w:r>
      <w:r w:rsidR="00A7121C">
        <w:t xml:space="preserve"> miljoen</w:t>
      </w:r>
      <w:r>
        <w:t xml:space="preserve"> personen</w:t>
      </w:r>
      <w:r w:rsidR="00A7121C">
        <w:t xml:space="preserve">. De </w:t>
      </w:r>
      <w:r w:rsidR="00A7121C">
        <w:t>Primos</w:t>
      </w:r>
      <w:r w:rsidR="00A7121C">
        <w:t>-prognose vertaal</w:t>
      </w:r>
      <w:r w:rsidR="000A7A94">
        <w:t>t</w:t>
      </w:r>
      <w:r w:rsidR="00A7121C">
        <w:t xml:space="preserve"> de nationale CBS-bevolkingsprognose naar een regionale bevolkings- en huishoudensprognose. </w:t>
      </w:r>
      <w:r w:rsidR="00B01CA5">
        <w:t>D</w:t>
      </w:r>
      <w:r w:rsidRPr="000C5770" w:rsidR="00B01CA5">
        <w:t xml:space="preserve">e verwachte bevolkingsgroei </w:t>
      </w:r>
      <w:r w:rsidR="00B01CA5">
        <w:t>is</w:t>
      </w:r>
      <w:r w:rsidRPr="000C5770" w:rsidR="00B01CA5">
        <w:t xml:space="preserve"> </w:t>
      </w:r>
      <w:r w:rsidRPr="000C5770" w:rsidR="005236A9">
        <w:t xml:space="preserve">zowel relatief als absoluut </w:t>
      </w:r>
      <w:r w:rsidRPr="000C5770" w:rsidR="00B01CA5">
        <w:t xml:space="preserve">het grootst in de regio’s in de Randstad en in de flanken daarvan. </w:t>
      </w:r>
      <w:r w:rsidR="00B01CA5">
        <w:t xml:space="preserve">In de andere gebieden zal </w:t>
      </w:r>
      <w:r w:rsidRPr="000C5770" w:rsidR="00B01CA5">
        <w:t>de bevolking naar verwachting minder sterk toenemen.</w:t>
      </w:r>
      <w:r w:rsidR="00B01CA5">
        <w:t xml:space="preserve"> Het groeiverschil tussen de Randstad en </w:t>
      </w:r>
      <w:r>
        <w:t xml:space="preserve">de </w:t>
      </w:r>
      <w:r w:rsidR="00B01CA5">
        <w:t xml:space="preserve">andere delen is de afgelopen jaren </w:t>
      </w:r>
      <w:r w:rsidR="0033111F">
        <w:t xml:space="preserve">echter </w:t>
      </w:r>
      <w:r w:rsidR="00455F3E">
        <w:t xml:space="preserve">wel </w:t>
      </w:r>
      <w:r>
        <w:t>iets</w:t>
      </w:r>
      <w:r w:rsidR="00B01CA5">
        <w:t xml:space="preserve"> kleiner geworden.</w:t>
      </w:r>
      <w:r w:rsidRPr="00C463CF" w:rsidR="00B01CA5">
        <w:t xml:space="preserve"> </w:t>
      </w:r>
    </w:p>
    <w:p w:rsidR="005925FB" w:rsidP="00A7121C" w14:paraId="063916C9" w14:textId="77777777">
      <w:r>
        <w:t>De huishoudensgroei is de belangrijkste drijver achter de woningbouwopgave</w:t>
      </w:r>
      <w:r>
        <w:t>.</w:t>
      </w:r>
      <w:r w:rsidR="00AA18AC">
        <w:t xml:space="preserve"> </w:t>
      </w:r>
      <w:r w:rsidRPr="000C5770" w:rsidR="00C463CF">
        <w:t xml:space="preserve">Het aantal huishoudens neemt </w:t>
      </w:r>
      <w:r w:rsidRPr="000C5770" w:rsidR="00F22E6F">
        <w:t>naar verwachting met 795</w:t>
      </w:r>
      <w:r w:rsidR="00F22E6F">
        <w:t xml:space="preserve"> duizend toe </w:t>
      </w:r>
      <w:r w:rsidRPr="000C5770" w:rsidR="00F22E6F">
        <w:t>van 8,5 miljoen naar bijna 9,3 miljoen</w:t>
      </w:r>
      <w:r w:rsidR="00F22E6F">
        <w:t xml:space="preserve"> </w:t>
      </w:r>
      <w:r w:rsidR="00B01CA5">
        <w:t>door bevolkingsgroei en doordat huishoudens kleiner worden</w:t>
      </w:r>
      <w:r w:rsidR="004A0C52">
        <w:t>.</w:t>
      </w:r>
      <w:r w:rsidR="00B01CA5">
        <w:t xml:space="preserve"> </w:t>
      </w:r>
      <w:r w:rsidR="00455F3E">
        <w:t xml:space="preserve">44 </w:t>
      </w:r>
      <w:r w:rsidR="0033111F">
        <w:t>procent</w:t>
      </w:r>
      <w:r>
        <w:t xml:space="preserve"> van de woningbouw is nodig </w:t>
      </w:r>
      <w:r w:rsidR="0033111F">
        <w:t>om</w:t>
      </w:r>
      <w:r>
        <w:t xml:space="preserve"> de verwachte </w:t>
      </w:r>
      <w:r w:rsidR="00455F3E">
        <w:t xml:space="preserve">bevolkingsgroei </w:t>
      </w:r>
      <w:r>
        <w:t xml:space="preserve">te accommoderen, </w:t>
      </w:r>
      <w:r w:rsidR="00455F3E">
        <w:t xml:space="preserve">25 procent vanwege het kleiner worden van huishoudens, </w:t>
      </w:r>
      <w:r>
        <w:t>17</w:t>
      </w:r>
      <w:r w:rsidR="0033111F">
        <w:t xml:space="preserve"> procent</w:t>
      </w:r>
      <w:r>
        <w:t xml:space="preserve"> om het huidige tekort in te lopen en 14</w:t>
      </w:r>
      <w:r w:rsidR="0033111F">
        <w:t xml:space="preserve"> procent</w:t>
      </w:r>
      <w:r>
        <w:t xml:space="preserve"> is </w:t>
      </w:r>
      <w:r w:rsidR="00455F3E">
        <w:t xml:space="preserve">nodig </w:t>
      </w:r>
      <w:r>
        <w:t xml:space="preserve">voor de vervanging van gesloopte woningen. </w:t>
      </w:r>
    </w:p>
    <w:p w:rsidR="003457BD" w:rsidP="00866D6C" w14:paraId="572BBEE3" w14:textId="77777777">
      <w:pPr>
        <w:rPr>
          <w:rFonts w:eastAsia="Times New Roman"/>
        </w:rPr>
      </w:pPr>
    </w:p>
    <w:p w:rsidR="00866D6C" w:rsidP="00A7121C" w14:paraId="4446E833" w14:textId="77777777">
      <w:pPr>
        <w:rPr>
          <w:rFonts w:eastAsia="Times New Roman"/>
        </w:rPr>
      </w:pPr>
      <w:r>
        <w:rPr>
          <w:rFonts w:eastAsia="Times New Roman"/>
        </w:rPr>
        <w:t>Een belangrijke trend die aandacht van ons vraagt is de vergrijzing. D</w:t>
      </w:r>
      <w:r w:rsidRPr="003817DB">
        <w:rPr>
          <w:rFonts w:eastAsia="Times New Roman"/>
        </w:rPr>
        <w:t xml:space="preserve">e komende vijftien jaar </w:t>
      </w:r>
      <w:r>
        <w:rPr>
          <w:rFonts w:eastAsia="Times New Roman"/>
        </w:rPr>
        <w:t xml:space="preserve">neemt het aantal 75-plussers </w:t>
      </w:r>
      <w:r w:rsidRPr="003817DB">
        <w:rPr>
          <w:rFonts w:eastAsia="Times New Roman"/>
        </w:rPr>
        <w:t>met 43</w:t>
      </w:r>
      <w:r>
        <w:rPr>
          <w:rFonts w:eastAsia="Times New Roman"/>
        </w:rPr>
        <w:t xml:space="preserve"> procent</w:t>
      </w:r>
      <w:r w:rsidRPr="003817DB">
        <w:rPr>
          <w:rFonts w:eastAsia="Times New Roman"/>
        </w:rPr>
        <w:t xml:space="preserve"> toe. Het gaat om een toename </w:t>
      </w:r>
      <w:r>
        <w:rPr>
          <w:rFonts w:eastAsia="Times New Roman"/>
        </w:rPr>
        <w:t>van</w:t>
      </w:r>
      <w:r w:rsidRPr="003817DB">
        <w:rPr>
          <w:rFonts w:eastAsia="Times New Roman"/>
        </w:rPr>
        <w:t xml:space="preserve"> 788</w:t>
      </w:r>
      <w:r>
        <w:rPr>
          <w:rFonts w:eastAsia="Times New Roman"/>
        </w:rPr>
        <w:t xml:space="preserve"> duizend</w:t>
      </w:r>
      <w:r w:rsidR="005236A9">
        <w:rPr>
          <w:rFonts w:eastAsia="Times New Roman"/>
        </w:rPr>
        <w:t xml:space="preserve"> </w:t>
      </w:r>
      <w:r w:rsidR="0032336A">
        <w:rPr>
          <w:rFonts w:eastAsia="Times New Roman"/>
        </w:rPr>
        <w:t>personen</w:t>
      </w:r>
      <w:r w:rsidRPr="003817DB">
        <w:rPr>
          <w:rFonts w:eastAsia="Times New Roman"/>
        </w:rPr>
        <w:t xml:space="preserve">: van 1,82 miljoen in 2026 tot 2,60 miljoen in 2041. </w:t>
      </w:r>
      <w:r w:rsidRPr="00E7169C">
        <w:rPr>
          <w:rFonts w:eastAsia="Times New Roman"/>
        </w:rPr>
        <w:t xml:space="preserve">Het aantal 75-plus huishoudens neemt </w:t>
      </w:r>
      <w:r>
        <w:rPr>
          <w:rFonts w:eastAsia="Times New Roman"/>
        </w:rPr>
        <w:t xml:space="preserve">in de komende 15 jaar toe met </w:t>
      </w:r>
      <w:r w:rsidRPr="00E7169C">
        <w:rPr>
          <w:rFonts w:eastAsia="Times New Roman"/>
        </w:rPr>
        <w:t>6</w:t>
      </w:r>
      <w:r>
        <w:rPr>
          <w:rFonts w:eastAsia="Times New Roman"/>
        </w:rPr>
        <w:t>14 duizend</w:t>
      </w:r>
      <w:r w:rsidRPr="00E7169C">
        <w:rPr>
          <w:rFonts w:eastAsia="Times New Roman"/>
        </w:rPr>
        <w:t xml:space="preserve">, waarvan </w:t>
      </w:r>
      <w:r>
        <w:rPr>
          <w:rFonts w:eastAsia="Times New Roman"/>
        </w:rPr>
        <w:t>38</w:t>
      </w:r>
      <w:r w:rsidR="00BA5A91">
        <w:rPr>
          <w:rFonts w:eastAsia="Times New Roman"/>
        </w:rPr>
        <w:t>3</w:t>
      </w:r>
      <w:r>
        <w:rPr>
          <w:rFonts w:eastAsia="Times New Roman"/>
        </w:rPr>
        <w:t xml:space="preserve"> duizend </w:t>
      </w:r>
      <w:r w:rsidR="009579BD">
        <w:rPr>
          <w:rFonts w:eastAsia="Times New Roman"/>
        </w:rPr>
        <w:t>eenpersoonshuishoudens.</w:t>
      </w:r>
      <w:r>
        <w:rPr>
          <w:rFonts w:eastAsia="Times New Roman"/>
        </w:rPr>
        <w:t xml:space="preserve"> Er zal dus veel moeten gebeuren om de woningvoorraad geschikt te maken voor oudere huishoudens. De opgave voor het realiseren van 290.000 voor ouderen geschikte woningen zal deels via woningbouw gebeuren en deels via aanpassing van woningen in de besta</w:t>
      </w:r>
      <w:r w:rsidR="00562F48">
        <w:rPr>
          <w:rFonts w:eastAsia="Times New Roman"/>
        </w:rPr>
        <w:t>a</w:t>
      </w:r>
      <w:r>
        <w:rPr>
          <w:rFonts w:eastAsia="Times New Roman"/>
        </w:rPr>
        <w:t>nde voorraad. Bij de actualisatie van de woondeals worden afspraken gemaakt over deze opgave</w:t>
      </w:r>
      <w:r w:rsidR="00BF5F52">
        <w:rPr>
          <w:rFonts w:eastAsia="Times New Roman"/>
        </w:rPr>
        <w:t xml:space="preserve"> voor de komende 10 jaar</w:t>
      </w:r>
      <w:r>
        <w:rPr>
          <w:rFonts w:eastAsia="Times New Roman"/>
        </w:rPr>
        <w:t>.</w:t>
      </w:r>
    </w:p>
    <w:p w:rsidR="003457BD" w:rsidP="00A7121C" w14:paraId="6F46CF48" w14:textId="77777777">
      <w:pPr>
        <w:rPr>
          <w:rFonts w:eastAsia="Times New Roman"/>
        </w:rPr>
      </w:pPr>
    </w:p>
    <w:p w:rsidRPr="004B796F" w:rsidR="003457BD" w:rsidP="00E16AA7" w14:paraId="0A8AE66F" w14:textId="77777777">
      <w:pPr>
        <w:rPr>
          <w:rFonts w:eastAsia="Times New Roman"/>
        </w:rPr>
      </w:pPr>
      <w:r w:rsidRPr="00E80E64">
        <w:rPr>
          <w:rFonts w:eastAsia="Times New Roman"/>
        </w:rPr>
        <w:t xml:space="preserve">Sinds 2010 is het aandeel thuiswonende (jong)volwassenen sterk toegenomen. </w:t>
      </w:r>
      <w:r>
        <w:rPr>
          <w:rFonts w:eastAsia="Times New Roman"/>
        </w:rPr>
        <w:t>V</w:t>
      </w:r>
      <w:r w:rsidRPr="00E80E64">
        <w:rPr>
          <w:rFonts w:eastAsia="Times New Roman"/>
        </w:rPr>
        <w:t xml:space="preserve">olgens het </w:t>
      </w:r>
      <w:r w:rsidR="00D83208">
        <w:rPr>
          <w:rFonts w:eastAsia="Times New Roman"/>
        </w:rPr>
        <w:t>Woononderzoek Nederland</w:t>
      </w:r>
      <w:r w:rsidR="00152BE8">
        <w:rPr>
          <w:rFonts w:eastAsia="Times New Roman"/>
        </w:rPr>
        <w:t xml:space="preserve"> (</w:t>
      </w:r>
      <w:r w:rsidRPr="00E80E64">
        <w:rPr>
          <w:rFonts w:eastAsia="Times New Roman"/>
        </w:rPr>
        <w:t>WoON</w:t>
      </w:r>
      <w:r w:rsidRPr="00E80E64">
        <w:rPr>
          <w:rFonts w:eastAsia="Times New Roman"/>
        </w:rPr>
        <w:t xml:space="preserve"> 2024</w:t>
      </w:r>
      <w:r w:rsidR="00152BE8">
        <w:rPr>
          <w:rFonts w:eastAsia="Times New Roman"/>
        </w:rPr>
        <w:t>)</w:t>
      </w:r>
      <w:r w:rsidRPr="00E80E64">
        <w:rPr>
          <w:rFonts w:eastAsia="Times New Roman"/>
        </w:rPr>
        <w:t xml:space="preserve"> heeft 60</w:t>
      </w:r>
      <w:r w:rsidR="00200994">
        <w:rPr>
          <w:rFonts w:eastAsia="Times New Roman"/>
        </w:rPr>
        <w:t xml:space="preserve"> procent</w:t>
      </w:r>
      <w:r w:rsidRPr="00E80E64">
        <w:rPr>
          <w:rFonts w:eastAsia="Times New Roman"/>
        </w:rPr>
        <w:t xml:space="preserve"> van de thuiswonende </w:t>
      </w:r>
      <w:r>
        <w:rPr>
          <w:rFonts w:eastAsia="Times New Roman"/>
        </w:rPr>
        <w:t>(jong)volwassenen</w:t>
      </w:r>
      <w:r w:rsidRPr="00E80E64">
        <w:rPr>
          <w:rFonts w:eastAsia="Times New Roman"/>
        </w:rPr>
        <w:t xml:space="preserve"> </w:t>
      </w:r>
      <w:r w:rsidR="00151884">
        <w:rPr>
          <w:rFonts w:eastAsia="Times New Roman"/>
        </w:rPr>
        <w:t xml:space="preserve">de </w:t>
      </w:r>
      <w:r w:rsidRPr="00E80E64">
        <w:rPr>
          <w:rFonts w:eastAsia="Times New Roman"/>
        </w:rPr>
        <w:t xml:space="preserve">wens om een eigen woning te betrekken. </w:t>
      </w:r>
      <w:r>
        <w:rPr>
          <w:rFonts w:eastAsia="Times New Roman"/>
        </w:rPr>
        <w:t>ABF</w:t>
      </w:r>
      <w:r w:rsidR="0033111F">
        <w:rPr>
          <w:rFonts w:eastAsia="Times New Roman"/>
        </w:rPr>
        <w:t xml:space="preserve"> </w:t>
      </w:r>
      <w:r>
        <w:rPr>
          <w:rFonts w:eastAsia="Times New Roman"/>
        </w:rPr>
        <w:t xml:space="preserve">Research geeft aan dat het denkbaar is dat </w:t>
      </w:r>
      <w:r w:rsidRPr="00E80E64">
        <w:rPr>
          <w:rFonts w:eastAsia="Times New Roman"/>
        </w:rPr>
        <w:t xml:space="preserve">de inschatting van het aantal (jong)volwassenen dat het ouderlijk huis verlaat </w:t>
      </w:r>
      <w:r w:rsidR="00543521">
        <w:rPr>
          <w:rFonts w:eastAsia="Times New Roman"/>
        </w:rPr>
        <w:t xml:space="preserve">in de prognose wat </w:t>
      </w:r>
      <w:r w:rsidRPr="00E80E64">
        <w:rPr>
          <w:rFonts w:eastAsia="Times New Roman"/>
        </w:rPr>
        <w:t>onderschat is</w:t>
      </w:r>
      <w:r w:rsidR="0065358A">
        <w:rPr>
          <w:rFonts w:eastAsia="Times New Roman"/>
        </w:rPr>
        <w:t xml:space="preserve">. </w:t>
      </w:r>
      <w:r w:rsidRPr="00E80E64">
        <w:rPr>
          <w:rFonts w:eastAsia="Times New Roman"/>
        </w:rPr>
        <w:t xml:space="preserve">Bij een verruiming van de woningmarkt </w:t>
      </w:r>
      <w:r>
        <w:rPr>
          <w:rFonts w:eastAsia="Times New Roman"/>
        </w:rPr>
        <w:t>kan</w:t>
      </w:r>
      <w:r w:rsidRPr="00E80E64">
        <w:rPr>
          <w:rFonts w:eastAsia="Times New Roman"/>
        </w:rPr>
        <w:t xml:space="preserve"> deze latente vraag zich </w:t>
      </w:r>
      <w:r w:rsidR="009579BD">
        <w:rPr>
          <w:rFonts w:eastAsia="Times New Roman"/>
        </w:rPr>
        <w:t xml:space="preserve">alsnog </w:t>
      </w:r>
      <w:r w:rsidRPr="00E80E64">
        <w:rPr>
          <w:rFonts w:eastAsia="Times New Roman"/>
        </w:rPr>
        <w:t xml:space="preserve">manifesteren. </w:t>
      </w:r>
      <w:r w:rsidR="005925FB">
        <w:rPr>
          <w:rFonts w:eastAsia="Times New Roman"/>
        </w:rPr>
        <w:t xml:space="preserve">Hierdoor kan de </w:t>
      </w:r>
      <w:r w:rsidRPr="00E80E64" w:rsidR="00EF49B3">
        <w:rPr>
          <w:rFonts w:eastAsia="Times New Roman"/>
        </w:rPr>
        <w:t>vraag naar woningen</w:t>
      </w:r>
      <w:r w:rsidR="00EF49B3">
        <w:rPr>
          <w:rFonts w:eastAsia="Times New Roman"/>
        </w:rPr>
        <w:t xml:space="preserve"> </w:t>
      </w:r>
      <w:r w:rsidR="009579BD">
        <w:rPr>
          <w:rFonts w:eastAsia="Times New Roman"/>
        </w:rPr>
        <w:t xml:space="preserve">dan </w:t>
      </w:r>
      <w:r w:rsidRPr="00E80E64" w:rsidR="00EF49B3">
        <w:rPr>
          <w:rFonts w:eastAsia="Times New Roman"/>
        </w:rPr>
        <w:t>mogelijk groter</w:t>
      </w:r>
      <w:r w:rsidR="005925FB">
        <w:rPr>
          <w:rFonts w:eastAsia="Times New Roman"/>
        </w:rPr>
        <w:t xml:space="preserve"> worden</w:t>
      </w:r>
      <w:r w:rsidRPr="00E80E64" w:rsidR="00EF49B3">
        <w:rPr>
          <w:rFonts w:eastAsia="Times New Roman"/>
        </w:rPr>
        <w:t>.</w:t>
      </w:r>
      <w:r w:rsidR="00EF49B3">
        <w:rPr>
          <w:rFonts w:eastAsia="Times New Roman"/>
        </w:rPr>
        <w:t xml:space="preserve"> </w:t>
      </w:r>
    </w:p>
    <w:p w:rsidR="003457BD" w:rsidP="00E16AA7" w14:paraId="0DB6EBBF" w14:textId="77777777">
      <w:pPr>
        <w:rPr>
          <w:rFonts w:eastAsia="Times New Roman"/>
          <w:b/>
          <w:bCs/>
        </w:rPr>
      </w:pPr>
    </w:p>
    <w:p w:rsidRPr="004E5BFB" w:rsidR="00E16AA7" w:rsidP="00E16AA7" w14:paraId="3D7EB370" w14:textId="77777777">
      <w:pPr>
        <w:rPr>
          <w:rFonts w:eastAsia="Times New Roman"/>
          <w:b/>
          <w:bCs/>
        </w:rPr>
      </w:pPr>
      <w:r>
        <w:rPr>
          <w:rFonts w:eastAsia="Times New Roman"/>
          <w:b/>
          <w:bCs/>
        </w:rPr>
        <w:t>Tot slot</w:t>
      </w:r>
      <w:r w:rsidRPr="004E5BFB">
        <w:rPr>
          <w:rFonts w:eastAsia="Times New Roman"/>
          <w:b/>
          <w:bCs/>
        </w:rPr>
        <w:t xml:space="preserve"> </w:t>
      </w:r>
    </w:p>
    <w:p w:rsidRPr="00EA21F5" w:rsidR="003C68A1" w:rsidP="001E1A3A" w14:paraId="40B69A3E" w14:textId="77777777">
      <w:pPr>
        <w:rPr>
          <w:rFonts w:eastAsia="Times New Roman"/>
        </w:rPr>
      </w:pPr>
      <w:r w:rsidRPr="00EA21F5">
        <w:rPr>
          <w:rFonts w:eastAsia="Times New Roman"/>
        </w:rPr>
        <w:t xml:space="preserve">Ik informeer u jaarlijks over de uitkomsten </w:t>
      </w:r>
      <w:r>
        <w:rPr>
          <w:rFonts w:eastAsia="Times New Roman"/>
        </w:rPr>
        <w:t xml:space="preserve">van de </w:t>
      </w:r>
      <w:r w:rsidR="001C1FCE">
        <w:rPr>
          <w:rFonts w:eastAsia="Times New Roman"/>
        </w:rPr>
        <w:t>Primos</w:t>
      </w:r>
      <w:r w:rsidR="001C1FCE">
        <w:rPr>
          <w:rFonts w:eastAsia="Times New Roman"/>
        </w:rPr>
        <w:t>-</w:t>
      </w:r>
      <w:r>
        <w:rPr>
          <w:rFonts w:eastAsia="Times New Roman"/>
        </w:rPr>
        <w:t xml:space="preserve">prognose </w:t>
      </w:r>
      <w:r w:rsidR="001C1FCE">
        <w:rPr>
          <w:rFonts w:eastAsia="Times New Roman"/>
        </w:rPr>
        <w:t xml:space="preserve">om </w:t>
      </w:r>
      <w:r w:rsidR="00A51396">
        <w:rPr>
          <w:rFonts w:eastAsia="Times New Roman"/>
        </w:rPr>
        <w:t xml:space="preserve">daarmee </w:t>
      </w:r>
      <w:r w:rsidR="001C1FCE">
        <w:rPr>
          <w:rFonts w:eastAsia="Times New Roman"/>
        </w:rPr>
        <w:t xml:space="preserve">te </w:t>
      </w:r>
      <w:r w:rsidR="00A51396">
        <w:rPr>
          <w:rFonts w:eastAsia="Times New Roman"/>
        </w:rPr>
        <w:t xml:space="preserve">kwantificeren </w:t>
      </w:r>
      <w:r>
        <w:rPr>
          <w:rFonts w:eastAsia="Times New Roman"/>
        </w:rPr>
        <w:t xml:space="preserve">hoe </w:t>
      </w:r>
      <w:r w:rsidR="001C1FCE">
        <w:rPr>
          <w:rFonts w:eastAsia="Times New Roman"/>
        </w:rPr>
        <w:t xml:space="preserve">omvangrijk </w:t>
      </w:r>
      <w:r>
        <w:rPr>
          <w:rFonts w:eastAsia="Times New Roman"/>
        </w:rPr>
        <w:t xml:space="preserve">de opgave is. </w:t>
      </w:r>
      <w:r w:rsidR="00F412FA">
        <w:rPr>
          <w:rFonts w:eastAsia="Times New Roman"/>
        </w:rPr>
        <w:t>O</w:t>
      </w:r>
      <w:r w:rsidR="00887D09">
        <w:rPr>
          <w:rFonts w:eastAsia="Times New Roman"/>
        </w:rPr>
        <w:t xml:space="preserve">mdat prognoses onzekerheden kennen is het belangrijk om </w:t>
      </w:r>
      <w:r w:rsidR="00F412FA">
        <w:rPr>
          <w:rFonts w:eastAsia="Times New Roman"/>
        </w:rPr>
        <w:t xml:space="preserve">dit </w:t>
      </w:r>
      <w:r w:rsidR="00887D09">
        <w:rPr>
          <w:rFonts w:eastAsia="Times New Roman"/>
        </w:rPr>
        <w:t>regelmatig in beeld te brengen</w:t>
      </w:r>
      <w:r w:rsidRPr="00EA21F5">
        <w:rPr>
          <w:rFonts w:eastAsia="Times New Roman"/>
        </w:rPr>
        <w:t>.</w:t>
      </w:r>
      <w:r w:rsidRPr="00D8315F" w:rsidR="00D8315F">
        <w:t xml:space="preserve"> </w:t>
      </w:r>
      <w:r w:rsidR="00D8315F">
        <w:t>Ontwikkelingen zoals migratie, economische veranderingen en veranderende woonwensen kunnen invloed hebben op de vraag naar woningen.</w:t>
      </w:r>
      <w:r w:rsidR="00452B00">
        <w:t xml:space="preserve"> </w:t>
      </w:r>
      <w:r w:rsidRPr="00EA21F5">
        <w:rPr>
          <w:rFonts w:eastAsia="Times New Roman"/>
        </w:rPr>
        <w:t>Het is noodzak</w:t>
      </w:r>
      <w:r w:rsidR="00CE7994">
        <w:rPr>
          <w:rFonts w:eastAsia="Times New Roman"/>
        </w:rPr>
        <w:t>elijk</w:t>
      </w:r>
      <w:r w:rsidRPr="00EA21F5">
        <w:rPr>
          <w:rFonts w:eastAsia="Times New Roman"/>
        </w:rPr>
        <w:t xml:space="preserve"> om d</w:t>
      </w:r>
      <w:r w:rsidR="00452B00">
        <w:rPr>
          <w:rFonts w:eastAsia="Times New Roman"/>
        </w:rPr>
        <w:t>e</w:t>
      </w:r>
      <w:r w:rsidRPr="00EA21F5">
        <w:rPr>
          <w:rFonts w:eastAsia="Times New Roman"/>
        </w:rPr>
        <w:t xml:space="preserve"> vinger aan de pols te houden</w:t>
      </w:r>
      <w:r w:rsidR="00CE7994">
        <w:rPr>
          <w:rFonts w:eastAsia="Times New Roman"/>
        </w:rPr>
        <w:t xml:space="preserve">, zodat we </w:t>
      </w:r>
      <w:r w:rsidR="00D8315F">
        <w:rPr>
          <w:rFonts w:eastAsia="Times New Roman"/>
        </w:rPr>
        <w:t>tijdig kunnen inspelen</w:t>
      </w:r>
      <w:r w:rsidR="00CE7994">
        <w:rPr>
          <w:rFonts w:eastAsia="Times New Roman"/>
        </w:rPr>
        <w:t xml:space="preserve"> op veranderingen</w:t>
      </w:r>
      <w:r w:rsidR="009470AD">
        <w:rPr>
          <w:rFonts w:eastAsia="Times New Roman"/>
        </w:rPr>
        <w:t xml:space="preserve"> en</w:t>
      </w:r>
      <w:r w:rsidR="00AA18AC">
        <w:rPr>
          <w:rFonts w:eastAsia="Times New Roman"/>
        </w:rPr>
        <w:t xml:space="preserve"> zodat </w:t>
      </w:r>
      <w:r w:rsidR="00CE7994">
        <w:rPr>
          <w:rFonts w:eastAsia="Times New Roman"/>
        </w:rPr>
        <w:t xml:space="preserve">de juiste woningen op de juiste plekken </w:t>
      </w:r>
      <w:r w:rsidR="00AA18AC">
        <w:rPr>
          <w:rFonts w:eastAsia="Times New Roman"/>
        </w:rPr>
        <w:t>worden gebouwd</w:t>
      </w:r>
      <w:r w:rsidRPr="00EA21F5">
        <w:rPr>
          <w:rFonts w:eastAsia="Times New Roman"/>
        </w:rPr>
        <w:t>.</w:t>
      </w:r>
      <w:r>
        <w:rPr>
          <w:rFonts w:eastAsia="Times New Roman"/>
        </w:rPr>
        <w:t xml:space="preserve"> </w:t>
      </w:r>
    </w:p>
    <w:bookmarkEnd w:id="1"/>
    <w:p w:rsidR="005354CC" w14:paraId="38480C19" w14:textId="77777777">
      <w:pPr>
        <w:pStyle w:val="WitregelW1bodytekst"/>
      </w:pPr>
    </w:p>
    <w:p w:rsidR="00D71A77" w14:paraId="3F04F12D" w14:textId="77777777"/>
    <w:p w:rsidR="005354CC" w14:paraId="3BA519E0" w14:textId="77777777">
      <w:r>
        <w:t>De Minister van Volkshuisvesting en Ruimtelijke Ordening</w:t>
      </w:r>
      <w:r>
        <w:rPr>
          <w:i/>
        </w:rPr>
        <w:t>,</w:t>
      </w:r>
    </w:p>
    <w:p w:rsidR="005354CC" w14:paraId="47DE67A3" w14:textId="77777777"/>
    <w:p w:rsidR="005354CC" w14:paraId="3A3ABA12" w14:textId="77777777"/>
    <w:p w:rsidR="005354CC" w14:paraId="7A0126EB" w14:textId="77777777"/>
    <w:p w:rsidR="004B796F" w14:paraId="193EF22B" w14:textId="77777777"/>
    <w:p w:rsidR="004B796F" w14:paraId="1EDD2B92" w14:textId="77777777"/>
    <w:p w:rsidR="005354CC" w14:paraId="25DD529D" w14:textId="77777777"/>
    <w:p w:rsidR="005354CC" w14:paraId="36B70AF5" w14:textId="77777777">
      <w:r>
        <w:t xml:space="preserve">E. </w:t>
      </w:r>
      <w:r>
        <w:t>Boekholt-O'Sullivan</w:t>
      </w:r>
    </w:p>
    <w:sectPr>
      <w:headerReference w:type="even" r:id="rId8"/>
      <w:headerReference w:type="default" r:id="rId9"/>
      <w:footerReference w:type="even" r:id="rId10"/>
      <w:footerReference w:type="default" r:id="rId11"/>
      <w:headerReference w:type="first" r:id="rId12"/>
      <w:footerReference w:type="first" r:id="rId13"/>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258F" w14:paraId="0BCD1D8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54CC" w14:paraId="399FC51E"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258F" w14:paraId="0CC903A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01341" w14:paraId="1480D493" w14:textId="77777777">
      <w:pPr>
        <w:spacing w:line="240" w:lineRule="auto"/>
      </w:pPr>
      <w:r>
        <w:separator/>
      </w:r>
    </w:p>
  </w:footnote>
  <w:footnote w:type="continuationSeparator" w:id="1">
    <w:p w:rsidR="00301341" w14:paraId="7EA85FB4" w14:textId="77777777">
      <w:pPr>
        <w:spacing w:line="240" w:lineRule="auto"/>
      </w:pPr>
      <w:r>
        <w:continuationSeparator/>
      </w:r>
    </w:p>
  </w:footnote>
  <w:footnote w:id="2">
    <w:p w:rsidR="00A80741" w:rsidRPr="00541B5A" w:rsidP="00A80741" w14:paraId="2A74BB64" w14:textId="77777777">
      <w:pPr>
        <w:pStyle w:val="FootnoteText"/>
        <w:rPr>
          <w:sz w:val="14"/>
          <w:szCs w:val="14"/>
        </w:rPr>
      </w:pPr>
      <w:r w:rsidRPr="00541B5A">
        <w:rPr>
          <w:rStyle w:val="FootnoteReference"/>
          <w:sz w:val="14"/>
          <w:szCs w:val="14"/>
        </w:rPr>
        <w:footnoteRef/>
      </w:r>
      <w:r w:rsidRPr="00541B5A">
        <w:rPr>
          <w:sz w:val="14"/>
          <w:szCs w:val="14"/>
        </w:rPr>
        <w:t xml:space="preserve"> Bron: CBS </w:t>
      </w:r>
      <w:hyperlink r:id="rId1" w:anchor="/CBS/nl/dataset/82235NED/table?ts=1782291933161" w:history="1">
        <w:r w:rsidRPr="00541B5A">
          <w:rPr>
            <w:rStyle w:val="Hyperlink"/>
            <w:sz w:val="14"/>
            <w:szCs w:val="14"/>
          </w:rPr>
          <w:t>StatLine</w:t>
        </w:r>
        <w:r w:rsidRPr="00541B5A">
          <w:rPr>
            <w:rStyle w:val="Hyperlink"/>
            <w:sz w:val="14"/>
            <w:szCs w:val="14"/>
          </w:rPr>
          <w:t xml:space="preserve"> - Voorraad woningen; standen en mutaties vanaf 1921</w:t>
        </w:r>
      </w:hyperlink>
    </w:p>
  </w:footnote>
  <w:footnote w:id="3">
    <w:p w:rsidR="00F53F01" w:rsidRPr="003D75F3" w14:paraId="5B45AE9D" w14:textId="77777777">
      <w:pPr>
        <w:pStyle w:val="FootnoteText"/>
        <w:rPr>
          <w:sz w:val="16"/>
          <w:szCs w:val="16"/>
        </w:rPr>
      </w:pPr>
      <w:r w:rsidRPr="004B796F">
        <w:rPr>
          <w:rStyle w:val="FootnoteReference"/>
          <w:sz w:val="18"/>
          <w:szCs w:val="18"/>
        </w:rPr>
        <w:footnoteRef/>
      </w:r>
      <w:r w:rsidRPr="004B796F">
        <w:rPr>
          <w:sz w:val="14"/>
          <w:szCs w:val="14"/>
        </w:rPr>
        <w:t xml:space="preserve"> Het statistische woningtekort is een maat voor de spanning op de woningmarkt. Bij een woningtekort lager dan 2% ontstaan en risico’s op leegstand, waardedaling en leefbaarheidsproblematiek.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258F" w14:paraId="51F2D96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54CC" w14:paraId="3D6D3CCB"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1C491D"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1C491D" w14:paraId="4D30D5BB"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354CC" w14:textId="77777777">
                          <w:pPr>
                            <w:pStyle w:val="Referentiegegevensbold"/>
                          </w:pPr>
                          <w:r>
                            <w:t>DG Volkshuisvesting en Bouwen</w:t>
                          </w:r>
                        </w:p>
                        <w:p w:rsidR="005354CC" w14:textId="77777777">
                          <w:pPr>
                            <w:pStyle w:val="Referentiegegevens"/>
                          </w:pPr>
                          <w:r>
                            <w:t>DGVB-WBB-Monitoring Onderzoek en Kennis</w:t>
                          </w:r>
                        </w:p>
                        <w:p w:rsidR="005354CC" w14:textId="77777777">
                          <w:pPr>
                            <w:pStyle w:val="WitregelW2"/>
                          </w:pPr>
                        </w:p>
                        <w:p w:rsidR="005213C2" w14:textId="7699815C">
                          <w:pPr>
                            <w:pStyle w:val="Referentiegegevens"/>
                          </w:pPr>
                          <w:r>
                            <w:fldChar w:fldCharType="begin"/>
                          </w:r>
                          <w:r>
                            <w:instrText xml:space="preserve"> DOCPROPERTY  "Datum"  \* MERGEFORMAT </w:instrText>
                          </w:r>
                          <w:r>
                            <w:fldChar w:fldCharType="separate"/>
                          </w:r>
                          <w:r>
                            <w:fldChar w:fldCharType="end"/>
                          </w:r>
                        </w:p>
                        <w:p w:rsidR="005354CC" w14:textId="77777777">
                          <w:pPr>
                            <w:pStyle w:val="WitregelW1"/>
                          </w:pPr>
                        </w:p>
                        <w:p w:rsidR="005354CC" w14:textId="77777777">
                          <w:pPr>
                            <w:pStyle w:val="Referentiegegevensbold"/>
                          </w:pPr>
                          <w:r>
                            <w:t>Onze referentie</w:t>
                          </w:r>
                        </w:p>
                        <w:p w:rsidR="005213C2" w14:textId="1D7C50D7">
                          <w:pPr>
                            <w:pStyle w:val="Referentiegegevens"/>
                          </w:pPr>
                          <w:r>
                            <w:fldChar w:fldCharType="begin"/>
                          </w:r>
                          <w:r>
                            <w:instrText xml:space="preserve"> DOCPROPERTY  "Kenmerk"  \* MERGEFORMAT </w:instrText>
                          </w:r>
                          <w:r>
                            <w:fldChar w:fldCharType="separate"/>
                          </w:r>
                          <w:r w:rsidR="0025258F">
                            <w:t>2026-0000298894</w:t>
                          </w:r>
                          <w:r w:rsidR="0025258F">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5354CC" w14:paraId="1FC6A5CF" w14:textId="77777777">
                    <w:pPr>
                      <w:pStyle w:val="Referentiegegevensbold"/>
                    </w:pPr>
                    <w:r>
                      <w:t>DG Volkshuisvesting en Bouwen</w:t>
                    </w:r>
                  </w:p>
                  <w:p w:rsidR="005354CC" w14:paraId="22D3B238" w14:textId="77777777">
                    <w:pPr>
                      <w:pStyle w:val="Referentiegegevens"/>
                    </w:pPr>
                    <w:r>
                      <w:t>DGVB-WBB-Monitoring Onderzoek en Kennis</w:t>
                    </w:r>
                  </w:p>
                  <w:p w:rsidR="005354CC" w14:paraId="2E68D4C7" w14:textId="77777777">
                    <w:pPr>
                      <w:pStyle w:val="WitregelW2"/>
                    </w:pPr>
                  </w:p>
                  <w:p w:rsidR="005213C2" w14:paraId="4E716B18" w14:textId="7699815C">
                    <w:pPr>
                      <w:pStyle w:val="Referentiegegevens"/>
                    </w:pPr>
                    <w:r>
                      <w:fldChar w:fldCharType="begin"/>
                    </w:r>
                    <w:r>
                      <w:instrText xml:space="preserve"> DOCPROPERTY  "Datum"  \* MERGEFORMAT </w:instrText>
                    </w:r>
                    <w:r>
                      <w:fldChar w:fldCharType="separate"/>
                    </w:r>
                    <w:r>
                      <w:fldChar w:fldCharType="end"/>
                    </w:r>
                  </w:p>
                  <w:p w:rsidR="005354CC" w14:paraId="70265800" w14:textId="77777777">
                    <w:pPr>
                      <w:pStyle w:val="WitregelW1"/>
                    </w:pPr>
                  </w:p>
                  <w:p w:rsidR="005354CC" w14:paraId="0A0AE181" w14:textId="77777777">
                    <w:pPr>
                      <w:pStyle w:val="Referentiegegevensbold"/>
                    </w:pPr>
                    <w:r>
                      <w:t>Onze referentie</w:t>
                    </w:r>
                  </w:p>
                  <w:p w:rsidR="005213C2" w14:paraId="5E79BBBF" w14:textId="1D7C50D7">
                    <w:pPr>
                      <w:pStyle w:val="Referentiegegevens"/>
                    </w:pPr>
                    <w:r>
                      <w:fldChar w:fldCharType="begin"/>
                    </w:r>
                    <w:r>
                      <w:instrText xml:space="preserve"> DOCPROPERTY  "Kenmerk"  \* MERGEFORMAT </w:instrText>
                    </w:r>
                    <w:r>
                      <w:fldChar w:fldCharType="separate"/>
                    </w:r>
                    <w:r w:rsidR="0025258F">
                      <w:t>2026-0000298894</w:t>
                    </w:r>
                    <w:r w:rsidR="0025258F">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C491D"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1C491D" w14:paraId="35D5C72E"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5213C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5213C2" w14:paraId="6E1B9C5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54CC" w14:paraId="2DF930E8"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5354CC" w14:textId="77777777">
                          <w:pPr>
                            <w:spacing w:line="240" w:lineRule="auto"/>
                          </w:pPr>
                          <w:r>
                            <w:rPr>
                              <w:noProof/>
                            </w:rPr>
                            <w:drawing>
                              <wp:inline distT="0" distB="0" distL="0" distR="0">
                                <wp:extent cx="467995" cy="1583865"/>
                                <wp:effectExtent l="0" t="0" r="0" b="0"/>
                                <wp:docPr id="2643847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643847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5354CC" w14:paraId="292D3A40"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5354CC" w14:textId="77777777">
                          <w:pPr>
                            <w:spacing w:line="240" w:lineRule="auto"/>
                          </w:pPr>
                          <w:r>
                            <w:rPr>
                              <w:noProof/>
                            </w:rPr>
                            <w:drawing>
                              <wp:inline distT="0" distB="0" distL="0" distR="0">
                                <wp:extent cx="2339975" cy="1582834"/>
                                <wp:effectExtent l="0" t="0" r="0" b="0"/>
                                <wp:docPr id="89807182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9807182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5354CC" w14:paraId="439A0ED0"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354CC"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5354CC" w14:paraId="4792D407"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5354CC" w14:textId="77777777">
                          <w:r>
                            <w:t>De Tweede Kamer der Staten-Generaal</w:t>
                          </w:r>
                        </w:p>
                        <w:p w:rsidR="005354CC" w14:textId="77777777">
                          <w:r>
                            <w:t>t.a.v. de Voorzitter van de Tweede Kamer der Staten-Generaal</w:t>
                          </w:r>
                        </w:p>
                        <w:p w:rsidR="005354CC" w14:textId="77777777">
                          <w:r>
                            <w:t>Postbus 20018</w:t>
                          </w:r>
                        </w:p>
                        <w:p w:rsidR="005354CC"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5354CC" w14:paraId="423E389D" w14:textId="77777777">
                    <w:r>
                      <w:t>De Tweede Kamer der Staten-Generaal</w:t>
                    </w:r>
                  </w:p>
                  <w:p w:rsidR="005354CC" w14:paraId="680EADDC" w14:textId="77777777">
                    <w:r>
                      <w:t>t.a.v. de Voorzitter van de Tweede Kamer der Staten-Generaal</w:t>
                    </w:r>
                  </w:p>
                  <w:p w:rsidR="005354CC" w14:paraId="1630AE10" w14:textId="77777777">
                    <w:r>
                      <w:t>Postbus 20018</w:t>
                    </w:r>
                  </w:p>
                  <w:p w:rsidR="005354CC" w14:paraId="649246D2"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1009650</wp:posOffset>
              </wp:positionH>
              <wp:positionV relativeFrom="paragraph">
                <wp:posOffset>3352800</wp:posOffset>
              </wp:positionV>
              <wp:extent cx="4787900" cy="83820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838200"/>
                      </a:xfrm>
                      <a:prstGeom prst="rect">
                        <a:avLst/>
                      </a:prstGeom>
                      <a:noFill/>
                    </wps:spPr>
                    <wps:txbx>
                      <w:txbxContent>
                        <w:tbl>
                          <w:tblPr>
                            <w:tblW w:w="0" w:type="auto"/>
                            <w:tblInd w:w="-120" w:type="dxa"/>
                            <w:tblLayout w:type="fixed"/>
                            <w:tblLook w:val="07E0"/>
                          </w:tblPr>
                          <w:tblGrid>
                            <w:gridCol w:w="1140"/>
                            <w:gridCol w:w="5918"/>
                          </w:tblGrid>
                          <w:tr w14:paraId="2AEEBF6C" w14:textId="77777777">
                            <w:tblPrEx>
                              <w:tblW w:w="0" w:type="auto"/>
                              <w:tblInd w:w="-120" w:type="dxa"/>
                              <w:tblLayout w:type="fixed"/>
                              <w:tblLook w:val="07E0"/>
                            </w:tblPrEx>
                            <w:trPr>
                              <w:trHeight w:val="240"/>
                            </w:trPr>
                            <w:tc>
                              <w:tcPr>
                                <w:tcW w:w="1140" w:type="dxa"/>
                              </w:tcPr>
                              <w:p w:rsidR="005354CC" w14:textId="77777777">
                                <w:r>
                                  <w:t>Datum</w:t>
                                </w:r>
                              </w:p>
                            </w:tc>
                            <w:tc>
                              <w:tcPr>
                                <w:tcW w:w="5918" w:type="dxa"/>
                              </w:tcPr>
                              <w:p w:rsidR="005213C2" w14:textId="451DBC7D">
                                <w:r>
                                  <w:t>1 juli 2026</w:t>
                                </w:r>
                                <w:r w:rsidR="00FB25A7">
                                  <w:fldChar w:fldCharType="begin"/>
                                </w:r>
                                <w:r w:rsidR="00FB25A7">
                                  <w:instrText xml:space="preserve"> DOCPROPERTY  "Datum"  \* MERGEFORMAT </w:instrText>
                                </w:r>
                                <w:r w:rsidR="00FB25A7">
                                  <w:fldChar w:fldCharType="separate"/>
                                </w:r>
                                <w:r w:rsidR="00FB25A7">
                                  <w:fldChar w:fldCharType="end"/>
                                </w:r>
                              </w:p>
                            </w:tc>
                          </w:tr>
                          <w:tr w14:paraId="7A0A03F3" w14:textId="77777777">
                            <w:tblPrEx>
                              <w:tblW w:w="0" w:type="auto"/>
                              <w:tblInd w:w="-120" w:type="dxa"/>
                              <w:tblLayout w:type="fixed"/>
                              <w:tblLook w:val="07E0"/>
                            </w:tblPrEx>
                            <w:trPr>
                              <w:trHeight w:val="240"/>
                            </w:trPr>
                            <w:tc>
                              <w:tcPr>
                                <w:tcW w:w="1140" w:type="dxa"/>
                              </w:tcPr>
                              <w:p w:rsidR="005354CC" w14:textId="77777777">
                                <w:r>
                                  <w:t>Betreft</w:t>
                                </w:r>
                              </w:p>
                            </w:tc>
                            <w:tc>
                              <w:tcPr>
                                <w:tcW w:w="5918" w:type="dxa"/>
                              </w:tcPr>
                              <w:p w:rsidR="005213C2" w14:textId="20A173A2">
                                <w:r>
                                  <w:fldChar w:fldCharType="begin"/>
                                </w:r>
                                <w:r>
                                  <w:instrText xml:space="preserve"> DOCPROPERTY  "Onderwerp"  \* MERGEFORMAT </w:instrText>
                                </w:r>
                                <w:r>
                                  <w:fldChar w:fldCharType="separate"/>
                                </w:r>
                                <w:r w:rsidR="0025258F">
                                  <w:t xml:space="preserve">Aanbieding rapporten: </w:t>
                                </w:r>
                                <w:r w:rsidR="0025258F">
                                  <w:t>Primos</w:t>
                                </w:r>
                                <w:r w:rsidR="0025258F">
                                  <w:t xml:space="preserve"> 2026, Landelijke Monitor Voortgang Woningbouw en Toelichting op de herijkingsopgave</w:t>
                                </w:r>
                                <w:r>
                                  <w:fldChar w:fldCharType="end"/>
                                </w:r>
                              </w:p>
                            </w:tc>
                          </w:tr>
                        </w:tbl>
                        <w:p w:rsidR="001C491D"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66pt;margin-top:264pt;margin-left:79.5pt;mso-height-percent:0;mso-height-relative:margin;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2AEEBF6B" w14:textId="77777777">
                      <w:tblPrEx>
                        <w:tblW w:w="0" w:type="auto"/>
                        <w:tblInd w:w="-120" w:type="dxa"/>
                        <w:tblLayout w:type="fixed"/>
                        <w:tblLook w:val="07E0"/>
                      </w:tblPrEx>
                      <w:trPr>
                        <w:trHeight w:val="240"/>
                      </w:trPr>
                      <w:tc>
                        <w:tcPr>
                          <w:tcW w:w="1140" w:type="dxa"/>
                        </w:tcPr>
                        <w:p w:rsidR="005354CC" w14:paraId="3E5FB255" w14:textId="77777777">
                          <w:r>
                            <w:t>Datum</w:t>
                          </w:r>
                        </w:p>
                      </w:tc>
                      <w:tc>
                        <w:tcPr>
                          <w:tcW w:w="5918" w:type="dxa"/>
                        </w:tcPr>
                        <w:p w:rsidR="005213C2" w14:paraId="78493121" w14:textId="451DBC7D">
                          <w:r>
                            <w:t>1 juli 2026</w:t>
                          </w:r>
                          <w:r w:rsidR="00FB25A7">
                            <w:fldChar w:fldCharType="begin"/>
                          </w:r>
                          <w:r w:rsidR="00FB25A7">
                            <w:instrText xml:space="preserve"> DOCPROPERTY  "Datum"  \* MERGEFORMAT </w:instrText>
                          </w:r>
                          <w:r w:rsidR="00FB25A7">
                            <w:fldChar w:fldCharType="separate"/>
                          </w:r>
                          <w:r w:rsidR="00FB25A7">
                            <w:fldChar w:fldCharType="end"/>
                          </w:r>
                        </w:p>
                      </w:tc>
                    </w:tr>
                    <w:tr w14:paraId="7A0A03F2" w14:textId="77777777">
                      <w:tblPrEx>
                        <w:tblW w:w="0" w:type="auto"/>
                        <w:tblInd w:w="-120" w:type="dxa"/>
                        <w:tblLayout w:type="fixed"/>
                        <w:tblLook w:val="07E0"/>
                      </w:tblPrEx>
                      <w:trPr>
                        <w:trHeight w:val="240"/>
                      </w:trPr>
                      <w:tc>
                        <w:tcPr>
                          <w:tcW w:w="1140" w:type="dxa"/>
                        </w:tcPr>
                        <w:p w:rsidR="005354CC" w14:paraId="24322C3D" w14:textId="77777777">
                          <w:r>
                            <w:t>Betreft</w:t>
                          </w:r>
                        </w:p>
                      </w:tc>
                      <w:tc>
                        <w:tcPr>
                          <w:tcW w:w="5918" w:type="dxa"/>
                        </w:tcPr>
                        <w:p w:rsidR="005213C2" w14:paraId="33D7D4C3" w14:textId="20A173A2">
                          <w:r>
                            <w:fldChar w:fldCharType="begin"/>
                          </w:r>
                          <w:r>
                            <w:instrText xml:space="preserve"> DOCPROPERTY  "Onderwerp"  \* MERGEFORMAT </w:instrText>
                          </w:r>
                          <w:r>
                            <w:fldChar w:fldCharType="separate"/>
                          </w:r>
                          <w:r w:rsidR="0025258F">
                            <w:t xml:space="preserve">Aanbieding rapporten: </w:t>
                          </w:r>
                          <w:r w:rsidR="0025258F">
                            <w:t>Primos</w:t>
                          </w:r>
                          <w:r w:rsidR="0025258F">
                            <w:t xml:space="preserve"> 2026, Landelijke Monitor Voortgang Woningbouw en Toelichting op de herijkingsopgave</w:t>
                          </w:r>
                          <w:r>
                            <w:fldChar w:fldCharType="end"/>
                          </w:r>
                        </w:p>
                      </w:tc>
                    </w:tr>
                  </w:tbl>
                  <w:p w:rsidR="001C491D" w14:paraId="6D464336"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354CC" w14:textId="77777777">
                          <w:pPr>
                            <w:pStyle w:val="Referentiegegevensbold"/>
                          </w:pPr>
                          <w:r>
                            <w:t>DG Volkshuisvesting en Bouwen</w:t>
                          </w:r>
                        </w:p>
                        <w:p w:rsidR="005354CC" w14:textId="77777777">
                          <w:pPr>
                            <w:pStyle w:val="Referentiegegevens"/>
                          </w:pPr>
                          <w:r>
                            <w:t>DGVB-WBB-Monitoring</w:t>
                          </w:r>
                          <w:r w:rsidR="00590967">
                            <w:t xml:space="preserve"> en </w:t>
                          </w:r>
                          <w:r>
                            <w:t>Onderzoek</w:t>
                          </w:r>
                        </w:p>
                        <w:p w:rsidR="005354CC" w14:textId="77777777">
                          <w:pPr>
                            <w:pStyle w:val="WitregelW1"/>
                          </w:pPr>
                        </w:p>
                        <w:p w:rsidR="005354CC" w:rsidRPr="00590967" w14:textId="77777777">
                          <w:pPr>
                            <w:pStyle w:val="Referentiegegevens"/>
                            <w:rPr>
                              <w:lang w:val="de-DE"/>
                            </w:rPr>
                          </w:pPr>
                          <w:r w:rsidRPr="00590967">
                            <w:rPr>
                              <w:lang w:val="de-DE"/>
                            </w:rPr>
                            <w:t>Turfmarkt</w:t>
                          </w:r>
                          <w:r w:rsidRPr="00590967">
                            <w:rPr>
                              <w:lang w:val="de-DE"/>
                            </w:rPr>
                            <w:t xml:space="preserve"> 147</w:t>
                          </w:r>
                        </w:p>
                        <w:p w:rsidR="005354CC" w:rsidRPr="00590967" w14:textId="77777777">
                          <w:pPr>
                            <w:pStyle w:val="Referentiegegevens"/>
                            <w:rPr>
                              <w:lang w:val="de-DE"/>
                            </w:rPr>
                          </w:pPr>
                          <w:r w:rsidRPr="00590967">
                            <w:rPr>
                              <w:lang w:val="de-DE"/>
                            </w:rPr>
                            <w:t>2511 DP Den Haag</w:t>
                          </w:r>
                        </w:p>
                        <w:p w:rsidR="005354CC" w:rsidRPr="00590967" w14:textId="77777777">
                          <w:pPr>
                            <w:pStyle w:val="Referentiegegevens"/>
                            <w:rPr>
                              <w:lang w:val="de-DE"/>
                            </w:rPr>
                          </w:pPr>
                          <w:r w:rsidRPr="00590967">
                            <w:rPr>
                              <w:lang w:val="de-DE"/>
                            </w:rPr>
                            <w:t>Postbus 20011</w:t>
                          </w:r>
                        </w:p>
                        <w:p w:rsidR="005354CC" w14:textId="77777777">
                          <w:pPr>
                            <w:pStyle w:val="Referentiegegevens"/>
                          </w:pPr>
                          <w:r>
                            <w:t>2500 EA  Den Haag</w:t>
                          </w:r>
                        </w:p>
                        <w:p w:rsidR="005354CC" w14:textId="77777777">
                          <w:pPr>
                            <w:pStyle w:val="WitregelW1"/>
                          </w:pPr>
                        </w:p>
                        <w:p w:rsidR="005354CC" w14:textId="77777777">
                          <w:pPr>
                            <w:pStyle w:val="WitregelW2"/>
                          </w:pPr>
                        </w:p>
                        <w:p w:rsidR="005354CC" w14:textId="77777777">
                          <w:pPr>
                            <w:pStyle w:val="Referentiegegevensbold"/>
                          </w:pPr>
                          <w:r>
                            <w:t>Onze referentie</w:t>
                          </w:r>
                        </w:p>
                        <w:p w:rsidR="005213C2" w14:textId="14766C5C">
                          <w:pPr>
                            <w:pStyle w:val="Referentiegegevens"/>
                          </w:pPr>
                          <w:r>
                            <w:fldChar w:fldCharType="begin"/>
                          </w:r>
                          <w:r>
                            <w:instrText xml:space="preserve"> DOCPROPERTY  "Kenmerk"  \* MERGEFORMAT </w:instrText>
                          </w:r>
                          <w:r>
                            <w:fldChar w:fldCharType="separate"/>
                          </w:r>
                          <w:r w:rsidR="0025258F">
                            <w:t>2026-0000298894</w:t>
                          </w:r>
                          <w:r w:rsidR="0025258F">
                            <w:fldChar w:fldCharType="end"/>
                          </w:r>
                        </w:p>
                        <w:p w:rsidR="005354CC" w14:textId="77777777">
                          <w:pPr>
                            <w:pStyle w:val="WitregelW1"/>
                          </w:pPr>
                        </w:p>
                        <w:p w:rsidR="005354CC" w14:textId="77777777">
                          <w:pPr>
                            <w:pStyle w:val="Referentiegegevensbold"/>
                          </w:pPr>
                          <w:r>
                            <w:t>Bijlage(n)</w:t>
                          </w:r>
                        </w:p>
                        <w:p w:rsidR="005354CC" w14:textId="77777777">
                          <w:pPr>
                            <w:pStyle w:val="Referentiegegevens"/>
                          </w:pPr>
                          <w:r>
                            <w:t>3</w:t>
                          </w:r>
                        </w:p>
                        <w:p w:rsidR="005354CC" w14:textId="77777777">
                          <w:pPr>
                            <w:pStyle w:val="WitregelW2"/>
                          </w:pPr>
                        </w:p>
                        <w:p w:rsidR="005354CC"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5354CC" w14:paraId="3AFB4A62" w14:textId="77777777">
                    <w:pPr>
                      <w:pStyle w:val="Referentiegegevensbold"/>
                    </w:pPr>
                    <w:r>
                      <w:t>DG Volkshuisvesting en Bouwen</w:t>
                    </w:r>
                  </w:p>
                  <w:p w:rsidR="005354CC" w14:paraId="55616260" w14:textId="77777777">
                    <w:pPr>
                      <w:pStyle w:val="Referentiegegevens"/>
                    </w:pPr>
                    <w:r>
                      <w:t>DGVB-WBB-Monitoring</w:t>
                    </w:r>
                    <w:r w:rsidR="00590967">
                      <w:t xml:space="preserve"> en </w:t>
                    </w:r>
                    <w:r>
                      <w:t>Onderzoek</w:t>
                    </w:r>
                  </w:p>
                  <w:p w:rsidR="005354CC" w14:paraId="1407CF60" w14:textId="77777777">
                    <w:pPr>
                      <w:pStyle w:val="WitregelW1"/>
                    </w:pPr>
                  </w:p>
                  <w:p w:rsidR="005354CC" w:rsidRPr="00590967" w14:paraId="0AAB48D4" w14:textId="77777777">
                    <w:pPr>
                      <w:pStyle w:val="Referentiegegevens"/>
                      <w:rPr>
                        <w:lang w:val="de-DE"/>
                      </w:rPr>
                    </w:pPr>
                    <w:r w:rsidRPr="00590967">
                      <w:rPr>
                        <w:lang w:val="de-DE"/>
                      </w:rPr>
                      <w:t>Turfmarkt</w:t>
                    </w:r>
                    <w:r w:rsidRPr="00590967">
                      <w:rPr>
                        <w:lang w:val="de-DE"/>
                      </w:rPr>
                      <w:t xml:space="preserve"> 147</w:t>
                    </w:r>
                  </w:p>
                  <w:p w:rsidR="005354CC" w:rsidRPr="00590967" w14:paraId="6815B445" w14:textId="77777777">
                    <w:pPr>
                      <w:pStyle w:val="Referentiegegevens"/>
                      <w:rPr>
                        <w:lang w:val="de-DE"/>
                      </w:rPr>
                    </w:pPr>
                    <w:r w:rsidRPr="00590967">
                      <w:rPr>
                        <w:lang w:val="de-DE"/>
                      </w:rPr>
                      <w:t>2511 DP Den Haag</w:t>
                    </w:r>
                  </w:p>
                  <w:p w:rsidR="005354CC" w:rsidRPr="00590967" w14:paraId="23B1B14E" w14:textId="77777777">
                    <w:pPr>
                      <w:pStyle w:val="Referentiegegevens"/>
                      <w:rPr>
                        <w:lang w:val="de-DE"/>
                      </w:rPr>
                    </w:pPr>
                    <w:r w:rsidRPr="00590967">
                      <w:rPr>
                        <w:lang w:val="de-DE"/>
                      </w:rPr>
                      <w:t>Postbus 20011</w:t>
                    </w:r>
                  </w:p>
                  <w:p w:rsidR="005354CC" w14:paraId="72EBC8F0" w14:textId="77777777">
                    <w:pPr>
                      <w:pStyle w:val="Referentiegegevens"/>
                    </w:pPr>
                    <w:r>
                      <w:t>2500 EA  Den Haag</w:t>
                    </w:r>
                  </w:p>
                  <w:p w:rsidR="005354CC" w14:paraId="5A888397" w14:textId="77777777">
                    <w:pPr>
                      <w:pStyle w:val="WitregelW1"/>
                    </w:pPr>
                  </w:p>
                  <w:p w:rsidR="005354CC" w14:paraId="5E9D8223" w14:textId="77777777">
                    <w:pPr>
                      <w:pStyle w:val="WitregelW2"/>
                    </w:pPr>
                  </w:p>
                  <w:p w:rsidR="005354CC" w14:paraId="5B965B52" w14:textId="77777777">
                    <w:pPr>
                      <w:pStyle w:val="Referentiegegevensbold"/>
                    </w:pPr>
                    <w:r>
                      <w:t>Onze referentie</w:t>
                    </w:r>
                  </w:p>
                  <w:p w:rsidR="005213C2" w14:paraId="323A3421" w14:textId="14766C5C">
                    <w:pPr>
                      <w:pStyle w:val="Referentiegegevens"/>
                    </w:pPr>
                    <w:r>
                      <w:fldChar w:fldCharType="begin"/>
                    </w:r>
                    <w:r>
                      <w:instrText xml:space="preserve"> DOCPROPERTY  "Kenmerk"  \* MERGEFORMAT </w:instrText>
                    </w:r>
                    <w:r>
                      <w:fldChar w:fldCharType="separate"/>
                    </w:r>
                    <w:r w:rsidR="0025258F">
                      <w:t>2026-0000298894</w:t>
                    </w:r>
                    <w:r w:rsidR="0025258F">
                      <w:fldChar w:fldCharType="end"/>
                    </w:r>
                  </w:p>
                  <w:p w:rsidR="005354CC" w14:paraId="7DEE9992" w14:textId="77777777">
                    <w:pPr>
                      <w:pStyle w:val="WitregelW1"/>
                    </w:pPr>
                  </w:p>
                  <w:p w:rsidR="005354CC" w14:paraId="45867019" w14:textId="77777777">
                    <w:pPr>
                      <w:pStyle w:val="Referentiegegevensbold"/>
                    </w:pPr>
                    <w:r>
                      <w:t>Bijlage(n)</w:t>
                    </w:r>
                  </w:p>
                  <w:p w:rsidR="005354CC" w14:paraId="518744E0" w14:textId="77777777">
                    <w:pPr>
                      <w:pStyle w:val="Referentiegegevens"/>
                    </w:pPr>
                    <w:r>
                      <w:t>3</w:t>
                    </w:r>
                  </w:p>
                  <w:p w:rsidR="005354CC" w14:paraId="4D6A1E64" w14:textId="77777777">
                    <w:pPr>
                      <w:pStyle w:val="WitregelW2"/>
                    </w:pPr>
                  </w:p>
                  <w:p w:rsidR="005354CC" w14:paraId="7B1CB412"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5213C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5213C2" w14:paraId="6BB05D9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C491D"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1C491D" w14:paraId="661132E2"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2ED24F"/>
    <w:multiLevelType w:val="multilevel"/>
    <w:tmpl w:val="30BD788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25266DDB"/>
    <w:multiLevelType w:val="multilevel"/>
    <w:tmpl w:val="F2A4406A"/>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408C127F"/>
    <w:multiLevelType w:val="multilevel"/>
    <w:tmpl w:val="CB303E98"/>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4B013CE6"/>
    <w:multiLevelType w:val="hybridMultilevel"/>
    <w:tmpl w:val="3EB8AAEE"/>
    <w:lvl w:ilvl="0">
      <w:start w:val="7"/>
      <w:numFmt w:val="bullet"/>
      <w:lvlText w:val="-"/>
      <w:lvlJc w:val="left"/>
      <w:pPr>
        <w:ind w:left="360" w:hanging="360"/>
      </w:pPr>
      <w:rPr>
        <w:rFonts w:ascii="Verdana" w:eastAsia="DejaVu Sans" w:hAnsi="Verdana" w:cs="Lohit Hind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791E4683"/>
    <w:multiLevelType w:val="multilevel"/>
    <w:tmpl w:val="2D3BD13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252978879">
    <w:abstractNumId w:val="4"/>
  </w:num>
  <w:num w:numId="2" w16cid:durableId="1244803831">
    <w:abstractNumId w:val="0"/>
  </w:num>
  <w:num w:numId="3" w16cid:durableId="759639617">
    <w:abstractNumId w:val="2"/>
  </w:num>
  <w:num w:numId="4" w16cid:durableId="77100139">
    <w:abstractNumId w:val="1"/>
  </w:num>
  <w:num w:numId="5" w16cid:durableId="14594940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967"/>
    <w:rsid w:val="000067E9"/>
    <w:rsid w:val="000133E4"/>
    <w:rsid w:val="00024EDE"/>
    <w:rsid w:val="000256C9"/>
    <w:rsid w:val="000347D0"/>
    <w:rsid w:val="0004096C"/>
    <w:rsid w:val="000425E5"/>
    <w:rsid w:val="0005365A"/>
    <w:rsid w:val="000569C2"/>
    <w:rsid w:val="0008002C"/>
    <w:rsid w:val="00092083"/>
    <w:rsid w:val="000A7A94"/>
    <w:rsid w:val="000B789F"/>
    <w:rsid w:val="000C5770"/>
    <w:rsid w:val="000D322A"/>
    <w:rsid w:val="000E14F4"/>
    <w:rsid w:val="000F0CDB"/>
    <w:rsid w:val="000F519F"/>
    <w:rsid w:val="00110DF4"/>
    <w:rsid w:val="00116927"/>
    <w:rsid w:val="00133E5E"/>
    <w:rsid w:val="001361E8"/>
    <w:rsid w:val="00143442"/>
    <w:rsid w:val="00151884"/>
    <w:rsid w:val="00152BE8"/>
    <w:rsid w:val="00155E9C"/>
    <w:rsid w:val="00177BA9"/>
    <w:rsid w:val="001902C8"/>
    <w:rsid w:val="001938AE"/>
    <w:rsid w:val="0019513F"/>
    <w:rsid w:val="001C1FCE"/>
    <w:rsid w:val="001C491D"/>
    <w:rsid w:val="001C7677"/>
    <w:rsid w:val="001D23E2"/>
    <w:rsid w:val="001D6B1E"/>
    <w:rsid w:val="001E063D"/>
    <w:rsid w:val="001E1A3A"/>
    <w:rsid w:val="001F1394"/>
    <w:rsid w:val="00200994"/>
    <w:rsid w:val="00211014"/>
    <w:rsid w:val="002113F6"/>
    <w:rsid w:val="00213623"/>
    <w:rsid w:val="00214E2B"/>
    <w:rsid w:val="0022249F"/>
    <w:rsid w:val="00225303"/>
    <w:rsid w:val="00225330"/>
    <w:rsid w:val="00241318"/>
    <w:rsid w:val="0024185C"/>
    <w:rsid w:val="002429C3"/>
    <w:rsid w:val="0024427E"/>
    <w:rsid w:val="0024552E"/>
    <w:rsid w:val="0025258F"/>
    <w:rsid w:val="002739FB"/>
    <w:rsid w:val="00277A69"/>
    <w:rsid w:val="002878C4"/>
    <w:rsid w:val="002A14E7"/>
    <w:rsid w:val="002B6178"/>
    <w:rsid w:val="002C258D"/>
    <w:rsid w:val="002D39A8"/>
    <w:rsid w:val="002E0670"/>
    <w:rsid w:val="002E338F"/>
    <w:rsid w:val="002E33A0"/>
    <w:rsid w:val="002E391E"/>
    <w:rsid w:val="002E5473"/>
    <w:rsid w:val="002E7BF5"/>
    <w:rsid w:val="002F6AD2"/>
    <w:rsid w:val="003000D0"/>
    <w:rsid w:val="00301341"/>
    <w:rsid w:val="003043D6"/>
    <w:rsid w:val="00321752"/>
    <w:rsid w:val="0032336A"/>
    <w:rsid w:val="0033111F"/>
    <w:rsid w:val="00340A22"/>
    <w:rsid w:val="003457BD"/>
    <w:rsid w:val="00345AA6"/>
    <w:rsid w:val="00352C05"/>
    <w:rsid w:val="00366175"/>
    <w:rsid w:val="003711BA"/>
    <w:rsid w:val="003807ED"/>
    <w:rsid w:val="003817DB"/>
    <w:rsid w:val="003B4C7D"/>
    <w:rsid w:val="003C68A1"/>
    <w:rsid w:val="003C7D7C"/>
    <w:rsid w:val="003D6FCE"/>
    <w:rsid w:val="003D75F3"/>
    <w:rsid w:val="003E5EA4"/>
    <w:rsid w:val="003E700A"/>
    <w:rsid w:val="00400DE3"/>
    <w:rsid w:val="00403184"/>
    <w:rsid w:val="00403625"/>
    <w:rsid w:val="00415863"/>
    <w:rsid w:val="004166E9"/>
    <w:rsid w:val="00420994"/>
    <w:rsid w:val="004230A4"/>
    <w:rsid w:val="00431B3C"/>
    <w:rsid w:val="0043356F"/>
    <w:rsid w:val="00446A24"/>
    <w:rsid w:val="00452B00"/>
    <w:rsid w:val="00455F3E"/>
    <w:rsid w:val="00464053"/>
    <w:rsid w:val="004A0A01"/>
    <w:rsid w:val="004A0C52"/>
    <w:rsid w:val="004B796F"/>
    <w:rsid w:val="004C5A7F"/>
    <w:rsid w:val="004C6EEC"/>
    <w:rsid w:val="004D15D8"/>
    <w:rsid w:val="004E5BFB"/>
    <w:rsid w:val="004F3D23"/>
    <w:rsid w:val="005213C2"/>
    <w:rsid w:val="005236A9"/>
    <w:rsid w:val="00526295"/>
    <w:rsid w:val="00526BD1"/>
    <w:rsid w:val="00531F52"/>
    <w:rsid w:val="005354CC"/>
    <w:rsid w:val="00541B5A"/>
    <w:rsid w:val="00543521"/>
    <w:rsid w:val="00551296"/>
    <w:rsid w:val="00560F55"/>
    <w:rsid w:val="00562F48"/>
    <w:rsid w:val="00564A7A"/>
    <w:rsid w:val="00573BED"/>
    <w:rsid w:val="00574CCB"/>
    <w:rsid w:val="00580919"/>
    <w:rsid w:val="00590967"/>
    <w:rsid w:val="005925FB"/>
    <w:rsid w:val="00596FFF"/>
    <w:rsid w:val="005A0F3C"/>
    <w:rsid w:val="005B799C"/>
    <w:rsid w:val="005B7CE2"/>
    <w:rsid w:val="005D0860"/>
    <w:rsid w:val="005D1421"/>
    <w:rsid w:val="006073F7"/>
    <w:rsid w:val="00610CD5"/>
    <w:rsid w:val="00611051"/>
    <w:rsid w:val="00616C9E"/>
    <w:rsid w:val="00626716"/>
    <w:rsid w:val="00636970"/>
    <w:rsid w:val="0065358A"/>
    <w:rsid w:val="006613AD"/>
    <w:rsid w:val="006874ED"/>
    <w:rsid w:val="00690830"/>
    <w:rsid w:val="006948DC"/>
    <w:rsid w:val="006A1A59"/>
    <w:rsid w:val="006B5410"/>
    <w:rsid w:val="006B7D26"/>
    <w:rsid w:val="006E016B"/>
    <w:rsid w:val="006E278F"/>
    <w:rsid w:val="006E43C4"/>
    <w:rsid w:val="006F1A3B"/>
    <w:rsid w:val="007206C4"/>
    <w:rsid w:val="007343EA"/>
    <w:rsid w:val="00736272"/>
    <w:rsid w:val="007362B5"/>
    <w:rsid w:val="0075220F"/>
    <w:rsid w:val="007615F8"/>
    <w:rsid w:val="0077131F"/>
    <w:rsid w:val="00772240"/>
    <w:rsid w:val="00784638"/>
    <w:rsid w:val="00792790"/>
    <w:rsid w:val="007A0090"/>
    <w:rsid w:val="007B04F2"/>
    <w:rsid w:val="007B2A07"/>
    <w:rsid w:val="007B4B34"/>
    <w:rsid w:val="007C26D6"/>
    <w:rsid w:val="007F23DA"/>
    <w:rsid w:val="008109EF"/>
    <w:rsid w:val="008162F6"/>
    <w:rsid w:val="00823F1B"/>
    <w:rsid w:val="00830F26"/>
    <w:rsid w:val="00834B90"/>
    <w:rsid w:val="00866D6C"/>
    <w:rsid w:val="00871D2D"/>
    <w:rsid w:val="0088408E"/>
    <w:rsid w:val="00887D09"/>
    <w:rsid w:val="00891402"/>
    <w:rsid w:val="0089420E"/>
    <w:rsid w:val="008A69A8"/>
    <w:rsid w:val="008A72F5"/>
    <w:rsid w:val="008C3E64"/>
    <w:rsid w:val="008C70CC"/>
    <w:rsid w:val="008C7A5E"/>
    <w:rsid w:val="008C7BF8"/>
    <w:rsid w:val="008D6F40"/>
    <w:rsid w:val="008E2C89"/>
    <w:rsid w:val="008E6295"/>
    <w:rsid w:val="008F1409"/>
    <w:rsid w:val="008F5872"/>
    <w:rsid w:val="008F6172"/>
    <w:rsid w:val="00903415"/>
    <w:rsid w:val="009221CE"/>
    <w:rsid w:val="00923995"/>
    <w:rsid w:val="009279E8"/>
    <w:rsid w:val="0093627B"/>
    <w:rsid w:val="0093785C"/>
    <w:rsid w:val="00943931"/>
    <w:rsid w:val="009470AD"/>
    <w:rsid w:val="009579BD"/>
    <w:rsid w:val="00983DAC"/>
    <w:rsid w:val="009945EF"/>
    <w:rsid w:val="00996B58"/>
    <w:rsid w:val="009A1188"/>
    <w:rsid w:val="009A4652"/>
    <w:rsid w:val="009A7C6B"/>
    <w:rsid w:val="009C7F3A"/>
    <w:rsid w:val="009D1651"/>
    <w:rsid w:val="009D2005"/>
    <w:rsid w:val="009E18B0"/>
    <w:rsid w:val="009E2697"/>
    <w:rsid w:val="009E3A80"/>
    <w:rsid w:val="009E6B9E"/>
    <w:rsid w:val="00A2202B"/>
    <w:rsid w:val="00A26E60"/>
    <w:rsid w:val="00A274A0"/>
    <w:rsid w:val="00A3548A"/>
    <w:rsid w:val="00A4373B"/>
    <w:rsid w:val="00A51396"/>
    <w:rsid w:val="00A6247F"/>
    <w:rsid w:val="00A7121C"/>
    <w:rsid w:val="00A77DA6"/>
    <w:rsid w:val="00A80741"/>
    <w:rsid w:val="00A816E7"/>
    <w:rsid w:val="00A852FD"/>
    <w:rsid w:val="00A9708F"/>
    <w:rsid w:val="00AA18AC"/>
    <w:rsid w:val="00AA53AF"/>
    <w:rsid w:val="00AA74A8"/>
    <w:rsid w:val="00AC0877"/>
    <w:rsid w:val="00AC3430"/>
    <w:rsid w:val="00AE7AD3"/>
    <w:rsid w:val="00B01CA5"/>
    <w:rsid w:val="00B22CAA"/>
    <w:rsid w:val="00B23F2D"/>
    <w:rsid w:val="00B3430C"/>
    <w:rsid w:val="00B4535B"/>
    <w:rsid w:val="00B66A16"/>
    <w:rsid w:val="00B7527E"/>
    <w:rsid w:val="00B86CEB"/>
    <w:rsid w:val="00B9521A"/>
    <w:rsid w:val="00BA5A91"/>
    <w:rsid w:val="00BA77E2"/>
    <w:rsid w:val="00BB07B7"/>
    <w:rsid w:val="00BB563C"/>
    <w:rsid w:val="00BD28BB"/>
    <w:rsid w:val="00BD6B99"/>
    <w:rsid w:val="00BE2ED0"/>
    <w:rsid w:val="00BE42DB"/>
    <w:rsid w:val="00BE7EC0"/>
    <w:rsid w:val="00BF5F52"/>
    <w:rsid w:val="00C01005"/>
    <w:rsid w:val="00C022F4"/>
    <w:rsid w:val="00C14041"/>
    <w:rsid w:val="00C463CF"/>
    <w:rsid w:val="00C540CF"/>
    <w:rsid w:val="00C601B8"/>
    <w:rsid w:val="00C674DC"/>
    <w:rsid w:val="00C67859"/>
    <w:rsid w:val="00C70EF1"/>
    <w:rsid w:val="00C77643"/>
    <w:rsid w:val="00C86E7D"/>
    <w:rsid w:val="00CA3281"/>
    <w:rsid w:val="00CB6E2C"/>
    <w:rsid w:val="00CD2EB8"/>
    <w:rsid w:val="00CE07B9"/>
    <w:rsid w:val="00CE7994"/>
    <w:rsid w:val="00CF0E2F"/>
    <w:rsid w:val="00D01CE4"/>
    <w:rsid w:val="00D17783"/>
    <w:rsid w:val="00D23CA8"/>
    <w:rsid w:val="00D33F57"/>
    <w:rsid w:val="00D46AAA"/>
    <w:rsid w:val="00D50568"/>
    <w:rsid w:val="00D71A77"/>
    <w:rsid w:val="00D8315F"/>
    <w:rsid w:val="00D83208"/>
    <w:rsid w:val="00D83905"/>
    <w:rsid w:val="00D85E52"/>
    <w:rsid w:val="00D86168"/>
    <w:rsid w:val="00D91AC8"/>
    <w:rsid w:val="00D97170"/>
    <w:rsid w:val="00DB011D"/>
    <w:rsid w:val="00DB5BFB"/>
    <w:rsid w:val="00DC017F"/>
    <w:rsid w:val="00DD0CB4"/>
    <w:rsid w:val="00DD64BA"/>
    <w:rsid w:val="00DD6C56"/>
    <w:rsid w:val="00DE0FC5"/>
    <w:rsid w:val="00DE5AA2"/>
    <w:rsid w:val="00E030FA"/>
    <w:rsid w:val="00E123D0"/>
    <w:rsid w:val="00E16AA7"/>
    <w:rsid w:val="00E34317"/>
    <w:rsid w:val="00E35D84"/>
    <w:rsid w:val="00E55065"/>
    <w:rsid w:val="00E64233"/>
    <w:rsid w:val="00E7169C"/>
    <w:rsid w:val="00E80E64"/>
    <w:rsid w:val="00E84C59"/>
    <w:rsid w:val="00E873B2"/>
    <w:rsid w:val="00E9377E"/>
    <w:rsid w:val="00E97AF1"/>
    <w:rsid w:val="00EA21F5"/>
    <w:rsid w:val="00EC4633"/>
    <w:rsid w:val="00ED4682"/>
    <w:rsid w:val="00ED60AC"/>
    <w:rsid w:val="00EF2B77"/>
    <w:rsid w:val="00EF49B3"/>
    <w:rsid w:val="00EF50BB"/>
    <w:rsid w:val="00F06CCA"/>
    <w:rsid w:val="00F22391"/>
    <w:rsid w:val="00F22E6F"/>
    <w:rsid w:val="00F2519D"/>
    <w:rsid w:val="00F412FA"/>
    <w:rsid w:val="00F460FF"/>
    <w:rsid w:val="00F53F01"/>
    <w:rsid w:val="00F6274A"/>
    <w:rsid w:val="00F63D73"/>
    <w:rsid w:val="00F665CE"/>
    <w:rsid w:val="00F7454E"/>
    <w:rsid w:val="00F77BFB"/>
    <w:rsid w:val="00F80A6E"/>
    <w:rsid w:val="00F9584E"/>
    <w:rsid w:val="00FA2F60"/>
    <w:rsid w:val="00FB25A7"/>
    <w:rsid w:val="00FC09C4"/>
    <w:rsid w:val="00FC2550"/>
    <w:rsid w:val="00FC7BC1"/>
    <w:rsid w:val="00FD4EF1"/>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9884C5D"/>
  <w15:docId w15:val="{76C4C476-7F96-4DA2-ACE0-98D635AA7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590967"/>
    <w:pPr>
      <w:tabs>
        <w:tab w:val="center" w:pos="4536"/>
        <w:tab w:val="right" w:pos="9072"/>
      </w:tabs>
      <w:spacing w:line="240" w:lineRule="auto"/>
    </w:pPr>
  </w:style>
  <w:style w:type="character" w:customStyle="1" w:styleId="KoptekstChar">
    <w:name w:val="Koptekst Char"/>
    <w:basedOn w:val="DefaultParagraphFont"/>
    <w:link w:val="Header"/>
    <w:uiPriority w:val="99"/>
    <w:rsid w:val="00590967"/>
    <w:rPr>
      <w:rFonts w:ascii="Verdana" w:hAnsi="Verdana"/>
      <w:color w:val="000000"/>
      <w:sz w:val="18"/>
      <w:szCs w:val="18"/>
    </w:rPr>
  </w:style>
  <w:style w:type="paragraph" w:styleId="Footer">
    <w:name w:val="footer"/>
    <w:basedOn w:val="Normal"/>
    <w:link w:val="VoettekstChar"/>
    <w:uiPriority w:val="99"/>
    <w:unhideWhenUsed/>
    <w:rsid w:val="00590967"/>
    <w:pPr>
      <w:tabs>
        <w:tab w:val="center" w:pos="4536"/>
        <w:tab w:val="right" w:pos="9072"/>
      </w:tabs>
      <w:spacing w:line="240" w:lineRule="auto"/>
    </w:pPr>
  </w:style>
  <w:style w:type="character" w:customStyle="1" w:styleId="VoettekstChar">
    <w:name w:val="Voettekst Char"/>
    <w:basedOn w:val="DefaultParagraphFont"/>
    <w:link w:val="Footer"/>
    <w:uiPriority w:val="99"/>
    <w:rsid w:val="00590967"/>
    <w:rPr>
      <w:rFonts w:ascii="Verdana" w:hAnsi="Verdana"/>
      <w:color w:val="000000"/>
      <w:sz w:val="18"/>
      <w:szCs w:val="18"/>
    </w:rPr>
  </w:style>
  <w:style w:type="character" w:styleId="CommentReference">
    <w:name w:val="annotation reference"/>
    <w:basedOn w:val="DefaultParagraphFont"/>
    <w:uiPriority w:val="99"/>
    <w:semiHidden/>
    <w:unhideWhenUsed/>
    <w:rsid w:val="00DE5AA2"/>
    <w:rPr>
      <w:sz w:val="16"/>
      <w:szCs w:val="16"/>
    </w:rPr>
  </w:style>
  <w:style w:type="paragraph" w:styleId="CommentText">
    <w:name w:val="annotation text"/>
    <w:basedOn w:val="Normal"/>
    <w:link w:val="TekstopmerkingChar"/>
    <w:uiPriority w:val="99"/>
    <w:unhideWhenUsed/>
    <w:rsid w:val="00DE5AA2"/>
    <w:pPr>
      <w:spacing w:line="240" w:lineRule="auto"/>
    </w:pPr>
    <w:rPr>
      <w:sz w:val="20"/>
      <w:szCs w:val="20"/>
    </w:rPr>
  </w:style>
  <w:style w:type="character" w:customStyle="1" w:styleId="TekstopmerkingChar">
    <w:name w:val="Tekst opmerking Char"/>
    <w:basedOn w:val="DefaultParagraphFont"/>
    <w:link w:val="CommentText"/>
    <w:uiPriority w:val="99"/>
    <w:rsid w:val="00DE5AA2"/>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DE5AA2"/>
    <w:rPr>
      <w:b/>
      <w:bCs/>
    </w:rPr>
  </w:style>
  <w:style w:type="character" w:customStyle="1" w:styleId="OnderwerpvanopmerkingChar">
    <w:name w:val="Onderwerp van opmerking Char"/>
    <w:basedOn w:val="TekstopmerkingChar"/>
    <w:link w:val="CommentSubject"/>
    <w:uiPriority w:val="99"/>
    <w:semiHidden/>
    <w:rsid w:val="00DE5AA2"/>
    <w:rPr>
      <w:rFonts w:ascii="Verdana" w:hAnsi="Verdana"/>
      <w:b/>
      <w:bCs/>
      <w:color w:val="000000"/>
    </w:rPr>
  </w:style>
  <w:style w:type="paragraph" w:styleId="FootnoteText">
    <w:name w:val="footnote text"/>
    <w:basedOn w:val="Normal"/>
    <w:link w:val="VoetnoottekstChar"/>
    <w:uiPriority w:val="99"/>
    <w:unhideWhenUsed/>
    <w:rsid w:val="00225303"/>
    <w:pPr>
      <w:spacing w:line="240" w:lineRule="auto"/>
    </w:pPr>
    <w:rPr>
      <w:sz w:val="20"/>
      <w:szCs w:val="20"/>
    </w:rPr>
  </w:style>
  <w:style w:type="character" w:customStyle="1" w:styleId="VoetnoottekstChar">
    <w:name w:val="Voetnoottekst Char"/>
    <w:basedOn w:val="DefaultParagraphFont"/>
    <w:link w:val="FootnoteText"/>
    <w:uiPriority w:val="99"/>
    <w:rsid w:val="00225303"/>
    <w:rPr>
      <w:rFonts w:ascii="Verdana" w:hAnsi="Verdana"/>
      <w:color w:val="000000"/>
    </w:rPr>
  </w:style>
  <w:style w:type="character" w:styleId="FootnoteReference">
    <w:name w:val="footnote reference"/>
    <w:basedOn w:val="DefaultParagraphFont"/>
    <w:uiPriority w:val="99"/>
    <w:semiHidden/>
    <w:unhideWhenUsed/>
    <w:rsid w:val="00225303"/>
    <w:rPr>
      <w:vertAlign w:val="superscript"/>
    </w:rPr>
  </w:style>
  <w:style w:type="paragraph" w:styleId="Revision">
    <w:name w:val="Revision"/>
    <w:hidden/>
    <w:uiPriority w:val="99"/>
    <w:semiHidden/>
    <w:rsid w:val="00C14041"/>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4158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1.xml" Id="rId10" /><Relationship Type="http://schemas.openxmlformats.org/officeDocument/2006/relationships/footer" Target="footer2.xml" Id="rId11" /><Relationship Type="http://schemas.openxmlformats.org/officeDocument/2006/relationships/header" Target="header3.xml" Id="rId12" /><Relationship Type="http://schemas.openxmlformats.org/officeDocument/2006/relationships/footer" Target="footer3.xml" Id="rId13" /><Relationship Type="http://schemas.openxmlformats.org/officeDocument/2006/relationships/theme" Target="theme/theme1.xml" Id="rId14" /><Relationship Type="http://schemas.openxmlformats.org/officeDocument/2006/relationships/numbering" Target="numbering.xml" Id="rId15" /><Relationship Type="http://schemas.openxmlformats.org/officeDocument/2006/relationships/styles" Target="styles.xml" Id="rId16"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image" Target="media/image1.png" Id="rId7" /><Relationship Type="http://schemas.openxmlformats.org/officeDocument/2006/relationships/header" Target="head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opendata.cbs.nl/"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1502</ap:Words>
  <ap:Characters>8414</ap:Characters>
  <ap:DocSecurity>0</ap:DocSecurity>
  <ap:Lines>168</ap:Lines>
  <ap:Paragraphs>36</ap:Paragraphs>
  <ap:ScaleCrop>false</ap:ScaleCrop>
  <ap:HeadingPairs>
    <vt:vector baseType="variant" size="2">
      <vt:variant>
        <vt:lpstr>Titel</vt:lpstr>
      </vt:variant>
      <vt:variant>
        <vt:i4>1</vt:i4>
      </vt:variant>
    </vt:vector>
  </ap:HeadingPairs>
  <ap:TitlesOfParts>
    <vt:vector baseType="lpstr" size="1">
      <vt:lpstr>Brief - Aanbieding rapporten: Primos 2026, Landelijke Monitor Voortgang Woningbouw en Toelichting op de herijkingsopgave</vt:lpstr>
    </vt:vector>
  </ap:TitlesOfParts>
  <ap:LinksUpToDate>false</ap:LinksUpToDate>
  <ap:CharactersWithSpaces>9880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2026-06-11T08:52:00.0000000Z</lastPrinted>
  <dcterms:created xsi:type="dcterms:W3CDTF">2026-06-30T13:51:00.0000000Z</dcterms:created>
  <dcterms:modified xsi:type="dcterms:W3CDTF">2026-06-30T13:53:00.0000000Z</dcterms:modified>
  <dc:creator/>
  <lastModifiedBy/>
  <dc:description>------------------------</dc:description>
  <dc:subject/>
  <keywords/>
  <version/>
  <category/>
</coreProperties>
</file>