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B5FA9" w:rsidR="00FB5FA9" w:rsidP="00FB5FA9" w:rsidRDefault="00AA25C1" w14:paraId="02BC6BC1" w14:textId="73CA70A2">
      <w:pPr>
        <w:spacing w:line="240" w:lineRule="auto"/>
        <w:rPr>
          <w:rFonts w:ascii="Calibri" w:hAnsi="Calibri" w:cs="Calibri"/>
          <w:sz w:val="22"/>
          <w:szCs w:val="22"/>
        </w:rPr>
      </w:pPr>
      <w:r w:rsidRPr="00FB5FA9">
        <w:rPr>
          <w:rFonts w:ascii="Calibri" w:hAnsi="Calibri" w:cs="Calibri"/>
          <w:sz w:val="22"/>
          <w:szCs w:val="22"/>
        </w:rPr>
        <w:t>31</w:t>
      </w:r>
      <w:r w:rsidRPr="00FB5FA9" w:rsidR="00FB5FA9">
        <w:rPr>
          <w:rFonts w:ascii="Calibri" w:hAnsi="Calibri" w:cs="Calibri"/>
          <w:sz w:val="22"/>
          <w:szCs w:val="22"/>
        </w:rPr>
        <w:t xml:space="preserve"> </w:t>
      </w:r>
      <w:r w:rsidRPr="00FB5FA9">
        <w:rPr>
          <w:rFonts w:ascii="Calibri" w:hAnsi="Calibri" w:cs="Calibri"/>
          <w:sz w:val="22"/>
          <w:szCs w:val="22"/>
        </w:rPr>
        <w:t>305</w:t>
      </w:r>
      <w:r w:rsidRPr="00FB5FA9" w:rsidR="00FB5FA9">
        <w:rPr>
          <w:rFonts w:ascii="Calibri" w:hAnsi="Calibri" w:cs="Calibri"/>
          <w:sz w:val="22"/>
          <w:szCs w:val="22"/>
        </w:rPr>
        <w:tab/>
      </w:r>
      <w:r w:rsidRPr="00FB5FA9" w:rsidR="00FB5FA9">
        <w:rPr>
          <w:rFonts w:ascii="Calibri" w:hAnsi="Calibri" w:cs="Calibri"/>
          <w:sz w:val="22"/>
          <w:szCs w:val="22"/>
        </w:rPr>
        <w:tab/>
        <w:t>Mobiliteitsbeleid</w:t>
      </w:r>
    </w:p>
    <w:p w:rsidRPr="00FB5FA9" w:rsidR="00FB5FA9" w:rsidP="00FB5FA9" w:rsidRDefault="00FB5FA9" w14:paraId="2AB865E6" w14:textId="431E12F7">
      <w:pPr>
        <w:spacing w:line="240" w:lineRule="auto"/>
        <w:rPr>
          <w:rFonts w:ascii="Calibri" w:hAnsi="Calibri" w:cs="Calibri"/>
          <w:sz w:val="22"/>
          <w:szCs w:val="22"/>
        </w:rPr>
      </w:pPr>
      <w:r w:rsidRPr="00FB5FA9">
        <w:rPr>
          <w:rFonts w:ascii="Calibri" w:hAnsi="Calibri" w:cs="Calibri"/>
          <w:sz w:val="22"/>
          <w:szCs w:val="22"/>
        </w:rPr>
        <w:t>35</w:t>
      </w:r>
      <w:r w:rsidRPr="00FB5FA9">
        <w:rPr>
          <w:rFonts w:ascii="Calibri" w:hAnsi="Calibri" w:cs="Calibri"/>
          <w:sz w:val="22"/>
          <w:szCs w:val="22"/>
        </w:rPr>
        <w:t xml:space="preserve"> </w:t>
      </w:r>
      <w:r w:rsidRPr="00FB5FA9">
        <w:rPr>
          <w:rFonts w:ascii="Calibri" w:hAnsi="Calibri" w:cs="Calibri"/>
          <w:sz w:val="22"/>
          <w:szCs w:val="22"/>
        </w:rPr>
        <w:t>334</w:t>
      </w:r>
      <w:r w:rsidRPr="00FB5FA9">
        <w:rPr>
          <w:rFonts w:ascii="Calibri" w:hAnsi="Calibri" w:cs="Calibri"/>
          <w:sz w:val="22"/>
          <w:szCs w:val="22"/>
        </w:rPr>
        <w:tab/>
      </w:r>
      <w:r w:rsidRPr="00FB5FA9">
        <w:rPr>
          <w:rFonts w:ascii="Calibri" w:hAnsi="Calibri" w:cs="Calibri"/>
          <w:sz w:val="22"/>
          <w:szCs w:val="22"/>
        </w:rPr>
        <w:tab/>
        <w:t>Problematiek rondom stikstof en PFAS</w:t>
      </w:r>
    </w:p>
    <w:p w:rsidRPr="00FB5FA9" w:rsidR="00FB5FA9" w:rsidP="00FB5FA9" w:rsidRDefault="00FB5FA9" w14:paraId="4A72911F" w14:textId="77414041">
      <w:pPr>
        <w:spacing w:line="240" w:lineRule="auto"/>
        <w:rPr>
          <w:rFonts w:ascii="Calibri" w:hAnsi="Calibri" w:cs="Calibri"/>
          <w:color w:val="000000"/>
          <w:sz w:val="22"/>
          <w:szCs w:val="22"/>
        </w:rPr>
      </w:pPr>
      <w:r w:rsidRPr="00FB5FA9">
        <w:rPr>
          <w:rFonts w:ascii="Calibri" w:hAnsi="Calibri" w:cs="Calibri"/>
          <w:sz w:val="22"/>
          <w:szCs w:val="22"/>
        </w:rPr>
        <w:t xml:space="preserve">Nr. </w:t>
      </w:r>
      <w:r w:rsidRPr="00FB5FA9" w:rsidR="00AA25C1">
        <w:rPr>
          <w:rFonts w:ascii="Calibri" w:hAnsi="Calibri" w:cs="Calibri"/>
          <w:sz w:val="22"/>
          <w:szCs w:val="22"/>
        </w:rPr>
        <w:t>562</w:t>
      </w:r>
      <w:r w:rsidRPr="00FB5FA9">
        <w:rPr>
          <w:rFonts w:ascii="Calibri" w:hAnsi="Calibri" w:cs="Calibri"/>
          <w:sz w:val="22"/>
          <w:szCs w:val="22"/>
        </w:rPr>
        <w:tab/>
      </w:r>
      <w:r>
        <w:rPr>
          <w:rFonts w:ascii="Calibri" w:hAnsi="Calibri" w:cs="Calibri"/>
          <w:sz w:val="22"/>
          <w:szCs w:val="22"/>
        </w:rPr>
        <w:tab/>
      </w:r>
      <w:r w:rsidRPr="00FB5FA9">
        <w:rPr>
          <w:rFonts w:ascii="Calibri" w:hAnsi="Calibri" w:cs="Calibri"/>
          <w:sz w:val="22"/>
          <w:szCs w:val="22"/>
        </w:rPr>
        <w:t>Brief van de minister van Infrastructuur en Waterstaat</w:t>
      </w:r>
    </w:p>
    <w:p w:rsidRPr="00FB5FA9" w:rsidR="00FB5FA9" w:rsidP="00FB5FA9" w:rsidRDefault="00FB5FA9" w14:paraId="45C12FF7" w14:textId="77777777">
      <w:pPr>
        <w:spacing w:line="240" w:lineRule="auto"/>
        <w:rPr>
          <w:rFonts w:ascii="Calibri" w:hAnsi="Calibri" w:cs="Calibri"/>
          <w:sz w:val="22"/>
          <w:szCs w:val="22"/>
        </w:rPr>
      </w:pPr>
      <w:r w:rsidRPr="00FB5FA9">
        <w:rPr>
          <w:rFonts w:ascii="Calibri" w:hAnsi="Calibri" w:cs="Calibri"/>
          <w:sz w:val="22"/>
          <w:szCs w:val="22"/>
        </w:rPr>
        <w:t>Aan de Voorzitter van de Tweede Kamer der Staten-Generaal</w:t>
      </w:r>
    </w:p>
    <w:p w:rsidRPr="00FB5FA9" w:rsidR="00FB5FA9" w:rsidP="00FB5FA9" w:rsidRDefault="00FB5FA9" w14:paraId="3A616A3C" w14:textId="77777777">
      <w:pPr>
        <w:spacing w:line="240" w:lineRule="auto"/>
        <w:rPr>
          <w:rFonts w:ascii="Calibri" w:hAnsi="Calibri" w:cs="Calibri"/>
          <w:sz w:val="22"/>
          <w:szCs w:val="22"/>
        </w:rPr>
      </w:pPr>
      <w:r w:rsidRPr="00FB5FA9">
        <w:rPr>
          <w:rFonts w:ascii="Calibri" w:hAnsi="Calibri" w:cs="Calibri"/>
          <w:sz w:val="22"/>
          <w:szCs w:val="22"/>
        </w:rPr>
        <w:t>Den Haag, 30 juni 2026</w:t>
      </w:r>
    </w:p>
    <w:p w:rsidRPr="00FB5FA9" w:rsidR="00AA25C1" w:rsidP="00FB5FA9" w:rsidRDefault="00AA25C1" w14:paraId="5FD0367E" w14:textId="7E7619DB">
      <w:pPr>
        <w:spacing w:after="0" w:line="240" w:lineRule="auto"/>
        <w:rPr>
          <w:rFonts w:ascii="Calibri" w:hAnsi="Calibri" w:cs="Calibri"/>
          <w:sz w:val="22"/>
          <w:szCs w:val="22"/>
        </w:rPr>
      </w:pPr>
      <w:r w:rsidRPr="00FB5FA9">
        <w:rPr>
          <w:rFonts w:ascii="Calibri" w:hAnsi="Calibri" w:cs="Calibri"/>
          <w:sz w:val="22"/>
          <w:szCs w:val="22"/>
        </w:rPr>
        <w:br/>
        <w:t>Met deze brief wordt uitvoering gegeven aan een toezegging die is gedaan aan de Kamer tijdens het commissiedebat Verkeersveiligheid van 21 mei 2026. Het gaat om de toezegging aan het lid Prickaertz om de cijfers over de (afname van de) uitstoot van stikstof door wegverkeer aan de Kamer te doen toekomen.</w:t>
      </w:r>
    </w:p>
    <w:p w:rsidRPr="00FB5FA9" w:rsidR="00AA25C1" w:rsidP="00FB5FA9" w:rsidRDefault="00AA25C1" w14:paraId="51C75E1B" w14:textId="77777777">
      <w:pPr>
        <w:spacing w:after="0" w:line="240" w:lineRule="auto"/>
        <w:rPr>
          <w:rFonts w:ascii="Calibri" w:hAnsi="Calibri" w:cs="Calibri"/>
          <w:sz w:val="22"/>
          <w:szCs w:val="22"/>
        </w:rPr>
      </w:pPr>
    </w:p>
    <w:p w:rsidRPr="00FB5FA9" w:rsidR="00AA25C1" w:rsidP="00FB5FA9" w:rsidRDefault="00AA25C1" w14:paraId="687225F2" w14:textId="77777777">
      <w:pPr>
        <w:spacing w:after="0" w:line="240" w:lineRule="auto"/>
        <w:rPr>
          <w:rFonts w:ascii="Calibri" w:hAnsi="Calibri" w:cs="Calibri"/>
          <w:b/>
          <w:bCs/>
          <w:sz w:val="22"/>
          <w:szCs w:val="22"/>
        </w:rPr>
      </w:pPr>
      <w:r w:rsidRPr="00FB5FA9">
        <w:rPr>
          <w:rFonts w:ascii="Calibri" w:hAnsi="Calibri" w:cs="Calibri"/>
          <w:b/>
          <w:bCs/>
          <w:sz w:val="22"/>
          <w:szCs w:val="22"/>
        </w:rPr>
        <w:t>Stikstofemissie door wegverkeer</w:t>
      </w:r>
    </w:p>
    <w:p w:rsidRPr="00FB5FA9" w:rsidR="00AA25C1" w:rsidP="00FB5FA9" w:rsidRDefault="00AA25C1" w14:paraId="7E26A394" w14:textId="77777777">
      <w:pPr>
        <w:spacing w:after="0" w:line="240" w:lineRule="auto"/>
        <w:rPr>
          <w:rFonts w:ascii="Calibri" w:hAnsi="Calibri" w:cs="Calibri"/>
          <w:sz w:val="22"/>
          <w:szCs w:val="22"/>
        </w:rPr>
      </w:pPr>
      <w:r w:rsidRPr="00FB5FA9">
        <w:rPr>
          <w:rFonts w:ascii="Calibri" w:hAnsi="Calibri" w:cs="Calibri"/>
          <w:sz w:val="22"/>
          <w:szCs w:val="22"/>
        </w:rPr>
        <w:t>Wegverkeer draagt bij aan de emissie (uitstoot) van stikstof en daarmee aan de neerslag van stikstof (stikstofdepositie) in natuurgebieden. Deze stikstofemissie omvat met name stikstofoxiden (NO</w:t>
      </w:r>
      <w:r w:rsidRPr="00FB5FA9">
        <w:rPr>
          <w:rFonts w:ascii="Calibri" w:hAnsi="Calibri" w:cs="Calibri"/>
          <w:sz w:val="22"/>
          <w:szCs w:val="22"/>
          <w:vertAlign w:val="subscript"/>
        </w:rPr>
        <w:t>X</w:t>
      </w:r>
      <w:r w:rsidRPr="00FB5FA9">
        <w:rPr>
          <w:rFonts w:ascii="Calibri" w:hAnsi="Calibri" w:cs="Calibri"/>
          <w:sz w:val="22"/>
          <w:szCs w:val="22"/>
        </w:rPr>
        <w:t>), maar wegverkeer zorgt ook voor emissie van ammoniak (NH</w:t>
      </w:r>
      <w:r w:rsidRPr="00FB5FA9">
        <w:rPr>
          <w:rFonts w:ascii="Calibri" w:hAnsi="Calibri" w:cs="Calibri"/>
          <w:sz w:val="22"/>
          <w:szCs w:val="22"/>
          <w:vertAlign w:val="subscript"/>
        </w:rPr>
        <w:t>3</w:t>
      </w:r>
      <w:r w:rsidRPr="00FB5FA9">
        <w:rPr>
          <w:rFonts w:ascii="Calibri" w:hAnsi="Calibri" w:cs="Calibri"/>
          <w:sz w:val="22"/>
          <w:szCs w:val="22"/>
        </w:rPr>
        <w:t>). De bijdrage van wegverkeer aan de stikstofdepositie in Natura-2000-gebieden was in 2023 gemiddeld 5,7%.</w:t>
      </w:r>
    </w:p>
    <w:p w:rsidRPr="00FB5FA9" w:rsidR="00AA25C1" w:rsidP="00FB5FA9" w:rsidRDefault="00AA25C1" w14:paraId="2B5E6FD6" w14:textId="77777777">
      <w:pPr>
        <w:spacing w:after="0" w:line="240" w:lineRule="auto"/>
        <w:rPr>
          <w:rFonts w:ascii="Calibri" w:hAnsi="Calibri" w:cs="Calibri"/>
          <w:sz w:val="22"/>
          <w:szCs w:val="22"/>
        </w:rPr>
      </w:pPr>
    </w:p>
    <w:p w:rsidRPr="00FB5FA9" w:rsidR="00AA25C1" w:rsidP="00FB5FA9" w:rsidRDefault="00AA25C1" w14:paraId="60F51D03" w14:textId="77777777">
      <w:pPr>
        <w:spacing w:after="0" w:line="240" w:lineRule="auto"/>
        <w:rPr>
          <w:rFonts w:ascii="Calibri" w:hAnsi="Calibri" w:cs="Calibri"/>
          <w:sz w:val="22"/>
          <w:szCs w:val="22"/>
        </w:rPr>
      </w:pPr>
      <w:r w:rsidRPr="00FB5FA9">
        <w:rPr>
          <w:rFonts w:ascii="Calibri" w:hAnsi="Calibri" w:cs="Calibri"/>
          <w:noProof/>
          <w:sz w:val="22"/>
          <w:szCs w:val="22"/>
          <w:lang w:val="en-GB" w:eastAsia="en-GB"/>
        </w:rPr>
        <w:drawing>
          <wp:inline distT="0" distB="0" distL="0" distR="0" wp14:anchorId="668F002E" wp14:editId="2955751C">
            <wp:extent cx="4517994" cy="2876550"/>
            <wp:effectExtent l="0" t="0" r="0" b="0"/>
            <wp:docPr id="559820679"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820679" name="Afbeelding 559820679"/>
                    <pic:cNvPicPr/>
                  </pic:nvPicPr>
                  <pic:blipFill>
                    <a:blip r:embed="rId9">
                      <a:extLst>
                        <a:ext uri="{28A0092B-C50C-407E-A947-70E740481C1C}">
                          <a14:useLocalDpi xmlns:a14="http://schemas.microsoft.com/office/drawing/2010/main" val="0"/>
                        </a:ext>
                      </a:extLst>
                    </a:blip>
                    <a:stretch>
                      <a:fillRect/>
                    </a:stretch>
                  </pic:blipFill>
                  <pic:spPr>
                    <a:xfrm>
                      <a:off x="0" y="0"/>
                      <a:ext cx="4525056" cy="2881046"/>
                    </a:xfrm>
                    <a:prstGeom prst="rect">
                      <a:avLst/>
                    </a:prstGeom>
                  </pic:spPr>
                </pic:pic>
              </a:graphicData>
            </a:graphic>
          </wp:inline>
        </w:drawing>
      </w:r>
    </w:p>
    <w:p w:rsidRPr="00FB5FA9" w:rsidR="00AA25C1" w:rsidP="00FB5FA9" w:rsidRDefault="00AA25C1" w14:paraId="3666E5BD" w14:textId="77777777">
      <w:pPr>
        <w:spacing w:after="0" w:line="240" w:lineRule="auto"/>
        <w:rPr>
          <w:rFonts w:ascii="Calibri" w:hAnsi="Calibri" w:cs="Calibri"/>
          <w:i/>
          <w:iCs/>
          <w:sz w:val="22"/>
          <w:szCs w:val="22"/>
        </w:rPr>
      </w:pPr>
      <w:r w:rsidRPr="00FB5FA9">
        <w:rPr>
          <w:rFonts w:ascii="Calibri" w:hAnsi="Calibri" w:cs="Calibri"/>
          <w:i/>
          <w:iCs/>
          <w:sz w:val="22"/>
          <w:szCs w:val="22"/>
        </w:rPr>
        <w:t>Figuur 1. Bijdrage aan gemiddelde totale stikstofdepositie op Natura 2000-gebieden in 2023</w:t>
      </w:r>
      <w:r w:rsidRPr="00FB5FA9">
        <w:rPr>
          <w:rStyle w:val="Voetnootmarkering"/>
          <w:rFonts w:ascii="Calibri" w:hAnsi="Calibri" w:cs="Calibri"/>
          <w:i/>
          <w:iCs/>
          <w:sz w:val="22"/>
          <w:szCs w:val="22"/>
        </w:rPr>
        <w:footnoteReference w:id="1"/>
      </w:r>
    </w:p>
    <w:p w:rsidR="00FB5FA9" w:rsidP="00FB5FA9" w:rsidRDefault="00FB5FA9" w14:paraId="6E8918D4" w14:textId="77777777">
      <w:pPr>
        <w:spacing w:after="0" w:line="240" w:lineRule="auto"/>
        <w:rPr>
          <w:rFonts w:ascii="Calibri" w:hAnsi="Calibri" w:cs="Calibri"/>
          <w:sz w:val="22"/>
          <w:szCs w:val="22"/>
        </w:rPr>
      </w:pPr>
      <w:bookmarkStart w:name="_Hlk231205482" w:id="0"/>
    </w:p>
    <w:p w:rsidRPr="00FB5FA9" w:rsidR="00AA25C1" w:rsidP="00FB5FA9" w:rsidRDefault="00AA25C1" w14:paraId="248861D9" w14:textId="181EBEC4">
      <w:pPr>
        <w:spacing w:after="0" w:line="240" w:lineRule="auto"/>
        <w:rPr>
          <w:rFonts w:ascii="Calibri" w:hAnsi="Calibri" w:cs="Calibri"/>
          <w:sz w:val="22"/>
          <w:szCs w:val="22"/>
        </w:rPr>
      </w:pPr>
      <w:r w:rsidRPr="00FB5FA9">
        <w:rPr>
          <w:rFonts w:ascii="Calibri" w:hAnsi="Calibri" w:cs="Calibri"/>
          <w:sz w:val="22"/>
          <w:szCs w:val="22"/>
        </w:rPr>
        <w:t xml:space="preserve">De totale uitstoot van stikstof door wegverkeer is de achterliggende decennia, ondanks de groei in het goederen- en personenvervoer, sterk gedaald en zal richting de toekomst verder afnemen. Onderstaande figuur toont de verwachte ontwikkeling van de totale stikstofemissie door wegverkeer. </w:t>
      </w:r>
    </w:p>
    <w:bookmarkEnd w:id="0"/>
    <w:p w:rsidRPr="00FB5FA9" w:rsidR="00AA25C1" w:rsidP="00FB5FA9" w:rsidRDefault="00AA25C1" w14:paraId="1F1E81AC" w14:textId="77777777">
      <w:pPr>
        <w:spacing w:after="0" w:line="240" w:lineRule="auto"/>
        <w:rPr>
          <w:rFonts w:ascii="Calibri" w:hAnsi="Calibri" w:cs="Calibri"/>
          <w:sz w:val="22"/>
          <w:szCs w:val="22"/>
        </w:rPr>
      </w:pPr>
    </w:p>
    <w:p w:rsidRPr="00FB5FA9" w:rsidR="00AA25C1" w:rsidP="00FB5FA9" w:rsidRDefault="00AA25C1" w14:paraId="70617408" w14:textId="77777777">
      <w:pPr>
        <w:spacing w:after="0" w:line="240" w:lineRule="auto"/>
        <w:rPr>
          <w:rFonts w:ascii="Calibri" w:hAnsi="Calibri" w:cs="Calibri"/>
          <w:sz w:val="22"/>
          <w:szCs w:val="22"/>
        </w:rPr>
      </w:pPr>
      <w:r w:rsidRPr="00FB5FA9">
        <w:rPr>
          <w:rFonts w:ascii="Calibri" w:hAnsi="Calibri" w:cs="Calibri"/>
          <w:noProof/>
          <w:sz w:val="22"/>
          <w:szCs w:val="22"/>
          <w:lang w:val="en-GB" w:eastAsia="en-GB"/>
        </w:rPr>
        <w:lastRenderedPageBreak/>
        <w:drawing>
          <wp:inline distT="0" distB="0" distL="0" distR="0" wp14:anchorId="7C389151" wp14:editId="4E31A6CB">
            <wp:extent cx="5286375" cy="3295650"/>
            <wp:effectExtent l="0" t="0" r="9525" b="0"/>
            <wp:docPr id="3179711" name="Grafiek 1">
              <a:extLst xmlns:a="http://schemas.openxmlformats.org/drawingml/2006/main">
                <a:ext uri="{FF2B5EF4-FFF2-40B4-BE49-F238E27FC236}">
                  <a16:creationId xmlns:a16="http://schemas.microsoft.com/office/drawing/2014/main" id="{0B564505-CB1A-4416-8A39-1135969C71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Pr="00FB5FA9" w:rsidR="00AA25C1" w:rsidP="00FB5FA9" w:rsidRDefault="00AA25C1" w14:paraId="65AD3ADC" w14:textId="77777777">
      <w:pPr>
        <w:spacing w:after="0" w:line="240" w:lineRule="auto"/>
        <w:rPr>
          <w:rFonts w:ascii="Calibri" w:hAnsi="Calibri" w:cs="Calibri"/>
          <w:i/>
          <w:iCs/>
          <w:sz w:val="22"/>
          <w:szCs w:val="22"/>
        </w:rPr>
      </w:pPr>
      <w:r w:rsidRPr="00FB5FA9">
        <w:rPr>
          <w:rFonts w:ascii="Calibri" w:hAnsi="Calibri" w:cs="Calibri"/>
          <w:i/>
          <w:iCs/>
          <w:sz w:val="22"/>
          <w:szCs w:val="22"/>
        </w:rPr>
        <w:t>Figuur 2. Stikstofemissie wegverkeer (kiloton/jaar)</w:t>
      </w:r>
      <w:r w:rsidRPr="00FB5FA9">
        <w:rPr>
          <w:rStyle w:val="Voetnootmarkering"/>
          <w:rFonts w:ascii="Calibri" w:hAnsi="Calibri" w:cs="Calibri"/>
          <w:i/>
          <w:iCs/>
          <w:sz w:val="22"/>
          <w:szCs w:val="22"/>
        </w:rPr>
        <w:footnoteReference w:id="2"/>
      </w:r>
    </w:p>
    <w:p w:rsidRPr="00FB5FA9" w:rsidR="00AA25C1" w:rsidP="00FB5FA9" w:rsidRDefault="00AA25C1" w14:paraId="41B7EFC0" w14:textId="77777777">
      <w:pPr>
        <w:spacing w:after="0" w:line="240" w:lineRule="auto"/>
        <w:rPr>
          <w:rFonts w:ascii="Calibri" w:hAnsi="Calibri" w:cs="Calibri"/>
          <w:sz w:val="22"/>
          <w:szCs w:val="22"/>
        </w:rPr>
      </w:pPr>
    </w:p>
    <w:p w:rsidRPr="00FB5FA9" w:rsidR="00AA25C1" w:rsidP="00FB5FA9" w:rsidRDefault="00AA25C1" w14:paraId="48756CD2" w14:textId="77777777">
      <w:pPr>
        <w:spacing w:after="0" w:line="240" w:lineRule="auto"/>
        <w:rPr>
          <w:rFonts w:ascii="Calibri" w:hAnsi="Calibri" w:cs="Calibri"/>
          <w:sz w:val="22"/>
          <w:szCs w:val="22"/>
        </w:rPr>
      </w:pPr>
      <w:r w:rsidRPr="00FB5FA9">
        <w:rPr>
          <w:rFonts w:ascii="Calibri" w:hAnsi="Calibri" w:cs="Calibri"/>
          <w:sz w:val="22"/>
          <w:szCs w:val="22"/>
        </w:rPr>
        <w:t xml:space="preserve">De afname van de stikstofemissie door wegverkeer leidt ook tot een afname van de bijdrage van wegverkeer aan de stikstofdepositie. Onderstaande figuur toont de (verwachte) ontwikkeling van de stikstofdepositie op Nederlandse natuurgebieden door het wegverkeer in Nederland. </w:t>
      </w:r>
    </w:p>
    <w:p w:rsidRPr="00FB5FA9" w:rsidR="00AA25C1" w:rsidP="00FB5FA9" w:rsidRDefault="00AA25C1" w14:paraId="5BDC867C" w14:textId="77777777">
      <w:pPr>
        <w:spacing w:after="0" w:line="240" w:lineRule="auto"/>
        <w:rPr>
          <w:rFonts w:ascii="Calibri" w:hAnsi="Calibri" w:cs="Calibri"/>
          <w:sz w:val="22"/>
          <w:szCs w:val="22"/>
        </w:rPr>
      </w:pPr>
    </w:p>
    <w:p w:rsidRPr="00FB5FA9" w:rsidR="00AA25C1" w:rsidP="00FB5FA9" w:rsidRDefault="00AA25C1" w14:paraId="362026DA" w14:textId="77777777">
      <w:pPr>
        <w:spacing w:after="0" w:line="240" w:lineRule="auto"/>
        <w:rPr>
          <w:rFonts w:ascii="Calibri" w:hAnsi="Calibri" w:cs="Calibri"/>
          <w:sz w:val="22"/>
          <w:szCs w:val="22"/>
        </w:rPr>
      </w:pPr>
      <w:r w:rsidRPr="00FB5FA9">
        <w:rPr>
          <w:rFonts w:ascii="Calibri" w:hAnsi="Calibri" w:cs="Calibri"/>
          <w:noProof/>
          <w:sz w:val="22"/>
          <w:szCs w:val="22"/>
          <w:lang w:val="en-GB" w:eastAsia="en-GB"/>
        </w:rPr>
        <w:drawing>
          <wp:inline distT="0" distB="0" distL="0" distR="0" wp14:anchorId="299BFA7A" wp14:editId="4DE7956F">
            <wp:extent cx="5286375" cy="2466975"/>
            <wp:effectExtent l="0" t="0" r="9525" b="9525"/>
            <wp:docPr id="754568975" name="Grafiek 1">
              <a:extLst xmlns:a="http://schemas.openxmlformats.org/drawingml/2006/main">
                <a:ext uri="{FF2B5EF4-FFF2-40B4-BE49-F238E27FC236}">
                  <a16:creationId xmlns:a16="http://schemas.microsoft.com/office/drawing/2014/main" id="{9706DDD7-08E0-8BCE-91C2-735DB98D44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FB5FA9" w:rsidR="00AA25C1" w:rsidP="00FB5FA9" w:rsidRDefault="00AA25C1" w14:paraId="0A7F50F1" w14:textId="77777777">
      <w:pPr>
        <w:spacing w:after="0" w:line="240" w:lineRule="auto"/>
        <w:rPr>
          <w:rFonts w:ascii="Calibri" w:hAnsi="Calibri" w:cs="Calibri"/>
          <w:sz w:val="22"/>
          <w:szCs w:val="22"/>
        </w:rPr>
      </w:pPr>
      <w:r w:rsidRPr="00FB5FA9">
        <w:rPr>
          <w:rFonts w:ascii="Calibri" w:hAnsi="Calibri" w:cs="Calibri"/>
          <w:i/>
          <w:iCs/>
          <w:sz w:val="22"/>
          <w:szCs w:val="22"/>
        </w:rPr>
        <w:t>Figuur 3. Stikstofdepositie door wegverkeer op stikstofgevoelige natuur in Natura 2000-gebieden (mol/ha/jaar)</w:t>
      </w:r>
      <w:r w:rsidRPr="00FB5FA9">
        <w:rPr>
          <w:rFonts w:ascii="Calibri" w:hAnsi="Calibri" w:cs="Calibri"/>
          <w:i/>
          <w:iCs/>
          <w:sz w:val="22"/>
          <w:szCs w:val="22"/>
          <w:vertAlign w:val="superscript"/>
        </w:rPr>
        <w:t>1</w:t>
      </w:r>
      <w:r w:rsidRPr="00FB5FA9" w:rsidDel="004804C5">
        <w:rPr>
          <w:rStyle w:val="Voetnootmarkering"/>
          <w:rFonts w:ascii="Calibri" w:hAnsi="Calibri" w:cs="Calibri"/>
          <w:i/>
          <w:iCs/>
          <w:sz w:val="22"/>
          <w:szCs w:val="22"/>
        </w:rPr>
        <w:t xml:space="preserve"> </w:t>
      </w:r>
    </w:p>
    <w:p w:rsidRPr="00FB5FA9" w:rsidR="00AA25C1" w:rsidP="00FB5FA9" w:rsidRDefault="00AA25C1" w14:paraId="5150D590" w14:textId="77777777">
      <w:pPr>
        <w:spacing w:after="0" w:line="240" w:lineRule="auto"/>
        <w:rPr>
          <w:rFonts w:ascii="Calibri" w:hAnsi="Calibri" w:cs="Calibri"/>
          <w:i/>
          <w:iCs/>
          <w:sz w:val="22"/>
          <w:szCs w:val="22"/>
        </w:rPr>
      </w:pPr>
    </w:p>
    <w:p w:rsidRPr="00FB5FA9" w:rsidR="00AA25C1" w:rsidP="00FB5FA9" w:rsidRDefault="00AA25C1" w14:paraId="251DCF01" w14:textId="77777777">
      <w:pPr>
        <w:spacing w:after="0" w:line="240" w:lineRule="auto"/>
        <w:rPr>
          <w:rFonts w:ascii="Calibri" w:hAnsi="Calibri" w:cs="Calibri"/>
          <w:sz w:val="22"/>
          <w:szCs w:val="22"/>
        </w:rPr>
      </w:pPr>
      <w:r w:rsidRPr="00FB5FA9">
        <w:rPr>
          <w:rFonts w:ascii="Calibri" w:hAnsi="Calibri" w:cs="Calibri"/>
          <w:sz w:val="22"/>
          <w:szCs w:val="22"/>
        </w:rPr>
        <w:t>De daling van de NO</w:t>
      </w:r>
      <w:r w:rsidRPr="00FB5FA9">
        <w:rPr>
          <w:rFonts w:ascii="Calibri" w:hAnsi="Calibri" w:cs="Calibri"/>
          <w:sz w:val="22"/>
          <w:szCs w:val="22"/>
          <w:vertAlign w:val="subscript"/>
        </w:rPr>
        <w:t>X</w:t>
      </w:r>
      <w:r w:rsidRPr="00FB5FA9">
        <w:rPr>
          <w:rFonts w:ascii="Calibri" w:hAnsi="Calibri" w:cs="Calibri"/>
          <w:sz w:val="22"/>
          <w:szCs w:val="22"/>
        </w:rPr>
        <w:t xml:space="preserve">-emissie in het wegverkeer kan voor een groot deel worden toegeschreven aan bronmaatregelen op Europees niveau: de Europese emissienormen voor nieuwe wegvoertuigen die in de afgelopen decennia stapsgewijs zijn aangescherpt. Ook nationale en lokale maatregelen om de instroom van schone voertuigen en de uitstroom van vervuilende voertuigen uit het wagenpark te </w:t>
      </w:r>
      <w:r w:rsidRPr="00FB5FA9">
        <w:rPr>
          <w:rFonts w:ascii="Calibri" w:hAnsi="Calibri" w:cs="Calibri"/>
          <w:sz w:val="22"/>
          <w:szCs w:val="22"/>
        </w:rPr>
        <w:lastRenderedPageBreak/>
        <w:t>stimuleren, dragen bij aan deze daling</w:t>
      </w:r>
      <w:r w:rsidRPr="00FB5FA9">
        <w:rPr>
          <w:rStyle w:val="Voetnootmarkering"/>
          <w:rFonts w:ascii="Calibri" w:hAnsi="Calibri" w:cs="Calibri"/>
          <w:sz w:val="22"/>
          <w:szCs w:val="22"/>
        </w:rPr>
        <w:footnoteReference w:id="3"/>
      </w:r>
      <w:r w:rsidRPr="00FB5FA9">
        <w:rPr>
          <w:rFonts w:ascii="Calibri" w:hAnsi="Calibri" w:cs="Calibri"/>
          <w:sz w:val="22"/>
          <w:szCs w:val="22"/>
        </w:rPr>
        <w:t xml:space="preserve">. Een voorbeeld hiervan is de vrachtwagenheffing en het gebruik van de opbrengst hiervan voor verduurzaming van de vervoerssector. </w:t>
      </w:r>
    </w:p>
    <w:p w:rsidRPr="00FB5FA9" w:rsidR="00AA25C1" w:rsidP="00FB5FA9" w:rsidRDefault="00AA25C1" w14:paraId="039B1D1A" w14:textId="77777777">
      <w:pPr>
        <w:spacing w:after="0" w:line="240" w:lineRule="auto"/>
        <w:rPr>
          <w:rFonts w:ascii="Calibri" w:hAnsi="Calibri" w:cs="Calibri"/>
          <w:sz w:val="22"/>
          <w:szCs w:val="22"/>
        </w:rPr>
      </w:pPr>
      <w:r w:rsidRPr="00FB5FA9">
        <w:rPr>
          <w:rFonts w:ascii="Calibri" w:hAnsi="Calibri" w:cs="Calibri"/>
          <w:sz w:val="22"/>
          <w:szCs w:val="22"/>
        </w:rPr>
        <w:t>De elektrificatie van het wegverkeer draagt ook bij aan de verdere daling van de NO</w:t>
      </w:r>
      <w:r w:rsidRPr="00FB5FA9">
        <w:rPr>
          <w:rFonts w:ascii="Calibri" w:hAnsi="Calibri" w:cs="Calibri"/>
          <w:sz w:val="22"/>
          <w:szCs w:val="22"/>
          <w:vertAlign w:val="subscript"/>
        </w:rPr>
        <w:t>X</w:t>
      </w:r>
      <w:r w:rsidRPr="00FB5FA9">
        <w:rPr>
          <w:rFonts w:ascii="Calibri" w:hAnsi="Calibri" w:cs="Calibri"/>
          <w:sz w:val="22"/>
          <w:szCs w:val="22"/>
        </w:rPr>
        <w:t>-emissie, met name na 2030.</w:t>
      </w:r>
    </w:p>
    <w:p w:rsidRPr="00FB5FA9" w:rsidR="00AA25C1" w:rsidP="00FB5FA9" w:rsidRDefault="00AA25C1" w14:paraId="70B829B6" w14:textId="77777777">
      <w:pPr>
        <w:spacing w:after="0" w:line="240" w:lineRule="auto"/>
        <w:rPr>
          <w:rFonts w:ascii="Calibri" w:hAnsi="Calibri" w:cs="Calibri"/>
          <w:sz w:val="22"/>
          <w:szCs w:val="22"/>
        </w:rPr>
      </w:pPr>
    </w:p>
    <w:p w:rsidRPr="00FB5FA9" w:rsidR="00AA25C1" w:rsidP="00FB5FA9" w:rsidRDefault="00AA25C1" w14:paraId="64251EF4" w14:textId="77777777">
      <w:pPr>
        <w:spacing w:after="0" w:line="240" w:lineRule="auto"/>
        <w:rPr>
          <w:rFonts w:ascii="Calibri" w:hAnsi="Calibri" w:cs="Calibri"/>
          <w:sz w:val="22"/>
          <w:szCs w:val="22"/>
        </w:rPr>
      </w:pPr>
      <w:r w:rsidRPr="00FB5FA9">
        <w:rPr>
          <w:rFonts w:ascii="Calibri" w:hAnsi="Calibri" w:cs="Calibri"/>
          <w:sz w:val="22"/>
          <w:szCs w:val="22"/>
        </w:rPr>
        <w:t>De geleidelijke vervanging van oudere voertuigen door nieuwe en schonere auto’s zorgt voor een verschoning van het wagenpark en een afname van de totale stikstofemissies door wegverkeer. De daling van de NO</w:t>
      </w:r>
      <w:r w:rsidRPr="00FB5FA9">
        <w:rPr>
          <w:rFonts w:ascii="Calibri" w:hAnsi="Calibri" w:cs="Calibri"/>
          <w:sz w:val="22"/>
          <w:szCs w:val="22"/>
          <w:vertAlign w:val="subscript"/>
        </w:rPr>
        <w:t>X</w:t>
      </w:r>
      <w:r w:rsidRPr="00FB5FA9">
        <w:rPr>
          <w:rFonts w:ascii="Calibri" w:hAnsi="Calibri" w:cs="Calibri"/>
          <w:sz w:val="22"/>
          <w:szCs w:val="22"/>
        </w:rPr>
        <w:t>-emissie door wegverkeer is groter dan de daling van de NH</w:t>
      </w:r>
      <w:r w:rsidRPr="00FB5FA9">
        <w:rPr>
          <w:rFonts w:ascii="Calibri" w:hAnsi="Calibri" w:cs="Calibri"/>
          <w:sz w:val="22"/>
          <w:szCs w:val="22"/>
          <w:vertAlign w:val="subscript"/>
        </w:rPr>
        <w:t>3</w:t>
      </w:r>
      <w:r w:rsidRPr="00FB5FA9">
        <w:rPr>
          <w:rFonts w:ascii="Calibri" w:hAnsi="Calibri" w:cs="Calibri"/>
          <w:sz w:val="22"/>
          <w:szCs w:val="22"/>
        </w:rPr>
        <w:t>-emissie. De emissie van NH</w:t>
      </w:r>
      <w:r w:rsidRPr="00FB5FA9">
        <w:rPr>
          <w:rFonts w:ascii="Calibri" w:hAnsi="Calibri" w:cs="Calibri"/>
          <w:sz w:val="22"/>
          <w:szCs w:val="22"/>
          <w:vertAlign w:val="subscript"/>
        </w:rPr>
        <w:t>3</w:t>
      </w:r>
      <w:r w:rsidRPr="00FB5FA9">
        <w:rPr>
          <w:rFonts w:ascii="Calibri" w:hAnsi="Calibri" w:cs="Calibri"/>
          <w:sz w:val="22"/>
          <w:szCs w:val="22"/>
        </w:rPr>
        <w:t xml:space="preserve"> hangt onder meer samen met de toepassing van de SCR-katalysator bij vrachtauto’s en diesel personen- en bestelauto’s. Deze katalysator zorgt ervoor dat de NO</w:t>
      </w:r>
      <w:r w:rsidRPr="00FB5FA9">
        <w:rPr>
          <w:rFonts w:ascii="Calibri" w:hAnsi="Calibri" w:cs="Calibri"/>
          <w:sz w:val="22"/>
          <w:szCs w:val="22"/>
          <w:vertAlign w:val="subscript"/>
        </w:rPr>
        <w:t>X</w:t>
      </w:r>
      <w:r w:rsidRPr="00FB5FA9">
        <w:rPr>
          <w:rFonts w:ascii="Calibri" w:hAnsi="Calibri" w:cs="Calibri"/>
          <w:sz w:val="22"/>
          <w:szCs w:val="22"/>
        </w:rPr>
        <w:t xml:space="preserve"> -emissie sterk afneemt, maar ook dat de NH</w:t>
      </w:r>
      <w:r w:rsidRPr="00FB5FA9">
        <w:rPr>
          <w:rFonts w:ascii="Calibri" w:hAnsi="Calibri" w:cs="Calibri"/>
          <w:sz w:val="22"/>
          <w:szCs w:val="22"/>
          <w:vertAlign w:val="subscript"/>
        </w:rPr>
        <w:t>3</w:t>
      </w:r>
      <w:r w:rsidRPr="00FB5FA9">
        <w:rPr>
          <w:rFonts w:ascii="Calibri" w:hAnsi="Calibri" w:cs="Calibri"/>
          <w:sz w:val="22"/>
          <w:szCs w:val="22"/>
        </w:rPr>
        <w:t>-emissie iets toeneemt. Per saldo zorgen deze katalysatoren voor een afname van de stikstofemissie door wegverkeer. De instroom van elektrische voertuigen zorgt vanzelfsprekend voor een afname van zowel de NO</w:t>
      </w:r>
      <w:r w:rsidRPr="00FB5FA9">
        <w:rPr>
          <w:rFonts w:ascii="Calibri" w:hAnsi="Calibri" w:cs="Calibri"/>
          <w:sz w:val="22"/>
          <w:szCs w:val="22"/>
          <w:vertAlign w:val="subscript"/>
        </w:rPr>
        <w:t>X</w:t>
      </w:r>
      <w:r w:rsidRPr="00FB5FA9">
        <w:rPr>
          <w:rFonts w:ascii="Calibri" w:hAnsi="Calibri" w:cs="Calibri"/>
          <w:sz w:val="22"/>
          <w:szCs w:val="22"/>
        </w:rPr>
        <w:t>-emissie als de NH</w:t>
      </w:r>
      <w:r w:rsidRPr="00FB5FA9">
        <w:rPr>
          <w:rFonts w:ascii="Calibri" w:hAnsi="Calibri" w:cs="Calibri"/>
          <w:sz w:val="22"/>
          <w:szCs w:val="22"/>
          <w:vertAlign w:val="subscript"/>
        </w:rPr>
        <w:t>3</w:t>
      </w:r>
      <w:r w:rsidRPr="00FB5FA9">
        <w:rPr>
          <w:rFonts w:ascii="Calibri" w:hAnsi="Calibri" w:cs="Calibri"/>
          <w:sz w:val="22"/>
          <w:szCs w:val="22"/>
        </w:rPr>
        <w:t>-emissie.</w:t>
      </w:r>
    </w:p>
    <w:p w:rsidRPr="00FB5FA9" w:rsidR="00AA25C1" w:rsidP="00FB5FA9" w:rsidRDefault="00AA25C1" w14:paraId="7F216FF2" w14:textId="77777777">
      <w:pPr>
        <w:spacing w:after="0" w:line="240" w:lineRule="auto"/>
        <w:rPr>
          <w:rFonts w:ascii="Calibri" w:hAnsi="Calibri" w:cs="Calibri"/>
          <w:sz w:val="22"/>
          <w:szCs w:val="22"/>
        </w:rPr>
      </w:pPr>
    </w:p>
    <w:p w:rsidRPr="00FB5FA9" w:rsidR="00AA25C1" w:rsidP="00FB5FA9" w:rsidRDefault="00AA25C1" w14:paraId="40D09A0A" w14:textId="77777777">
      <w:pPr>
        <w:spacing w:after="0" w:line="240" w:lineRule="auto"/>
        <w:rPr>
          <w:rFonts w:ascii="Calibri" w:hAnsi="Calibri" w:cs="Calibri"/>
          <w:sz w:val="22"/>
          <w:szCs w:val="22"/>
        </w:rPr>
      </w:pPr>
      <w:r w:rsidRPr="00FB5FA9">
        <w:rPr>
          <w:rFonts w:ascii="Calibri" w:hAnsi="Calibri" w:cs="Calibri"/>
          <w:sz w:val="22"/>
          <w:szCs w:val="22"/>
        </w:rPr>
        <w:t>Onderstaande figuur toont de ontwikkeling van de gemiddelde NO</w:t>
      </w:r>
      <w:r w:rsidRPr="00FB5FA9">
        <w:rPr>
          <w:rFonts w:ascii="Calibri" w:hAnsi="Calibri" w:cs="Calibri"/>
          <w:sz w:val="22"/>
          <w:szCs w:val="22"/>
          <w:vertAlign w:val="subscript"/>
        </w:rPr>
        <w:t>X</w:t>
      </w:r>
      <w:r w:rsidRPr="00FB5FA9">
        <w:rPr>
          <w:rFonts w:ascii="Calibri" w:hAnsi="Calibri" w:cs="Calibri"/>
          <w:sz w:val="22"/>
          <w:szCs w:val="22"/>
        </w:rPr>
        <w:t>-emissie per gereden kilometer door personenauto’s op Nederlandse wegen in de periode tot en met 2024. Hieruit volgt dat de NO</w:t>
      </w:r>
      <w:r w:rsidRPr="00FB5FA9">
        <w:rPr>
          <w:rFonts w:ascii="Calibri" w:hAnsi="Calibri" w:cs="Calibri"/>
          <w:sz w:val="22"/>
          <w:szCs w:val="22"/>
          <w:vertAlign w:val="subscript"/>
        </w:rPr>
        <w:t>x</w:t>
      </w:r>
      <w:r w:rsidRPr="00FB5FA9">
        <w:rPr>
          <w:rFonts w:ascii="Calibri" w:hAnsi="Calibri" w:cs="Calibri"/>
          <w:sz w:val="22"/>
          <w:szCs w:val="22"/>
        </w:rPr>
        <w:t>-emissie per gereden kilometer in de afgelopen 20 jaar met meer dan 60% is afgenomen.</w:t>
      </w:r>
    </w:p>
    <w:p w:rsidRPr="00FB5FA9" w:rsidR="00AA25C1" w:rsidP="00FB5FA9" w:rsidRDefault="00AA25C1" w14:paraId="1DB246AE" w14:textId="77777777">
      <w:pPr>
        <w:spacing w:after="0" w:line="240" w:lineRule="auto"/>
        <w:rPr>
          <w:rFonts w:ascii="Calibri" w:hAnsi="Calibri" w:cs="Calibri"/>
          <w:sz w:val="22"/>
          <w:szCs w:val="22"/>
        </w:rPr>
      </w:pPr>
    </w:p>
    <w:p w:rsidRPr="00FB5FA9" w:rsidR="00AA25C1" w:rsidP="00FB5FA9" w:rsidRDefault="00AA25C1" w14:paraId="5B4E3AE8" w14:textId="77777777">
      <w:pPr>
        <w:spacing w:after="0" w:line="240" w:lineRule="auto"/>
        <w:rPr>
          <w:rFonts w:ascii="Calibri" w:hAnsi="Calibri" w:cs="Calibri"/>
          <w:sz w:val="22"/>
          <w:szCs w:val="22"/>
        </w:rPr>
      </w:pPr>
      <w:r w:rsidRPr="00FB5FA9">
        <w:rPr>
          <w:rFonts w:ascii="Calibri" w:hAnsi="Calibri" w:cs="Calibri"/>
          <w:noProof/>
          <w:sz w:val="22"/>
          <w:szCs w:val="22"/>
          <w:lang w:val="en-GB" w:eastAsia="en-GB"/>
        </w:rPr>
        <w:drawing>
          <wp:inline distT="0" distB="0" distL="0" distR="0" wp14:anchorId="6BE24CCD" wp14:editId="3BD3FCCC">
            <wp:extent cx="5048250" cy="1924050"/>
            <wp:effectExtent l="0" t="0" r="0" b="0"/>
            <wp:docPr id="1225298206" name="Grafiek 1">
              <a:extLst xmlns:a="http://schemas.openxmlformats.org/drawingml/2006/main">
                <a:ext uri="{FF2B5EF4-FFF2-40B4-BE49-F238E27FC236}">
                  <a16:creationId xmlns:a16="http://schemas.microsoft.com/office/drawing/2014/main" id="{934B76AD-BD51-F3EC-2CD3-A12D947E7F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FB5FA9" w:rsidR="00AA25C1" w:rsidP="00FB5FA9" w:rsidRDefault="00AA25C1" w14:paraId="6336AAE0" w14:textId="77777777">
      <w:pPr>
        <w:spacing w:after="0" w:line="240" w:lineRule="auto"/>
        <w:rPr>
          <w:rFonts w:ascii="Calibri" w:hAnsi="Calibri" w:cs="Calibri"/>
          <w:i/>
          <w:iCs/>
          <w:sz w:val="22"/>
          <w:szCs w:val="22"/>
        </w:rPr>
      </w:pPr>
      <w:r w:rsidRPr="00FB5FA9">
        <w:rPr>
          <w:rFonts w:ascii="Calibri" w:hAnsi="Calibri" w:cs="Calibri"/>
          <w:i/>
          <w:iCs/>
          <w:sz w:val="22"/>
          <w:szCs w:val="22"/>
        </w:rPr>
        <w:t>Figuur 4. Gemiddelde NO</w:t>
      </w:r>
      <w:r w:rsidRPr="00FB5FA9">
        <w:rPr>
          <w:rFonts w:ascii="Calibri" w:hAnsi="Calibri" w:cs="Calibri"/>
          <w:i/>
          <w:iCs/>
          <w:sz w:val="22"/>
          <w:szCs w:val="22"/>
          <w:vertAlign w:val="subscript"/>
        </w:rPr>
        <w:t>X</w:t>
      </w:r>
      <w:r w:rsidRPr="00FB5FA9">
        <w:rPr>
          <w:rFonts w:ascii="Calibri" w:hAnsi="Calibri" w:cs="Calibri"/>
          <w:i/>
          <w:iCs/>
          <w:sz w:val="22"/>
          <w:szCs w:val="22"/>
        </w:rPr>
        <w:t>-emissie door personenauto’s op Nederlandse wegen (gram/voertuigkilometer)</w:t>
      </w:r>
      <w:r w:rsidRPr="00FB5FA9">
        <w:rPr>
          <w:rStyle w:val="Voetnootmarkering"/>
          <w:rFonts w:ascii="Calibri" w:hAnsi="Calibri" w:cs="Calibri"/>
          <w:i/>
          <w:iCs/>
          <w:sz w:val="22"/>
          <w:szCs w:val="22"/>
        </w:rPr>
        <w:footnoteReference w:id="4"/>
      </w:r>
    </w:p>
    <w:p w:rsidRPr="00FB5FA9" w:rsidR="00AA25C1" w:rsidP="00FB5FA9" w:rsidRDefault="00AA25C1" w14:paraId="43462FFD" w14:textId="77777777">
      <w:pPr>
        <w:spacing w:after="0" w:line="240" w:lineRule="auto"/>
        <w:rPr>
          <w:rFonts w:ascii="Calibri" w:hAnsi="Calibri" w:cs="Calibri"/>
          <w:sz w:val="22"/>
          <w:szCs w:val="22"/>
        </w:rPr>
      </w:pPr>
    </w:p>
    <w:p w:rsidRPr="00FB5FA9" w:rsidR="00AA25C1" w:rsidP="00FB5FA9" w:rsidRDefault="00AA25C1" w14:paraId="76ABC3DD" w14:textId="77777777">
      <w:pPr>
        <w:spacing w:after="0" w:line="240" w:lineRule="auto"/>
        <w:rPr>
          <w:rFonts w:ascii="Calibri" w:hAnsi="Calibri" w:cs="Calibri"/>
          <w:sz w:val="22"/>
          <w:szCs w:val="22"/>
        </w:rPr>
      </w:pPr>
      <w:r w:rsidRPr="00FB5FA9">
        <w:rPr>
          <w:rFonts w:ascii="Calibri" w:hAnsi="Calibri" w:cs="Calibri"/>
          <w:sz w:val="22"/>
          <w:szCs w:val="22"/>
        </w:rPr>
        <w:t>De verdere verschoning van personenauto’s in 2025 blijkt uit de toename van het aandeel elektrische en hybride voertuigen in de nieuwverkopen: in 2025 was – zoals het lid Prickaertz ook aangaf – ongeveer 85% van de nieuw verkochte voertuigen volledig elektrisch of hybride.</w:t>
      </w:r>
      <w:r w:rsidRPr="00FB5FA9">
        <w:rPr>
          <w:rStyle w:val="Voetnootmarkering"/>
          <w:rFonts w:ascii="Calibri" w:hAnsi="Calibri" w:cs="Calibri"/>
          <w:sz w:val="22"/>
          <w:szCs w:val="22"/>
        </w:rPr>
        <w:footnoteReference w:id="5"/>
      </w:r>
      <w:r w:rsidRPr="00FB5FA9">
        <w:rPr>
          <w:rFonts w:ascii="Calibri" w:hAnsi="Calibri" w:cs="Calibri"/>
          <w:sz w:val="22"/>
          <w:szCs w:val="22"/>
        </w:rPr>
        <w:t xml:space="preserve"> Hierdoor waren er begin 2026 ruim 2 miljoen auto’s volledig elektrisch of hybride. Dat is bijna een kwart meer dan een jaar eerder. Daardoor rijdt momenteel ruim 1 op de 5 personenauto’s geheel of gedeeltelijk elektrisch.</w:t>
      </w:r>
      <w:r w:rsidRPr="00FB5FA9">
        <w:rPr>
          <w:rStyle w:val="Voetnootmarkering"/>
          <w:rFonts w:ascii="Calibri" w:hAnsi="Calibri" w:cs="Calibri"/>
          <w:sz w:val="22"/>
          <w:szCs w:val="22"/>
        </w:rPr>
        <w:footnoteReference w:id="6"/>
      </w:r>
    </w:p>
    <w:p w:rsidRPr="00FB5FA9" w:rsidR="00AA25C1" w:rsidP="00FB5FA9" w:rsidRDefault="00AA25C1" w14:paraId="3685F603" w14:textId="77777777">
      <w:pPr>
        <w:spacing w:after="0" w:line="240" w:lineRule="auto"/>
        <w:rPr>
          <w:rFonts w:ascii="Calibri" w:hAnsi="Calibri" w:cs="Calibri"/>
          <w:sz w:val="22"/>
          <w:szCs w:val="22"/>
        </w:rPr>
      </w:pPr>
    </w:p>
    <w:p w:rsidRPr="00FB5FA9" w:rsidR="00AA25C1" w:rsidP="00FB5FA9" w:rsidRDefault="00AA25C1" w14:paraId="4C3BAD53" w14:textId="77777777">
      <w:pPr>
        <w:spacing w:after="0" w:line="240" w:lineRule="auto"/>
        <w:rPr>
          <w:rFonts w:ascii="Calibri" w:hAnsi="Calibri" w:cs="Calibri"/>
          <w:sz w:val="22"/>
          <w:szCs w:val="22"/>
        </w:rPr>
      </w:pPr>
      <w:r w:rsidRPr="00FB5FA9">
        <w:rPr>
          <w:rFonts w:ascii="Calibri" w:hAnsi="Calibri" w:cs="Calibri"/>
          <w:sz w:val="22"/>
          <w:szCs w:val="22"/>
        </w:rPr>
        <w:t>De stikstofuitstoot van personenauto’s, bestelauto’s en motoren verschilt per locatie en is onder meer afhankelijk van het snelheidsregime. Onderstaande figuur toont de gemiddelde NO</w:t>
      </w:r>
      <w:r w:rsidRPr="00FB5FA9">
        <w:rPr>
          <w:rFonts w:ascii="Calibri" w:hAnsi="Calibri" w:cs="Calibri"/>
          <w:sz w:val="22"/>
          <w:szCs w:val="22"/>
          <w:vertAlign w:val="subscript"/>
        </w:rPr>
        <w:t>X</w:t>
      </w:r>
      <w:r w:rsidRPr="00FB5FA9">
        <w:rPr>
          <w:rFonts w:ascii="Calibri" w:hAnsi="Calibri" w:cs="Calibri"/>
          <w:sz w:val="22"/>
          <w:szCs w:val="22"/>
        </w:rPr>
        <w:t xml:space="preserve">-emissie per gereden kilometer op snelwegen, bij verschillende geldende maximumsnelheden. </w:t>
      </w:r>
    </w:p>
    <w:p w:rsidRPr="00FB5FA9" w:rsidR="00AA25C1" w:rsidP="00FB5FA9" w:rsidRDefault="00AA25C1" w14:paraId="287539FF" w14:textId="77777777">
      <w:pPr>
        <w:spacing w:after="0" w:line="240" w:lineRule="auto"/>
        <w:rPr>
          <w:rFonts w:ascii="Calibri" w:hAnsi="Calibri" w:cs="Calibri"/>
          <w:sz w:val="22"/>
          <w:szCs w:val="22"/>
        </w:rPr>
      </w:pPr>
    </w:p>
    <w:p w:rsidRPr="00FB5FA9" w:rsidR="00AA25C1" w:rsidP="00FB5FA9" w:rsidRDefault="00AA25C1" w14:paraId="343EB43E" w14:textId="77777777">
      <w:pPr>
        <w:spacing w:after="0" w:line="240" w:lineRule="auto"/>
        <w:ind w:right="-284"/>
        <w:rPr>
          <w:rFonts w:ascii="Calibri" w:hAnsi="Calibri" w:cs="Calibri"/>
          <w:i/>
          <w:iCs/>
          <w:sz w:val="22"/>
          <w:szCs w:val="22"/>
        </w:rPr>
      </w:pPr>
      <w:r w:rsidRPr="00FB5FA9">
        <w:rPr>
          <w:rFonts w:ascii="Calibri" w:hAnsi="Calibri" w:cs="Calibri"/>
          <w:noProof/>
          <w:sz w:val="22"/>
          <w:szCs w:val="22"/>
          <w:lang w:val="en-GB" w:eastAsia="en-GB"/>
        </w:rPr>
        <w:lastRenderedPageBreak/>
        <w:drawing>
          <wp:inline distT="0" distB="0" distL="0" distR="0" wp14:anchorId="6D28DBCF" wp14:editId="5E07E17B">
            <wp:extent cx="5429250" cy="3095625"/>
            <wp:effectExtent l="0" t="0" r="0" b="9525"/>
            <wp:docPr id="151402774" name="Grafiek 1">
              <a:extLst xmlns:a="http://schemas.openxmlformats.org/drawingml/2006/main">
                <a:ext uri="{FF2B5EF4-FFF2-40B4-BE49-F238E27FC236}">
                  <a16:creationId xmlns:a16="http://schemas.microsoft.com/office/drawing/2014/main" id="{1E0C6A2D-61E1-1E3C-F365-F2511D62B8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FB5FA9">
        <w:rPr>
          <w:rFonts w:ascii="Calibri" w:hAnsi="Calibri" w:cs="Calibri"/>
          <w:sz w:val="22"/>
          <w:szCs w:val="22"/>
        </w:rPr>
        <w:br w:type="textWrapping" w:clear="all"/>
      </w:r>
      <w:r w:rsidRPr="00FB5FA9">
        <w:rPr>
          <w:rFonts w:ascii="Calibri" w:hAnsi="Calibri" w:cs="Calibri"/>
          <w:i/>
          <w:iCs/>
          <w:sz w:val="22"/>
          <w:szCs w:val="22"/>
        </w:rPr>
        <w:t>Figuur 5. Gemiddelde NO</w:t>
      </w:r>
      <w:r w:rsidRPr="00FB5FA9">
        <w:rPr>
          <w:rFonts w:ascii="Calibri" w:hAnsi="Calibri" w:cs="Calibri"/>
          <w:i/>
          <w:iCs/>
          <w:sz w:val="22"/>
          <w:szCs w:val="22"/>
          <w:vertAlign w:val="subscript"/>
        </w:rPr>
        <w:t>X</w:t>
      </w:r>
      <w:r w:rsidRPr="00FB5FA9">
        <w:rPr>
          <w:rFonts w:ascii="Calibri" w:hAnsi="Calibri" w:cs="Calibri"/>
          <w:i/>
          <w:iCs/>
          <w:sz w:val="22"/>
          <w:szCs w:val="22"/>
        </w:rPr>
        <w:t>-emissie door personenauto’s, bestelauto’s en motoren op snelwegen (gram/voertuigkilometer)</w:t>
      </w:r>
      <w:r w:rsidRPr="00FB5FA9">
        <w:rPr>
          <w:rStyle w:val="Voetnootmarkering"/>
          <w:rFonts w:ascii="Calibri" w:hAnsi="Calibri" w:cs="Calibri"/>
          <w:i/>
          <w:iCs/>
          <w:sz w:val="22"/>
          <w:szCs w:val="22"/>
        </w:rPr>
        <w:footnoteReference w:id="7"/>
      </w:r>
    </w:p>
    <w:p w:rsidRPr="00FB5FA9" w:rsidR="00AA25C1" w:rsidP="00FB5FA9" w:rsidRDefault="00AA25C1" w14:paraId="649588BC" w14:textId="77777777">
      <w:pPr>
        <w:spacing w:after="0" w:line="240" w:lineRule="auto"/>
        <w:rPr>
          <w:rFonts w:ascii="Calibri" w:hAnsi="Calibri" w:cs="Calibri"/>
          <w:sz w:val="22"/>
          <w:szCs w:val="22"/>
        </w:rPr>
      </w:pPr>
    </w:p>
    <w:p w:rsidRPr="00FB5FA9" w:rsidR="00AA25C1" w:rsidP="00FB5FA9" w:rsidRDefault="00AA25C1" w14:paraId="57AB88CF" w14:textId="77777777">
      <w:pPr>
        <w:spacing w:after="0" w:line="240" w:lineRule="auto"/>
        <w:rPr>
          <w:rFonts w:ascii="Calibri" w:hAnsi="Calibri" w:cs="Calibri"/>
          <w:sz w:val="22"/>
          <w:szCs w:val="22"/>
        </w:rPr>
      </w:pPr>
      <w:r w:rsidRPr="00FB5FA9">
        <w:rPr>
          <w:rFonts w:ascii="Calibri" w:hAnsi="Calibri" w:cs="Calibri"/>
          <w:sz w:val="22"/>
          <w:szCs w:val="22"/>
        </w:rPr>
        <w:t>Uit bovenstaande figuur volgt een duidelijk verschil in gemiddelde NO</w:t>
      </w:r>
      <w:r w:rsidRPr="00FB5FA9">
        <w:rPr>
          <w:rFonts w:ascii="Calibri" w:hAnsi="Calibri" w:cs="Calibri"/>
          <w:sz w:val="22"/>
          <w:szCs w:val="22"/>
          <w:vertAlign w:val="subscript"/>
        </w:rPr>
        <w:t>X</w:t>
      </w:r>
      <w:r w:rsidRPr="00FB5FA9">
        <w:rPr>
          <w:rFonts w:ascii="Calibri" w:hAnsi="Calibri" w:cs="Calibri"/>
          <w:sz w:val="22"/>
          <w:szCs w:val="22"/>
        </w:rPr>
        <w:t>-emissie op wegen waar een maximumsnelheid geldt van 120 km/uur of 130 km/uur en waar een maximumsnelheid geldt van 100 km/uur. Door de verschoning van het wagenpark neemt het absolute verschil in emissie af richting de toekomst, maar een verhoging van de maximumsnelheid van bijvoorbeeld 100 km/uur naar 130 km/uur blijft voorlopig leiden tot een toename van de NO</w:t>
      </w:r>
      <w:r w:rsidRPr="00FB5FA9">
        <w:rPr>
          <w:rFonts w:ascii="Calibri" w:hAnsi="Calibri" w:cs="Calibri"/>
          <w:sz w:val="22"/>
          <w:szCs w:val="22"/>
          <w:vertAlign w:val="subscript"/>
        </w:rPr>
        <w:t>X</w:t>
      </w:r>
      <w:r w:rsidRPr="00FB5FA9">
        <w:rPr>
          <w:rFonts w:ascii="Calibri" w:hAnsi="Calibri" w:cs="Calibri"/>
          <w:sz w:val="22"/>
          <w:szCs w:val="22"/>
        </w:rPr>
        <w:t>-emissie en daarmee veelal ook tot een toename van stikstofdepositie op Natura 2000-gebieden.</w:t>
      </w:r>
    </w:p>
    <w:p w:rsidRPr="00FB5FA9" w:rsidR="00AA25C1" w:rsidP="00FB5FA9" w:rsidRDefault="00AA25C1" w14:paraId="6AAC5858" w14:textId="77777777">
      <w:pPr>
        <w:spacing w:after="0" w:line="240" w:lineRule="auto"/>
        <w:rPr>
          <w:rFonts w:ascii="Calibri" w:hAnsi="Calibri" w:cs="Calibri"/>
          <w:sz w:val="22"/>
          <w:szCs w:val="22"/>
        </w:rPr>
      </w:pPr>
    </w:p>
    <w:p w:rsidRPr="00FB5FA9" w:rsidR="00AA25C1" w:rsidP="00FB5FA9" w:rsidRDefault="00AA25C1" w14:paraId="70C61E6D" w14:textId="77777777">
      <w:pPr>
        <w:spacing w:after="0" w:line="240" w:lineRule="auto"/>
        <w:rPr>
          <w:rFonts w:ascii="Calibri" w:hAnsi="Calibri" w:cs="Calibri"/>
          <w:sz w:val="22"/>
          <w:szCs w:val="22"/>
        </w:rPr>
      </w:pPr>
      <w:r w:rsidRPr="00FB5FA9">
        <w:rPr>
          <w:rFonts w:ascii="Calibri" w:hAnsi="Calibri" w:cs="Calibri"/>
          <w:sz w:val="22"/>
          <w:szCs w:val="22"/>
        </w:rPr>
        <w:t>Naast stikstof zijn in voorkomende gevallen ook geluidsnormen en weginrichting belemmeringen voor het verhogen van de maximumsnelheid. Een verkeersbesluit voor het verhogen van de maximumsnelheid kan vanzelfsprekend alleen worden vastgesteld als dit niet leidt tot onaanvaardbare effecten met betrekking tot verkeersveiligheid, klimaat of natuur en met inachtneming van de normen voor luchtkwaliteit en de geluidsproductieplafonds.</w:t>
      </w:r>
    </w:p>
    <w:p w:rsidRPr="00FB5FA9" w:rsidR="00AA25C1" w:rsidP="00FB5FA9" w:rsidRDefault="00AA25C1" w14:paraId="7B8A4277" w14:textId="2A130001">
      <w:pPr>
        <w:pStyle w:val="Geenafstand"/>
        <w:rPr>
          <w:rFonts w:ascii="Calibri" w:hAnsi="Calibri" w:cs="Calibri"/>
          <w:sz w:val="22"/>
          <w:szCs w:val="22"/>
        </w:rPr>
      </w:pPr>
    </w:p>
    <w:p w:rsidRPr="00FB5FA9" w:rsidR="00FB5FA9" w:rsidP="00FB5FA9" w:rsidRDefault="00FB5FA9" w14:paraId="23BD30B3" w14:textId="19D7087B">
      <w:pPr>
        <w:pStyle w:val="Geenafstand"/>
        <w:rPr>
          <w:rFonts w:ascii="Calibri" w:hAnsi="Calibri" w:cs="Calibri"/>
          <w:color w:val="000000"/>
          <w:sz w:val="22"/>
          <w:szCs w:val="22"/>
        </w:rPr>
      </w:pPr>
      <w:r w:rsidRPr="00FB5FA9">
        <w:rPr>
          <w:rFonts w:ascii="Calibri" w:hAnsi="Calibri" w:cs="Calibri"/>
          <w:sz w:val="22"/>
          <w:szCs w:val="22"/>
        </w:rPr>
        <w:t>De minister van Infrastructuur en Waterstaat,</w:t>
      </w:r>
    </w:p>
    <w:p w:rsidRPr="00FB5FA9" w:rsidR="00AA25C1" w:rsidP="00FB5FA9" w:rsidRDefault="00AA25C1" w14:paraId="24E1E8F7" w14:textId="7A012AE2">
      <w:pPr>
        <w:pStyle w:val="Geenafstand"/>
        <w:rPr>
          <w:rFonts w:ascii="Calibri" w:hAnsi="Calibri" w:cs="Calibri"/>
          <w:b/>
          <w:bCs/>
          <w:sz w:val="22"/>
          <w:szCs w:val="22"/>
        </w:rPr>
      </w:pPr>
      <w:r w:rsidRPr="00FB5FA9">
        <w:rPr>
          <w:rFonts w:ascii="Calibri" w:hAnsi="Calibri" w:cs="Calibri"/>
          <w:sz w:val="22"/>
          <w:szCs w:val="22"/>
        </w:rPr>
        <w:t>V</w:t>
      </w:r>
      <w:r w:rsidRPr="00FB5FA9" w:rsidR="00FB5FA9">
        <w:rPr>
          <w:rFonts w:ascii="Calibri" w:hAnsi="Calibri" w:cs="Calibri"/>
          <w:sz w:val="22"/>
          <w:szCs w:val="22"/>
        </w:rPr>
        <w:t xml:space="preserve">.P.G. </w:t>
      </w:r>
      <w:r w:rsidRPr="00FB5FA9">
        <w:rPr>
          <w:rFonts w:ascii="Calibri" w:hAnsi="Calibri" w:cs="Calibri"/>
          <w:sz w:val="22"/>
          <w:szCs w:val="22"/>
        </w:rPr>
        <w:t>Karremans</w:t>
      </w:r>
    </w:p>
    <w:p w:rsidRPr="00FB5FA9" w:rsidR="004E5D09" w:rsidP="00FB5FA9" w:rsidRDefault="004E5D09" w14:paraId="09B310E5" w14:textId="77777777">
      <w:pPr>
        <w:pStyle w:val="Geenafstand"/>
        <w:rPr>
          <w:rFonts w:ascii="Calibri" w:hAnsi="Calibri" w:cs="Calibri"/>
          <w:sz w:val="22"/>
          <w:szCs w:val="22"/>
        </w:rPr>
      </w:pPr>
    </w:p>
    <w:sectPr w:rsidRPr="00FB5FA9" w:rsidR="004E5D09" w:rsidSect="005E63E0">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4AA01" w14:textId="77777777" w:rsidR="004914A2" w:rsidRDefault="004914A2" w:rsidP="00AA25C1">
      <w:pPr>
        <w:spacing w:after="0" w:line="240" w:lineRule="auto"/>
      </w:pPr>
      <w:r>
        <w:separator/>
      </w:r>
    </w:p>
  </w:endnote>
  <w:endnote w:type="continuationSeparator" w:id="0">
    <w:p w14:paraId="44C5FAB4" w14:textId="77777777" w:rsidR="004914A2" w:rsidRDefault="004914A2" w:rsidP="00AA2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020FD" w14:textId="77777777" w:rsidR="00AA25C1" w:rsidRPr="00AA25C1" w:rsidRDefault="00AA25C1" w:rsidP="00AA25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AF97" w14:textId="77777777" w:rsidR="00AA25C1" w:rsidRPr="00AA25C1" w:rsidRDefault="00AA25C1" w:rsidP="00AA25C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F39A" w14:textId="77777777" w:rsidR="00AA25C1" w:rsidRPr="00AA25C1" w:rsidRDefault="00AA25C1" w:rsidP="00AA25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A4105" w14:textId="77777777" w:rsidR="004914A2" w:rsidRDefault="004914A2" w:rsidP="00AA25C1">
      <w:pPr>
        <w:spacing w:after="0" w:line="240" w:lineRule="auto"/>
      </w:pPr>
      <w:r>
        <w:separator/>
      </w:r>
    </w:p>
  </w:footnote>
  <w:footnote w:type="continuationSeparator" w:id="0">
    <w:p w14:paraId="2C9832F3" w14:textId="77777777" w:rsidR="004914A2" w:rsidRDefault="004914A2" w:rsidP="00AA25C1">
      <w:pPr>
        <w:spacing w:after="0" w:line="240" w:lineRule="auto"/>
      </w:pPr>
      <w:r>
        <w:continuationSeparator/>
      </w:r>
    </w:p>
  </w:footnote>
  <w:footnote w:id="1">
    <w:p w14:paraId="13ED6BFF" w14:textId="77777777" w:rsidR="00AA25C1" w:rsidRPr="00FB5FA9" w:rsidRDefault="00AA25C1" w:rsidP="00982682">
      <w:pPr>
        <w:pStyle w:val="Voetnoottekst"/>
        <w:rPr>
          <w:rFonts w:ascii="Calibri" w:hAnsi="Calibri" w:cs="Calibri"/>
        </w:rPr>
      </w:pPr>
      <w:r w:rsidRPr="00FB5FA9">
        <w:rPr>
          <w:rStyle w:val="Voetnootmarkering"/>
          <w:rFonts w:ascii="Calibri" w:hAnsi="Calibri" w:cs="Calibri"/>
        </w:rPr>
        <w:footnoteRef/>
      </w:r>
      <w:r w:rsidRPr="00FB5FA9">
        <w:rPr>
          <w:rFonts w:ascii="Calibri" w:hAnsi="Calibri" w:cs="Calibri"/>
        </w:rPr>
        <w:t xml:space="preserve"> RIVM. Monitor Stikstofdepositie 2025. </w:t>
      </w:r>
      <w:hyperlink r:id="rId1" w:history="1">
        <w:r w:rsidRPr="00FB5FA9">
          <w:rPr>
            <w:rStyle w:val="Hyperlink"/>
            <w:rFonts w:ascii="Calibri" w:hAnsi="Calibri" w:cs="Calibri"/>
          </w:rPr>
          <w:t>RIVM-MIL_Depositieverdeling-gemiddeld_M2025_20251007.xlsx</w:t>
        </w:r>
      </w:hyperlink>
    </w:p>
  </w:footnote>
  <w:footnote w:id="2">
    <w:p w14:paraId="1654D926" w14:textId="77777777" w:rsidR="00AA25C1" w:rsidRPr="00FB5FA9" w:rsidRDefault="00AA25C1">
      <w:pPr>
        <w:pStyle w:val="Voetnoottekst"/>
        <w:rPr>
          <w:rFonts w:ascii="Calibri" w:hAnsi="Calibri" w:cs="Calibri"/>
          <w:lang w:val="de-DE"/>
        </w:rPr>
      </w:pPr>
      <w:r w:rsidRPr="00FB5FA9">
        <w:rPr>
          <w:rStyle w:val="Voetnootmarkering"/>
          <w:rFonts w:ascii="Calibri" w:hAnsi="Calibri" w:cs="Calibri"/>
        </w:rPr>
        <w:footnoteRef/>
      </w:r>
      <w:r w:rsidRPr="00FB5FA9">
        <w:rPr>
          <w:rFonts w:ascii="Calibri" w:hAnsi="Calibri" w:cs="Calibri"/>
        </w:rPr>
        <w:t xml:space="preserve"> PBL. 2025. </w:t>
      </w:r>
      <w:hyperlink r:id="rId2" w:history="1">
        <w:r w:rsidRPr="00FB5FA9">
          <w:rPr>
            <w:rStyle w:val="Hyperlink"/>
            <w:rFonts w:ascii="Calibri" w:hAnsi="Calibri" w:cs="Calibri"/>
          </w:rPr>
          <w:t>https://www.pbl.nl/publicaties/lichte-actualisatie-van-de-emissieramingen-luchtverontreinigende-stoffen-2025</w:t>
        </w:r>
      </w:hyperlink>
      <w:r w:rsidRPr="00FB5FA9">
        <w:rPr>
          <w:rFonts w:ascii="Calibri" w:hAnsi="Calibri" w:cs="Calibri"/>
        </w:rPr>
        <w:t xml:space="preserve">. </w:t>
      </w:r>
      <w:r w:rsidRPr="00FB5FA9">
        <w:rPr>
          <w:rFonts w:ascii="Calibri" w:hAnsi="Calibri" w:cs="Calibri"/>
          <w:lang w:val="de-DE"/>
        </w:rPr>
        <w:t>Tabellenbijlage: tabel 10b.</w:t>
      </w:r>
    </w:p>
  </w:footnote>
  <w:footnote w:id="3">
    <w:p w14:paraId="501B5388" w14:textId="77777777" w:rsidR="00AA25C1" w:rsidRPr="00FB5FA9" w:rsidRDefault="00AA25C1">
      <w:pPr>
        <w:pStyle w:val="Voetnoottekst"/>
        <w:rPr>
          <w:rFonts w:ascii="Calibri" w:hAnsi="Calibri" w:cs="Calibri"/>
          <w:lang w:val="de-DE"/>
        </w:rPr>
      </w:pPr>
      <w:r w:rsidRPr="00FB5FA9">
        <w:rPr>
          <w:rStyle w:val="Voetnootmarkering"/>
          <w:rFonts w:ascii="Calibri" w:hAnsi="Calibri" w:cs="Calibri"/>
        </w:rPr>
        <w:footnoteRef/>
      </w:r>
      <w:r w:rsidRPr="00FB5FA9">
        <w:rPr>
          <w:rFonts w:ascii="Calibri" w:hAnsi="Calibri" w:cs="Calibri"/>
          <w:lang w:val="de-DE"/>
        </w:rPr>
        <w:t xml:space="preserve"> </w:t>
      </w:r>
      <w:hyperlink r:id="rId3" w:history="1">
        <w:r w:rsidRPr="00FB5FA9">
          <w:rPr>
            <w:rStyle w:val="Hyperlink"/>
            <w:rFonts w:ascii="Calibri" w:hAnsi="Calibri" w:cs="Calibri"/>
            <w:lang w:val="de-DE"/>
          </w:rPr>
          <w:t>https://www.pbl.nl/system/files/document/2025-03/pbl-2025-emissieramingen-luchtverontreinigende-stoffen-2025-5494.pdf</w:t>
        </w:r>
      </w:hyperlink>
    </w:p>
  </w:footnote>
  <w:footnote w:id="4">
    <w:p w14:paraId="4360623F" w14:textId="77777777" w:rsidR="00AA25C1" w:rsidRPr="00FB5FA9" w:rsidRDefault="00AA25C1">
      <w:pPr>
        <w:pStyle w:val="Voetnoottekst"/>
        <w:rPr>
          <w:rFonts w:ascii="Calibri" w:hAnsi="Calibri" w:cs="Calibri"/>
          <w:lang w:val="de-DE"/>
        </w:rPr>
      </w:pPr>
      <w:r w:rsidRPr="00FB5FA9">
        <w:rPr>
          <w:rStyle w:val="Voetnootmarkering"/>
          <w:rFonts w:ascii="Calibri" w:hAnsi="Calibri" w:cs="Calibri"/>
        </w:rPr>
        <w:footnoteRef/>
      </w:r>
      <w:r w:rsidRPr="00FB5FA9">
        <w:rPr>
          <w:rFonts w:ascii="Calibri" w:hAnsi="Calibri" w:cs="Calibri"/>
          <w:lang w:val="de-DE"/>
        </w:rPr>
        <w:t xml:space="preserve"> </w:t>
      </w:r>
      <w:hyperlink r:id="rId4" w:anchor="/CBS/nl/dataset/85347NED/table?dl=D588C" w:history="1">
        <w:r w:rsidRPr="00FB5FA9">
          <w:rPr>
            <w:rStyle w:val="Hyperlink"/>
            <w:rFonts w:ascii="Calibri" w:hAnsi="Calibri" w:cs="Calibri"/>
            <w:lang w:val="de-DE"/>
          </w:rPr>
          <w:t>https://opendata.cbs.nl/#/CBS/nl/dataset/85347NED/table?dl=D588C</w:t>
        </w:r>
      </w:hyperlink>
    </w:p>
  </w:footnote>
  <w:footnote w:id="5">
    <w:p w14:paraId="63A5DC8F" w14:textId="77777777" w:rsidR="00AA25C1" w:rsidRPr="00FB5FA9" w:rsidRDefault="00AA25C1">
      <w:pPr>
        <w:pStyle w:val="Voetnoottekst"/>
        <w:rPr>
          <w:rFonts w:ascii="Calibri" w:hAnsi="Calibri" w:cs="Calibri"/>
          <w:lang w:val="de-DE"/>
        </w:rPr>
      </w:pPr>
      <w:r w:rsidRPr="00FB5FA9">
        <w:rPr>
          <w:rStyle w:val="Voetnootmarkering"/>
          <w:rFonts w:ascii="Calibri" w:hAnsi="Calibri" w:cs="Calibri"/>
        </w:rPr>
        <w:footnoteRef/>
      </w:r>
      <w:r w:rsidRPr="00FB5FA9">
        <w:rPr>
          <w:rFonts w:ascii="Calibri" w:hAnsi="Calibri" w:cs="Calibri"/>
          <w:lang w:val="de-DE"/>
        </w:rPr>
        <w:t xml:space="preserve"> </w:t>
      </w:r>
      <w:hyperlink r:id="rId5" w:anchor="/CBS/nl/dataset/85898NED/table?dl=D588D" w:history="1">
        <w:r w:rsidRPr="00FB5FA9">
          <w:rPr>
            <w:rStyle w:val="Hyperlink"/>
            <w:rFonts w:ascii="Calibri" w:hAnsi="Calibri" w:cs="Calibri"/>
            <w:lang w:val="de-DE"/>
          </w:rPr>
          <w:t>https://opendata.cbs.nl/#/CBS/nl/dataset/85898NED/table?dl=D588D</w:t>
        </w:r>
      </w:hyperlink>
      <w:r w:rsidRPr="00FB5FA9">
        <w:rPr>
          <w:rFonts w:ascii="Calibri" w:hAnsi="Calibri" w:cs="Calibri"/>
          <w:lang w:val="de-DE"/>
        </w:rPr>
        <w:t xml:space="preserve">  </w:t>
      </w:r>
    </w:p>
  </w:footnote>
  <w:footnote w:id="6">
    <w:p w14:paraId="6D0B3356" w14:textId="77777777" w:rsidR="00AA25C1" w:rsidRPr="00FB5FA9" w:rsidRDefault="00AA25C1" w:rsidP="007C1F0A">
      <w:pPr>
        <w:pStyle w:val="Voetnoottekst"/>
        <w:tabs>
          <w:tab w:val="left" w:pos="284"/>
        </w:tabs>
        <w:ind w:left="284" w:hanging="284"/>
        <w:rPr>
          <w:rFonts w:ascii="Calibri" w:hAnsi="Calibri" w:cs="Calibri"/>
          <w:lang w:val="de-DE"/>
        </w:rPr>
      </w:pPr>
      <w:r w:rsidRPr="00FB5FA9">
        <w:rPr>
          <w:rStyle w:val="Voetnootmarkering"/>
          <w:rFonts w:ascii="Calibri" w:hAnsi="Calibri" w:cs="Calibri"/>
        </w:rPr>
        <w:footnoteRef/>
      </w:r>
      <w:r w:rsidRPr="00FB5FA9">
        <w:rPr>
          <w:rFonts w:ascii="Calibri" w:hAnsi="Calibri" w:cs="Calibri"/>
          <w:lang w:val="de-DE"/>
        </w:rPr>
        <w:t xml:space="preserve"> </w:t>
      </w:r>
      <w:hyperlink r:id="rId6" w:history="1">
        <w:r w:rsidRPr="00FB5FA9">
          <w:rPr>
            <w:rStyle w:val="Hyperlink"/>
            <w:rFonts w:ascii="Calibri" w:hAnsi="Calibri" w:cs="Calibri"/>
            <w:lang w:val="de-DE"/>
          </w:rPr>
          <w:t>https://www.cbs.nl/nl-nl/nieuws/2026/15/bijna-kwart-meer-auto-s-met-elektromotor</w:t>
        </w:r>
      </w:hyperlink>
    </w:p>
  </w:footnote>
  <w:footnote w:id="7">
    <w:p w14:paraId="61BD5ED4" w14:textId="77777777" w:rsidR="00AA25C1" w:rsidRPr="00FB5FA9" w:rsidRDefault="00AA25C1" w:rsidP="007C1F0A">
      <w:pPr>
        <w:pStyle w:val="Voetnoottekst"/>
        <w:tabs>
          <w:tab w:val="left" w:pos="0"/>
        </w:tabs>
        <w:ind w:right="-142"/>
        <w:rPr>
          <w:rFonts w:ascii="Calibri" w:hAnsi="Calibri" w:cs="Calibri"/>
        </w:rPr>
      </w:pPr>
      <w:r w:rsidRPr="00FB5FA9">
        <w:rPr>
          <w:rStyle w:val="Voetnootmarkering"/>
          <w:rFonts w:ascii="Calibri" w:hAnsi="Calibri" w:cs="Calibri"/>
        </w:rPr>
        <w:footnoteRef/>
      </w:r>
      <w:r w:rsidRPr="00FB5FA9">
        <w:rPr>
          <w:rFonts w:ascii="Calibri" w:hAnsi="Calibri" w:cs="Calibri"/>
        </w:rPr>
        <w:t xml:space="preserve"> TNO. Emissiefactoren 2026.</w:t>
      </w:r>
      <w:hyperlink r:id="rId7" w:history="1">
        <w:r w:rsidRPr="00FB5FA9">
          <w:rPr>
            <w:rStyle w:val="Hyperlink"/>
            <w:rFonts w:ascii="Calibri" w:hAnsi="Calibri" w:cs="Calibri"/>
          </w:rPr>
          <w:t>https://publications.tno.nl/publication/34645855/QaoTaHsi/TNO-2026-emissiefactoren.xlsx</w:t>
        </w:r>
      </w:hyperlink>
      <w:r w:rsidRPr="00FB5FA9">
        <w:rPr>
          <w:rFonts w:ascii="Calibri" w:hAnsi="Calibri" w:cs="Calibri"/>
        </w:rPr>
        <w:t>. Dit is de NO</w:t>
      </w:r>
      <w:r w:rsidRPr="00FB5FA9">
        <w:rPr>
          <w:rFonts w:ascii="Calibri" w:hAnsi="Calibri" w:cs="Calibri"/>
          <w:vertAlign w:val="subscript"/>
        </w:rPr>
        <w:t>X</w:t>
      </w:r>
      <w:r w:rsidRPr="00FB5FA9">
        <w:rPr>
          <w:rFonts w:ascii="Calibri" w:hAnsi="Calibri" w:cs="Calibri"/>
        </w:rPr>
        <w:t>-emissie van wegverkeer op een weg met die maximumsnelheid, rekening houdend met de werkelijk gereden snelheid en dynamiek. Dit is dus niet de emissie die hoort bij een rijsnelheid die overeenkomt met de aangegeven maximumsnelheid. Er is uitgegaan van emissiefactoren op een snelweg zonder trajectcontrole.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CE14" w14:textId="77777777" w:rsidR="00AA25C1" w:rsidRPr="00AA25C1" w:rsidRDefault="00AA25C1" w:rsidP="00AA25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C6B23" w14:textId="77777777" w:rsidR="00AA25C1" w:rsidRPr="00AA25C1" w:rsidRDefault="00AA25C1" w:rsidP="00AA25C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5C87" w14:textId="77777777" w:rsidR="00AA25C1" w:rsidRPr="00AA25C1" w:rsidRDefault="00AA25C1" w:rsidP="00AA25C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5C1"/>
    <w:rsid w:val="001A35A2"/>
    <w:rsid w:val="002F644A"/>
    <w:rsid w:val="004914A2"/>
    <w:rsid w:val="004E5D09"/>
    <w:rsid w:val="005B53BC"/>
    <w:rsid w:val="005E63E0"/>
    <w:rsid w:val="00843E62"/>
    <w:rsid w:val="009617EA"/>
    <w:rsid w:val="00AA25C1"/>
    <w:rsid w:val="00CD21F7"/>
    <w:rsid w:val="00D34133"/>
    <w:rsid w:val="00E77E63"/>
    <w:rsid w:val="00FB5F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2BEA9"/>
  <w15:chartTrackingRefBased/>
  <w15:docId w15:val="{1E1B0140-358E-4F55-9FCB-A8D08B239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2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A2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A25C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25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A25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A25C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25C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25C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25C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25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A25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A25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25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25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25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25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25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25C1"/>
    <w:rPr>
      <w:rFonts w:eastAsiaTheme="majorEastAsia" w:cstheme="majorBidi"/>
      <w:color w:val="272727" w:themeColor="text1" w:themeTint="D8"/>
    </w:rPr>
  </w:style>
  <w:style w:type="paragraph" w:styleId="Titel">
    <w:name w:val="Title"/>
    <w:basedOn w:val="Standaard"/>
    <w:next w:val="Standaard"/>
    <w:link w:val="TitelChar"/>
    <w:uiPriority w:val="10"/>
    <w:qFormat/>
    <w:rsid w:val="00AA2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25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25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25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25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25C1"/>
    <w:rPr>
      <w:i/>
      <w:iCs/>
      <w:color w:val="404040" w:themeColor="text1" w:themeTint="BF"/>
    </w:rPr>
  </w:style>
  <w:style w:type="paragraph" w:styleId="Lijstalinea">
    <w:name w:val="List Paragraph"/>
    <w:basedOn w:val="Standaard"/>
    <w:uiPriority w:val="34"/>
    <w:qFormat/>
    <w:rsid w:val="00AA25C1"/>
    <w:pPr>
      <w:ind w:left="720"/>
      <w:contextualSpacing/>
    </w:pPr>
  </w:style>
  <w:style w:type="character" w:styleId="Intensievebenadrukking">
    <w:name w:val="Intense Emphasis"/>
    <w:basedOn w:val="Standaardalinea-lettertype"/>
    <w:uiPriority w:val="21"/>
    <w:qFormat/>
    <w:rsid w:val="00AA25C1"/>
    <w:rPr>
      <w:i/>
      <w:iCs/>
      <w:color w:val="0F4761" w:themeColor="accent1" w:themeShade="BF"/>
    </w:rPr>
  </w:style>
  <w:style w:type="paragraph" w:styleId="Duidelijkcitaat">
    <w:name w:val="Intense Quote"/>
    <w:basedOn w:val="Standaard"/>
    <w:next w:val="Standaard"/>
    <w:link w:val="DuidelijkcitaatChar"/>
    <w:uiPriority w:val="30"/>
    <w:qFormat/>
    <w:rsid w:val="00AA2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A25C1"/>
    <w:rPr>
      <w:i/>
      <w:iCs/>
      <w:color w:val="0F4761" w:themeColor="accent1" w:themeShade="BF"/>
    </w:rPr>
  </w:style>
  <w:style w:type="character" w:styleId="Intensieveverwijzing">
    <w:name w:val="Intense Reference"/>
    <w:basedOn w:val="Standaardalinea-lettertype"/>
    <w:uiPriority w:val="32"/>
    <w:qFormat/>
    <w:rsid w:val="00AA25C1"/>
    <w:rPr>
      <w:b/>
      <w:bCs/>
      <w:smallCaps/>
      <w:color w:val="0F4761" w:themeColor="accent1" w:themeShade="BF"/>
      <w:spacing w:val="5"/>
    </w:rPr>
  </w:style>
  <w:style w:type="character" w:styleId="Hyperlink">
    <w:name w:val="Hyperlink"/>
    <w:basedOn w:val="Standaardalinea-lettertype"/>
    <w:uiPriority w:val="99"/>
    <w:unhideWhenUsed/>
    <w:rsid w:val="00AA25C1"/>
    <w:rPr>
      <w:color w:val="467886" w:themeColor="hyperlink"/>
      <w:u w:val="single"/>
    </w:rPr>
  </w:style>
  <w:style w:type="paragraph" w:customStyle="1" w:styleId="OndertekeningArea1">
    <w:name w:val="Ondertekening_Area1"/>
    <w:basedOn w:val="Standaard"/>
    <w:next w:val="Standaard"/>
    <w:rsid w:val="00AA25C1"/>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AA25C1"/>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AA25C1"/>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AA25C1"/>
    <w:rPr>
      <w:kern w:val="0"/>
      <w:sz w:val="20"/>
      <w:szCs w:val="20"/>
      <w14:ligatures w14:val="none"/>
    </w:rPr>
  </w:style>
  <w:style w:type="character" w:styleId="Voetnootmarkering">
    <w:name w:val="footnote reference"/>
    <w:basedOn w:val="Standaardalinea-lettertype"/>
    <w:uiPriority w:val="99"/>
    <w:semiHidden/>
    <w:unhideWhenUsed/>
    <w:rsid w:val="00AA25C1"/>
    <w:rPr>
      <w:vertAlign w:val="superscript"/>
    </w:rPr>
  </w:style>
  <w:style w:type="paragraph" w:styleId="Koptekst">
    <w:name w:val="header"/>
    <w:basedOn w:val="Standaard"/>
    <w:link w:val="KoptekstChar"/>
    <w:uiPriority w:val="99"/>
    <w:unhideWhenUsed/>
    <w:rsid w:val="00AA25C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25C1"/>
  </w:style>
  <w:style w:type="paragraph" w:styleId="Voettekst">
    <w:name w:val="footer"/>
    <w:basedOn w:val="Standaard"/>
    <w:link w:val="VoettekstChar"/>
    <w:uiPriority w:val="99"/>
    <w:unhideWhenUsed/>
    <w:rsid w:val="00AA25C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25C1"/>
  </w:style>
  <w:style w:type="paragraph" w:styleId="Geenafstand">
    <w:name w:val="No Spacing"/>
    <w:uiPriority w:val="1"/>
    <w:qFormat/>
    <w:rsid w:val="00FB5F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hart" Target="charts/chart4.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7" /><Relationship Type="http://schemas.openxmlformats.org/officeDocument/2006/relationships/chart" Target="charts/chart3.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6" /><Relationship Type="http://schemas.openxmlformats.org/officeDocument/2006/relationships/chart" Target="charts/chart2.xml" Id="rId11" /><Relationship Type="http://schemas.openxmlformats.org/officeDocument/2006/relationships/settings" Target="settings.xml" Id="rId5" /><Relationship Type="http://schemas.openxmlformats.org/officeDocument/2006/relationships/header" Target="header2.xml" Id="rId15" /><Relationship Type="http://schemas.openxmlformats.org/officeDocument/2006/relationships/chart" Target="charts/chart1.xml" Id="rId10" /><Relationship Type="http://schemas.openxmlformats.org/officeDocument/2006/relationships/footer" Target="footer3.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pbl.nl/system/files/document/2025-03/pbl-2025-emissieramingen-luchtverontreinigende-stoffen-2025-5494.pdf" TargetMode="External"/><Relationship Id="rId7" Type="http://schemas.openxmlformats.org/officeDocument/2006/relationships/hyperlink" Target="https://publications.tno.nl/publication/34645855/QaoTaHsi/TNO-2026-emissiefactoren.xlsx" TargetMode="External"/><Relationship Id="rId2" Type="http://schemas.openxmlformats.org/officeDocument/2006/relationships/hyperlink" Target="https://www.pbl.nl/publicaties/lichte-actualisatie-van-de-emissieramingen-luchtverontreinigende-stoffen-2025" TargetMode="External"/><Relationship Id="rId1" Type="http://schemas.openxmlformats.org/officeDocument/2006/relationships/hyperlink" Target="https://data.rivm.nl/data/stikstof/Stikstof%20Natuur/2025/RIVM-MIL_Depositieverdeling-gemiddeld_M2025_20251007.xlsx" TargetMode="External"/><Relationship Id="rId6" Type="http://schemas.openxmlformats.org/officeDocument/2006/relationships/hyperlink" Target="https://www.cbs.nl/nl-nl/nieuws/2026/15/bijna-kwart-meer-auto-s-met-elektromotor" TargetMode="External"/><Relationship Id="rId5" Type="http://schemas.openxmlformats.org/officeDocument/2006/relationships/hyperlink" Target="https://opendata.cbs.nl/" TargetMode="External"/><Relationship Id="rId4" Type="http://schemas.openxmlformats.org/officeDocument/2006/relationships/hyperlink" Target="https://opendata.cbs.n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iederik%20Metz\Documents\2026\DGMO\Verkeerscijfers%20kamervraag\pbl-2025-tabellenbijlage-lichte-actualisatie-emissieramingen-luchtverontreinigende-stoffen-erl2025-5925%20(1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iederik%20Metz\Documents\2026\DGMO\Verkeerscijfers%20kamervraag\depositiebijdrage%20wegverke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iederik%20Metz\Documents\2026\DGMO\Verkeerscijfers%20kamervraag\CBS%20parkemissifecatore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iederik%20Metz\Documents\2026\DGMO\Verkeerscijfers%20kamervraag\TNO-2026-emissiefactoren_analyse.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'NH3 en NOX (2)'!$A$20</c:f>
              <c:strCache>
                <c:ptCount val="1"/>
                <c:pt idx="0">
                  <c:v>Personenauto's</c:v>
                </c:pt>
              </c:strCache>
            </c:strRef>
          </c:tx>
          <c:spPr>
            <a:solidFill>
              <a:schemeClr val="accent1"/>
            </a:solidFill>
            <a:ln>
              <a:noFill/>
            </a:ln>
            <a:effectLst/>
          </c:spPr>
          <c:invertIfNegative val="0"/>
          <c:cat>
            <c:multiLvlStrRef>
              <c:f>'NH3 en NOX (2)'!$B$18:$M$19</c:f>
              <c:multiLvlStrCache>
                <c:ptCount val="12"/>
                <c:lvl>
                  <c:pt idx="0">
                    <c:v>NOx</c:v>
                  </c:pt>
                  <c:pt idx="1">
                    <c:v>NH₃</c:v>
                  </c:pt>
                  <c:pt idx="2">
                    <c:v>NOx</c:v>
                  </c:pt>
                  <c:pt idx="3">
                    <c:v>NH₃</c:v>
                  </c:pt>
                  <c:pt idx="4">
                    <c:v>NOx</c:v>
                  </c:pt>
                  <c:pt idx="5">
                    <c:v>NH₃</c:v>
                  </c:pt>
                  <c:pt idx="6">
                    <c:v>NOx</c:v>
                  </c:pt>
                  <c:pt idx="7">
                    <c:v>NH₃</c:v>
                  </c:pt>
                  <c:pt idx="8">
                    <c:v>NOx</c:v>
                  </c:pt>
                  <c:pt idx="9">
                    <c:v>NH₃</c:v>
                  </c:pt>
                  <c:pt idx="10">
                    <c:v>NOx</c:v>
                  </c:pt>
                  <c:pt idx="11">
                    <c:v>NH₃</c:v>
                  </c:pt>
                </c:lvl>
                <c:lvl>
                  <c:pt idx="0">
                    <c:v>2000</c:v>
                  </c:pt>
                  <c:pt idx="2">
                    <c:v>2015</c:v>
                  </c:pt>
                  <c:pt idx="4">
                    <c:v>2020</c:v>
                  </c:pt>
                  <c:pt idx="6">
                    <c:v>2025</c:v>
                  </c:pt>
                  <c:pt idx="8">
                    <c:v>2030</c:v>
                  </c:pt>
                  <c:pt idx="10">
                    <c:v>2035</c:v>
                  </c:pt>
                </c:lvl>
              </c:multiLvlStrCache>
            </c:multiLvlStrRef>
          </c:cat>
          <c:val>
            <c:numRef>
              <c:f>'NH3 en NOX (2)'!$B$20:$M$20</c:f>
              <c:numCache>
                <c:formatCode>0.0</c:formatCode>
                <c:ptCount val="12"/>
                <c:pt idx="0">
                  <c:v>63</c:v>
                </c:pt>
                <c:pt idx="1">
                  <c:v>4.3</c:v>
                </c:pt>
                <c:pt idx="2">
                  <c:v>28</c:v>
                </c:pt>
                <c:pt idx="3">
                  <c:v>3.1</c:v>
                </c:pt>
                <c:pt idx="4">
                  <c:v>19.600000000000001</c:v>
                </c:pt>
                <c:pt idx="5">
                  <c:v>2.6</c:v>
                </c:pt>
                <c:pt idx="6">
                  <c:v>16</c:v>
                </c:pt>
                <c:pt idx="7">
                  <c:v>2.9</c:v>
                </c:pt>
                <c:pt idx="8">
                  <c:v>11.4</c:v>
                </c:pt>
                <c:pt idx="9">
                  <c:v>2.6</c:v>
                </c:pt>
                <c:pt idx="10">
                  <c:v>7.9</c:v>
                </c:pt>
                <c:pt idx="11">
                  <c:v>2</c:v>
                </c:pt>
              </c:numCache>
            </c:numRef>
          </c:val>
          <c:extLst>
            <c:ext xmlns:c16="http://schemas.microsoft.com/office/drawing/2014/chart" uri="{C3380CC4-5D6E-409C-BE32-E72D297353CC}">
              <c16:uniqueId val="{00000000-6DB7-4E96-BDDD-D0E5EDA676BC}"/>
            </c:ext>
          </c:extLst>
        </c:ser>
        <c:ser>
          <c:idx val="1"/>
          <c:order val="1"/>
          <c:tx>
            <c:strRef>
              <c:f>'NH3 en NOX (2)'!$A$21</c:f>
              <c:strCache>
                <c:ptCount val="1"/>
                <c:pt idx="0">
                  <c:v>Bestelauto's</c:v>
                </c:pt>
              </c:strCache>
            </c:strRef>
          </c:tx>
          <c:spPr>
            <a:solidFill>
              <a:schemeClr val="accent2"/>
            </a:solidFill>
            <a:ln>
              <a:noFill/>
            </a:ln>
            <a:effectLst/>
          </c:spPr>
          <c:invertIfNegative val="0"/>
          <c:cat>
            <c:multiLvlStrRef>
              <c:f>'NH3 en NOX (2)'!$B$18:$M$19</c:f>
              <c:multiLvlStrCache>
                <c:ptCount val="12"/>
                <c:lvl>
                  <c:pt idx="0">
                    <c:v>NOx</c:v>
                  </c:pt>
                  <c:pt idx="1">
                    <c:v>NH₃</c:v>
                  </c:pt>
                  <c:pt idx="2">
                    <c:v>NOx</c:v>
                  </c:pt>
                  <c:pt idx="3">
                    <c:v>NH₃</c:v>
                  </c:pt>
                  <c:pt idx="4">
                    <c:v>NOx</c:v>
                  </c:pt>
                  <c:pt idx="5">
                    <c:v>NH₃</c:v>
                  </c:pt>
                  <c:pt idx="6">
                    <c:v>NOx</c:v>
                  </c:pt>
                  <c:pt idx="7">
                    <c:v>NH₃</c:v>
                  </c:pt>
                  <c:pt idx="8">
                    <c:v>NOx</c:v>
                  </c:pt>
                  <c:pt idx="9">
                    <c:v>NH₃</c:v>
                  </c:pt>
                  <c:pt idx="10">
                    <c:v>NOx</c:v>
                  </c:pt>
                  <c:pt idx="11">
                    <c:v>NH₃</c:v>
                  </c:pt>
                </c:lvl>
                <c:lvl>
                  <c:pt idx="0">
                    <c:v>2000</c:v>
                  </c:pt>
                  <c:pt idx="2">
                    <c:v>2015</c:v>
                  </c:pt>
                  <c:pt idx="4">
                    <c:v>2020</c:v>
                  </c:pt>
                  <c:pt idx="6">
                    <c:v>2025</c:v>
                  </c:pt>
                  <c:pt idx="8">
                    <c:v>2030</c:v>
                  </c:pt>
                  <c:pt idx="10">
                    <c:v>2035</c:v>
                  </c:pt>
                </c:lvl>
              </c:multiLvlStrCache>
            </c:multiLvlStrRef>
          </c:cat>
          <c:val>
            <c:numRef>
              <c:f>'NH3 en NOX (2)'!$B$21:$M$21</c:f>
              <c:numCache>
                <c:formatCode>0.0</c:formatCode>
                <c:ptCount val="12"/>
                <c:pt idx="0">
                  <c:v>18.8</c:v>
                </c:pt>
                <c:pt idx="1">
                  <c:v>0.1</c:v>
                </c:pt>
                <c:pt idx="2">
                  <c:v>18</c:v>
                </c:pt>
                <c:pt idx="3">
                  <c:v>0.1</c:v>
                </c:pt>
                <c:pt idx="4">
                  <c:v>12.9</c:v>
                </c:pt>
                <c:pt idx="5">
                  <c:v>0.1</c:v>
                </c:pt>
                <c:pt idx="6">
                  <c:v>8.6</c:v>
                </c:pt>
                <c:pt idx="7">
                  <c:v>0.2</c:v>
                </c:pt>
                <c:pt idx="8">
                  <c:v>4.8</c:v>
                </c:pt>
                <c:pt idx="9">
                  <c:v>0.2</c:v>
                </c:pt>
                <c:pt idx="10">
                  <c:v>2.2000000000000002</c:v>
                </c:pt>
                <c:pt idx="11">
                  <c:v>0.1</c:v>
                </c:pt>
              </c:numCache>
            </c:numRef>
          </c:val>
          <c:extLst>
            <c:ext xmlns:c16="http://schemas.microsoft.com/office/drawing/2014/chart" uri="{C3380CC4-5D6E-409C-BE32-E72D297353CC}">
              <c16:uniqueId val="{00000001-6DB7-4E96-BDDD-D0E5EDA676BC}"/>
            </c:ext>
          </c:extLst>
        </c:ser>
        <c:ser>
          <c:idx val="2"/>
          <c:order val="2"/>
          <c:tx>
            <c:strRef>
              <c:f>'NH3 en NOX (2)'!$A$22</c:f>
              <c:strCache>
                <c:ptCount val="1"/>
                <c:pt idx="0">
                  <c:v>Vrachtauto's</c:v>
                </c:pt>
              </c:strCache>
            </c:strRef>
          </c:tx>
          <c:spPr>
            <a:solidFill>
              <a:schemeClr val="accent3"/>
            </a:solidFill>
            <a:ln>
              <a:noFill/>
            </a:ln>
            <a:effectLst/>
          </c:spPr>
          <c:invertIfNegative val="0"/>
          <c:cat>
            <c:multiLvlStrRef>
              <c:f>'NH3 en NOX (2)'!$B$18:$M$19</c:f>
              <c:multiLvlStrCache>
                <c:ptCount val="12"/>
                <c:lvl>
                  <c:pt idx="0">
                    <c:v>NOx</c:v>
                  </c:pt>
                  <c:pt idx="1">
                    <c:v>NH₃</c:v>
                  </c:pt>
                  <c:pt idx="2">
                    <c:v>NOx</c:v>
                  </c:pt>
                  <c:pt idx="3">
                    <c:v>NH₃</c:v>
                  </c:pt>
                  <c:pt idx="4">
                    <c:v>NOx</c:v>
                  </c:pt>
                  <c:pt idx="5">
                    <c:v>NH₃</c:v>
                  </c:pt>
                  <c:pt idx="6">
                    <c:v>NOx</c:v>
                  </c:pt>
                  <c:pt idx="7">
                    <c:v>NH₃</c:v>
                  </c:pt>
                  <c:pt idx="8">
                    <c:v>NOx</c:v>
                  </c:pt>
                  <c:pt idx="9">
                    <c:v>NH₃</c:v>
                  </c:pt>
                  <c:pt idx="10">
                    <c:v>NOx</c:v>
                  </c:pt>
                  <c:pt idx="11">
                    <c:v>NH₃</c:v>
                  </c:pt>
                </c:lvl>
                <c:lvl>
                  <c:pt idx="0">
                    <c:v>2000</c:v>
                  </c:pt>
                  <c:pt idx="2">
                    <c:v>2015</c:v>
                  </c:pt>
                  <c:pt idx="4">
                    <c:v>2020</c:v>
                  </c:pt>
                  <c:pt idx="6">
                    <c:v>2025</c:v>
                  </c:pt>
                  <c:pt idx="8">
                    <c:v>2030</c:v>
                  </c:pt>
                  <c:pt idx="10">
                    <c:v>2035</c:v>
                  </c:pt>
                </c:lvl>
              </c:multiLvlStrCache>
            </c:multiLvlStrRef>
          </c:cat>
          <c:val>
            <c:numRef>
              <c:f>'NH3 en NOX (2)'!$B$22:$M$22</c:f>
              <c:numCache>
                <c:formatCode>0.0</c:formatCode>
                <c:ptCount val="12"/>
                <c:pt idx="0">
                  <c:v>66.2</c:v>
                </c:pt>
                <c:pt idx="1">
                  <c:v>0</c:v>
                </c:pt>
                <c:pt idx="2">
                  <c:v>30.4</c:v>
                </c:pt>
                <c:pt idx="3">
                  <c:v>0.3</c:v>
                </c:pt>
                <c:pt idx="4">
                  <c:v>23.1</c:v>
                </c:pt>
                <c:pt idx="5">
                  <c:v>0.5</c:v>
                </c:pt>
                <c:pt idx="6">
                  <c:v>23</c:v>
                </c:pt>
                <c:pt idx="7">
                  <c:v>0.6</c:v>
                </c:pt>
                <c:pt idx="8">
                  <c:v>18.8</c:v>
                </c:pt>
                <c:pt idx="9">
                  <c:v>0.6</c:v>
                </c:pt>
                <c:pt idx="10">
                  <c:v>10.4</c:v>
                </c:pt>
                <c:pt idx="11">
                  <c:v>0.4</c:v>
                </c:pt>
              </c:numCache>
            </c:numRef>
          </c:val>
          <c:extLst>
            <c:ext xmlns:c16="http://schemas.microsoft.com/office/drawing/2014/chart" uri="{C3380CC4-5D6E-409C-BE32-E72D297353CC}">
              <c16:uniqueId val="{00000002-6DB7-4E96-BDDD-D0E5EDA676BC}"/>
            </c:ext>
          </c:extLst>
        </c:ser>
        <c:dLbls>
          <c:showLegendKey val="0"/>
          <c:showVal val="0"/>
          <c:showCatName val="0"/>
          <c:showSerName val="0"/>
          <c:showPercent val="0"/>
          <c:showBubbleSize val="0"/>
        </c:dLbls>
        <c:gapWidth val="80"/>
        <c:overlap val="100"/>
        <c:axId val="532724680"/>
        <c:axId val="532725760"/>
      </c:barChart>
      <c:catAx>
        <c:axId val="532724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32725760"/>
        <c:crosses val="autoZero"/>
        <c:auto val="1"/>
        <c:lblAlgn val="ctr"/>
        <c:lblOffset val="100"/>
        <c:noMultiLvlLbl val="0"/>
      </c:catAx>
      <c:valAx>
        <c:axId val="532725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32724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Blad1!$A$24:$A$28</c:f>
              <c:numCache>
                <c:formatCode>General</c:formatCode>
                <c:ptCount val="5"/>
                <c:pt idx="0">
                  <c:v>2020</c:v>
                </c:pt>
                <c:pt idx="1">
                  <c:v>2023</c:v>
                </c:pt>
                <c:pt idx="2">
                  <c:v>2025</c:v>
                </c:pt>
                <c:pt idx="3">
                  <c:v>2030</c:v>
                </c:pt>
                <c:pt idx="4">
                  <c:v>2035</c:v>
                </c:pt>
              </c:numCache>
            </c:numRef>
          </c:xVal>
          <c:yVal>
            <c:numRef>
              <c:f>Blad1!$B$24:$B$28</c:f>
              <c:numCache>
                <c:formatCode>General</c:formatCode>
                <c:ptCount val="5"/>
                <c:pt idx="0">
                  <c:v>82.4</c:v>
                </c:pt>
                <c:pt idx="1">
                  <c:v>80.900000000000006</c:v>
                </c:pt>
                <c:pt idx="2">
                  <c:v>77.099999999999994</c:v>
                </c:pt>
                <c:pt idx="3">
                  <c:v>61.9</c:v>
                </c:pt>
                <c:pt idx="4">
                  <c:v>40.700000000000003</c:v>
                </c:pt>
              </c:numCache>
            </c:numRef>
          </c:yVal>
          <c:smooth val="0"/>
          <c:extLst>
            <c:ext xmlns:c16="http://schemas.microsoft.com/office/drawing/2014/chart" uri="{C3380CC4-5D6E-409C-BE32-E72D297353CC}">
              <c16:uniqueId val="{00000000-03C5-4A78-8448-4369BF886092}"/>
            </c:ext>
          </c:extLst>
        </c:ser>
        <c:dLbls>
          <c:showLegendKey val="0"/>
          <c:showVal val="0"/>
          <c:showCatName val="0"/>
          <c:showSerName val="0"/>
          <c:showPercent val="0"/>
          <c:showBubbleSize val="0"/>
        </c:dLbls>
        <c:axId val="608535536"/>
        <c:axId val="608537336"/>
      </c:scatterChart>
      <c:valAx>
        <c:axId val="608535536"/>
        <c:scaling>
          <c:orientation val="minMax"/>
          <c:max val="2035"/>
          <c:min val="202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608537336"/>
        <c:crosses val="autoZero"/>
        <c:crossBetween val="midCat"/>
        <c:majorUnit val="5"/>
      </c:valAx>
      <c:valAx>
        <c:axId val="608537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6085355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'Emissies_naar_lucht_op_Nede (2)'!$C$6</c:f>
              <c:strCache>
                <c:ptCount val="1"/>
                <c:pt idx="0">
                  <c:v>personenauto's</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AEE-49B3-A025-FD936849B2A4}"/>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EE-49B3-A025-FD936849B2A4}"/>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AEE-49B3-A025-FD936849B2A4}"/>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AEE-49B3-A025-FD936849B2A4}"/>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AEE-49B3-A025-FD936849B2A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'Emissies_naar_lucht_op_Nede (2)'!$B$7:$B$11</c:f>
              <c:numCache>
                <c:formatCode>General</c:formatCode>
                <c:ptCount val="5"/>
                <c:pt idx="0">
                  <c:v>2005</c:v>
                </c:pt>
                <c:pt idx="1">
                  <c:v>2010</c:v>
                </c:pt>
                <c:pt idx="2">
                  <c:v>2015</c:v>
                </c:pt>
                <c:pt idx="3">
                  <c:v>2020</c:v>
                </c:pt>
                <c:pt idx="4">
                  <c:v>2024</c:v>
                </c:pt>
              </c:numCache>
            </c:numRef>
          </c:cat>
          <c:val>
            <c:numRef>
              <c:f>'Emissies_naar_lucht_op_Nede (2)'!$C$7:$C$11</c:f>
              <c:numCache>
                <c:formatCode>0.00</c:formatCode>
                <c:ptCount val="5"/>
                <c:pt idx="0">
                  <c:v>0.44</c:v>
                </c:pt>
                <c:pt idx="1">
                  <c:v>0.28000000000000003</c:v>
                </c:pt>
                <c:pt idx="2">
                  <c:v>0.27</c:v>
                </c:pt>
                <c:pt idx="3">
                  <c:v>0.21</c:v>
                </c:pt>
                <c:pt idx="4">
                  <c:v>0.16</c:v>
                </c:pt>
              </c:numCache>
            </c:numRef>
          </c:val>
          <c:extLst>
            <c:ext xmlns:c16="http://schemas.microsoft.com/office/drawing/2014/chart" uri="{C3380CC4-5D6E-409C-BE32-E72D297353CC}">
              <c16:uniqueId val="{00000005-2AEE-49B3-A025-FD936849B2A4}"/>
            </c:ext>
          </c:extLst>
        </c:ser>
        <c:dLbls>
          <c:showLegendKey val="0"/>
          <c:showVal val="0"/>
          <c:showCatName val="0"/>
          <c:showSerName val="0"/>
          <c:showPercent val="0"/>
          <c:showBubbleSize val="0"/>
        </c:dLbls>
        <c:gapWidth val="219"/>
        <c:overlap val="-27"/>
        <c:axId val="566271648"/>
        <c:axId val="566270928"/>
      </c:barChart>
      <c:catAx>
        <c:axId val="56627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66270928"/>
        <c:crosses val="autoZero"/>
        <c:auto val="1"/>
        <c:lblAlgn val="ctr"/>
        <c:lblOffset val="100"/>
        <c:noMultiLvlLbl val="0"/>
      </c:catAx>
      <c:valAx>
        <c:axId val="5662709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66271648"/>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Blad1!$D$5</c:f>
              <c:strCache>
                <c:ptCount val="1"/>
                <c:pt idx="0">
                  <c:v>80 km/uur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Blad1!$E$4:$G$4</c:f>
              <c:numCache>
                <c:formatCode>General</c:formatCode>
                <c:ptCount val="3"/>
                <c:pt idx="0">
                  <c:v>2027</c:v>
                </c:pt>
                <c:pt idx="1">
                  <c:v>2030</c:v>
                </c:pt>
                <c:pt idx="2">
                  <c:v>2035</c:v>
                </c:pt>
              </c:numCache>
            </c:numRef>
          </c:cat>
          <c:val>
            <c:numRef>
              <c:f>Blad1!$E$5:$G$5</c:f>
              <c:numCache>
                <c:formatCode>0.00</c:formatCode>
                <c:ptCount val="3"/>
                <c:pt idx="0">
                  <c:v>0.13289999999999999</c:v>
                </c:pt>
                <c:pt idx="1">
                  <c:v>9.5500000000000002E-2</c:v>
                </c:pt>
                <c:pt idx="2">
                  <c:v>5.7200000000000001E-2</c:v>
                </c:pt>
              </c:numCache>
            </c:numRef>
          </c:val>
          <c:extLst>
            <c:ext xmlns:c16="http://schemas.microsoft.com/office/drawing/2014/chart" uri="{C3380CC4-5D6E-409C-BE32-E72D297353CC}">
              <c16:uniqueId val="{00000000-CD2A-457A-A83B-08ED6AB7C6FF}"/>
            </c:ext>
          </c:extLst>
        </c:ser>
        <c:ser>
          <c:idx val="1"/>
          <c:order val="1"/>
          <c:tx>
            <c:strRef>
              <c:f>Blad1!$D$6</c:f>
              <c:strCache>
                <c:ptCount val="1"/>
                <c:pt idx="0">
                  <c:v>100 km/uur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Blad1!$E$4:$G$4</c:f>
              <c:numCache>
                <c:formatCode>General</c:formatCode>
                <c:ptCount val="3"/>
                <c:pt idx="0">
                  <c:v>2027</c:v>
                </c:pt>
                <c:pt idx="1">
                  <c:v>2030</c:v>
                </c:pt>
                <c:pt idx="2">
                  <c:v>2035</c:v>
                </c:pt>
              </c:numCache>
            </c:numRef>
          </c:cat>
          <c:val>
            <c:numRef>
              <c:f>Blad1!$E$6:$G$6</c:f>
              <c:numCache>
                <c:formatCode>0.00</c:formatCode>
                <c:ptCount val="3"/>
                <c:pt idx="0">
                  <c:v>0.13289999999999999</c:v>
                </c:pt>
                <c:pt idx="1">
                  <c:v>9.5500000000000002E-2</c:v>
                </c:pt>
                <c:pt idx="2">
                  <c:v>5.7200000000000001E-2</c:v>
                </c:pt>
              </c:numCache>
            </c:numRef>
          </c:val>
          <c:extLst>
            <c:ext xmlns:c16="http://schemas.microsoft.com/office/drawing/2014/chart" uri="{C3380CC4-5D6E-409C-BE32-E72D297353CC}">
              <c16:uniqueId val="{00000001-CD2A-457A-A83B-08ED6AB7C6FF}"/>
            </c:ext>
          </c:extLst>
        </c:ser>
        <c:ser>
          <c:idx val="2"/>
          <c:order val="2"/>
          <c:tx>
            <c:strRef>
              <c:f>Blad1!$D$7</c:f>
              <c:strCache>
                <c:ptCount val="1"/>
                <c:pt idx="0">
                  <c:v>120 km/uur</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Blad1!$E$4:$G$4</c:f>
              <c:numCache>
                <c:formatCode>General</c:formatCode>
                <c:ptCount val="3"/>
                <c:pt idx="0">
                  <c:v>2027</c:v>
                </c:pt>
                <c:pt idx="1">
                  <c:v>2030</c:v>
                </c:pt>
                <c:pt idx="2">
                  <c:v>2035</c:v>
                </c:pt>
              </c:numCache>
            </c:numRef>
          </c:cat>
          <c:val>
            <c:numRef>
              <c:f>Blad1!$E$7:$G$7</c:f>
              <c:numCache>
                <c:formatCode>0.00</c:formatCode>
                <c:ptCount val="3"/>
                <c:pt idx="0">
                  <c:v>0.1804</c:v>
                </c:pt>
                <c:pt idx="1">
                  <c:v>0.13100000000000001</c:v>
                </c:pt>
                <c:pt idx="2">
                  <c:v>8.0299999999999996E-2</c:v>
                </c:pt>
              </c:numCache>
            </c:numRef>
          </c:val>
          <c:extLst>
            <c:ext xmlns:c16="http://schemas.microsoft.com/office/drawing/2014/chart" uri="{C3380CC4-5D6E-409C-BE32-E72D297353CC}">
              <c16:uniqueId val="{00000002-CD2A-457A-A83B-08ED6AB7C6FF}"/>
            </c:ext>
          </c:extLst>
        </c:ser>
        <c:ser>
          <c:idx val="3"/>
          <c:order val="3"/>
          <c:tx>
            <c:strRef>
              <c:f>Blad1!$D$8</c:f>
              <c:strCache>
                <c:ptCount val="1"/>
                <c:pt idx="0">
                  <c:v>130 km/uur</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Blad1!$E$4:$G$4</c:f>
              <c:numCache>
                <c:formatCode>General</c:formatCode>
                <c:ptCount val="3"/>
                <c:pt idx="0">
                  <c:v>2027</c:v>
                </c:pt>
                <c:pt idx="1">
                  <c:v>2030</c:v>
                </c:pt>
                <c:pt idx="2">
                  <c:v>2035</c:v>
                </c:pt>
              </c:numCache>
            </c:numRef>
          </c:cat>
          <c:val>
            <c:numRef>
              <c:f>Blad1!$E$8:$G$8</c:f>
              <c:numCache>
                <c:formatCode>0.00</c:formatCode>
                <c:ptCount val="3"/>
                <c:pt idx="0">
                  <c:v>0.18090000000000001</c:v>
                </c:pt>
                <c:pt idx="1">
                  <c:v>0.1313</c:v>
                </c:pt>
                <c:pt idx="2">
                  <c:v>8.0600000000000005E-2</c:v>
                </c:pt>
              </c:numCache>
            </c:numRef>
          </c:val>
          <c:extLst>
            <c:ext xmlns:c16="http://schemas.microsoft.com/office/drawing/2014/chart" uri="{C3380CC4-5D6E-409C-BE32-E72D297353CC}">
              <c16:uniqueId val="{00000003-CD2A-457A-A83B-08ED6AB7C6FF}"/>
            </c:ext>
          </c:extLst>
        </c:ser>
        <c:dLbls>
          <c:dLblPos val="outEnd"/>
          <c:showLegendKey val="0"/>
          <c:showVal val="1"/>
          <c:showCatName val="0"/>
          <c:showSerName val="0"/>
          <c:showPercent val="0"/>
          <c:showBubbleSize val="0"/>
        </c:dLbls>
        <c:gapWidth val="100"/>
        <c:overlap val="-24"/>
        <c:axId val="388513208"/>
        <c:axId val="388512848"/>
      </c:barChart>
      <c:catAx>
        <c:axId val="3885132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388512848"/>
        <c:crosses val="autoZero"/>
        <c:auto val="1"/>
        <c:lblAlgn val="ctr"/>
        <c:lblOffset val="100"/>
        <c:noMultiLvlLbl val="0"/>
      </c:catAx>
      <c:valAx>
        <c:axId val="388512848"/>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388513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ysClr val="windowText" lastClr="000000"/>
          </a:solidFill>
          <a:latin typeface="Verdana" panose="020B0604030504040204" pitchFamily="34" charset="0"/>
          <a:ea typeface="Verdana" panose="020B060403050404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839</ap:Words>
  <ap:Characters>4615</ap:Characters>
  <ap:DocSecurity>0</ap:DocSecurity>
  <ap:Lines>38</ap:Lines>
  <ap:Paragraphs>10</ap:Paragraphs>
  <ap:ScaleCrop>false</ap:ScaleCrop>
  <ap:LinksUpToDate>false</ap:LinksUpToDate>
  <ap:CharactersWithSpaces>5444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2026-07-22T14:32:00.0000000Z</dcterms:created>
  <dcterms:modified xsi:type="dcterms:W3CDTF">2026-07-22T14:32:00.0000000Z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