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4A8" w:rsidRDefault="007A14A8" w14:paraId="3284AC4F" w14:textId="77777777"/>
    <w:p w:rsidR="007A14A8" w:rsidRDefault="007A14A8" w14:paraId="0CF08C5D" w14:textId="77777777"/>
    <w:p w:rsidRPr="003146F4" w:rsidR="001A2B53" w:rsidP="001A2B53" w:rsidRDefault="001A2B53" w14:paraId="51398EE8" w14:textId="419F11ED">
      <w:r w:rsidRPr="003146F4">
        <w:t xml:space="preserve">Met het wetsvoorstel ‘Versterking rechtsbescherming in de jeugdbescherming’ (hierna: het wetsvoorstel) wordt de rechtsbescherming van ouders en kinderen die te maken krijgen met een kinderbeschermingsmaatregel versterkt. Met deze brief informeer ik uw Kamer dat het wetsvoorstel een volgende fase ingaat: </w:t>
      </w:r>
      <w:r w:rsidRPr="003146F4" w:rsidR="00344FE2">
        <w:t>vandaag</w:t>
      </w:r>
      <w:r w:rsidRPr="003146F4">
        <w:t xml:space="preserve"> is het ter advisering voorgelegd aan de Afdeling advisering van de Raad van State. </w:t>
      </w:r>
    </w:p>
    <w:p w:rsidRPr="003146F4" w:rsidR="00471E25" w:rsidP="001A2B53" w:rsidRDefault="00471E25" w14:paraId="1F08A89E" w14:textId="77777777"/>
    <w:p w:rsidRPr="003146F4" w:rsidR="00471E25" w:rsidP="001A2B53" w:rsidRDefault="00471E25" w14:paraId="15262C83" w14:textId="7285C3C6">
      <w:r w:rsidRPr="003146F4">
        <w:t>Het wetsvoorstel bevat belangrijke verbeteringen voor de rechtsbescherming binnen het kinderbeschermingsstelsel. Die verbeteringen zijn er in de eerste plaats op gericht uithuisplaatsingen te voorkomen door de rechtsgronden om tot uithuisplaatsing over te gaan</w:t>
      </w:r>
      <w:r w:rsidRPr="003146F4" w:rsidR="009A74BE">
        <w:t xml:space="preserve"> aan te scherpen</w:t>
      </w:r>
      <w:r w:rsidRPr="003146F4" w:rsidR="00EE458A">
        <w:t xml:space="preserve"> door het subsidiariteitsbeginsel expliciet in de rechtsgrond te verankeren</w:t>
      </w:r>
      <w:r w:rsidRPr="003146F4">
        <w:t xml:space="preserve">. Waar een uithuisplaatsing toch noodzakelijk is, krijgt de omgang tussen </w:t>
      </w:r>
      <w:r w:rsidRPr="003146F4" w:rsidR="009A74BE">
        <w:t xml:space="preserve">het </w:t>
      </w:r>
      <w:r w:rsidRPr="003146F4">
        <w:t xml:space="preserve">kind </w:t>
      </w:r>
      <w:r w:rsidRPr="003146F4" w:rsidR="009A74BE">
        <w:t xml:space="preserve">en </w:t>
      </w:r>
      <w:r w:rsidRPr="003146F4">
        <w:t xml:space="preserve">diens ouders en minderjarige broers en zussen een prominentere plek, waardoor </w:t>
      </w:r>
      <w:r w:rsidRPr="003146F4" w:rsidR="009A74BE">
        <w:t xml:space="preserve">de </w:t>
      </w:r>
      <w:r w:rsidRPr="003146F4">
        <w:t>kans</w:t>
      </w:r>
      <w:r w:rsidRPr="003146F4" w:rsidR="009A74BE">
        <w:t xml:space="preserve"> groter wordt</w:t>
      </w:r>
      <w:r w:rsidRPr="003146F4">
        <w:t xml:space="preserve"> dat het kind weer terug naar huis kan. De beslissing of een kind op termijn weer terug naar huis kan, wordt bij de rechter gelegd en niet bij de gecertificeerde instelling (GI). Tegelijkertijd wordt het toezicht versterkt op kinderen die langdurig uit huis zijn geplaatst of onder voogdij staan. Ook krijgen kinderen meer mogelijkheden om zelf invloed te hebben op de beslissingen die worden genomen. Daarbij krijgen ouders gesubsidieerde rechtsbijstand bij beslissingen</w:t>
      </w:r>
      <w:r w:rsidRPr="003146F4" w:rsidR="009A74BE">
        <w:t xml:space="preserve"> over eerste uithuisplaatsing en </w:t>
      </w:r>
      <w:proofErr w:type="spellStart"/>
      <w:r w:rsidRPr="003146F4" w:rsidR="009A74BE">
        <w:t>gezagsbeëindiging</w:t>
      </w:r>
      <w:proofErr w:type="spellEnd"/>
      <w:r w:rsidRPr="003146F4">
        <w:t xml:space="preserve">, om gelijkwaardiger te kunnen deelnemen aan procedures bij de kinderrechter. </w:t>
      </w:r>
    </w:p>
    <w:p w:rsidRPr="003146F4" w:rsidR="00EE458A" w:rsidP="001A2B53" w:rsidRDefault="00EE458A" w14:paraId="3D96F79F" w14:textId="77777777"/>
    <w:p w:rsidRPr="003146F4" w:rsidR="00FE6BAA" w:rsidP="001A2B53" w:rsidRDefault="00B353EC" w14:paraId="7B8B7CDB" w14:textId="33918340">
      <w:r w:rsidRPr="003146F4">
        <w:t xml:space="preserve">Naar aanleiding van de </w:t>
      </w:r>
      <w:r w:rsidRPr="003146F4" w:rsidR="007F0AB1">
        <w:t>i</w:t>
      </w:r>
      <w:r w:rsidRPr="003146F4">
        <w:t xml:space="preserve">nternetconsultatie zijn verschillende aanpassingen in het wetsvoorstel doorgevoerd. In deze brief beperk ik mij tot de maatregelen die, om binnen de beschikbare financiële kaders te blijven, zijn vervallen </w:t>
      </w:r>
      <w:r w:rsidRPr="003146F4" w:rsidR="00501E17">
        <w:t xml:space="preserve">ten opzichte van de maatregelen </w:t>
      </w:r>
      <w:r w:rsidRPr="003146F4">
        <w:t>waarover ik uw Kamer eerder heb geïnformeerd (brief van 18 november 2024</w:t>
      </w:r>
      <w:r w:rsidRPr="003146F4">
        <w:rPr>
          <w:rStyle w:val="Voetnootmarkering"/>
        </w:rPr>
        <w:footnoteReference w:id="1"/>
      </w:r>
      <w:r w:rsidRPr="003146F4">
        <w:t xml:space="preserve">): </w:t>
      </w:r>
    </w:p>
    <w:p w:rsidRPr="003146F4" w:rsidR="001A2B53" w:rsidP="001A2B53" w:rsidRDefault="007F0AB1" w14:paraId="4C746F1C" w14:textId="03659C5A">
      <w:pPr>
        <w:pStyle w:val="Lijstalinea"/>
        <w:numPr>
          <w:ilvl w:val="0"/>
          <w:numId w:val="5"/>
        </w:numPr>
      </w:pPr>
      <w:r w:rsidRPr="003146F4">
        <w:t>Kosteloze r</w:t>
      </w:r>
      <w:r w:rsidRPr="003146F4" w:rsidR="00B353EC">
        <w:t>echtsbijstand bij verlengingsprocedures</w:t>
      </w:r>
      <w:r w:rsidRPr="003146F4" w:rsidR="00EE458A">
        <w:t xml:space="preserve"> is niet in het wetsvoorstel opgenomen.</w:t>
      </w:r>
      <w:r w:rsidRPr="003146F4" w:rsidR="00B353EC">
        <w:t xml:space="preserve"> </w:t>
      </w:r>
      <w:r w:rsidRPr="003146F4" w:rsidR="00EE458A">
        <w:t>B</w:t>
      </w:r>
      <w:r w:rsidRPr="003146F4" w:rsidR="001A2B53">
        <w:t xml:space="preserve">ij </w:t>
      </w:r>
      <w:r w:rsidRPr="003146F4" w:rsidR="00FA70D4">
        <w:t>een eerste verzoek tot machtiging</w:t>
      </w:r>
      <w:r w:rsidRPr="003146F4" w:rsidR="001A2B53">
        <w:t xml:space="preserve"> uithuisplaatsing</w:t>
      </w:r>
      <w:r w:rsidRPr="003146F4" w:rsidR="00FA70D4">
        <w:t xml:space="preserve"> en </w:t>
      </w:r>
      <w:proofErr w:type="spellStart"/>
      <w:r w:rsidRPr="003146F4" w:rsidR="00FA70D4">
        <w:t>gezagsbeëindiging</w:t>
      </w:r>
      <w:proofErr w:type="spellEnd"/>
      <w:r w:rsidRPr="003146F4" w:rsidR="001A2B53">
        <w:t xml:space="preserve"> blijft kosteloze rechtsbijstand voor ouders gegarandeerd. Bij </w:t>
      </w:r>
      <w:r w:rsidRPr="003146F4" w:rsidR="00FA70D4">
        <w:t>verlengings</w:t>
      </w:r>
      <w:r w:rsidRPr="003146F4" w:rsidR="001A2B53">
        <w:t xml:space="preserve">procedures kunnen ouders een vertrouwde advocaat inschakelen en zo </w:t>
      </w:r>
      <w:r w:rsidRPr="003146F4" w:rsidR="00FA70D4">
        <w:t xml:space="preserve">mogelijk </w:t>
      </w:r>
      <w:r w:rsidRPr="003146F4" w:rsidR="001A2B53">
        <w:t>gebruikmaken van gesubsidieerde rechtsbijstand. Hiermee wordt de pilot kosteloze rechtsbijstand wettelijk bestendigd.</w:t>
      </w:r>
      <w:r w:rsidRPr="003146F4" w:rsidR="00FE6BAA">
        <w:t xml:space="preserve"> </w:t>
      </w:r>
    </w:p>
    <w:p w:rsidRPr="003146F4" w:rsidR="00B84265" w:rsidP="001A2B53" w:rsidRDefault="00B353EC" w14:paraId="001BEECF" w14:textId="114A2255">
      <w:pPr>
        <w:pStyle w:val="Lijstalinea"/>
        <w:numPr>
          <w:ilvl w:val="0"/>
          <w:numId w:val="5"/>
        </w:numPr>
      </w:pPr>
      <w:r w:rsidRPr="003146F4">
        <w:lastRenderedPageBreak/>
        <w:t>Spoedbeslissing omgang en laagdrempelige mogelijkheid voor ouders tot vaststelling of wijziging van een omgangsregeling in het kader van voogdij: deze</w:t>
      </w:r>
      <w:r w:rsidRPr="003146F4" w:rsidR="00024C30">
        <w:t xml:space="preserve"> </w:t>
      </w:r>
      <w:r w:rsidRPr="003146F4" w:rsidR="001A2B53">
        <w:t>voorziening</w:t>
      </w:r>
      <w:r w:rsidRPr="003146F4">
        <w:t>en</w:t>
      </w:r>
      <w:r w:rsidRPr="003146F4" w:rsidR="001A2B53">
        <w:t xml:space="preserve"> zijn niet in het wetsvoorstel opgenomen. Rechters kunnen in de huidige praktijk spoedbeslissingen nemen indien dit in het belang van het kind is. Voor verzoeken over omgang blijft de bestaande route </w:t>
      </w:r>
      <w:r w:rsidRPr="003146F4" w:rsidR="006277AA">
        <w:t xml:space="preserve">voor ouders </w:t>
      </w:r>
      <w:r w:rsidRPr="003146F4" w:rsidR="001A2B53">
        <w:t>via een advocaat onverkort beschikbaar.</w:t>
      </w:r>
      <w:r w:rsidRPr="003146F4" w:rsidR="00B84265">
        <w:t xml:space="preserve"> </w:t>
      </w:r>
    </w:p>
    <w:p w:rsidRPr="003146F4" w:rsidR="00B353EC" w:rsidP="00110B32" w:rsidRDefault="00B353EC" w14:paraId="646CC519" w14:textId="77777777"/>
    <w:p w:rsidRPr="003146F4" w:rsidR="00110B32" w:rsidP="00110B32" w:rsidRDefault="00110B32" w14:paraId="6FD2CB8B" w14:textId="77777777">
      <w:r w:rsidRPr="003146F4">
        <w:t>Het schrappen van deze maatregelen doet geen afbreuk aan de kern en de doelstellingen van het wetsvoorstel. De voorgestelde versterking van de rechtsbescherming blijft onverkort overeind.</w:t>
      </w:r>
    </w:p>
    <w:p w:rsidRPr="003146F4" w:rsidR="00110B32" w:rsidP="00341F1B" w:rsidRDefault="00110B32" w14:paraId="218BED6D" w14:textId="77777777"/>
    <w:p w:rsidRPr="003146F4" w:rsidR="00B353EC" w:rsidP="006277AA" w:rsidRDefault="007F0AB1" w14:paraId="089394ED" w14:textId="373F672C">
      <w:r w:rsidRPr="003146F4">
        <w:t>Na ontvangst en verwerking van het advies van de Afdeling advisering van de Raad van State zal ik het wetsvoorstel, met een toelichting op de daarin gemaakte keuzes, zo spoedig mogelijk aan uw Kamer aanbieden.</w:t>
      </w:r>
    </w:p>
    <w:p w:rsidR="007F0AB1" w:rsidP="006277AA" w:rsidRDefault="007F0AB1" w14:paraId="5A8536F7" w14:textId="77777777"/>
    <w:p w:rsidRPr="003146F4" w:rsidR="003146F4" w:rsidP="006277AA" w:rsidRDefault="003146F4" w14:paraId="5062BBF6" w14:textId="77777777"/>
    <w:p w:rsidRPr="003146F4" w:rsidR="006277AA" w:rsidP="006277AA" w:rsidRDefault="006277AA" w14:paraId="16A90A51" w14:textId="3BD2299F">
      <w:r w:rsidRPr="003146F4">
        <w:t xml:space="preserve">De </w:t>
      </w:r>
      <w:r w:rsidRPr="003146F4" w:rsidR="00AC2745">
        <w:t>S</w:t>
      </w:r>
      <w:r w:rsidRPr="003146F4">
        <w:t xml:space="preserve">taatssecretaris van Justitie en Veiligheid, </w:t>
      </w:r>
    </w:p>
    <w:p w:rsidR="00AC2745" w:rsidP="006277AA" w:rsidRDefault="00AC2745" w14:paraId="45CB0BE3" w14:textId="7D8DC736">
      <w:pPr>
        <w:rPr>
          <w:noProof/>
        </w:rPr>
      </w:pPr>
    </w:p>
    <w:p w:rsidR="00BE2ED6" w:rsidP="006277AA" w:rsidRDefault="00BE2ED6" w14:paraId="4E397011" w14:textId="77777777">
      <w:pPr>
        <w:rPr>
          <w:noProof/>
        </w:rPr>
      </w:pPr>
    </w:p>
    <w:p w:rsidRPr="003146F4" w:rsidR="00BE2ED6" w:rsidP="006277AA" w:rsidRDefault="00BE2ED6" w14:paraId="067100E6" w14:textId="77777777"/>
    <w:p w:rsidRPr="003146F4" w:rsidR="0050004A" w:rsidP="006277AA" w:rsidRDefault="0050004A" w14:paraId="74022864" w14:textId="77777777"/>
    <w:p w:rsidR="00AC2745" w:rsidP="006277AA" w:rsidRDefault="00AC2745" w14:paraId="1700387C" w14:textId="229CABF2">
      <w:r w:rsidRPr="003146F4">
        <w:t>Claudia van Bruggen</w:t>
      </w:r>
    </w:p>
    <w:p w:rsidR="006277AA" w:rsidRDefault="006277AA" w14:paraId="5C10E36C" w14:textId="6DFD863C">
      <w:pPr>
        <w:spacing w:line="240" w:lineRule="auto"/>
      </w:pPr>
      <w:r>
        <w:br w:type="page"/>
      </w:r>
    </w:p>
    <w:p w:rsidR="00EF7EA4" w:rsidRDefault="002438A8" w14:paraId="71B87A82" w14:textId="1FA3701E">
      <w:r>
        <w:lastRenderedPageBreak/>
        <w:t>Bijlage</w:t>
      </w:r>
      <w:r w:rsidR="001A2B53">
        <w:t>:</w:t>
      </w:r>
      <w:r>
        <w:t xml:space="preserve"> moties </w:t>
      </w:r>
      <w:r w:rsidR="00147A7A">
        <w:t>gelieerd aan het wetsvoorstel ‘Versterking rechtsbescherming in de jeugdbescherming’</w:t>
      </w:r>
    </w:p>
    <w:p w:rsidR="00AF333C" w:rsidP="00AF333C" w:rsidRDefault="00AF333C" w14:paraId="73F7FC4B" w14:textId="05619D6C">
      <w:pPr>
        <w:pStyle w:val="Lijstalinea"/>
        <w:numPr>
          <w:ilvl w:val="0"/>
          <w:numId w:val="5"/>
        </w:numPr>
      </w:pPr>
      <w:r>
        <w:t>Aanscherping rechtsgronden. De rechtsgronden voor het opleggen van een kinderbeschermingsmaatregel worden aangescherpt. De aanscherping benadrukt de noodzaak voor zowel de kinderrechter als de verzoekende instantie om expliciet stil te staan bij en te motiveren waarom een kinderbeschermingsmaatregel noodzakelijk is en het niet mogelijk is om het kind op een minder ingrijpende manier te beschermen. Daarmee wordt beter aangesloten bij de normen die voortvloeien uit rechtspraak van het Europees Hof voor de Rechten van de Mens (EHRM)</w:t>
      </w:r>
      <w:r w:rsidR="006277AA">
        <w:t>.</w:t>
      </w:r>
      <w:r w:rsidRPr="00147A7A">
        <w:t xml:space="preserve"> </w:t>
      </w:r>
      <w:r>
        <w:t>Hiermee</w:t>
      </w:r>
      <w:r w:rsidRPr="00147A7A">
        <w:t xml:space="preserve"> wordt uitvoering gegeven aan de motie-Houwelingen inzake aanscherping van het wettelijk kader voor kinderbeschermingsmaatregelen</w:t>
      </w:r>
      <w:r>
        <w:rPr>
          <w:rStyle w:val="Voetnootmarkering"/>
        </w:rPr>
        <w:footnoteReference w:id="2"/>
      </w:r>
      <w:r>
        <w:t>.</w:t>
      </w:r>
    </w:p>
    <w:p w:rsidR="00AF333C" w:rsidP="00AF333C" w:rsidRDefault="00AF333C" w14:paraId="1D196E0D" w14:textId="66C56455">
      <w:pPr>
        <w:pStyle w:val="Lijstalinea"/>
        <w:numPr>
          <w:ilvl w:val="0"/>
          <w:numId w:val="5"/>
        </w:numPr>
      </w:pPr>
      <w:r>
        <w:t xml:space="preserve">Uitgangspunt thuisplaatsing en opvoedperspectief. Waar een uithuisplaatsing </w:t>
      </w:r>
      <w:r w:rsidR="00424345">
        <w:t>n</w:t>
      </w:r>
      <w:r>
        <w:t>oodzakelijk blijft, is het doel dat ouders zo snel mogelijk weer de zorg voor hun kind kunnen overnemen, zodat het kind weer veilig terug naar huis kan. Daarom wordt in het wetsvoorstel het uitgangspunt ‘werken aan thuisplaatsing’ wettelijk vastgelegd. Daarnaast wordt de beslissing of een kind op termijn weer terug naar huis kan, het opvoedperspectief, bij de kinderrechter belegd. Bij ieder verzoek tot (verlenging van) uithuisplaatsing wordt dit opvoedperspectief beoordeeld. Hiermee wordt uitvoering gegeven aan de motie van lid Ceder (CU) c.s. om terugplaatsing naar huis als uitgangspunt wettelijk te verankeren en een onafhankelijke toets op het perspectief van terugkeer in te voeren</w:t>
      </w:r>
      <w:r>
        <w:rPr>
          <w:rStyle w:val="Voetnootmarkering"/>
        </w:rPr>
        <w:footnoteReference w:id="3"/>
      </w:r>
      <w:r>
        <w:t xml:space="preserve"> en de motie van lid Ceder (CU) om het perspectiefbesluit tijdig voor te leggen aan de kinderrechter</w:t>
      </w:r>
      <w:r>
        <w:rPr>
          <w:rStyle w:val="Voetnootmarkering"/>
        </w:rPr>
        <w:footnoteReference w:id="4"/>
      </w:r>
      <w:r>
        <w:t>.</w:t>
      </w:r>
    </w:p>
    <w:p w:rsidR="007300CF" w:rsidP="007300CF" w:rsidRDefault="001A2B53" w14:paraId="28C32D97" w14:textId="77777777">
      <w:pPr>
        <w:pStyle w:val="Lijstalinea"/>
        <w:numPr>
          <w:ilvl w:val="0"/>
          <w:numId w:val="5"/>
        </w:numPr>
      </w:pPr>
      <w:r>
        <w:t>Omgang na uithuisplaatsing</w:t>
      </w:r>
      <w:r w:rsidR="00147A7A">
        <w:t>.</w:t>
      </w:r>
      <w:r>
        <w:t xml:space="preserve"> In het wetsvoorstel krijgt omgang na uithuisplaatsing een prominente plek door middel van een verplicht omgangsplan. Hiermee wordt uitvoering gegeven aan</w:t>
      </w:r>
      <w:r w:rsidR="00147A7A">
        <w:t xml:space="preserve"> </w:t>
      </w:r>
      <w:r>
        <w:t>de motie</w:t>
      </w:r>
      <w:r w:rsidR="00147A7A">
        <w:t xml:space="preserve"> van lid </w:t>
      </w:r>
      <w:r>
        <w:t xml:space="preserve">Dobbe </w:t>
      </w:r>
      <w:r w:rsidR="00147A7A">
        <w:t xml:space="preserve">(SP) </w:t>
      </w:r>
      <w:r>
        <w:t>c.s. om het recht op omgang van kinderen met hun ouders na uithuisplaatsing te versterken</w:t>
      </w:r>
      <w:r w:rsidR="00147A7A">
        <w:rPr>
          <w:rStyle w:val="Voetnootmarkering"/>
        </w:rPr>
        <w:footnoteReference w:id="5"/>
      </w:r>
      <w:r>
        <w:t xml:space="preserve"> en</w:t>
      </w:r>
      <w:r w:rsidR="00147A7A">
        <w:t xml:space="preserve"> </w:t>
      </w:r>
      <w:r>
        <w:t>de motie</w:t>
      </w:r>
      <w:r w:rsidR="00147A7A">
        <w:t xml:space="preserve"> van Lid Straatman</w:t>
      </w:r>
      <w:r>
        <w:t xml:space="preserve"> </w:t>
      </w:r>
      <w:r w:rsidR="00147A7A">
        <w:t xml:space="preserve">(CDA) </w:t>
      </w:r>
      <w:r>
        <w:t>om meer prioriteit te geven aan het herstel van familiaire banden tussen het kind en de ouders</w:t>
      </w:r>
      <w:r w:rsidR="006277AA">
        <w:t xml:space="preserve"> na een uithuisplaatsing</w:t>
      </w:r>
      <w:r w:rsidR="00147A7A">
        <w:rPr>
          <w:rStyle w:val="Voetnootmarkering"/>
        </w:rPr>
        <w:footnoteReference w:id="6"/>
      </w:r>
      <w:r w:rsidR="00147A7A">
        <w:t>. Ook de toezegging om verschillen in omgang en contact na uithuisplaatsing te verminderen, wordt hiermee ingevuld.</w:t>
      </w:r>
    </w:p>
    <w:p w:rsidR="008F1942" w:rsidP="007300CF" w:rsidRDefault="007300CF" w14:paraId="65013D86" w14:textId="4F8E7FA1">
      <w:pPr>
        <w:pStyle w:val="Lijstalinea"/>
        <w:numPr>
          <w:ilvl w:val="0"/>
          <w:numId w:val="5"/>
        </w:numPr>
      </w:pPr>
      <w:r w:rsidRPr="007300CF">
        <w:t xml:space="preserve">Kinderen betrekken bij de uitwerking van het </w:t>
      </w:r>
      <w:proofErr w:type="spellStart"/>
      <w:r w:rsidRPr="007300CF">
        <w:t>hoorrecht</w:t>
      </w:r>
      <w:proofErr w:type="spellEnd"/>
      <w:r w:rsidRPr="007300CF">
        <w:t xml:space="preserve">. Kinderen zijn via participatiebijeenkomsten betrokken bij de totstandkoming van het wetsvoorstel. Hiermee wordt uitvoering gegeven aan de toezegging om kinderen te betrekken bij de uitwerking van het </w:t>
      </w:r>
      <w:proofErr w:type="spellStart"/>
      <w:r w:rsidRPr="007300CF">
        <w:t>hoorrecht</w:t>
      </w:r>
      <w:proofErr w:type="spellEnd"/>
      <w:r w:rsidRPr="007300CF">
        <w:t>.</w:t>
      </w:r>
    </w:p>
    <w:p w:rsidR="007A14A8" w:rsidRDefault="007A14A8" w14:paraId="5307932A" w14:textId="77777777"/>
    <w:p w:rsidR="007A14A8" w:rsidRDefault="007A14A8" w14:paraId="400D54F5" w14:textId="77777777"/>
    <w:sectPr w:rsidR="007A14A8">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17E9" w14:textId="77777777" w:rsidR="00253A48" w:rsidRDefault="00253A48">
      <w:pPr>
        <w:spacing w:line="240" w:lineRule="auto"/>
      </w:pPr>
      <w:r>
        <w:separator/>
      </w:r>
    </w:p>
  </w:endnote>
  <w:endnote w:type="continuationSeparator" w:id="0">
    <w:p w14:paraId="740CD854" w14:textId="77777777" w:rsidR="00253A48" w:rsidRDefault="00253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1F8B" w14:textId="77777777" w:rsidR="00C066DD" w:rsidRDefault="00C066D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EFDF" w14:textId="77777777" w:rsidR="00253A48" w:rsidRDefault="00253A48">
      <w:pPr>
        <w:pStyle w:val="Voetnoottekst"/>
      </w:pPr>
    </w:p>
  </w:footnote>
  <w:footnote w:type="continuationSeparator" w:id="0">
    <w:p w14:paraId="7B1947B7" w14:textId="77777777" w:rsidR="00253A48" w:rsidRDefault="00253A48">
      <w:pPr>
        <w:pStyle w:val="Voetnoottekst"/>
      </w:pPr>
    </w:p>
  </w:footnote>
  <w:footnote w:id="1">
    <w:p w14:paraId="2B5724E2" w14:textId="77777777" w:rsidR="00B353EC" w:rsidRDefault="00B353EC" w:rsidP="00B353EC">
      <w:pPr>
        <w:pStyle w:val="Voetnoottekst"/>
      </w:pPr>
      <w:r>
        <w:rPr>
          <w:rStyle w:val="Voetnootmarkering"/>
        </w:rPr>
        <w:footnoteRef/>
      </w:r>
      <w:r>
        <w:t xml:space="preserve"> </w:t>
      </w:r>
      <w:r w:rsidRPr="00C223EF">
        <w:t>Kamerstukken II, 2023/24, 31839, nr. 1047</w:t>
      </w:r>
    </w:p>
  </w:footnote>
  <w:footnote w:id="2">
    <w:p w14:paraId="0B96BD77" w14:textId="02386CB6" w:rsidR="00AF333C" w:rsidRDefault="00AF333C" w:rsidP="00AF333C">
      <w:pPr>
        <w:pStyle w:val="Voetnoottekst"/>
      </w:pPr>
      <w:r>
        <w:rPr>
          <w:rStyle w:val="Voetnootmarkering"/>
        </w:rPr>
        <w:footnoteRef/>
      </w:r>
      <w:r>
        <w:t xml:space="preserve"> </w:t>
      </w:r>
      <w:r w:rsidR="00AB5C15" w:rsidRPr="00C223EF">
        <w:t>Kamerstukken II, 202</w:t>
      </w:r>
      <w:r w:rsidR="00AB5C15">
        <w:t>5</w:t>
      </w:r>
      <w:r w:rsidR="00AB5C15" w:rsidRPr="00C223EF">
        <w:t>/2</w:t>
      </w:r>
      <w:r w:rsidR="00AB5C15">
        <w:t>6</w:t>
      </w:r>
      <w:r w:rsidR="00AB5C15" w:rsidRPr="00C223EF">
        <w:t>,</w:t>
      </w:r>
      <w:r w:rsidR="00AB5C15">
        <w:t xml:space="preserve"> </w:t>
      </w:r>
      <w:r>
        <w:t>31 839, nr. 1121.</w:t>
      </w:r>
    </w:p>
  </w:footnote>
  <w:footnote w:id="3">
    <w:p w14:paraId="51AA6EFC" w14:textId="77BB2B11" w:rsidR="00AF333C" w:rsidRDefault="00AF333C" w:rsidP="00AF333C">
      <w:pPr>
        <w:pStyle w:val="Voetnoottekst"/>
      </w:pPr>
      <w:r>
        <w:rPr>
          <w:rStyle w:val="Voetnootmarkering"/>
        </w:rPr>
        <w:footnoteRef/>
      </w:r>
      <w:r>
        <w:t xml:space="preserve"> </w:t>
      </w:r>
      <w:r w:rsidR="00AB5C15" w:rsidRPr="00C223EF">
        <w:t>Kamerstukken II, 202</w:t>
      </w:r>
      <w:r w:rsidR="003D0906">
        <w:t>4</w:t>
      </w:r>
      <w:r w:rsidR="00AB5C15" w:rsidRPr="00C223EF">
        <w:t>/2</w:t>
      </w:r>
      <w:r w:rsidR="003D0906">
        <w:t>5</w:t>
      </w:r>
      <w:r w:rsidR="00AB5C15" w:rsidRPr="00C223EF">
        <w:t>,</w:t>
      </w:r>
      <w:r w:rsidR="00AB5C15">
        <w:t xml:space="preserve"> </w:t>
      </w:r>
      <w:r w:rsidRPr="00147A7A">
        <w:t>36 708, nr. 29</w:t>
      </w:r>
      <w:r>
        <w:t>.</w:t>
      </w:r>
    </w:p>
  </w:footnote>
  <w:footnote w:id="4">
    <w:p w14:paraId="1270A4C6" w14:textId="7C028B46" w:rsidR="00AF333C" w:rsidRDefault="00AF333C" w:rsidP="00AF333C">
      <w:pPr>
        <w:pStyle w:val="Voetnoottekst"/>
      </w:pPr>
      <w:r>
        <w:rPr>
          <w:rStyle w:val="Voetnootmarkering"/>
        </w:rPr>
        <w:footnoteRef/>
      </w:r>
      <w:r>
        <w:t xml:space="preserve"> </w:t>
      </w:r>
      <w:r w:rsidR="00AB5C15" w:rsidRPr="00C223EF">
        <w:t>Kamerstukken II, 202</w:t>
      </w:r>
      <w:r w:rsidR="003D0906">
        <w:t>5</w:t>
      </w:r>
      <w:r w:rsidR="00AB5C15" w:rsidRPr="00C223EF">
        <w:t>/2</w:t>
      </w:r>
      <w:r w:rsidR="003D0906">
        <w:t>6</w:t>
      </w:r>
      <w:r w:rsidR="00AB5C15" w:rsidRPr="00C223EF">
        <w:t>,</w:t>
      </w:r>
      <w:r w:rsidR="00AB5C15">
        <w:t xml:space="preserve"> </w:t>
      </w:r>
      <w:r>
        <w:t>31 839, nr. 1120.</w:t>
      </w:r>
    </w:p>
  </w:footnote>
  <w:footnote w:id="5">
    <w:p w14:paraId="77107C2D" w14:textId="0F444463" w:rsidR="00147A7A" w:rsidRDefault="00147A7A">
      <w:pPr>
        <w:pStyle w:val="Voetnoottekst"/>
      </w:pPr>
      <w:r>
        <w:rPr>
          <w:rStyle w:val="Voetnootmarkering"/>
        </w:rPr>
        <w:footnoteRef/>
      </w:r>
      <w:r>
        <w:t xml:space="preserve"> </w:t>
      </w:r>
      <w:r w:rsidR="00AB5C15" w:rsidRPr="00C223EF">
        <w:t>Kamerstukken II, 202</w:t>
      </w:r>
      <w:r w:rsidR="003D0906">
        <w:t>4</w:t>
      </w:r>
      <w:r w:rsidR="00AB5C15" w:rsidRPr="00C223EF">
        <w:t>/2</w:t>
      </w:r>
      <w:r w:rsidR="003D0906">
        <w:t>5</w:t>
      </w:r>
      <w:r w:rsidR="00AB5C15" w:rsidRPr="00C223EF">
        <w:t>,</w:t>
      </w:r>
      <w:r w:rsidR="00AB5C15">
        <w:t xml:space="preserve"> </w:t>
      </w:r>
      <w:r w:rsidRPr="00147A7A">
        <w:t>31 015, nr. 292</w:t>
      </w:r>
      <w:r>
        <w:t>.</w:t>
      </w:r>
    </w:p>
  </w:footnote>
  <w:footnote w:id="6">
    <w:p w14:paraId="6DEF8372" w14:textId="09EFCFA2" w:rsidR="00147A7A" w:rsidRDefault="00147A7A">
      <w:pPr>
        <w:pStyle w:val="Voetnoottekst"/>
      </w:pPr>
      <w:r>
        <w:rPr>
          <w:rStyle w:val="Voetnootmarkering"/>
        </w:rPr>
        <w:footnoteRef/>
      </w:r>
      <w:r>
        <w:t xml:space="preserve"> </w:t>
      </w:r>
      <w:r w:rsidR="00AB5C15" w:rsidRPr="00C223EF">
        <w:t>Kamerstukken II, 202</w:t>
      </w:r>
      <w:r w:rsidR="003D0906">
        <w:t>5</w:t>
      </w:r>
      <w:r w:rsidR="00AB5C15" w:rsidRPr="00C223EF">
        <w:t>/2</w:t>
      </w:r>
      <w:r w:rsidR="003D0906">
        <w:t>6</w:t>
      </w:r>
      <w:r w:rsidR="00AB5C15" w:rsidRPr="00C223EF">
        <w:t>,</w:t>
      </w:r>
      <w:r w:rsidR="00AB5C15">
        <w:t xml:space="preserve"> </w:t>
      </w:r>
      <w:r>
        <w:t>31 839, nr. 1125.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DF99" w14:textId="77777777" w:rsidR="00C066DD" w:rsidRDefault="008B1A77">
    <w:r>
      <w:rPr>
        <w:noProof/>
      </w:rPr>
      <mc:AlternateContent>
        <mc:Choice Requires="wps">
          <w:drawing>
            <wp:anchor distT="0" distB="0" distL="0" distR="0" simplePos="0" relativeHeight="251652096" behindDoc="0" locked="1" layoutInCell="1" allowOverlap="1" wp14:anchorId="13D88918" wp14:editId="75100FC5">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759493" w14:textId="77777777" w:rsidR="008B1A77" w:rsidRDefault="008B1A77"/>
                      </w:txbxContent>
                    </wps:txbx>
                    <wps:bodyPr vert="horz" wrap="square" lIns="0" tIns="0" rIns="0" bIns="0" anchor="t" anchorCtr="0"/>
                  </wps:wsp>
                </a:graphicData>
              </a:graphic>
            </wp:anchor>
          </w:drawing>
        </mc:Choice>
        <mc:Fallback>
          <w:pict>
            <v:shapetype w14:anchorId="13D8891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B759493" w14:textId="77777777" w:rsidR="008B1A77" w:rsidRDefault="008B1A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439DF4C" wp14:editId="3B381B49">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90D0C3" w14:textId="7C075679" w:rsidR="00C066DD" w:rsidRDefault="008B1A77" w:rsidP="00D46370">
                          <w:pPr>
                            <w:pStyle w:val="Referentiegegevensbold"/>
                          </w:pPr>
                          <w:r>
                            <w:t>Datu</w:t>
                          </w:r>
                          <w:r w:rsidR="00D46370">
                            <w:t>m</w:t>
                          </w:r>
                        </w:p>
                        <w:p w14:paraId="07421E2A" w14:textId="6B7DE73D" w:rsidR="00D46370" w:rsidRPr="00BE2ED6" w:rsidRDefault="00BE2ED6" w:rsidP="00D46370">
                          <w:pPr>
                            <w:rPr>
                              <w:sz w:val="13"/>
                              <w:szCs w:val="13"/>
                            </w:rPr>
                          </w:pPr>
                          <w:r w:rsidRPr="00BE2ED6">
                            <w:rPr>
                              <w:sz w:val="13"/>
                              <w:szCs w:val="13"/>
                            </w:rPr>
                            <w:t>30 juni 2026</w:t>
                          </w:r>
                        </w:p>
                        <w:p w14:paraId="19A5963E" w14:textId="77777777" w:rsidR="00C066DD" w:rsidRDefault="008B1A77" w:rsidP="00D46370">
                          <w:pPr>
                            <w:pStyle w:val="Referentiegegevensbold"/>
                            <w:spacing w:before="240"/>
                          </w:pPr>
                          <w:r>
                            <w:t>Onze referentie</w:t>
                          </w:r>
                        </w:p>
                        <w:p w14:paraId="0081945B" w14:textId="4E1E467C" w:rsidR="00C066DD" w:rsidRDefault="0048366A">
                          <w:pPr>
                            <w:pStyle w:val="Referentiegegevens"/>
                          </w:pPr>
                          <w:r>
                            <w:t>7703930</w:t>
                          </w:r>
                        </w:p>
                      </w:txbxContent>
                    </wps:txbx>
                    <wps:bodyPr vert="horz" wrap="square" lIns="0" tIns="0" rIns="0" bIns="0" anchor="t" anchorCtr="0"/>
                  </wps:wsp>
                </a:graphicData>
              </a:graphic>
            </wp:anchor>
          </w:drawing>
        </mc:Choice>
        <mc:Fallback>
          <w:pict>
            <v:shape w14:anchorId="0439DF4C"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790D0C3" w14:textId="7C075679" w:rsidR="00C066DD" w:rsidRDefault="008B1A77" w:rsidP="00D46370">
                    <w:pPr>
                      <w:pStyle w:val="Referentiegegevensbold"/>
                    </w:pPr>
                    <w:r>
                      <w:t>Datu</w:t>
                    </w:r>
                    <w:r w:rsidR="00D46370">
                      <w:t>m</w:t>
                    </w:r>
                  </w:p>
                  <w:p w14:paraId="07421E2A" w14:textId="6B7DE73D" w:rsidR="00D46370" w:rsidRPr="00BE2ED6" w:rsidRDefault="00BE2ED6" w:rsidP="00D46370">
                    <w:pPr>
                      <w:rPr>
                        <w:sz w:val="13"/>
                        <w:szCs w:val="13"/>
                      </w:rPr>
                    </w:pPr>
                    <w:r w:rsidRPr="00BE2ED6">
                      <w:rPr>
                        <w:sz w:val="13"/>
                        <w:szCs w:val="13"/>
                      </w:rPr>
                      <w:t>30 juni 2026</w:t>
                    </w:r>
                  </w:p>
                  <w:p w14:paraId="19A5963E" w14:textId="77777777" w:rsidR="00C066DD" w:rsidRDefault="008B1A77" w:rsidP="00D46370">
                    <w:pPr>
                      <w:pStyle w:val="Referentiegegevensbold"/>
                      <w:spacing w:before="240"/>
                    </w:pPr>
                    <w:r>
                      <w:t>Onze referentie</w:t>
                    </w:r>
                  </w:p>
                  <w:p w14:paraId="0081945B" w14:textId="4E1E467C" w:rsidR="00C066DD" w:rsidRDefault="0048366A">
                    <w:pPr>
                      <w:pStyle w:val="Referentiegegevens"/>
                    </w:pPr>
                    <w:r>
                      <w:t>7703930</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27B8D98" wp14:editId="08F3E467">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6F5757" w14:textId="77777777" w:rsidR="008B1A77" w:rsidRDefault="008B1A77"/>
                      </w:txbxContent>
                    </wps:txbx>
                    <wps:bodyPr vert="horz" wrap="square" lIns="0" tIns="0" rIns="0" bIns="0" anchor="t" anchorCtr="0"/>
                  </wps:wsp>
                </a:graphicData>
              </a:graphic>
            </wp:anchor>
          </w:drawing>
        </mc:Choice>
        <mc:Fallback>
          <w:pict>
            <v:shape w14:anchorId="727B8D98"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76F5757" w14:textId="77777777" w:rsidR="008B1A77" w:rsidRDefault="008B1A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F8DF15A" wp14:editId="5370CA6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D903CE" w14:textId="35F7121B" w:rsidR="00C066DD" w:rsidRDefault="008B1A77">
                          <w:pPr>
                            <w:pStyle w:val="Referentiegegevens"/>
                          </w:pPr>
                          <w:r>
                            <w:t xml:space="preserve">Pagina </w:t>
                          </w:r>
                          <w:r>
                            <w:fldChar w:fldCharType="begin"/>
                          </w:r>
                          <w:r>
                            <w:instrText>PAGE</w:instrText>
                          </w:r>
                          <w:r>
                            <w:fldChar w:fldCharType="separate"/>
                          </w:r>
                          <w:r w:rsidR="00C43F25">
                            <w:rPr>
                              <w:noProof/>
                            </w:rPr>
                            <w:t>2</w:t>
                          </w:r>
                          <w:r>
                            <w:fldChar w:fldCharType="end"/>
                          </w:r>
                          <w:r>
                            <w:t xml:space="preserve"> van </w:t>
                          </w:r>
                          <w:r>
                            <w:fldChar w:fldCharType="begin"/>
                          </w:r>
                          <w:r>
                            <w:instrText>NUMPAGES</w:instrText>
                          </w:r>
                          <w:r>
                            <w:fldChar w:fldCharType="separate"/>
                          </w:r>
                          <w:r w:rsidR="00C43F25">
                            <w:rPr>
                              <w:noProof/>
                            </w:rPr>
                            <w:t>2</w:t>
                          </w:r>
                          <w:r>
                            <w:fldChar w:fldCharType="end"/>
                          </w:r>
                        </w:p>
                      </w:txbxContent>
                    </wps:txbx>
                    <wps:bodyPr vert="horz" wrap="square" lIns="0" tIns="0" rIns="0" bIns="0" anchor="t" anchorCtr="0"/>
                  </wps:wsp>
                </a:graphicData>
              </a:graphic>
            </wp:anchor>
          </w:drawing>
        </mc:Choice>
        <mc:Fallback>
          <w:pict>
            <v:shape w14:anchorId="0F8DF15A"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ED903CE" w14:textId="35F7121B" w:rsidR="00C066DD" w:rsidRDefault="008B1A77">
                    <w:pPr>
                      <w:pStyle w:val="Referentiegegevens"/>
                    </w:pPr>
                    <w:r>
                      <w:t xml:space="preserve">Pagina </w:t>
                    </w:r>
                    <w:r>
                      <w:fldChar w:fldCharType="begin"/>
                    </w:r>
                    <w:r>
                      <w:instrText>PAGE</w:instrText>
                    </w:r>
                    <w:r>
                      <w:fldChar w:fldCharType="separate"/>
                    </w:r>
                    <w:r w:rsidR="00C43F25">
                      <w:rPr>
                        <w:noProof/>
                      </w:rPr>
                      <w:t>2</w:t>
                    </w:r>
                    <w:r>
                      <w:fldChar w:fldCharType="end"/>
                    </w:r>
                    <w:r>
                      <w:t xml:space="preserve"> van </w:t>
                    </w:r>
                    <w:r>
                      <w:fldChar w:fldCharType="begin"/>
                    </w:r>
                    <w:r>
                      <w:instrText>NUMPAGES</w:instrText>
                    </w:r>
                    <w:r>
                      <w:fldChar w:fldCharType="separate"/>
                    </w:r>
                    <w:r w:rsidR="00C43F25">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B4FB" w14:textId="485F2365" w:rsidR="00C066DD" w:rsidRDefault="008B1A77">
    <w:pPr>
      <w:spacing w:after="6377" w:line="14" w:lineRule="exact"/>
    </w:pPr>
    <w:r>
      <w:rPr>
        <w:noProof/>
      </w:rPr>
      <mc:AlternateContent>
        <mc:Choice Requires="wps">
          <w:drawing>
            <wp:anchor distT="0" distB="0" distL="0" distR="0" simplePos="0" relativeHeight="251656192" behindDoc="0" locked="1" layoutInCell="1" allowOverlap="1" wp14:anchorId="2912DBC4" wp14:editId="5385C711">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EDC87A" w14:textId="77777777" w:rsidR="00C066DD" w:rsidRDefault="008B1A77">
                          <w:pPr>
                            <w:spacing w:line="240" w:lineRule="auto"/>
                          </w:pPr>
                          <w:r>
                            <w:rPr>
                              <w:noProof/>
                            </w:rPr>
                            <w:drawing>
                              <wp:inline distT="0" distB="0" distL="0" distR="0" wp14:anchorId="76C8D028" wp14:editId="10E679F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12DBC4"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CEDC87A" w14:textId="77777777" w:rsidR="00C066DD" w:rsidRDefault="008B1A77">
                    <w:pPr>
                      <w:spacing w:line="240" w:lineRule="auto"/>
                    </w:pPr>
                    <w:r>
                      <w:rPr>
                        <w:noProof/>
                      </w:rPr>
                      <w:drawing>
                        <wp:inline distT="0" distB="0" distL="0" distR="0" wp14:anchorId="76C8D028" wp14:editId="10E679F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E32C159" wp14:editId="0C305BEF">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01D5FB" w14:textId="77777777" w:rsidR="00C066DD" w:rsidRDefault="008B1A77">
                          <w:pPr>
                            <w:spacing w:line="240" w:lineRule="auto"/>
                          </w:pPr>
                          <w:r>
                            <w:rPr>
                              <w:noProof/>
                            </w:rPr>
                            <w:drawing>
                              <wp:inline distT="0" distB="0" distL="0" distR="0" wp14:anchorId="74E257F0" wp14:editId="2A549683">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32C159"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001D5FB" w14:textId="77777777" w:rsidR="00C066DD" w:rsidRDefault="008B1A77">
                    <w:pPr>
                      <w:spacing w:line="240" w:lineRule="auto"/>
                    </w:pPr>
                    <w:r>
                      <w:rPr>
                        <w:noProof/>
                      </w:rPr>
                      <w:drawing>
                        <wp:inline distT="0" distB="0" distL="0" distR="0" wp14:anchorId="74E257F0" wp14:editId="2A549683">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643A92E" wp14:editId="5CBE1CE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D27A74" w14:textId="77777777" w:rsidR="00C066DD" w:rsidRDefault="008B1A7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43A92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FD27A74" w14:textId="77777777" w:rsidR="00C066DD" w:rsidRDefault="008B1A77">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466D569" wp14:editId="7815BF4F">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D8732A" w14:textId="5AB1A59E" w:rsidR="00C066DD" w:rsidRDefault="009E11A7">
                          <w:r>
                            <w:t xml:space="preserve">Aan de Voorzitter van de </w:t>
                          </w:r>
                          <w:r w:rsidR="008B1A77">
                            <w:t>Tweede Kamer</w:t>
                          </w:r>
                        </w:p>
                        <w:p w14:paraId="56C6F935" w14:textId="1A404061" w:rsidR="00C066DD" w:rsidRDefault="009E11A7">
                          <w:r>
                            <w:t>der Staten-Generaal</w:t>
                          </w:r>
                        </w:p>
                        <w:p w14:paraId="2A535620" w14:textId="77777777" w:rsidR="00C066DD" w:rsidRDefault="008B1A77">
                          <w:r>
                            <w:t>Postbus 20018</w:t>
                          </w:r>
                        </w:p>
                        <w:p w14:paraId="5A1BC45E" w14:textId="77777777" w:rsidR="00C066DD" w:rsidRDefault="008B1A77">
                          <w:r>
                            <w:t>2500 EA  DEN HAAG</w:t>
                          </w:r>
                        </w:p>
                      </w:txbxContent>
                    </wps:txbx>
                    <wps:bodyPr vert="horz" wrap="square" lIns="0" tIns="0" rIns="0" bIns="0" anchor="t" anchorCtr="0"/>
                  </wps:wsp>
                </a:graphicData>
              </a:graphic>
            </wp:anchor>
          </w:drawing>
        </mc:Choice>
        <mc:Fallback>
          <w:pict>
            <v:shape w14:anchorId="0466D569"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CD8732A" w14:textId="5AB1A59E" w:rsidR="00C066DD" w:rsidRDefault="009E11A7">
                    <w:r>
                      <w:t xml:space="preserve">Aan de Voorzitter van de </w:t>
                    </w:r>
                    <w:r w:rsidR="008B1A77">
                      <w:t>Tweede Kamer</w:t>
                    </w:r>
                  </w:p>
                  <w:p w14:paraId="56C6F935" w14:textId="1A404061" w:rsidR="00C066DD" w:rsidRDefault="009E11A7">
                    <w:r>
                      <w:t>der Staten-Generaal</w:t>
                    </w:r>
                  </w:p>
                  <w:p w14:paraId="2A535620" w14:textId="77777777" w:rsidR="00C066DD" w:rsidRDefault="008B1A77">
                    <w:r>
                      <w:t>Postbus 20018</w:t>
                    </w:r>
                  </w:p>
                  <w:p w14:paraId="5A1BC45E" w14:textId="77777777" w:rsidR="00C066DD" w:rsidRDefault="008B1A77">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559334E" wp14:editId="159C7834">
              <wp:simplePos x="0" y="0"/>
              <wp:positionH relativeFrom="margin">
                <wp:align>right</wp:align>
              </wp:positionH>
              <wp:positionV relativeFrom="paragraph">
                <wp:posOffset>3352800</wp:posOffset>
              </wp:positionV>
              <wp:extent cx="4787900" cy="5334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C066DD" w14:paraId="7D468188" w14:textId="77777777">
                            <w:trPr>
                              <w:trHeight w:val="240"/>
                            </w:trPr>
                            <w:tc>
                              <w:tcPr>
                                <w:tcW w:w="1140" w:type="dxa"/>
                              </w:tcPr>
                              <w:p w14:paraId="714C57AE" w14:textId="77777777" w:rsidR="00C066DD" w:rsidRDefault="008B1A77">
                                <w:r>
                                  <w:t>Datum</w:t>
                                </w:r>
                              </w:p>
                            </w:tc>
                            <w:tc>
                              <w:tcPr>
                                <w:tcW w:w="5918" w:type="dxa"/>
                              </w:tcPr>
                              <w:p w14:paraId="18CCA0EE" w14:textId="125A1ADA" w:rsidR="00C066DD" w:rsidRDefault="00BE2ED6">
                                <w:r>
                                  <w:t>30 juni 2026</w:t>
                                </w:r>
                              </w:p>
                            </w:tc>
                          </w:tr>
                          <w:tr w:rsidR="00C066DD" w14:paraId="0615FAC4" w14:textId="77777777">
                            <w:trPr>
                              <w:trHeight w:val="240"/>
                            </w:trPr>
                            <w:tc>
                              <w:tcPr>
                                <w:tcW w:w="1140" w:type="dxa"/>
                              </w:tcPr>
                              <w:p w14:paraId="14E42BA8" w14:textId="77777777" w:rsidR="00C066DD" w:rsidRDefault="008B1A77">
                                <w:r>
                                  <w:t>Betreft</w:t>
                                </w:r>
                              </w:p>
                            </w:tc>
                            <w:tc>
                              <w:tcPr>
                                <w:tcW w:w="5918" w:type="dxa"/>
                              </w:tcPr>
                              <w:p w14:paraId="106B7937" w14:textId="17CC9458" w:rsidR="00C066DD" w:rsidRDefault="003146F4">
                                <w:r>
                                  <w:t>Voortgang wetsvoorstel ‘Versterking rechtsbescherming in de jeugdbescherming’</w:t>
                                </w:r>
                              </w:p>
                            </w:tc>
                          </w:tr>
                        </w:tbl>
                        <w:p w14:paraId="1441E522" w14:textId="77777777" w:rsidR="008B1A77" w:rsidRDefault="008B1A7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559334E" id="1670fa0c-13cb-45ec-92be-ef1f34d237c5" o:spid="_x0000_s1034" type="#_x0000_t202" style="position:absolute;margin-left:325.8pt;margin-top:264pt;width:377pt;height:42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C066DD" w14:paraId="7D468188" w14:textId="77777777">
                      <w:trPr>
                        <w:trHeight w:val="240"/>
                      </w:trPr>
                      <w:tc>
                        <w:tcPr>
                          <w:tcW w:w="1140" w:type="dxa"/>
                        </w:tcPr>
                        <w:p w14:paraId="714C57AE" w14:textId="77777777" w:rsidR="00C066DD" w:rsidRDefault="008B1A77">
                          <w:r>
                            <w:t>Datum</w:t>
                          </w:r>
                        </w:p>
                      </w:tc>
                      <w:tc>
                        <w:tcPr>
                          <w:tcW w:w="5918" w:type="dxa"/>
                        </w:tcPr>
                        <w:p w14:paraId="18CCA0EE" w14:textId="125A1ADA" w:rsidR="00C066DD" w:rsidRDefault="00BE2ED6">
                          <w:r>
                            <w:t>30 juni 2026</w:t>
                          </w:r>
                        </w:p>
                      </w:tc>
                    </w:tr>
                    <w:tr w:rsidR="00C066DD" w14:paraId="0615FAC4" w14:textId="77777777">
                      <w:trPr>
                        <w:trHeight w:val="240"/>
                      </w:trPr>
                      <w:tc>
                        <w:tcPr>
                          <w:tcW w:w="1140" w:type="dxa"/>
                        </w:tcPr>
                        <w:p w14:paraId="14E42BA8" w14:textId="77777777" w:rsidR="00C066DD" w:rsidRDefault="008B1A77">
                          <w:r>
                            <w:t>Betreft</w:t>
                          </w:r>
                        </w:p>
                      </w:tc>
                      <w:tc>
                        <w:tcPr>
                          <w:tcW w:w="5918" w:type="dxa"/>
                        </w:tcPr>
                        <w:p w14:paraId="106B7937" w14:textId="17CC9458" w:rsidR="00C066DD" w:rsidRDefault="003146F4">
                          <w:r>
                            <w:t>Voortgang wetsvoorstel ‘Versterking rechtsbescherming in de jeugdbescherming’</w:t>
                          </w:r>
                        </w:p>
                      </w:tc>
                    </w:tr>
                  </w:tbl>
                  <w:p w14:paraId="1441E522" w14:textId="77777777" w:rsidR="008B1A77" w:rsidRDefault="008B1A77"/>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26CA07D0" wp14:editId="2F9A8D1B">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DE0AD5" w14:textId="77777777" w:rsidR="00C066DD" w:rsidRPr="0048366A" w:rsidRDefault="008B1A77">
                          <w:pPr>
                            <w:pStyle w:val="Referentiegegevens"/>
                            <w:rPr>
                              <w:lang w:val="de-DE"/>
                            </w:rPr>
                          </w:pPr>
                          <w:proofErr w:type="spellStart"/>
                          <w:r w:rsidRPr="0048366A">
                            <w:rPr>
                              <w:lang w:val="de-DE"/>
                            </w:rPr>
                            <w:t>Turfmarkt</w:t>
                          </w:r>
                          <w:proofErr w:type="spellEnd"/>
                          <w:r w:rsidRPr="0048366A">
                            <w:rPr>
                              <w:lang w:val="de-DE"/>
                            </w:rPr>
                            <w:t xml:space="preserve"> 147</w:t>
                          </w:r>
                        </w:p>
                        <w:p w14:paraId="6D528436" w14:textId="77777777" w:rsidR="00C066DD" w:rsidRPr="0048366A" w:rsidRDefault="008B1A77">
                          <w:pPr>
                            <w:pStyle w:val="Referentiegegevens"/>
                            <w:rPr>
                              <w:lang w:val="de-DE"/>
                            </w:rPr>
                          </w:pPr>
                          <w:r w:rsidRPr="0048366A">
                            <w:rPr>
                              <w:lang w:val="de-DE"/>
                            </w:rPr>
                            <w:t>2511 DP  Den Haag</w:t>
                          </w:r>
                        </w:p>
                        <w:p w14:paraId="11A70F1F" w14:textId="77777777" w:rsidR="00C066DD" w:rsidRPr="0048366A" w:rsidRDefault="008B1A77">
                          <w:pPr>
                            <w:pStyle w:val="Referentiegegevens"/>
                            <w:rPr>
                              <w:lang w:val="de-DE"/>
                            </w:rPr>
                          </w:pPr>
                          <w:r w:rsidRPr="0048366A">
                            <w:rPr>
                              <w:lang w:val="de-DE"/>
                            </w:rPr>
                            <w:t>Postbus 20301</w:t>
                          </w:r>
                        </w:p>
                        <w:p w14:paraId="50FBC358" w14:textId="77777777" w:rsidR="00C066DD" w:rsidRPr="0048366A" w:rsidRDefault="008B1A77">
                          <w:pPr>
                            <w:pStyle w:val="Referentiegegevens"/>
                            <w:rPr>
                              <w:lang w:val="de-DE"/>
                            </w:rPr>
                          </w:pPr>
                          <w:r w:rsidRPr="0048366A">
                            <w:rPr>
                              <w:lang w:val="de-DE"/>
                            </w:rPr>
                            <w:t>2500 EH  Den Haag</w:t>
                          </w:r>
                        </w:p>
                        <w:p w14:paraId="6581F1D1" w14:textId="77777777" w:rsidR="00C066DD" w:rsidRPr="0048366A" w:rsidRDefault="008B1A77">
                          <w:pPr>
                            <w:pStyle w:val="Referentiegegevens"/>
                            <w:rPr>
                              <w:lang w:val="de-DE"/>
                            </w:rPr>
                          </w:pPr>
                          <w:r w:rsidRPr="0048366A">
                            <w:rPr>
                              <w:lang w:val="de-DE"/>
                            </w:rPr>
                            <w:t>www.rijksoverheid.nl/jenv</w:t>
                          </w:r>
                        </w:p>
                        <w:p w14:paraId="4526B984" w14:textId="77777777" w:rsidR="00C066DD" w:rsidRPr="0048366A" w:rsidRDefault="00C066DD">
                          <w:pPr>
                            <w:pStyle w:val="WitregelW1"/>
                            <w:rPr>
                              <w:lang w:val="de-DE"/>
                            </w:rPr>
                          </w:pPr>
                        </w:p>
                        <w:p w14:paraId="1F54F609" w14:textId="77777777" w:rsidR="005236F5" w:rsidRDefault="005236F5">
                          <w:pPr>
                            <w:pStyle w:val="Referentiegegevensbold"/>
                          </w:pPr>
                        </w:p>
                        <w:p w14:paraId="642ADE5D" w14:textId="77777777" w:rsidR="005236F5" w:rsidRDefault="005236F5">
                          <w:pPr>
                            <w:pStyle w:val="Referentiegegevensbold"/>
                          </w:pPr>
                        </w:p>
                        <w:p w14:paraId="5FDEA9C6" w14:textId="77777777" w:rsidR="005236F5" w:rsidRDefault="005236F5">
                          <w:pPr>
                            <w:pStyle w:val="Referentiegegevensbold"/>
                          </w:pPr>
                        </w:p>
                        <w:p w14:paraId="08A1DCDD" w14:textId="77777777" w:rsidR="005236F5" w:rsidRDefault="005236F5">
                          <w:pPr>
                            <w:pStyle w:val="Referentiegegevensbold"/>
                          </w:pPr>
                        </w:p>
                        <w:p w14:paraId="79A7C794" w14:textId="7C23E8AB" w:rsidR="00C066DD" w:rsidRDefault="008B1A77">
                          <w:pPr>
                            <w:pStyle w:val="Referentiegegevensbold"/>
                          </w:pPr>
                          <w:r>
                            <w:t>Onze referentie</w:t>
                          </w:r>
                        </w:p>
                        <w:p w14:paraId="34A075AC" w14:textId="53E03E19" w:rsidR="00C066DD" w:rsidRDefault="0048366A">
                          <w:pPr>
                            <w:pStyle w:val="Referentiegegevens"/>
                          </w:pPr>
                          <w:r>
                            <w:t>7703930</w:t>
                          </w:r>
                        </w:p>
                      </w:txbxContent>
                    </wps:txbx>
                    <wps:bodyPr vert="horz" wrap="square" lIns="0" tIns="0" rIns="0" bIns="0" anchor="t" anchorCtr="0"/>
                  </wps:wsp>
                </a:graphicData>
              </a:graphic>
            </wp:anchor>
          </w:drawing>
        </mc:Choice>
        <mc:Fallback>
          <w:pict>
            <v:shape w14:anchorId="26CA07D0"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CDE0AD5" w14:textId="77777777" w:rsidR="00C066DD" w:rsidRPr="0048366A" w:rsidRDefault="008B1A77">
                    <w:pPr>
                      <w:pStyle w:val="Referentiegegevens"/>
                      <w:rPr>
                        <w:lang w:val="de-DE"/>
                      </w:rPr>
                    </w:pPr>
                    <w:proofErr w:type="spellStart"/>
                    <w:r w:rsidRPr="0048366A">
                      <w:rPr>
                        <w:lang w:val="de-DE"/>
                      </w:rPr>
                      <w:t>Turfmarkt</w:t>
                    </w:r>
                    <w:proofErr w:type="spellEnd"/>
                    <w:r w:rsidRPr="0048366A">
                      <w:rPr>
                        <w:lang w:val="de-DE"/>
                      </w:rPr>
                      <w:t xml:space="preserve"> 147</w:t>
                    </w:r>
                  </w:p>
                  <w:p w14:paraId="6D528436" w14:textId="77777777" w:rsidR="00C066DD" w:rsidRPr="0048366A" w:rsidRDefault="008B1A77">
                    <w:pPr>
                      <w:pStyle w:val="Referentiegegevens"/>
                      <w:rPr>
                        <w:lang w:val="de-DE"/>
                      </w:rPr>
                    </w:pPr>
                    <w:r w:rsidRPr="0048366A">
                      <w:rPr>
                        <w:lang w:val="de-DE"/>
                      </w:rPr>
                      <w:t>2511 DP  Den Haag</w:t>
                    </w:r>
                  </w:p>
                  <w:p w14:paraId="11A70F1F" w14:textId="77777777" w:rsidR="00C066DD" w:rsidRPr="0048366A" w:rsidRDefault="008B1A77">
                    <w:pPr>
                      <w:pStyle w:val="Referentiegegevens"/>
                      <w:rPr>
                        <w:lang w:val="de-DE"/>
                      </w:rPr>
                    </w:pPr>
                    <w:r w:rsidRPr="0048366A">
                      <w:rPr>
                        <w:lang w:val="de-DE"/>
                      </w:rPr>
                      <w:t>Postbus 20301</w:t>
                    </w:r>
                  </w:p>
                  <w:p w14:paraId="50FBC358" w14:textId="77777777" w:rsidR="00C066DD" w:rsidRPr="0048366A" w:rsidRDefault="008B1A77">
                    <w:pPr>
                      <w:pStyle w:val="Referentiegegevens"/>
                      <w:rPr>
                        <w:lang w:val="de-DE"/>
                      </w:rPr>
                    </w:pPr>
                    <w:r w:rsidRPr="0048366A">
                      <w:rPr>
                        <w:lang w:val="de-DE"/>
                      </w:rPr>
                      <w:t>2500 EH  Den Haag</w:t>
                    </w:r>
                  </w:p>
                  <w:p w14:paraId="6581F1D1" w14:textId="77777777" w:rsidR="00C066DD" w:rsidRPr="0048366A" w:rsidRDefault="008B1A77">
                    <w:pPr>
                      <w:pStyle w:val="Referentiegegevens"/>
                      <w:rPr>
                        <w:lang w:val="de-DE"/>
                      </w:rPr>
                    </w:pPr>
                    <w:r w:rsidRPr="0048366A">
                      <w:rPr>
                        <w:lang w:val="de-DE"/>
                      </w:rPr>
                      <w:t>www.rijksoverheid.nl/jenv</w:t>
                    </w:r>
                  </w:p>
                  <w:p w14:paraId="4526B984" w14:textId="77777777" w:rsidR="00C066DD" w:rsidRPr="0048366A" w:rsidRDefault="00C066DD">
                    <w:pPr>
                      <w:pStyle w:val="WitregelW1"/>
                      <w:rPr>
                        <w:lang w:val="de-DE"/>
                      </w:rPr>
                    </w:pPr>
                  </w:p>
                  <w:p w14:paraId="1F54F609" w14:textId="77777777" w:rsidR="005236F5" w:rsidRDefault="005236F5">
                    <w:pPr>
                      <w:pStyle w:val="Referentiegegevensbold"/>
                    </w:pPr>
                  </w:p>
                  <w:p w14:paraId="642ADE5D" w14:textId="77777777" w:rsidR="005236F5" w:rsidRDefault="005236F5">
                    <w:pPr>
                      <w:pStyle w:val="Referentiegegevensbold"/>
                    </w:pPr>
                  </w:p>
                  <w:p w14:paraId="5FDEA9C6" w14:textId="77777777" w:rsidR="005236F5" w:rsidRDefault="005236F5">
                    <w:pPr>
                      <w:pStyle w:val="Referentiegegevensbold"/>
                    </w:pPr>
                  </w:p>
                  <w:p w14:paraId="08A1DCDD" w14:textId="77777777" w:rsidR="005236F5" w:rsidRDefault="005236F5">
                    <w:pPr>
                      <w:pStyle w:val="Referentiegegevensbold"/>
                    </w:pPr>
                  </w:p>
                  <w:p w14:paraId="79A7C794" w14:textId="7C23E8AB" w:rsidR="00C066DD" w:rsidRDefault="008B1A77">
                    <w:pPr>
                      <w:pStyle w:val="Referentiegegevensbold"/>
                    </w:pPr>
                    <w:r>
                      <w:t>Onze referentie</w:t>
                    </w:r>
                  </w:p>
                  <w:p w14:paraId="34A075AC" w14:textId="53E03E19" w:rsidR="00C066DD" w:rsidRDefault="0048366A">
                    <w:pPr>
                      <w:pStyle w:val="Referentiegegevens"/>
                    </w:pPr>
                    <w:r>
                      <w:t>7703930</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72416C7" wp14:editId="1E8AC58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134C46" w14:textId="77777777" w:rsidR="00C066DD" w:rsidRDefault="008B1A77">
                          <w:pPr>
                            <w:pStyle w:val="Referentiegegevens"/>
                          </w:pPr>
                          <w:r>
                            <w:t xml:space="preserve">Pagina </w:t>
                          </w:r>
                          <w:r>
                            <w:fldChar w:fldCharType="begin"/>
                          </w:r>
                          <w:r>
                            <w:instrText>PAGE</w:instrText>
                          </w:r>
                          <w:r>
                            <w:fldChar w:fldCharType="separate"/>
                          </w:r>
                          <w:r w:rsidR="00FC79FC">
                            <w:rPr>
                              <w:noProof/>
                            </w:rPr>
                            <w:t>1</w:t>
                          </w:r>
                          <w:r>
                            <w:fldChar w:fldCharType="end"/>
                          </w:r>
                          <w:r>
                            <w:t xml:space="preserve"> van </w:t>
                          </w:r>
                          <w:r>
                            <w:fldChar w:fldCharType="begin"/>
                          </w:r>
                          <w:r>
                            <w:instrText>NUMPAGES</w:instrText>
                          </w:r>
                          <w:r>
                            <w:fldChar w:fldCharType="separate"/>
                          </w:r>
                          <w:r w:rsidR="00FC79FC">
                            <w:rPr>
                              <w:noProof/>
                            </w:rPr>
                            <w:t>1</w:t>
                          </w:r>
                          <w:r>
                            <w:fldChar w:fldCharType="end"/>
                          </w:r>
                        </w:p>
                      </w:txbxContent>
                    </wps:txbx>
                    <wps:bodyPr vert="horz" wrap="square" lIns="0" tIns="0" rIns="0" bIns="0" anchor="t" anchorCtr="0"/>
                  </wps:wsp>
                </a:graphicData>
              </a:graphic>
            </wp:anchor>
          </w:drawing>
        </mc:Choice>
        <mc:Fallback>
          <w:pict>
            <v:shape w14:anchorId="572416C7"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6134C46" w14:textId="77777777" w:rsidR="00C066DD" w:rsidRDefault="008B1A77">
                    <w:pPr>
                      <w:pStyle w:val="Referentiegegevens"/>
                    </w:pPr>
                    <w:r>
                      <w:t xml:space="preserve">Pagina </w:t>
                    </w:r>
                    <w:r>
                      <w:fldChar w:fldCharType="begin"/>
                    </w:r>
                    <w:r>
                      <w:instrText>PAGE</w:instrText>
                    </w:r>
                    <w:r>
                      <w:fldChar w:fldCharType="separate"/>
                    </w:r>
                    <w:r w:rsidR="00FC79FC">
                      <w:rPr>
                        <w:noProof/>
                      </w:rPr>
                      <w:t>1</w:t>
                    </w:r>
                    <w:r>
                      <w:fldChar w:fldCharType="end"/>
                    </w:r>
                    <w:r>
                      <w:t xml:space="preserve"> van </w:t>
                    </w:r>
                    <w:r>
                      <w:fldChar w:fldCharType="begin"/>
                    </w:r>
                    <w:r>
                      <w:instrText>NUMPAGES</w:instrText>
                    </w:r>
                    <w:r>
                      <w:fldChar w:fldCharType="separate"/>
                    </w:r>
                    <w:r w:rsidR="00FC79FC">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CC9BCB1" wp14:editId="72589F8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AA2522" w14:textId="77777777" w:rsidR="008B1A77" w:rsidRDefault="008B1A77"/>
                      </w:txbxContent>
                    </wps:txbx>
                    <wps:bodyPr vert="horz" wrap="square" lIns="0" tIns="0" rIns="0" bIns="0" anchor="t" anchorCtr="0"/>
                  </wps:wsp>
                </a:graphicData>
              </a:graphic>
            </wp:anchor>
          </w:drawing>
        </mc:Choice>
        <mc:Fallback>
          <w:pict>
            <v:shape w14:anchorId="4CC9BCB1"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2AA2522" w14:textId="77777777" w:rsidR="008B1A77" w:rsidRDefault="008B1A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AF005B"/>
    <w:multiLevelType w:val="multilevel"/>
    <w:tmpl w:val="28E786F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98025ED"/>
    <w:multiLevelType w:val="multilevel"/>
    <w:tmpl w:val="DC97005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6DE1213"/>
    <w:multiLevelType w:val="multilevel"/>
    <w:tmpl w:val="63711B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926BACF"/>
    <w:multiLevelType w:val="multilevel"/>
    <w:tmpl w:val="31CFE99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F163A72"/>
    <w:multiLevelType w:val="hybridMultilevel"/>
    <w:tmpl w:val="E39EB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3848136">
    <w:abstractNumId w:val="3"/>
  </w:num>
  <w:num w:numId="2" w16cid:durableId="1740790492">
    <w:abstractNumId w:val="2"/>
  </w:num>
  <w:num w:numId="3" w16cid:durableId="2107843376">
    <w:abstractNumId w:val="0"/>
  </w:num>
  <w:num w:numId="4" w16cid:durableId="862354883">
    <w:abstractNumId w:val="1"/>
  </w:num>
  <w:num w:numId="5" w16cid:durableId="1771394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DD"/>
    <w:rsid w:val="00024C30"/>
    <w:rsid w:val="00073069"/>
    <w:rsid w:val="000A076F"/>
    <w:rsid w:val="00110B32"/>
    <w:rsid w:val="001130E7"/>
    <w:rsid w:val="00147A7A"/>
    <w:rsid w:val="00161350"/>
    <w:rsid w:val="001674B8"/>
    <w:rsid w:val="001A2B53"/>
    <w:rsid w:val="001B139A"/>
    <w:rsid w:val="001C6B09"/>
    <w:rsid w:val="001E7BE7"/>
    <w:rsid w:val="002438A8"/>
    <w:rsid w:val="00253A48"/>
    <w:rsid w:val="00260FBE"/>
    <w:rsid w:val="002D1307"/>
    <w:rsid w:val="002F4065"/>
    <w:rsid w:val="003146F4"/>
    <w:rsid w:val="00337CF6"/>
    <w:rsid w:val="00341F1B"/>
    <w:rsid w:val="00344FE2"/>
    <w:rsid w:val="00374769"/>
    <w:rsid w:val="003A5B6B"/>
    <w:rsid w:val="003A5B90"/>
    <w:rsid w:val="003B02C7"/>
    <w:rsid w:val="003D0906"/>
    <w:rsid w:val="003F604D"/>
    <w:rsid w:val="00424345"/>
    <w:rsid w:val="0046478F"/>
    <w:rsid w:val="00471E25"/>
    <w:rsid w:val="0048366A"/>
    <w:rsid w:val="00483CDC"/>
    <w:rsid w:val="00484C00"/>
    <w:rsid w:val="004C26D9"/>
    <w:rsid w:val="004F5CC7"/>
    <w:rsid w:val="0050004A"/>
    <w:rsid w:val="00501E17"/>
    <w:rsid w:val="005236F5"/>
    <w:rsid w:val="00546F4A"/>
    <w:rsid w:val="00560D6C"/>
    <w:rsid w:val="00563EC8"/>
    <w:rsid w:val="005672F3"/>
    <w:rsid w:val="00567DF9"/>
    <w:rsid w:val="0057307B"/>
    <w:rsid w:val="00576527"/>
    <w:rsid w:val="0058696D"/>
    <w:rsid w:val="005C45D6"/>
    <w:rsid w:val="005E333A"/>
    <w:rsid w:val="00602744"/>
    <w:rsid w:val="00617555"/>
    <w:rsid w:val="006277AA"/>
    <w:rsid w:val="00641FA4"/>
    <w:rsid w:val="00661BBF"/>
    <w:rsid w:val="00680CB0"/>
    <w:rsid w:val="006C2033"/>
    <w:rsid w:val="007300CF"/>
    <w:rsid w:val="00731C18"/>
    <w:rsid w:val="007454D3"/>
    <w:rsid w:val="007A14A8"/>
    <w:rsid w:val="007F0AB1"/>
    <w:rsid w:val="007F4681"/>
    <w:rsid w:val="008423E5"/>
    <w:rsid w:val="00854FBD"/>
    <w:rsid w:val="008A591B"/>
    <w:rsid w:val="008B1A77"/>
    <w:rsid w:val="008F12A4"/>
    <w:rsid w:val="008F1942"/>
    <w:rsid w:val="00902174"/>
    <w:rsid w:val="00933DA8"/>
    <w:rsid w:val="00965FF5"/>
    <w:rsid w:val="00971457"/>
    <w:rsid w:val="009933CA"/>
    <w:rsid w:val="009A370A"/>
    <w:rsid w:val="009A74BE"/>
    <w:rsid w:val="009E11A7"/>
    <w:rsid w:val="00A039D7"/>
    <w:rsid w:val="00A565FD"/>
    <w:rsid w:val="00AB5C15"/>
    <w:rsid w:val="00AC2745"/>
    <w:rsid w:val="00AE0AC2"/>
    <w:rsid w:val="00AF333C"/>
    <w:rsid w:val="00AF3BDB"/>
    <w:rsid w:val="00B21ACD"/>
    <w:rsid w:val="00B353EC"/>
    <w:rsid w:val="00B453F1"/>
    <w:rsid w:val="00B84265"/>
    <w:rsid w:val="00B92E49"/>
    <w:rsid w:val="00B9518E"/>
    <w:rsid w:val="00BE2ED6"/>
    <w:rsid w:val="00BF22FE"/>
    <w:rsid w:val="00BF5558"/>
    <w:rsid w:val="00C066DD"/>
    <w:rsid w:val="00C223EF"/>
    <w:rsid w:val="00C343DF"/>
    <w:rsid w:val="00C41C6E"/>
    <w:rsid w:val="00C43F25"/>
    <w:rsid w:val="00C45CD3"/>
    <w:rsid w:val="00C728BD"/>
    <w:rsid w:val="00C94035"/>
    <w:rsid w:val="00C977CD"/>
    <w:rsid w:val="00CD0BD7"/>
    <w:rsid w:val="00D00EF9"/>
    <w:rsid w:val="00D0578B"/>
    <w:rsid w:val="00D30771"/>
    <w:rsid w:val="00D366F4"/>
    <w:rsid w:val="00D46370"/>
    <w:rsid w:val="00D50959"/>
    <w:rsid w:val="00DC43BA"/>
    <w:rsid w:val="00DC4FBE"/>
    <w:rsid w:val="00E25D33"/>
    <w:rsid w:val="00E62338"/>
    <w:rsid w:val="00E82B4E"/>
    <w:rsid w:val="00EB065B"/>
    <w:rsid w:val="00EB1111"/>
    <w:rsid w:val="00EC61C9"/>
    <w:rsid w:val="00ED0172"/>
    <w:rsid w:val="00EE458A"/>
    <w:rsid w:val="00EF7EA4"/>
    <w:rsid w:val="00F25138"/>
    <w:rsid w:val="00F42274"/>
    <w:rsid w:val="00FA70D4"/>
    <w:rsid w:val="00FC2992"/>
    <w:rsid w:val="00FC4896"/>
    <w:rsid w:val="00FC79FC"/>
    <w:rsid w:val="00FE6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1D11E"/>
  <w15:docId w15:val="{3C1ECA47-2BE8-41C3-A7AC-CBDD7708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422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2274"/>
    <w:rPr>
      <w:rFonts w:ascii="Verdana" w:hAnsi="Verdana"/>
      <w:color w:val="000000"/>
      <w:sz w:val="18"/>
      <w:szCs w:val="18"/>
    </w:rPr>
  </w:style>
  <w:style w:type="paragraph" w:styleId="Voettekst">
    <w:name w:val="footer"/>
    <w:basedOn w:val="Standaard"/>
    <w:link w:val="VoettekstChar"/>
    <w:uiPriority w:val="99"/>
    <w:unhideWhenUsed/>
    <w:rsid w:val="00F422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42274"/>
    <w:rPr>
      <w:rFonts w:ascii="Verdana" w:hAnsi="Verdana"/>
      <w:color w:val="000000"/>
      <w:sz w:val="18"/>
      <w:szCs w:val="18"/>
    </w:rPr>
  </w:style>
  <w:style w:type="paragraph" w:styleId="Lijstalinea">
    <w:name w:val="List Paragraph"/>
    <w:basedOn w:val="Standaard"/>
    <w:uiPriority w:val="34"/>
    <w:semiHidden/>
    <w:rsid w:val="001A2B53"/>
    <w:pPr>
      <w:ind w:left="720"/>
      <w:contextualSpacing/>
    </w:pPr>
  </w:style>
  <w:style w:type="character" w:styleId="Voetnootmarkering">
    <w:name w:val="footnote reference"/>
    <w:basedOn w:val="Standaardalinea-lettertype"/>
    <w:uiPriority w:val="99"/>
    <w:semiHidden/>
    <w:unhideWhenUsed/>
    <w:rsid w:val="00147A7A"/>
    <w:rPr>
      <w:vertAlign w:val="superscript"/>
    </w:rPr>
  </w:style>
  <w:style w:type="character" w:styleId="Verwijzingopmerking">
    <w:name w:val="annotation reference"/>
    <w:basedOn w:val="Standaardalinea-lettertype"/>
    <w:uiPriority w:val="99"/>
    <w:semiHidden/>
    <w:unhideWhenUsed/>
    <w:rsid w:val="00641FA4"/>
    <w:rPr>
      <w:sz w:val="16"/>
      <w:szCs w:val="16"/>
    </w:rPr>
  </w:style>
  <w:style w:type="paragraph" w:styleId="Tekstopmerking">
    <w:name w:val="annotation text"/>
    <w:basedOn w:val="Standaard"/>
    <w:link w:val="TekstopmerkingChar"/>
    <w:uiPriority w:val="99"/>
    <w:unhideWhenUsed/>
    <w:rsid w:val="00641FA4"/>
    <w:pPr>
      <w:spacing w:line="240" w:lineRule="auto"/>
    </w:pPr>
    <w:rPr>
      <w:sz w:val="20"/>
      <w:szCs w:val="20"/>
    </w:rPr>
  </w:style>
  <w:style w:type="character" w:customStyle="1" w:styleId="TekstopmerkingChar">
    <w:name w:val="Tekst opmerking Char"/>
    <w:basedOn w:val="Standaardalinea-lettertype"/>
    <w:link w:val="Tekstopmerking"/>
    <w:uiPriority w:val="99"/>
    <w:rsid w:val="00641FA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41FA4"/>
    <w:rPr>
      <w:b/>
      <w:bCs/>
    </w:rPr>
  </w:style>
  <w:style w:type="character" w:customStyle="1" w:styleId="OnderwerpvanopmerkingChar">
    <w:name w:val="Onderwerp van opmerking Char"/>
    <w:basedOn w:val="TekstopmerkingChar"/>
    <w:link w:val="Onderwerpvanopmerking"/>
    <w:uiPriority w:val="99"/>
    <w:semiHidden/>
    <w:rsid w:val="00641FA4"/>
    <w:rPr>
      <w:rFonts w:ascii="Verdana" w:hAnsi="Verdana"/>
      <w:b/>
      <w:bCs/>
      <w:color w:val="000000"/>
    </w:rPr>
  </w:style>
  <w:style w:type="paragraph" w:styleId="Revisie">
    <w:name w:val="Revision"/>
    <w:hidden/>
    <w:uiPriority w:val="99"/>
    <w:semiHidden/>
    <w:rsid w:val="00FA70D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876</ap:Words>
  <ap:Characters>4818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2026-06-30T13:50:00.0000000Z</lastPrinted>
  <dcterms:created xsi:type="dcterms:W3CDTF">2026-06-30T13:38:00.0000000Z</dcterms:created>
  <dcterms:modified xsi:type="dcterms:W3CDTF">2026-06-30T13:51:00.0000000Z</dcterms:modified>
  <dc:description>------------------------</dc:description>
  <dc:subject/>
  <keywords/>
  <version/>
  <category/>
</coreProperties>
</file>