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405010" w:rsidRDefault="00021A49" w14:paraId="3F39A68D" w14:textId="2B0E8194">
      <w:pPr>
        <w:spacing w:line="276" w:lineRule="auto"/>
        <w:contextualSpacing/>
        <w:rPr>
          <w:b/>
          <w:szCs w:val="18"/>
          <w:lang w:val="nl-NL"/>
        </w:rPr>
      </w:pPr>
      <w:bookmarkStart w:name="_Hlk108774585" w:id="0"/>
      <w:r>
        <w:rPr>
          <w:b/>
          <w:szCs w:val="18"/>
          <w:lang w:val="nl-NL"/>
        </w:rPr>
        <w:t xml:space="preserve">GEANNOTEERDE AGENDA RAAD </w:t>
      </w:r>
      <w:r w:rsidR="00E6324F">
        <w:rPr>
          <w:b/>
          <w:szCs w:val="18"/>
          <w:lang w:val="nl-NL"/>
        </w:rPr>
        <w:t xml:space="preserve">ALGEMENE </w:t>
      </w:r>
      <w:r>
        <w:rPr>
          <w:b/>
          <w:szCs w:val="18"/>
          <w:lang w:val="nl-NL"/>
        </w:rPr>
        <w:t xml:space="preserve">ZAKEN VAN </w:t>
      </w:r>
      <w:r w:rsidR="00E41ED0">
        <w:rPr>
          <w:b/>
          <w:szCs w:val="18"/>
          <w:lang w:val="nl-NL"/>
        </w:rPr>
        <w:t>14</w:t>
      </w:r>
      <w:r>
        <w:rPr>
          <w:b/>
          <w:szCs w:val="18"/>
          <w:lang w:val="nl-NL"/>
        </w:rPr>
        <w:t xml:space="preserve"> </w:t>
      </w:r>
      <w:r w:rsidR="00E41ED0">
        <w:rPr>
          <w:b/>
          <w:szCs w:val="18"/>
          <w:lang w:val="nl-NL"/>
        </w:rPr>
        <w:t>juli</w:t>
      </w:r>
      <w:r>
        <w:rPr>
          <w:b/>
          <w:szCs w:val="18"/>
          <w:lang w:val="nl-NL"/>
        </w:rPr>
        <w:t xml:space="preserve"> </w:t>
      </w:r>
      <w:r w:rsidR="00E41ED0">
        <w:rPr>
          <w:b/>
          <w:szCs w:val="18"/>
          <w:lang w:val="nl-NL"/>
        </w:rPr>
        <w:t>2026</w:t>
      </w:r>
    </w:p>
    <w:p w:rsidR="00021A49" w:rsidP="00405010" w:rsidRDefault="00072F2C" w14:paraId="0D4D1594" w14:textId="67E33D30">
      <w:pPr>
        <w:spacing w:line="276" w:lineRule="auto"/>
        <w:contextualSpacing/>
        <w:rPr>
          <w:szCs w:val="18"/>
          <w:lang w:val="nl-NL" w:eastAsia="ja-JP"/>
        </w:rPr>
      </w:pPr>
      <w:r>
        <w:rPr>
          <w:szCs w:val="18"/>
          <w:lang w:val="nl-NL" w:eastAsia="ja-JP"/>
        </w:rPr>
        <w:t>De Raad Algemene Zaken</w:t>
      </w:r>
      <w:r w:rsidR="000907DC">
        <w:rPr>
          <w:szCs w:val="18"/>
          <w:lang w:val="nl-NL" w:eastAsia="ja-JP"/>
        </w:rPr>
        <w:t xml:space="preserve"> (RAZ)</w:t>
      </w:r>
      <w:r>
        <w:rPr>
          <w:szCs w:val="18"/>
          <w:lang w:val="nl-NL" w:eastAsia="ja-JP"/>
        </w:rPr>
        <w:t xml:space="preserve"> vindt plaats op dinsdag 14 juli in Brussel. </w:t>
      </w:r>
      <w:r w:rsidR="00C9046B">
        <w:rPr>
          <w:szCs w:val="18"/>
          <w:lang w:val="nl-NL" w:eastAsia="ja-JP"/>
        </w:rPr>
        <w:t>Op de agenda staan het Meerjarig Financieel Kader (MFK)</w:t>
      </w:r>
      <w:r w:rsidR="00B331A5">
        <w:rPr>
          <w:szCs w:val="18"/>
          <w:lang w:val="nl-NL" w:eastAsia="ja-JP"/>
        </w:rPr>
        <w:t xml:space="preserve">, de prioriteiten van het Ierse voorzitterschap, </w:t>
      </w:r>
      <w:r w:rsidR="00707041">
        <w:rPr>
          <w:szCs w:val="18"/>
          <w:lang w:val="nl-NL" w:eastAsia="ja-JP"/>
        </w:rPr>
        <w:t xml:space="preserve">en </w:t>
      </w:r>
      <w:r w:rsidR="002029AE">
        <w:rPr>
          <w:szCs w:val="18"/>
          <w:lang w:val="nl-NL" w:eastAsia="ja-JP"/>
        </w:rPr>
        <w:t>de omnibus versimpeling regelgeving</w:t>
      </w:r>
      <w:r w:rsidR="00707041">
        <w:rPr>
          <w:szCs w:val="18"/>
          <w:lang w:val="nl-NL" w:eastAsia="ja-JP"/>
        </w:rPr>
        <w:t xml:space="preserve">. Tevens informeert het kabinet middels deze brief de Kamer over hoofdstukken in de Montenegrijnse en Albanese toetredingsprocessen die onder voorbehoud gesloten worden. </w:t>
      </w:r>
    </w:p>
    <w:p w:rsidRPr="00A26844" w:rsidR="00021A49" w:rsidP="00405010" w:rsidRDefault="00021A49" w14:paraId="61417BA5" w14:textId="77777777">
      <w:pPr>
        <w:spacing w:line="276" w:lineRule="auto"/>
        <w:contextualSpacing/>
        <w:rPr>
          <w:szCs w:val="18"/>
          <w:lang w:val="nl-NL" w:eastAsia="ja-JP"/>
        </w:rPr>
      </w:pPr>
    </w:p>
    <w:bookmarkEnd w:id="0"/>
    <w:p w:rsidRPr="003039DD" w:rsidR="00F27E16" w:rsidP="00405010" w:rsidRDefault="00EA3A2D" w14:paraId="7D87C128" w14:textId="4268ACB4">
      <w:pPr>
        <w:spacing w:line="276" w:lineRule="auto"/>
        <w:contextualSpacing/>
        <w:rPr>
          <w:rFonts w:cs="Times New Roman"/>
          <w:b/>
          <w:bCs/>
          <w:szCs w:val="18"/>
          <w:lang w:val="nl-NL" w:eastAsia="ja-JP"/>
        </w:rPr>
      </w:pPr>
      <w:r w:rsidRPr="003039DD">
        <w:rPr>
          <w:rFonts w:cs="Times New Roman"/>
          <w:b/>
          <w:bCs/>
          <w:szCs w:val="18"/>
          <w:lang w:val="nl-NL" w:eastAsia="ja-JP"/>
        </w:rPr>
        <w:t>MFK</w:t>
      </w:r>
    </w:p>
    <w:p w:rsidRPr="003050F6" w:rsidR="003050F6" w:rsidP="00405010" w:rsidRDefault="00C524D1" w14:paraId="0E806D6D" w14:textId="7CA3FC77">
      <w:pPr>
        <w:spacing w:line="276" w:lineRule="auto"/>
        <w:contextualSpacing/>
        <w:rPr>
          <w:rFonts w:cs="Times New Roman"/>
          <w:szCs w:val="18"/>
          <w:lang w:val="nl-NL" w:eastAsia="ja-JP"/>
        </w:rPr>
      </w:pPr>
      <w:bookmarkStart w:name="_Hlk233200313" w:id="1"/>
      <w:r>
        <w:rPr>
          <w:rFonts w:cs="Times New Roman"/>
          <w:szCs w:val="18"/>
          <w:lang w:val="nl-NL" w:eastAsia="ja-JP"/>
        </w:rPr>
        <w:t>Het Ierse voorzitterschap zal de</w:t>
      </w:r>
      <w:r w:rsidRPr="00EA3A2D" w:rsidR="00EA3A2D">
        <w:rPr>
          <w:rFonts w:cs="Times New Roman"/>
          <w:szCs w:val="18"/>
          <w:lang w:val="nl-NL" w:eastAsia="ja-JP"/>
        </w:rPr>
        <w:t xml:space="preserve"> Raad </w:t>
      </w:r>
      <w:r w:rsidR="007007CB">
        <w:rPr>
          <w:rFonts w:cs="Times New Roman"/>
          <w:szCs w:val="18"/>
          <w:lang w:val="nl-NL" w:eastAsia="ja-JP"/>
        </w:rPr>
        <w:t>informeren</w:t>
      </w:r>
      <w:r w:rsidRPr="00EA3A2D" w:rsidR="00EA3A2D">
        <w:rPr>
          <w:rFonts w:cs="Times New Roman"/>
          <w:szCs w:val="18"/>
          <w:lang w:val="nl-NL" w:eastAsia="ja-JP"/>
        </w:rPr>
        <w:t xml:space="preserve"> over de voortgang van de werkzaamheden met betrekking tot het MFK 2028–2034. </w:t>
      </w:r>
      <w:r w:rsidRPr="003050F6" w:rsidR="003050F6">
        <w:rPr>
          <w:rFonts w:cs="Times New Roman"/>
          <w:szCs w:val="18"/>
          <w:lang w:val="nl-NL" w:eastAsia="ja-JP"/>
        </w:rPr>
        <w:t>Het kabinet zet</w:t>
      </w:r>
      <w:r w:rsidR="009F1080">
        <w:rPr>
          <w:rFonts w:cs="Times New Roman"/>
          <w:szCs w:val="18"/>
          <w:lang w:val="nl-NL" w:eastAsia="ja-JP"/>
        </w:rPr>
        <w:t xml:space="preserve"> </w:t>
      </w:r>
      <w:r w:rsidR="00ED112F">
        <w:rPr>
          <w:rFonts w:cs="Times New Roman"/>
          <w:szCs w:val="18"/>
          <w:lang w:val="nl-NL" w:eastAsia="ja-JP"/>
        </w:rPr>
        <w:t>tijdens</w:t>
      </w:r>
      <w:r w:rsidR="009F1080">
        <w:rPr>
          <w:rFonts w:cs="Times New Roman"/>
          <w:szCs w:val="18"/>
          <w:lang w:val="nl-NL" w:eastAsia="ja-JP"/>
        </w:rPr>
        <w:t xml:space="preserve"> de </w:t>
      </w:r>
      <w:r w:rsidR="002E36A3">
        <w:rPr>
          <w:rFonts w:cs="Times New Roman"/>
          <w:szCs w:val="18"/>
          <w:lang w:val="nl-NL" w:eastAsia="ja-JP"/>
        </w:rPr>
        <w:t>MFK-</w:t>
      </w:r>
      <w:r w:rsidR="009F1080">
        <w:rPr>
          <w:rFonts w:cs="Times New Roman"/>
          <w:szCs w:val="18"/>
          <w:lang w:val="nl-NL" w:eastAsia="ja-JP"/>
        </w:rPr>
        <w:t xml:space="preserve">onderhandelingen </w:t>
      </w:r>
      <w:r w:rsidRPr="003050F6" w:rsidR="003050F6">
        <w:rPr>
          <w:rFonts w:cs="Times New Roman"/>
          <w:szCs w:val="18"/>
          <w:lang w:val="nl-NL" w:eastAsia="ja-JP"/>
        </w:rPr>
        <w:t>in op het beperken van de stijging van de EU-afdrachten en modernisering van het MFK, conform de geformuleerde inzet in de meest recente MFK</w:t>
      </w:r>
      <w:r w:rsidR="00990E0C">
        <w:rPr>
          <w:rFonts w:cs="Times New Roman"/>
          <w:szCs w:val="18"/>
          <w:lang w:val="nl-NL" w:eastAsia="ja-JP"/>
        </w:rPr>
        <w:t>-</w:t>
      </w:r>
      <w:r w:rsidRPr="003050F6" w:rsidR="003050F6">
        <w:rPr>
          <w:rFonts w:cs="Times New Roman"/>
          <w:szCs w:val="18"/>
          <w:lang w:val="nl-NL" w:eastAsia="ja-JP"/>
        </w:rPr>
        <w:t>brief.</w:t>
      </w:r>
      <w:r w:rsidRPr="003050F6" w:rsidR="003050F6">
        <w:rPr>
          <w:rFonts w:cs="Times New Roman"/>
          <w:szCs w:val="18"/>
          <w:vertAlign w:val="superscript"/>
          <w:lang w:val="nl-NL" w:eastAsia="ja-JP"/>
        </w:rPr>
        <w:footnoteReference w:id="1"/>
      </w:r>
      <w:r w:rsidRPr="003050F6" w:rsidR="003050F6">
        <w:rPr>
          <w:rFonts w:cs="Times New Roman"/>
          <w:szCs w:val="18"/>
          <w:lang w:val="nl-NL" w:eastAsia="ja-JP"/>
        </w:rPr>
        <w:t xml:space="preserve"> </w:t>
      </w:r>
      <w:r w:rsidR="00ED112F">
        <w:rPr>
          <w:rFonts w:cs="Times New Roman"/>
          <w:szCs w:val="18"/>
          <w:lang w:val="nl-NL" w:eastAsia="ja-JP"/>
        </w:rPr>
        <w:t xml:space="preserve">Het Ierse voorzitterschap heeft de ambitie uitgesproken om in de Europese Raad overeenstemming te bereiken over het volgend MFK voor het einde van dit jaar. Voor het kabinet geldt dat de inhoud belangrijker is dan de snelheid van de onderhandelingen. </w:t>
      </w:r>
    </w:p>
    <w:p w:rsidR="00EA3A2D" w:rsidP="00405010" w:rsidRDefault="00EA3A2D" w14:paraId="01582CBB" w14:textId="77777777">
      <w:pPr>
        <w:spacing w:line="276" w:lineRule="auto"/>
        <w:contextualSpacing/>
        <w:rPr>
          <w:rFonts w:cs="Times New Roman"/>
          <w:szCs w:val="18"/>
          <w:lang w:val="nl-NL" w:eastAsia="ja-JP"/>
        </w:rPr>
      </w:pPr>
    </w:p>
    <w:p w:rsidR="00DE79A0" w:rsidP="00405010" w:rsidRDefault="00EA3A2D" w14:paraId="3A1AC7C0" w14:textId="77777777">
      <w:pPr>
        <w:spacing w:line="276" w:lineRule="auto"/>
        <w:contextualSpacing/>
        <w:rPr>
          <w:rFonts w:cs="Times New Roman"/>
          <w:szCs w:val="18"/>
          <w:lang w:val="nl-NL" w:eastAsia="ja-JP"/>
        </w:rPr>
      </w:pPr>
      <w:r>
        <w:rPr>
          <w:rFonts w:cs="Times New Roman"/>
          <w:szCs w:val="18"/>
          <w:lang w:val="nl-NL" w:eastAsia="ja-JP"/>
        </w:rPr>
        <w:t>Op 2</w:t>
      </w:r>
      <w:r w:rsidR="004735AA">
        <w:rPr>
          <w:rFonts w:cs="Times New Roman"/>
          <w:szCs w:val="18"/>
          <w:lang w:val="nl-NL" w:eastAsia="ja-JP"/>
        </w:rPr>
        <w:t>6</w:t>
      </w:r>
      <w:r>
        <w:rPr>
          <w:rFonts w:cs="Times New Roman"/>
          <w:szCs w:val="18"/>
          <w:lang w:val="nl-NL" w:eastAsia="ja-JP"/>
        </w:rPr>
        <w:t xml:space="preserve"> juni </w:t>
      </w:r>
      <w:r w:rsidR="001417AE">
        <w:rPr>
          <w:rFonts w:cs="Times New Roman"/>
          <w:szCs w:val="18"/>
          <w:lang w:val="nl-NL" w:eastAsia="ja-JP"/>
        </w:rPr>
        <w:t xml:space="preserve">jl. </w:t>
      </w:r>
      <w:r>
        <w:rPr>
          <w:rFonts w:cs="Times New Roman"/>
          <w:szCs w:val="18"/>
          <w:lang w:val="nl-NL" w:eastAsia="ja-JP"/>
        </w:rPr>
        <w:t xml:space="preserve">is in </w:t>
      </w:r>
      <w:proofErr w:type="spellStart"/>
      <w:r>
        <w:rPr>
          <w:rFonts w:cs="Times New Roman"/>
          <w:szCs w:val="18"/>
          <w:lang w:val="nl-NL" w:eastAsia="ja-JP"/>
        </w:rPr>
        <w:t>Coreper</w:t>
      </w:r>
      <w:proofErr w:type="spellEnd"/>
      <w:r>
        <w:rPr>
          <w:rFonts w:cs="Times New Roman"/>
          <w:szCs w:val="18"/>
          <w:lang w:val="nl-NL" w:eastAsia="ja-JP"/>
        </w:rPr>
        <w:t xml:space="preserve"> een gedeeltelijke algemene </w:t>
      </w:r>
      <w:r w:rsidR="001417AE">
        <w:rPr>
          <w:rFonts w:cs="Times New Roman"/>
          <w:szCs w:val="18"/>
          <w:lang w:val="nl-NL" w:eastAsia="ja-JP"/>
        </w:rPr>
        <w:t>oriëntatie</w:t>
      </w:r>
      <w:r>
        <w:rPr>
          <w:rFonts w:cs="Times New Roman"/>
          <w:szCs w:val="18"/>
          <w:lang w:val="nl-NL" w:eastAsia="ja-JP"/>
        </w:rPr>
        <w:t xml:space="preserve"> (PGA) bereikt over het prestatiekader</w:t>
      </w:r>
      <w:r w:rsidR="00264CE8">
        <w:rPr>
          <w:rFonts w:cs="Times New Roman"/>
          <w:szCs w:val="18"/>
          <w:lang w:val="nl-NL" w:eastAsia="ja-JP"/>
        </w:rPr>
        <w:t xml:space="preserve">, het </w:t>
      </w:r>
      <w:r w:rsidR="00B01AA9">
        <w:rPr>
          <w:rFonts w:cs="Times New Roman"/>
          <w:szCs w:val="18"/>
          <w:lang w:val="nl-NL" w:eastAsia="ja-JP"/>
        </w:rPr>
        <w:t xml:space="preserve">kader </w:t>
      </w:r>
      <w:r w:rsidRPr="00482D59" w:rsidR="00BD7289">
        <w:rPr>
          <w:rFonts w:cs="Times New Roman"/>
          <w:szCs w:val="18"/>
          <w:lang w:val="nl-NL" w:eastAsia="ja-JP"/>
        </w:rPr>
        <w:t>voor het meten van de prestaties en uitgaven voor alle pijlers uit het</w:t>
      </w:r>
      <w:r w:rsidR="00BD7289">
        <w:rPr>
          <w:rFonts w:cs="Times New Roman"/>
          <w:szCs w:val="18"/>
          <w:lang w:val="nl-NL" w:eastAsia="ja-JP"/>
        </w:rPr>
        <w:t xml:space="preserve"> MFK</w:t>
      </w:r>
      <w:r w:rsidRPr="00482D59" w:rsidR="00BD7289">
        <w:rPr>
          <w:rFonts w:cs="Times New Roman"/>
          <w:szCs w:val="18"/>
          <w:lang w:val="nl-NL" w:eastAsia="ja-JP"/>
        </w:rPr>
        <w:t>.</w:t>
      </w:r>
      <w:r w:rsidR="00BD7289">
        <w:rPr>
          <w:rFonts w:cs="Times New Roman"/>
          <w:szCs w:val="18"/>
          <w:lang w:val="nl-NL" w:eastAsia="ja-JP"/>
        </w:rPr>
        <w:t xml:space="preserve"> </w:t>
      </w:r>
      <w:r w:rsidRPr="00EA3A2D">
        <w:rPr>
          <w:rFonts w:cs="Times New Roman"/>
          <w:szCs w:val="18"/>
          <w:lang w:val="nl-NL" w:eastAsia="ja-JP"/>
        </w:rPr>
        <w:t xml:space="preserve">Het doel van </w:t>
      </w:r>
      <w:r w:rsidR="00264CE8">
        <w:rPr>
          <w:rFonts w:cs="Times New Roman"/>
          <w:szCs w:val="18"/>
          <w:lang w:val="nl-NL" w:eastAsia="ja-JP"/>
        </w:rPr>
        <w:t>een</w:t>
      </w:r>
      <w:r w:rsidRPr="00EA3A2D">
        <w:rPr>
          <w:rFonts w:cs="Times New Roman"/>
          <w:szCs w:val="18"/>
          <w:lang w:val="nl-NL" w:eastAsia="ja-JP"/>
        </w:rPr>
        <w:t xml:space="preserve"> PGA is het voorlopige standpunt van de Raad vaststellen met betrekking tot bepaalde onderdelen van de </w:t>
      </w:r>
      <w:r w:rsidR="00E91A6D">
        <w:rPr>
          <w:rFonts w:cs="Times New Roman"/>
          <w:szCs w:val="18"/>
          <w:lang w:val="nl-NL" w:eastAsia="ja-JP"/>
        </w:rPr>
        <w:t>Commissie</w:t>
      </w:r>
      <w:r w:rsidRPr="00EA3A2D">
        <w:rPr>
          <w:rFonts w:cs="Times New Roman"/>
          <w:szCs w:val="18"/>
          <w:lang w:val="nl-NL" w:eastAsia="ja-JP"/>
        </w:rPr>
        <w:t xml:space="preserve">wetgevingsvoorstellen en om het formele onderhandelingsproces tussen de Commissie, de Raad en het Europees Parlement te versnellen en te vergemakkelijken. </w:t>
      </w:r>
      <w:r w:rsidR="008B51E1">
        <w:rPr>
          <w:rFonts w:cs="Times New Roman"/>
          <w:szCs w:val="18"/>
          <w:lang w:val="nl-NL" w:eastAsia="ja-JP"/>
        </w:rPr>
        <w:t>Het kabinet</w:t>
      </w:r>
      <w:r w:rsidRPr="00EA3A2D" w:rsidR="008B51E1">
        <w:rPr>
          <w:rFonts w:cs="Times New Roman"/>
          <w:szCs w:val="18"/>
          <w:lang w:val="nl-NL" w:eastAsia="ja-JP"/>
        </w:rPr>
        <w:t xml:space="preserve"> verwelkomt het bereiken van deze PGA. Een sterk prestatiekader is van belang om de doeltreffendheid, transparantie en verantwoording van de besteding van EU-middelen te versterken en beter inzicht te geven in de resultaten die met Europese middelen worden bereikt.</w:t>
      </w:r>
    </w:p>
    <w:p w:rsidR="00B01AA9" w:rsidP="00405010" w:rsidRDefault="00B01AA9" w14:paraId="118B442E" w14:textId="211558A9">
      <w:pPr>
        <w:spacing w:line="276" w:lineRule="auto"/>
        <w:contextualSpacing/>
        <w:rPr>
          <w:rFonts w:cs="Times New Roman"/>
          <w:szCs w:val="18"/>
          <w:lang w:val="nl-NL" w:eastAsia="ja-JP"/>
        </w:rPr>
      </w:pPr>
    </w:p>
    <w:p w:rsidR="00EA3A2D" w:rsidP="00405010" w:rsidRDefault="008B51E1" w14:paraId="20C55F36" w14:textId="63FE8ACB">
      <w:pPr>
        <w:spacing w:line="276" w:lineRule="auto"/>
        <w:contextualSpacing/>
        <w:rPr>
          <w:rFonts w:cs="Times New Roman"/>
          <w:szCs w:val="18"/>
          <w:lang w:val="nl-NL" w:eastAsia="ja-JP"/>
        </w:rPr>
      </w:pPr>
      <w:r>
        <w:rPr>
          <w:rFonts w:cs="Times New Roman"/>
          <w:szCs w:val="18"/>
          <w:lang w:val="nl-NL" w:eastAsia="ja-JP"/>
        </w:rPr>
        <w:t xml:space="preserve">Eerder werd overeenstemming bereikt over </w:t>
      </w:r>
      <w:proofErr w:type="spellStart"/>
      <w:r>
        <w:rPr>
          <w:rFonts w:cs="Times New Roman"/>
          <w:szCs w:val="18"/>
          <w:lang w:val="nl-NL" w:eastAsia="ja-JP"/>
        </w:rPr>
        <w:t>PGA’s</w:t>
      </w:r>
      <w:proofErr w:type="spellEnd"/>
      <w:r>
        <w:rPr>
          <w:rFonts w:cs="Times New Roman"/>
          <w:szCs w:val="18"/>
          <w:lang w:val="nl-NL" w:eastAsia="ja-JP"/>
        </w:rPr>
        <w:t xml:space="preserve"> op de verordenin</w:t>
      </w:r>
      <w:r w:rsidRPr="00482D59">
        <w:rPr>
          <w:rFonts w:cs="Times New Roman"/>
          <w:szCs w:val="18"/>
          <w:lang w:val="nl-NL" w:eastAsia="ja-JP"/>
        </w:rPr>
        <w:t xml:space="preserve">gen voor het Fonds voor Nationale en Regionale Partnerschapsplannen (NRPP), het Europees </w:t>
      </w:r>
      <w:proofErr w:type="spellStart"/>
      <w:r w:rsidRPr="00482D59">
        <w:rPr>
          <w:rFonts w:cs="Times New Roman"/>
          <w:szCs w:val="18"/>
          <w:lang w:val="nl-NL" w:eastAsia="ja-JP"/>
        </w:rPr>
        <w:t>Concurrentievermogenfonds</w:t>
      </w:r>
      <w:proofErr w:type="spellEnd"/>
      <w:r w:rsidRPr="00482D59">
        <w:rPr>
          <w:rFonts w:cs="Times New Roman"/>
          <w:szCs w:val="18"/>
          <w:lang w:val="nl-NL" w:eastAsia="ja-JP"/>
        </w:rPr>
        <w:t xml:space="preserve"> (ECF) en Europa in de Wereld (Global Europe; GE)</w:t>
      </w:r>
      <w:r>
        <w:rPr>
          <w:rFonts w:cs="Times New Roman"/>
          <w:szCs w:val="18"/>
          <w:lang w:val="nl-NL" w:eastAsia="ja-JP"/>
        </w:rPr>
        <w:t xml:space="preserve">. </w:t>
      </w:r>
      <w:r w:rsidRPr="00EA3A2D" w:rsidR="00EA3A2D">
        <w:rPr>
          <w:rFonts w:cs="Times New Roman"/>
          <w:szCs w:val="18"/>
          <w:lang w:val="nl-NL" w:eastAsia="ja-JP"/>
        </w:rPr>
        <w:t xml:space="preserve">De voorgestelde </w:t>
      </w:r>
      <w:proofErr w:type="spellStart"/>
      <w:r w:rsidRPr="00EA3A2D" w:rsidR="00EA3A2D">
        <w:rPr>
          <w:rFonts w:cs="Times New Roman"/>
          <w:szCs w:val="18"/>
          <w:lang w:val="nl-NL" w:eastAsia="ja-JP"/>
        </w:rPr>
        <w:t>PGA’s</w:t>
      </w:r>
      <w:proofErr w:type="spellEnd"/>
      <w:r w:rsidRPr="00EA3A2D" w:rsidR="00EA3A2D">
        <w:rPr>
          <w:rFonts w:cs="Times New Roman"/>
          <w:szCs w:val="18"/>
          <w:lang w:val="nl-NL" w:eastAsia="ja-JP"/>
        </w:rPr>
        <w:t xml:space="preserve"> zien met name op de technisch-inhoudelijke vormgeving van de programma’s. De onderhandelingen over de financiële en budgettaire aspecten en de meest politieke punten vinden in de ER plaats via de </w:t>
      </w:r>
      <w:proofErr w:type="spellStart"/>
      <w:r w:rsidRPr="00A43EC8" w:rsidR="00EA3A2D">
        <w:rPr>
          <w:rFonts w:cs="Times New Roman"/>
          <w:i/>
          <w:szCs w:val="18"/>
          <w:lang w:val="nl-NL" w:eastAsia="ja-JP"/>
        </w:rPr>
        <w:t>negotiating</w:t>
      </w:r>
      <w:proofErr w:type="spellEnd"/>
      <w:r w:rsidRPr="00A43EC8" w:rsidR="00EA3A2D">
        <w:rPr>
          <w:rFonts w:cs="Times New Roman"/>
          <w:i/>
          <w:szCs w:val="18"/>
          <w:lang w:val="nl-NL" w:eastAsia="ja-JP"/>
        </w:rPr>
        <w:t xml:space="preserve"> box</w:t>
      </w:r>
      <w:r w:rsidRPr="00EA3A2D" w:rsidR="00EA3A2D">
        <w:rPr>
          <w:rFonts w:cs="Times New Roman"/>
          <w:szCs w:val="18"/>
          <w:lang w:val="nl-NL" w:eastAsia="ja-JP"/>
        </w:rPr>
        <w:t>.</w:t>
      </w:r>
      <w:r w:rsidRPr="00EA3A2D" w:rsidR="00EA3A2D">
        <w:rPr>
          <w:lang w:val="nl-NL"/>
        </w:rPr>
        <w:t xml:space="preserve"> </w:t>
      </w:r>
    </w:p>
    <w:p w:rsidR="003039DD" w:rsidP="00405010" w:rsidRDefault="003039DD" w14:paraId="5E10C048" w14:textId="77777777">
      <w:pPr>
        <w:spacing w:line="276" w:lineRule="auto"/>
        <w:contextualSpacing/>
        <w:rPr>
          <w:rFonts w:cs="Times New Roman"/>
          <w:szCs w:val="18"/>
          <w:lang w:val="nl-NL" w:eastAsia="ja-JP"/>
        </w:rPr>
      </w:pPr>
    </w:p>
    <w:p w:rsidRPr="003039DD" w:rsidR="003039DD" w:rsidP="00405010" w:rsidRDefault="003039DD" w14:paraId="6CF6EB90" w14:textId="7FD80EFC">
      <w:pPr>
        <w:spacing w:line="276" w:lineRule="auto"/>
        <w:contextualSpacing/>
        <w:rPr>
          <w:rFonts w:cs="Times New Roman"/>
          <w:b/>
          <w:bCs/>
          <w:szCs w:val="18"/>
          <w:lang w:val="nl-NL" w:eastAsia="ja-JP"/>
        </w:rPr>
      </w:pPr>
      <w:r w:rsidRPr="003039DD">
        <w:rPr>
          <w:rFonts w:cs="Times New Roman"/>
          <w:b/>
          <w:bCs/>
          <w:szCs w:val="18"/>
          <w:lang w:val="nl-NL" w:eastAsia="ja-JP"/>
        </w:rPr>
        <w:t>Iers voorzitterschap</w:t>
      </w:r>
    </w:p>
    <w:p w:rsidRPr="000041D8" w:rsidR="004F66E9" w:rsidP="00405010" w:rsidRDefault="000041D8" w14:paraId="715E60D0" w14:textId="7A48CD58">
      <w:pPr>
        <w:spacing w:line="276" w:lineRule="auto"/>
        <w:contextualSpacing/>
        <w:rPr>
          <w:rFonts w:cs="Times New Roman"/>
          <w:szCs w:val="18"/>
          <w:lang w:val="nl-NL" w:eastAsia="ja-JP"/>
        </w:rPr>
      </w:pPr>
      <w:r w:rsidRPr="000041D8">
        <w:rPr>
          <w:rFonts w:cs="Times New Roman"/>
          <w:szCs w:val="18"/>
          <w:lang w:val="nl-NL" w:eastAsia="ja-JP"/>
        </w:rPr>
        <w:t xml:space="preserve">Tijdens de </w:t>
      </w:r>
      <w:r w:rsidR="00EB31CA">
        <w:rPr>
          <w:rFonts w:cs="Times New Roman"/>
          <w:szCs w:val="18"/>
          <w:lang w:val="nl-NL" w:eastAsia="ja-JP"/>
        </w:rPr>
        <w:t>RAZ</w:t>
      </w:r>
      <w:r w:rsidRPr="000041D8">
        <w:rPr>
          <w:rFonts w:cs="Times New Roman"/>
          <w:szCs w:val="18"/>
          <w:lang w:val="nl-NL" w:eastAsia="ja-JP"/>
        </w:rPr>
        <w:t xml:space="preserve"> informeert het Ierse voorzitterschap de Raad over zijn prioriteiten voor de komende voorzitterschapsperiode, waarna een gedachtewisseling plaatsvindt. Ierland bekleedt van 1 juli tot en met 31 december 2026 voor de achtste keer het voorzitterschap van de Raad van de </w:t>
      </w:r>
      <w:r w:rsidR="000C00AE">
        <w:rPr>
          <w:rFonts w:cs="Times New Roman"/>
          <w:szCs w:val="18"/>
          <w:lang w:val="nl-NL" w:eastAsia="ja-JP"/>
        </w:rPr>
        <w:t>EU</w:t>
      </w:r>
      <w:r w:rsidRPr="000041D8">
        <w:rPr>
          <w:rFonts w:cs="Times New Roman"/>
          <w:szCs w:val="18"/>
          <w:lang w:val="nl-NL" w:eastAsia="ja-JP"/>
        </w:rPr>
        <w:t>. Het Ierse voorzitterschap richt zich daarbij op drie hoofdthema's: concurrentievermogen, waarden en veiligheid en defensie. Deze prioriteiten worden door het kabinet onderschreven.</w:t>
      </w:r>
    </w:p>
    <w:p w:rsidR="000041D8" w:rsidP="00405010" w:rsidRDefault="000041D8" w14:paraId="5BE31B40" w14:textId="77777777">
      <w:pPr>
        <w:spacing w:line="276" w:lineRule="auto"/>
        <w:contextualSpacing/>
        <w:rPr>
          <w:rFonts w:cs="Times New Roman"/>
          <w:szCs w:val="18"/>
          <w:lang w:val="nl-NL" w:eastAsia="ja-JP"/>
        </w:rPr>
      </w:pPr>
    </w:p>
    <w:p w:rsidRPr="004C3BF1" w:rsidR="004C3BF1" w:rsidP="00405010" w:rsidRDefault="003039DD" w14:paraId="3417E932" w14:textId="5A776977">
      <w:pPr>
        <w:spacing w:line="276" w:lineRule="auto"/>
        <w:contextualSpacing/>
        <w:rPr>
          <w:rFonts w:cs="Times New Roman"/>
          <w:szCs w:val="18"/>
          <w:lang w:val="nl-NL" w:eastAsia="ja-JP"/>
        </w:rPr>
      </w:pPr>
      <w:r w:rsidRPr="003039DD">
        <w:rPr>
          <w:rFonts w:cs="Times New Roman"/>
          <w:b/>
          <w:bCs/>
          <w:szCs w:val="18"/>
          <w:lang w:val="nl-NL" w:eastAsia="ja-JP"/>
        </w:rPr>
        <w:t>Omnibus versimpeling regelgeving</w:t>
      </w:r>
    </w:p>
    <w:p w:rsidRPr="004C3BF1" w:rsidR="004C3BF1" w:rsidP="00405010" w:rsidRDefault="00B30354" w14:paraId="1459F746" w14:textId="0DDF38EA">
      <w:pPr>
        <w:spacing w:line="276" w:lineRule="auto"/>
        <w:contextualSpacing/>
        <w:rPr>
          <w:rFonts w:cs="Times New Roman"/>
          <w:szCs w:val="18"/>
          <w:lang w:val="nl-NL" w:eastAsia="ja-JP"/>
        </w:rPr>
      </w:pPr>
      <w:r>
        <w:rPr>
          <w:rFonts w:cs="Times New Roman"/>
          <w:szCs w:val="18"/>
          <w:lang w:val="nl-NL" w:eastAsia="ja-JP"/>
        </w:rPr>
        <w:t>Tijdens de RAZ</w:t>
      </w:r>
      <w:r w:rsidR="002078AC">
        <w:rPr>
          <w:rFonts w:cs="Times New Roman"/>
          <w:szCs w:val="18"/>
          <w:lang w:val="nl-NL" w:eastAsia="ja-JP"/>
        </w:rPr>
        <w:t xml:space="preserve"> zal besproken worden </w:t>
      </w:r>
      <w:r w:rsidR="007E6B4D">
        <w:rPr>
          <w:rFonts w:cs="Times New Roman"/>
          <w:szCs w:val="18"/>
          <w:lang w:val="nl-NL" w:eastAsia="ja-JP"/>
        </w:rPr>
        <w:t xml:space="preserve">hoe het concurrentievermogen van Europa kan worden verbeterd door regelgeving te vereenvoudigen en te stroomlijnen door middel van zogenoemde Omnibuspakketten. </w:t>
      </w:r>
      <w:r w:rsidRPr="004C3BF1" w:rsidR="004C3BF1">
        <w:rPr>
          <w:rFonts w:cs="Times New Roman"/>
          <w:szCs w:val="18"/>
          <w:lang w:val="nl-NL" w:eastAsia="ja-JP"/>
        </w:rPr>
        <w:t xml:space="preserve">Het kabinet verwelkomt de inzet van de Commissie om met </w:t>
      </w:r>
      <w:r>
        <w:rPr>
          <w:rFonts w:cs="Times New Roman"/>
          <w:szCs w:val="18"/>
          <w:lang w:val="nl-NL" w:eastAsia="ja-JP"/>
        </w:rPr>
        <w:t>O</w:t>
      </w:r>
      <w:r w:rsidRPr="004C3BF1" w:rsidR="004C3BF1">
        <w:rPr>
          <w:rFonts w:cs="Times New Roman"/>
          <w:szCs w:val="18"/>
          <w:lang w:val="nl-NL" w:eastAsia="ja-JP"/>
        </w:rPr>
        <w:t xml:space="preserve">mnibusvoorstellen en andere vereenvoudigingsinitiatieven onnodige regeldruk terug te dringen. Het aanpakken van onnodige regeldruk is voor het kabinet een prioriteit. De Nederlandse inzet bij de Omnibusvoorstellen is in brede zin om regelgeving te verduidelijken en te stroomlijnen, terwijl de doelen van de wetgeving overeind blijven. </w:t>
      </w:r>
    </w:p>
    <w:p w:rsidRPr="004C3BF1" w:rsidR="004C3BF1" w:rsidP="00405010" w:rsidRDefault="004C3BF1" w14:paraId="5A6FFAED" w14:textId="77777777">
      <w:pPr>
        <w:spacing w:line="276" w:lineRule="auto"/>
        <w:contextualSpacing/>
        <w:rPr>
          <w:rFonts w:cs="Times New Roman"/>
          <w:szCs w:val="18"/>
          <w:lang w:val="nl-NL" w:eastAsia="ja-JP"/>
        </w:rPr>
      </w:pPr>
    </w:p>
    <w:p w:rsidRPr="004C3BF1" w:rsidR="004C3BF1" w:rsidP="00405010" w:rsidRDefault="004C3BF1" w14:paraId="14FA4B07" w14:textId="11F1C019">
      <w:pPr>
        <w:spacing w:line="276" w:lineRule="auto"/>
        <w:contextualSpacing/>
        <w:rPr>
          <w:rFonts w:cs="Times New Roman"/>
          <w:szCs w:val="18"/>
          <w:lang w:val="nl-NL" w:eastAsia="ja-JP"/>
        </w:rPr>
      </w:pPr>
      <w:r w:rsidRPr="004C3BF1">
        <w:rPr>
          <w:rFonts w:cs="Times New Roman"/>
          <w:szCs w:val="18"/>
          <w:lang w:val="nl-NL" w:eastAsia="ja-JP"/>
        </w:rPr>
        <w:t xml:space="preserve">De </w:t>
      </w:r>
      <w:r w:rsidR="00B30354">
        <w:rPr>
          <w:rFonts w:cs="Times New Roman"/>
          <w:szCs w:val="18"/>
          <w:lang w:val="nl-NL" w:eastAsia="ja-JP"/>
        </w:rPr>
        <w:t>O</w:t>
      </w:r>
      <w:r w:rsidRPr="004C3BF1">
        <w:rPr>
          <w:rFonts w:cs="Times New Roman"/>
          <w:szCs w:val="18"/>
          <w:lang w:val="nl-NL" w:eastAsia="ja-JP"/>
        </w:rPr>
        <w:t xml:space="preserve">mnibusvoorstellen die sinds februari 2025 zijn gepresenteerd in het kader van de vereenvoudigingsopgaven beperken zich niet per definitie tot technische wijzigingen. Het kabinet heeft </w:t>
      </w:r>
      <w:r w:rsidRPr="004C3BF1">
        <w:rPr>
          <w:rFonts w:cs="Times New Roman"/>
          <w:szCs w:val="18"/>
          <w:lang w:val="nl-NL" w:eastAsia="ja-JP"/>
        </w:rPr>
        <w:lastRenderedPageBreak/>
        <w:t xml:space="preserve">daartegen geen bezwaar mits eventuele inhoudelijke wijzigingen passen binnen de doelstelling om regelgeving eenvoudiger, duidelijker en beter uitvoerbaar te maken en de onderliggende beleidsdoelen overeind blijven. </w:t>
      </w:r>
    </w:p>
    <w:p w:rsidRPr="004C3BF1" w:rsidR="004C3BF1" w:rsidP="00405010" w:rsidRDefault="004C3BF1" w14:paraId="611CFD25" w14:textId="77777777">
      <w:pPr>
        <w:spacing w:line="276" w:lineRule="auto"/>
        <w:contextualSpacing/>
        <w:rPr>
          <w:rFonts w:cs="Times New Roman"/>
          <w:szCs w:val="18"/>
          <w:lang w:val="nl-NL" w:eastAsia="ja-JP"/>
        </w:rPr>
      </w:pPr>
    </w:p>
    <w:p w:rsidRPr="004C3BF1" w:rsidR="004C3BF1" w:rsidP="00405010" w:rsidRDefault="004C3BF1" w14:paraId="302857B9" w14:textId="2B81A10F">
      <w:pPr>
        <w:spacing w:line="276" w:lineRule="auto"/>
        <w:contextualSpacing/>
        <w:rPr>
          <w:rFonts w:cs="Times New Roman"/>
          <w:szCs w:val="18"/>
          <w:lang w:val="nl-NL" w:eastAsia="ja-JP"/>
        </w:rPr>
      </w:pPr>
      <w:r w:rsidRPr="004C3BF1">
        <w:rPr>
          <w:rFonts w:cs="Times New Roman"/>
          <w:szCs w:val="18"/>
          <w:lang w:val="nl-NL" w:eastAsia="ja-JP"/>
        </w:rPr>
        <w:t>Het kabinet acht het wenselijk dat impactvolle voorstellen met een effectbeoordeling worden gepresenteerd. Zo heeft het kabinet via het non-paper over de vergaande wijzigingen aan de Algemene Verordening Gegevensbescherming (AVG)</w:t>
      </w:r>
      <w:r w:rsidRPr="004C3BF1">
        <w:rPr>
          <w:rFonts w:cs="Times New Roman"/>
          <w:szCs w:val="18"/>
          <w:vertAlign w:val="superscript"/>
          <w:lang w:val="nl-NL" w:eastAsia="ja-JP"/>
        </w:rPr>
        <w:t xml:space="preserve"> </w:t>
      </w:r>
      <w:r w:rsidRPr="004C3BF1">
        <w:rPr>
          <w:rFonts w:cs="Times New Roman"/>
          <w:szCs w:val="18"/>
          <w:lang w:val="nl-NL" w:eastAsia="ja-JP"/>
        </w:rPr>
        <w:t>dat op 8 april jl. met uw Kamer gedeeld is bepleit dat wijzigingen die verder gaan dan de vereenvoudiging van regelgeving vergezeld zouden moeten zijn van een effectbeoordeling.</w:t>
      </w:r>
      <w:r w:rsidR="002078AC">
        <w:rPr>
          <w:rStyle w:val="FootnoteReference"/>
          <w:rFonts w:cs="Times New Roman"/>
          <w:szCs w:val="18"/>
          <w:lang w:val="nl-NL" w:eastAsia="ja-JP"/>
        </w:rPr>
        <w:footnoteReference w:id="2"/>
      </w:r>
      <w:r w:rsidRPr="004C3BF1">
        <w:rPr>
          <w:rFonts w:cs="Times New Roman"/>
          <w:szCs w:val="18"/>
          <w:lang w:val="nl-NL" w:eastAsia="ja-JP"/>
        </w:rPr>
        <w:t xml:space="preserve"> In dat kader heeft het kabinet ook contact gezocht met gelijkgestemde lidstaten. </w:t>
      </w:r>
    </w:p>
    <w:p w:rsidRPr="004C3BF1" w:rsidR="004C3BF1" w:rsidP="00405010" w:rsidRDefault="004C3BF1" w14:paraId="16BA2189" w14:textId="77777777">
      <w:pPr>
        <w:spacing w:line="276" w:lineRule="auto"/>
        <w:contextualSpacing/>
        <w:rPr>
          <w:rFonts w:cs="Times New Roman"/>
          <w:szCs w:val="18"/>
          <w:lang w:val="nl-NL" w:eastAsia="ja-JP"/>
        </w:rPr>
      </w:pPr>
    </w:p>
    <w:p w:rsidRPr="004C3BF1" w:rsidR="004C3BF1" w:rsidP="00405010" w:rsidRDefault="004C3BF1" w14:paraId="49067C8E" w14:textId="5BE311A2">
      <w:pPr>
        <w:spacing w:line="276" w:lineRule="auto"/>
        <w:contextualSpacing/>
        <w:rPr>
          <w:rFonts w:cs="Times New Roman"/>
          <w:szCs w:val="18"/>
          <w:lang w:val="nl-NL" w:eastAsia="ja-JP"/>
        </w:rPr>
      </w:pPr>
      <w:r w:rsidRPr="004C3BF1">
        <w:rPr>
          <w:rFonts w:cs="Times New Roman"/>
          <w:szCs w:val="18"/>
          <w:lang w:val="nl-NL" w:eastAsia="ja-JP"/>
        </w:rPr>
        <w:t>De Commissie onderschrijft het belang van effectbeoordelingen en bevestigt het uitgangspunt dat ook voorstellen die gericht zijn op vereenvoudiging van bestaande regelgeving</w:t>
      </w:r>
      <w:r>
        <w:rPr>
          <w:rFonts w:cs="Times New Roman"/>
          <w:szCs w:val="18"/>
          <w:lang w:val="nl-NL" w:eastAsia="ja-JP"/>
        </w:rPr>
        <w:t xml:space="preserve"> -</w:t>
      </w:r>
      <w:r w:rsidR="00F148A3">
        <w:rPr>
          <w:rFonts w:cs="Times New Roman"/>
          <w:szCs w:val="18"/>
          <w:lang w:val="nl-NL" w:eastAsia="ja-JP"/>
        </w:rPr>
        <w:t xml:space="preserve"> </w:t>
      </w:r>
      <w:r w:rsidRPr="004C3BF1">
        <w:rPr>
          <w:rFonts w:cs="Times New Roman"/>
          <w:szCs w:val="18"/>
          <w:lang w:val="nl-NL" w:eastAsia="ja-JP"/>
        </w:rPr>
        <w:t xml:space="preserve">zoals de </w:t>
      </w:r>
      <w:r w:rsidR="004A5792">
        <w:rPr>
          <w:rFonts w:cs="Times New Roman"/>
          <w:szCs w:val="18"/>
          <w:lang w:val="nl-NL" w:eastAsia="ja-JP"/>
        </w:rPr>
        <w:t>O</w:t>
      </w:r>
      <w:r w:rsidRPr="004C3BF1">
        <w:rPr>
          <w:rFonts w:cs="Times New Roman"/>
          <w:szCs w:val="18"/>
          <w:lang w:val="nl-NL" w:eastAsia="ja-JP"/>
        </w:rPr>
        <w:t>mnibusvoorstellen</w:t>
      </w:r>
      <w:r w:rsidR="00F148A3">
        <w:rPr>
          <w:rFonts w:cs="Times New Roman"/>
          <w:szCs w:val="18"/>
          <w:lang w:val="nl-NL" w:eastAsia="ja-JP"/>
        </w:rPr>
        <w:t xml:space="preserve"> </w:t>
      </w:r>
      <w:r w:rsidRPr="004C3BF1">
        <w:rPr>
          <w:rFonts w:cs="Times New Roman"/>
          <w:szCs w:val="18"/>
          <w:lang w:val="nl-NL" w:eastAsia="ja-JP"/>
        </w:rPr>
        <w:t>- voorzien zouden moeten zijn van een effectbeoordeling. De Commissie geeft aan ervoor te willen zorgen dat deze voortaan in meer gevallen worden uitgevoerd.</w:t>
      </w:r>
    </w:p>
    <w:p w:rsidR="004F66E9" w:rsidP="00405010" w:rsidRDefault="004F66E9" w14:paraId="32DE48E5" w14:textId="3A88B9EC">
      <w:pPr>
        <w:spacing w:line="276" w:lineRule="auto"/>
        <w:contextualSpacing/>
        <w:rPr>
          <w:rFonts w:cs="Times New Roman"/>
          <w:szCs w:val="18"/>
          <w:lang w:val="nl-NL" w:eastAsia="ja-JP"/>
        </w:rPr>
      </w:pPr>
      <w:r>
        <w:rPr>
          <w:rFonts w:cs="Times New Roman"/>
          <w:szCs w:val="18"/>
          <w:lang w:val="nl-NL" w:eastAsia="ja-JP"/>
        </w:rPr>
        <w:t xml:space="preserve"> </w:t>
      </w:r>
      <w:bookmarkEnd w:id="1"/>
    </w:p>
    <w:p w:rsidRPr="001B64FF" w:rsidR="001B64FF" w:rsidP="00405010" w:rsidRDefault="001B64FF" w14:paraId="5A053FE7" w14:textId="6B0C2708">
      <w:pPr>
        <w:spacing w:line="276" w:lineRule="auto"/>
        <w:contextualSpacing/>
        <w:rPr>
          <w:rFonts w:cs="Times New Roman"/>
          <w:b/>
          <w:bCs/>
          <w:szCs w:val="18"/>
          <w:lang w:val="nl-NL" w:eastAsia="ja-JP"/>
        </w:rPr>
      </w:pPr>
      <w:r w:rsidRPr="001B64FF">
        <w:rPr>
          <w:rFonts w:cs="Times New Roman"/>
          <w:b/>
          <w:bCs/>
          <w:szCs w:val="18"/>
          <w:lang w:val="nl-NL" w:eastAsia="ja-JP"/>
        </w:rPr>
        <w:t xml:space="preserve">EU-toetredingsproces </w:t>
      </w:r>
      <w:r>
        <w:rPr>
          <w:rFonts w:cs="Times New Roman"/>
          <w:b/>
          <w:bCs/>
          <w:szCs w:val="18"/>
          <w:lang w:val="nl-NL" w:eastAsia="ja-JP"/>
        </w:rPr>
        <w:t>Albanië</w:t>
      </w:r>
      <w:r w:rsidRPr="001B64FF">
        <w:rPr>
          <w:rFonts w:cs="Times New Roman"/>
          <w:b/>
          <w:bCs/>
          <w:szCs w:val="18"/>
          <w:lang w:val="nl-NL" w:eastAsia="ja-JP"/>
        </w:rPr>
        <w:t xml:space="preserve">: onder voorbehoud sluiten van </w:t>
      </w:r>
      <w:r>
        <w:rPr>
          <w:rFonts w:cs="Times New Roman"/>
          <w:b/>
          <w:bCs/>
          <w:szCs w:val="18"/>
          <w:lang w:val="nl-NL" w:eastAsia="ja-JP"/>
        </w:rPr>
        <w:t>drie</w:t>
      </w:r>
      <w:r w:rsidRPr="001B64FF">
        <w:rPr>
          <w:rFonts w:cs="Times New Roman"/>
          <w:b/>
          <w:bCs/>
          <w:szCs w:val="18"/>
          <w:lang w:val="nl-NL" w:eastAsia="ja-JP"/>
        </w:rPr>
        <w:t xml:space="preserve"> hoofdstuk</w:t>
      </w:r>
      <w:r>
        <w:rPr>
          <w:rFonts w:cs="Times New Roman"/>
          <w:b/>
          <w:bCs/>
          <w:szCs w:val="18"/>
          <w:lang w:val="nl-NL" w:eastAsia="ja-JP"/>
        </w:rPr>
        <w:t>ken</w:t>
      </w:r>
    </w:p>
    <w:p w:rsidR="001B64FF" w:rsidP="00405010" w:rsidRDefault="001B64FF" w14:paraId="582C424A" w14:textId="570EE64D">
      <w:pPr>
        <w:spacing w:line="276" w:lineRule="auto"/>
        <w:contextualSpacing/>
        <w:rPr>
          <w:rFonts w:cs="Times New Roman"/>
          <w:szCs w:val="18"/>
          <w:lang w:val="nl-NL" w:eastAsia="ja-JP"/>
        </w:rPr>
      </w:pPr>
      <w:r w:rsidRPr="001B64FF">
        <w:rPr>
          <w:rFonts w:cs="Times New Roman"/>
          <w:szCs w:val="18"/>
          <w:lang w:val="nl-NL" w:eastAsia="ja-JP"/>
        </w:rPr>
        <w:t xml:space="preserve">De Commissie heeft voorgesteld om in de toetredingsonderhandelingen met </w:t>
      </w:r>
      <w:r>
        <w:rPr>
          <w:rFonts w:cs="Times New Roman"/>
          <w:szCs w:val="18"/>
          <w:lang w:val="nl-NL" w:eastAsia="ja-JP"/>
        </w:rPr>
        <w:t>Albanië</w:t>
      </w:r>
      <w:r w:rsidRPr="001B64FF">
        <w:rPr>
          <w:rFonts w:cs="Times New Roman"/>
          <w:szCs w:val="18"/>
          <w:lang w:val="nl-NL" w:eastAsia="ja-JP"/>
        </w:rPr>
        <w:t xml:space="preserve"> hoofdstuk 2</w:t>
      </w:r>
      <w:r>
        <w:rPr>
          <w:rFonts w:cs="Times New Roman"/>
          <w:szCs w:val="18"/>
          <w:lang w:val="nl-NL" w:eastAsia="ja-JP"/>
        </w:rPr>
        <w:t>5 (wetenschap en onderzoek), hoofdstuk 26 (onderwijs en cultuur) en hoofdstuk 30 (externe betrekkingen) onder voorbehoud te sluiten. Afhankelijk</w:t>
      </w:r>
      <w:r w:rsidRPr="001B64FF">
        <w:rPr>
          <w:rFonts w:cs="Times New Roman"/>
          <w:szCs w:val="18"/>
          <w:lang w:val="nl-NL" w:eastAsia="ja-JP"/>
        </w:rPr>
        <w:t xml:space="preserve"> van instemming van EU-lidstaten zal en marge van de RAZ een </w:t>
      </w:r>
      <w:r w:rsidR="0094435E">
        <w:rPr>
          <w:rFonts w:cs="Times New Roman"/>
          <w:szCs w:val="18"/>
          <w:lang w:val="nl-NL" w:eastAsia="ja-JP"/>
        </w:rPr>
        <w:t>i</w:t>
      </w:r>
      <w:r w:rsidRPr="001B64FF">
        <w:rPr>
          <w:rFonts w:cs="Times New Roman"/>
          <w:szCs w:val="18"/>
          <w:lang w:val="nl-NL" w:eastAsia="ja-JP"/>
        </w:rPr>
        <w:t xml:space="preserve">ntergouvernementele </w:t>
      </w:r>
      <w:r w:rsidR="0094435E">
        <w:rPr>
          <w:rFonts w:cs="Times New Roman"/>
          <w:szCs w:val="18"/>
          <w:lang w:val="nl-NL" w:eastAsia="ja-JP"/>
        </w:rPr>
        <w:t>c</w:t>
      </w:r>
      <w:r w:rsidRPr="001B64FF">
        <w:rPr>
          <w:rFonts w:cs="Times New Roman"/>
          <w:szCs w:val="18"/>
          <w:lang w:val="nl-NL" w:eastAsia="ja-JP"/>
        </w:rPr>
        <w:t>onferentie</w:t>
      </w:r>
      <w:r w:rsidR="0094435E">
        <w:rPr>
          <w:rFonts w:cs="Times New Roman"/>
          <w:szCs w:val="18"/>
          <w:lang w:val="nl-NL" w:eastAsia="ja-JP"/>
        </w:rPr>
        <w:t xml:space="preserve"> (IGC)</w:t>
      </w:r>
      <w:r w:rsidRPr="001B64FF">
        <w:rPr>
          <w:rFonts w:cs="Times New Roman"/>
          <w:szCs w:val="18"/>
          <w:lang w:val="nl-NL" w:eastAsia="ja-JP"/>
        </w:rPr>
        <w:t xml:space="preserve"> worden georganiseerd om deze stap te markeren. </w:t>
      </w:r>
    </w:p>
    <w:p w:rsidR="001B64FF" w:rsidP="00405010" w:rsidRDefault="001B64FF" w14:paraId="24CC7A34" w14:textId="77777777">
      <w:pPr>
        <w:spacing w:line="276" w:lineRule="auto"/>
        <w:contextualSpacing/>
        <w:rPr>
          <w:rFonts w:cs="Times New Roman"/>
          <w:szCs w:val="18"/>
          <w:lang w:val="nl-NL" w:eastAsia="ja-JP"/>
        </w:rPr>
      </w:pPr>
    </w:p>
    <w:p w:rsidRPr="003732C4" w:rsidR="003732C4" w:rsidP="00405010" w:rsidRDefault="003732C4" w14:paraId="4B1250C4" w14:textId="5D90DA55">
      <w:pPr>
        <w:spacing w:line="276" w:lineRule="auto"/>
        <w:contextualSpacing/>
        <w:rPr>
          <w:rFonts w:cs="Times New Roman"/>
          <w:szCs w:val="18"/>
          <w:lang w:val="nl-NL" w:eastAsia="ja-JP"/>
        </w:rPr>
      </w:pPr>
      <w:r>
        <w:rPr>
          <w:rFonts w:cs="Times New Roman"/>
          <w:szCs w:val="18"/>
          <w:lang w:val="nl-NL" w:eastAsia="ja-JP"/>
        </w:rPr>
        <w:t xml:space="preserve">De Commissie </w:t>
      </w:r>
      <w:r w:rsidR="00DD28EE">
        <w:rPr>
          <w:rFonts w:cs="Times New Roman"/>
          <w:szCs w:val="18"/>
          <w:lang w:val="nl-NL" w:eastAsia="ja-JP"/>
        </w:rPr>
        <w:t>concludeer</w:t>
      </w:r>
      <w:r w:rsidR="00C91411">
        <w:rPr>
          <w:rFonts w:cs="Times New Roman"/>
          <w:szCs w:val="18"/>
          <w:lang w:val="nl-NL" w:eastAsia="ja-JP"/>
        </w:rPr>
        <w:t>t</w:t>
      </w:r>
      <w:r>
        <w:rPr>
          <w:rFonts w:cs="Times New Roman"/>
          <w:szCs w:val="18"/>
          <w:lang w:val="nl-NL" w:eastAsia="ja-JP"/>
        </w:rPr>
        <w:t xml:space="preserve"> dat </w:t>
      </w:r>
      <w:r w:rsidRPr="003732C4">
        <w:rPr>
          <w:rFonts w:cs="Times New Roman"/>
          <w:szCs w:val="18"/>
          <w:lang w:val="nl-NL" w:eastAsia="ja-JP"/>
        </w:rPr>
        <w:t xml:space="preserve">Albanië </w:t>
      </w:r>
      <w:r w:rsidR="009F65A6">
        <w:rPr>
          <w:rFonts w:cs="Times New Roman"/>
          <w:szCs w:val="18"/>
          <w:lang w:val="nl-NL" w:eastAsia="ja-JP"/>
        </w:rPr>
        <w:t>voldoet</w:t>
      </w:r>
      <w:r w:rsidRPr="003732C4">
        <w:rPr>
          <w:rFonts w:cs="Times New Roman"/>
          <w:szCs w:val="18"/>
          <w:lang w:val="nl-NL" w:eastAsia="ja-JP"/>
        </w:rPr>
        <w:t xml:space="preserve"> aan de </w:t>
      </w:r>
      <w:r w:rsidRPr="009F65A6">
        <w:rPr>
          <w:rFonts w:cs="Times New Roman"/>
          <w:i/>
          <w:iCs/>
          <w:szCs w:val="18"/>
          <w:lang w:val="nl-NL" w:eastAsia="ja-JP"/>
        </w:rPr>
        <w:t>benchmarks</w:t>
      </w:r>
      <w:r w:rsidRPr="003732C4">
        <w:rPr>
          <w:rFonts w:cs="Times New Roman"/>
          <w:szCs w:val="18"/>
          <w:lang w:val="nl-NL" w:eastAsia="ja-JP"/>
        </w:rPr>
        <w:t>, die o</w:t>
      </w:r>
      <w:r w:rsidR="0041716A">
        <w:rPr>
          <w:rFonts w:cs="Times New Roman"/>
          <w:szCs w:val="18"/>
          <w:lang w:val="nl-NL" w:eastAsia="ja-JP"/>
        </w:rPr>
        <w:t>nder andere</w:t>
      </w:r>
      <w:r w:rsidRPr="003732C4">
        <w:rPr>
          <w:rFonts w:cs="Times New Roman"/>
          <w:szCs w:val="18"/>
          <w:lang w:val="nl-NL" w:eastAsia="ja-JP"/>
        </w:rPr>
        <w:t xml:space="preserve"> zien op sterke wetenschaps- en onderzoeksystemen</w:t>
      </w:r>
      <w:r>
        <w:rPr>
          <w:rFonts w:cs="Times New Roman"/>
          <w:szCs w:val="18"/>
          <w:lang w:val="nl-NL" w:eastAsia="ja-JP"/>
        </w:rPr>
        <w:t>,</w:t>
      </w:r>
      <w:r w:rsidRPr="003732C4">
        <w:rPr>
          <w:rFonts w:cs="Times New Roman"/>
          <w:szCs w:val="18"/>
          <w:lang w:val="nl-NL" w:eastAsia="ja-JP"/>
        </w:rPr>
        <w:t xml:space="preserve"> een institutioneel en beleidsraamwerk voor </w:t>
      </w:r>
      <w:r w:rsidR="00137A19">
        <w:rPr>
          <w:rFonts w:cs="Times New Roman"/>
          <w:szCs w:val="18"/>
          <w:lang w:val="nl-NL" w:eastAsia="ja-JP"/>
        </w:rPr>
        <w:t xml:space="preserve">de EU-doelstellingen op </w:t>
      </w:r>
      <w:r w:rsidRPr="003732C4">
        <w:rPr>
          <w:rFonts w:cs="Times New Roman"/>
          <w:szCs w:val="18"/>
          <w:lang w:val="nl-NL" w:eastAsia="ja-JP"/>
        </w:rPr>
        <w:t xml:space="preserve">onderwijs en cultuur en </w:t>
      </w:r>
      <w:r w:rsidR="00F54F96">
        <w:rPr>
          <w:rFonts w:cs="Times New Roman"/>
          <w:szCs w:val="18"/>
          <w:lang w:val="nl-NL" w:eastAsia="ja-JP"/>
        </w:rPr>
        <w:t xml:space="preserve">het in lijn brengen van het wettelijk raamwerk met EU-verordeningen op </w:t>
      </w:r>
      <w:r w:rsidRPr="003732C4">
        <w:rPr>
          <w:rFonts w:cs="Times New Roman"/>
          <w:szCs w:val="18"/>
          <w:lang w:val="nl-NL" w:eastAsia="ja-JP"/>
        </w:rPr>
        <w:t>exportcontrole en FDI-screening</w:t>
      </w:r>
      <w:r>
        <w:rPr>
          <w:rFonts w:cs="Times New Roman"/>
          <w:szCs w:val="18"/>
          <w:lang w:val="nl-NL" w:eastAsia="ja-JP"/>
        </w:rPr>
        <w:t xml:space="preserve">. </w:t>
      </w:r>
      <w:r w:rsidR="008E4F87">
        <w:rPr>
          <w:rFonts w:cs="Times New Roman"/>
          <w:szCs w:val="18"/>
          <w:lang w:val="nl-NL" w:eastAsia="ja-JP"/>
        </w:rPr>
        <w:t>Het kabinet deelt de analyse dat Albanië aan deze benchmarks voldaan heeft en is daarom voornemens om in te stemmen met het onder voorbehoud sluiten van deze hoofdstukken.</w:t>
      </w:r>
      <w:r w:rsidR="0055332D">
        <w:rPr>
          <w:rFonts w:cs="Times New Roman"/>
          <w:szCs w:val="18"/>
          <w:lang w:val="nl-NL" w:eastAsia="ja-JP"/>
        </w:rPr>
        <w:t xml:space="preserve"> </w:t>
      </w:r>
      <w:r w:rsidR="006A5A19">
        <w:rPr>
          <w:rFonts w:cs="Times New Roman"/>
          <w:szCs w:val="18"/>
          <w:lang w:val="nl-NL" w:eastAsia="ja-JP"/>
        </w:rPr>
        <w:t>Ten aanzien van de rechtsstaat verwacht h</w:t>
      </w:r>
      <w:r w:rsidRPr="006A5A19" w:rsidR="006A5A19">
        <w:rPr>
          <w:rFonts w:cs="Times New Roman"/>
          <w:szCs w:val="18"/>
          <w:lang w:val="nl-NL" w:eastAsia="ja-JP"/>
        </w:rPr>
        <w:t xml:space="preserve">et kabinet dat Albanië verder gaat met het opbouwen van </w:t>
      </w:r>
      <w:r w:rsidR="002B0460">
        <w:rPr>
          <w:rFonts w:cs="Times New Roman"/>
          <w:szCs w:val="18"/>
          <w:lang w:val="nl-NL" w:eastAsia="ja-JP"/>
        </w:rPr>
        <w:t xml:space="preserve">een </w:t>
      </w:r>
      <w:r w:rsidRPr="006A5A19" w:rsidR="006A5A19">
        <w:rPr>
          <w:rFonts w:cs="Times New Roman"/>
          <w:i/>
          <w:szCs w:val="18"/>
          <w:lang w:val="nl-NL" w:eastAsia="ja-JP"/>
        </w:rPr>
        <w:t>track record</w:t>
      </w:r>
      <w:r w:rsidRPr="006A5A19" w:rsidR="006A5A19">
        <w:rPr>
          <w:rFonts w:cs="Times New Roman"/>
          <w:szCs w:val="18"/>
          <w:lang w:val="nl-NL" w:eastAsia="ja-JP"/>
        </w:rPr>
        <w:t xml:space="preserve"> en implementatie, in het bijzonder op het gebied van onafhankelijke rechtspraak, bestrijding van corruptie en georganiseerde misdaad en fundamentele rechten. </w:t>
      </w:r>
      <w:r w:rsidR="0055332D">
        <w:rPr>
          <w:rFonts w:cs="Times New Roman"/>
          <w:szCs w:val="18"/>
          <w:lang w:val="nl-NL" w:eastAsia="ja-JP"/>
        </w:rPr>
        <w:t xml:space="preserve">Het krachtenveld in de Raad beweegt zich richting unanieme steun voor deze stap. </w:t>
      </w:r>
      <w:r w:rsidR="008E4F87">
        <w:rPr>
          <w:rFonts w:cs="Times New Roman"/>
          <w:szCs w:val="18"/>
          <w:lang w:val="nl-NL" w:eastAsia="ja-JP"/>
        </w:rPr>
        <w:t xml:space="preserve"> </w:t>
      </w:r>
    </w:p>
    <w:p w:rsidR="003732C4" w:rsidP="00405010" w:rsidRDefault="003732C4" w14:paraId="6285D11A" w14:textId="77777777">
      <w:pPr>
        <w:spacing w:line="276" w:lineRule="auto"/>
        <w:contextualSpacing/>
        <w:rPr>
          <w:rFonts w:cs="Times New Roman"/>
          <w:szCs w:val="18"/>
          <w:lang w:val="nl-NL" w:eastAsia="ja-JP"/>
        </w:rPr>
      </w:pPr>
    </w:p>
    <w:p w:rsidRPr="009F65A6" w:rsidR="009F65A6" w:rsidP="00405010" w:rsidRDefault="009F65A6" w14:paraId="035F6DB6" w14:textId="1B730D7D">
      <w:pPr>
        <w:spacing w:line="276" w:lineRule="auto"/>
        <w:contextualSpacing/>
        <w:rPr>
          <w:rFonts w:cs="Times New Roman"/>
          <w:szCs w:val="18"/>
          <w:lang w:val="nl-NL" w:eastAsia="ja-JP"/>
        </w:rPr>
      </w:pPr>
      <w:r w:rsidRPr="009F65A6">
        <w:rPr>
          <w:rFonts w:cs="Times New Roman"/>
          <w:b/>
          <w:bCs/>
          <w:szCs w:val="18"/>
          <w:lang w:val="nl-NL" w:eastAsia="ja-JP"/>
        </w:rPr>
        <w:t xml:space="preserve">EU-toetredingsproces Montenegro: onder voorbehoud sluiten </w:t>
      </w:r>
      <w:r>
        <w:rPr>
          <w:rFonts w:cs="Times New Roman"/>
          <w:b/>
          <w:bCs/>
          <w:szCs w:val="18"/>
          <w:lang w:val="nl-NL" w:eastAsia="ja-JP"/>
        </w:rPr>
        <w:t xml:space="preserve">van drie </w:t>
      </w:r>
      <w:r w:rsidRPr="009F65A6">
        <w:rPr>
          <w:rFonts w:cs="Times New Roman"/>
          <w:b/>
          <w:bCs/>
          <w:szCs w:val="18"/>
          <w:lang w:val="nl-NL" w:eastAsia="ja-JP"/>
        </w:rPr>
        <w:t>hoofdstukken</w:t>
      </w:r>
      <w:r w:rsidRPr="009F65A6">
        <w:rPr>
          <w:rFonts w:cs="Times New Roman"/>
          <w:szCs w:val="18"/>
          <w:lang w:val="nl-NL" w:eastAsia="ja-JP"/>
        </w:rPr>
        <w:t xml:space="preserve"> </w:t>
      </w:r>
      <w:r w:rsidRPr="009F65A6">
        <w:rPr>
          <w:rFonts w:cs="Times New Roman"/>
          <w:szCs w:val="18"/>
          <w:lang w:val="nl-NL" w:eastAsia="ja-JP"/>
        </w:rPr>
        <w:br/>
        <w:t xml:space="preserve">De Commissie heeft voorgesteld om in de toetredingsonderhandelingen met Montenegro hoofdstuk 8 </w:t>
      </w:r>
      <w:r>
        <w:rPr>
          <w:rFonts w:cs="Times New Roman"/>
          <w:szCs w:val="18"/>
          <w:lang w:val="nl-NL" w:eastAsia="ja-JP"/>
        </w:rPr>
        <w:t>(</w:t>
      </w:r>
      <w:r w:rsidRPr="009F65A6">
        <w:rPr>
          <w:rFonts w:cs="Times New Roman"/>
          <w:szCs w:val="18"/>
          <w:lang w:val="nl-NL" w:eastAsia="ja-JP"/>
        </w:rPr>
        <w:t>mededingingsbeleid</w:t>
      </w:r>
      <w:r>
        <w:rPr>
          <w:rFonts w:cs="Times New Roman"/>
          <w:szCs w:val="18"/>
          <w:lang w:val="nl-NL" w:eastAsia="ja-JP"/>
        </w:rPr>
        <w:t>)</w:t>
      </w:r>
      <w:r w:rsidRPr="009F65A6">
        <w:rPr>
          <w:rFonts w:cs="Times New Roman"/>
          <w:szCs w:val="18"/>
          <w:lang w:val="nl-NL" w:eastAsia="ja-JP"/>
        </w:rPr>
        <w:t xml:space="preserve">, hoofdstuk 14 </w:t>
      </w:r>
      <w:r>
        <w:rPr>
          <w:rFonts w:cs="Times New Roman"/>
          <w:szCs w:val="18"/>
          <w:lang w:val="nl-NL" w:eastAsia="ja-JP"/>
        </w:rPr>
        <w:t>(</w:t>
      </w:r>
      <w:r w:rsidRPr="009F65A6">
        <w:rPr>
          <w:rFonts w:cs="Times New Roman"/>
          <w:szCs w:val="18"/>
          <w:lang w:val="nl-NL" w:eastAsia="ja-JP"/>
        </w:rPr>
        <w:t>vervoersbeleid</w:t>
      </w:r>
      <w:r>
        <w:rPr>
          <w:rFonts w:cs="Times New Roman"/>
          <w:szCs w:val="18"/>
          <w:lang w:val="nl-NL" w:eastAsia="ja-JP"/>
        </w:rPr>
        <w:t>)</w:t>
      </w:r>
      <w:r w:rsidRPr="009F65A6">
        <w:rPr>
          <w:rFonts w:cs="Times New Roman"/>
          <w:szCs w:val="18"/>
          <w:lang w:val="nl-NL" w:eastAsia="ja-JP"/>
        </w:rPr>
        <w:t xml:space="preserve"> en hoofdstuk 29</w:t>
      </w:r>
      <w:r>
        <w:rPr>
          <w:rFonts w:cs="Times New Roman"/>
          <w:szCs w:val="18"/>
          <w:lang w:val="nl-NL" w:eastAsia="ja-JP"/>
        </w:rPr>
        <w:t xml:space="preserve"> (</w:t>
      </w:r>
      <w:r w:rsidRPr="009F65A6">
        <w:rPr>
          <w:rFonts w:cs="Times New Roman"/>
          <w:szCs w:val="18"/>
          <w:lang w:val="nl-NL" w:eastAsia="ja-JP"/>
        </w:rPr>
        <w:t>douane-unie</w:t>
      </w:r>
      <w:r>
        <w:rPr>
          <w:rFonts w:cs="Times New Roman"/>
          <w:szCs w:val="18"/>
          <w:lang w:val="nl-NL" w:eastAsia="ja-JP"/>
        </w:rPr>
        <w:t>)</w:t>
      </w:r>
      <w:r w:rsidRPr="009F65A6">
        <w:rPr>
          <w:rFonts w:cs="Times New Roman"/>
          <w:szCs w:val="18"/>
          <w:lang w:val="nl-NL" w:eastAsia="ja-JP"/>
        </w:rPr>
        <w:t xml:space="preserve"> onder voorbehoud te sluiten. Deze hoofdstukken omvatten onder andere het EU-</w:t>
      </w:r>
      <w:proofErr w:type="spellStart"/>
      <w:r w:rsidRPr="009F65A6">
        <w:rPr>
          <w:rFonts w:cs="Times New Roman"/>
          <w:szCs w:val="18"/>
          <w:lang w:val="nl-NL" w:eastAsia="ja-JP"/>
        </w:rPr>
        <w:t>acquis</w:t>
      </w:r>
      <w:proofErr w:type="spellEnd"/>
      <w:r w:rsidRPr="009F65A6">
        <w:rPr>
          <w:rFonts w:cs="Times New Roman"/>
          <w:szCs w:val="18"/>
          <w:lang w:val="nl-NL" w:eastAsia="ja-JP"/>
        </w:rPr>
        <w:t xml:space="preserve"> over mededinging, fusies, staatssteun, wegtransport, spoorvervoer, passagiersrechten en douanezaken.</w:t>
      </w:r>
      <w:r>
        <w:rPr>
          <w:rFonts w:cs="Times New Roman"/>
          <w:szCs w:val="18"/>
          <w:lang w:val="nl-NL" w:eastAsia="ja-JP"/>
        </w:rPr>
        <w:t xml:space="preserve"> Afhankelijk</w:t>
      </w:r>
      <w:r w:rsidRPr="001B64FF">
        <w:rPr>
          <w:rFonts w:cs="Times New Roman"/>
          <w:szCs w:val="18"/>
          <w:lang w:val="nl-NL" w:eastAsia="ja-JP"/>
        </w:rPr>
        <w:t xml:space="preserve"> van instemming van EU-lidstaten zal een </w:t>
      </w:r>
      <w:r w:rsidR="009E43F0">
        <w:rPr>
          <w:rFonts w:cs="Times New Roman"/>
          <w:szCs w:val="18"/>
          <w:lang w:val="nl-NL" w:eastAsia="ja-JP"/>
        </w:rPr>
        <w:t>IGC</w:t>
      </w:r>
      <w:r w:rsidRPr="001B64FF">
        <w:rPr>
          <w:rFonts w:cs="Times New Roman"/>
          <w:szCs w:val="18"/>
          <w:lang w:val="nl-NL" w:eastAsia="ja-JP"/>
        </w:rPr>
        <w:t xml:space="preserve"> worden georganiseerd om deze stap te markeren.</w:t>
      </w:r>
      <w:r>
        <w:rPr>
          <w:rFonts w:cs="Times New Roman"/>
          <w:szCs w:val="18"/>
          <w:lang w:val="nl-NL" w:eastAsia="ja-JP"/>
        </w:rPr>
        <w:br/>
      </w:r>
      <w:r>
        <w:rPr>
          <w:rFonts w:cs="Times New Roman"/>
          <w:szCs w:val="18"/>
          <w:lang w:val="nl-NL" w:eastAsia="ja-JP"/>
        </w:rPr>
        <w:br/>
        <w:t xml:space="preserve">De Commissie </w:t>
      </w:r>
      <w:r w:rsidR="00C91411">
        <w:rPr>
          <w:rFonts w:cs="Times New Roman"/>
          <w:szCs w:val="18"/>
          <w:lang w:val="nl-NL" w:eastAsia="ja-JP"/>
        </w:rPr>
        <w:t xml:space="preserve">concludeert </w:t>
      </w:r>
      <w:r>
        <w:rPr>
          <w:rFonts w:cs="Times New Roman"/>
          <w:szCs w:val="18"/>
          <w:lang w:val="nl-NL" w:eastAsia="ja-JP"/>
        </w:rPr>
        <w:t>dat Montenegro voldoet</w:t>
      </w:r>
      <w:r w:rsidRPr="003732C4">
        <w:rPr>
          <w:rFonts w:cs="Times New Roman"/>
          <w:szCs w:val="18"/>
          <w:lang w:val="nl-NL" w:eastAsia="ja-JP"/>
        </w:rPr>
        <w:t xml:space="preserve"> aan de </w:t>
      </w:r>
      <w:r w:rsidRPr="009F65A6">
        <w:rPr>
          <w:rFonts w:cs="Times New Roman"/>
          <w:i/>
          <w:iCs/>
          <w:szCs w:val="18"/>
          <w:lang w:val="nl-NL" w:eastAsia="ja-JP"/>
        </w:rPr>
        <w:t>benchmarks</w:t>
      </w:r>
      <w:r>
        <w:rPr>
          <w:rFonts w:cs="Times New Roman"/>
          <w:szCs w:val="18"/>
          <w:lang w:val="nl-NL" w:eastAsia="ja-JP"/>
        </w:rPr>
        <w:t>. V</w:t>
      </w:r>
      <w:r w:rsidRPr="009F65A6">
        <w:rPr>
          <w:rFonts w:cs="Times New Roman"/>
          <w:szCs w:val="18"/>
          <w:lang w:val="nl-NL" w:eastAsia="ja-JP"/>
        </w:rPr>
        <w:t xml:space="preserve">oor hoofdstuk 8 zien </w:t>
      </w:r>
      <w:r>
        <w:rPr>
          <w:rFonts w:cs="Times New Roman"/>
          <w:szCs w:val="18"/>
          <w:lang w:val="nl-NL" w:eastAsia="ja-JP"/>
        </w:rPr>
        <w:t xml:space="preserve">deze </w:t>
      </w:r>
      <w:r w:rsidRPr="009F65A6">
        <w:rPr>
          <w:rFonts w:cs="Times New Roman"/>
          <w:szCs w:val="18"/>
          <w:lang w:val="nl-NL" w:eastAsia="ja-JP"/>
        </w:rPr>
        <w:t xml:space="preserve">onder meer op adequate administratieve en gerechtelijke capaciteit voor mededingingsrecht, fusies en toezicht op staatssteun, en het realiseren van een </w:t>
      </w:r>
      <w:r w:rsidRPr="009F65A6">
        <w:rPr>
          <w:rFonts w:cs="Times New Roman"/>
          <w:i/>
          <w:iCs/>
          <w:szCs w:val="18"/>
          <w:lang w:val="nl-NL" w:eastAsia="ja-JP"/>
        </w:rPr>
        <w:t>track record</w:t>
      </w:r>
      <w:r w:rsidRPr="009F65A6">
        <w:rPr>
          <w:rFonts w:cs="Times New Roman"/>
          <w:szCs w:val="18"/>
          <w:lang w:val="nl-NL" w:eastAsia="ja-JP"/>
        </w:rPr>
        <w:t xml:space="preserve"> op handhaving. Voor hoofdstuk 29 betreft het onder andere consistente en efficiënte toepassing van regels door douaneautoriteiten. Voor hoofdstuk 14 zien de </w:t>
      </w:r>
      <w:r w:rsidRPr="009F65A6">
        <w:rPr>
          <w:rFonts w:cs="Times New Roman"/>
          <w:i/>
          <w:iCs/>
          <w:szCs w:val="18"/>
          <w:lang w:val="nl-NL" w:eastAsia="ja-JP"/>
        </w:rPr>
        <w:t xml:space="preserve">benchmarks </w:t>
      </w:r>
      <w:r w:rsidRPr="009F65A6">
        <w:rPr>
          <w:rFonts w:cs="Times New Roman"/>
          <w:szCs w:val="18"/>
          <w:lang w:val="nl-NL" w:eastAsia="ja-JP"/>
        </w:rPr>
        <w:t xml:space="preserve">onder andere op het overnemen van sociaal </w:t>
      </w:r>
      <w:proofErr w:type="spellStart"/>
      <w:r w:rsidRPr="009F65A6">
        <w:rPr>
          <w:rFonts w:cs="Times New Roman"/>
          <w:szCs w:val="18"/>
          <w:lang w:val="nl-NL" w:eastAsia="ja-JP"/>
        </w:rPr>
        <w:t>acquis</w:t>
      </w:r>
      <w:proofErr w:type="spellEnd"/>
      <w:r w:rsidRPr="009F65A6">
        <w:rPr>
          <w:rFonts w:cs="Times New Roman"/>
          <w:szCs w:val="18"/>
          <w:lang w:val="nl-NL" w:eastAsia="ja-JP"/>
        </w:rPr>
        <w:t xml:space="preserve"> voor wegtransport, EU-</w:t>
      </w:r>
      <w:proofErr w:type="spellStart"/>
      <w:r w:rsidRPr="009F65A6">
        <w:rPr>
          <w:rFonts w:cs="Times New Roman"/>
          <w:szCs w:val="18"/>
          <w:lang w:val="nl-NL" w:eastAsia="ja-JP"/>
        </w:rPr>
        <w:t>acquis</w:t>
      </w:r>
      <w:proofErr w:type="spellEnd"/>
      <w:r w:rsidRPr="009F65A6">
        <w:rPr>
          <w:rFonts w:cs="Times New Roman"/>
          <w:szCs w:val="18"/>
          <w:lang w:val="nl-NL" w:eastAsia="ja-JP"/>
        </w:rPr>
        <w:t xml:space="preserve"> voor passagiersrechten en het realiseren van een onafhankelijk en effectieve instantie voor toezicht op het spoor en spoorveiligheid.</w:t>
      </w:r>
      <w:r>
        <w:rPr>
          <w:rFonts w:cs="Times New Roman"/>
          <w:szCs w:val="18"/>
          <w:lang w:val="nl-NL" w:eastAsia="ja-JP"/>
        </w:rPr>
        <w:br/>
      </w:r>
      <w:r>
        <w:rPr>
          <w:rFonts w:cs="Times New Roman"/>
          <w:szCs w:val="18"/>
          <w:lang w:val="nl-NL" w:eastAsia="ja-JP"/>
        </w:rPr>
        <w:br/>
      </w:r>
      <w:r w:rsidRPr="009F65A6">
        <w:rPr>
          <w:rFonts w:cs="Times New Roman"/>
          <w:szCs w:val="18"/>
          <w:lang w:val="nl-NL" w:eastAsia="ja-JP"/>
        </w:rPr>
        <w:lastRenderedPageBreak/>
        <w:t xml:space="preserve">Het kabinet weegt de bredere (rechtsstaats-)situatie in Montenegro zodanig dat het een kritisch-constructieve grondhouding heeft ten aanzien van voorstellen van de Commissie voor het onder voorbehoud sluiten van individuele hoofdstukken. Het kabinet kan deze steunen, mits Montenegro blijvend investeert in versterking van de administratieve en personele capaciteit, en aan de beleidsinhoudelijke </w:t>
      </w:r>
      <w:proofErr w:type="spellStart"/>
      <w:r w:rsidRPr="009F65A6">
        <w:rPr>
          <w:rFonts w:cs="Times New Roman"/>
          <w:i/>
          <w:iCs/>
          <w:szCs w:val="18"/>
          <w:lang w:val="nl-NL" w:eastAsia="ja-JP"/>
        </w:rPr>
        <w:t>closing</w:t>
      </w:r>
      <w:proofErr w:type="spellEnd"/>
      <w:r w:rsidRPr="009F65A6">
        <w:rPr>
          <w:rFonts w:cs="Times New Roman"/>
          <w:i/>
          <w:iCs/>
          <w:szCs w:val="18"/>
          <w:lang w:val="nl-NL" w:eastAsia="ja-JP"/>
        </w:rPr>
        <w:t xml:space="preserve"> benchmarks</w:t>
      </w:r>
      <w:r w:rsidRPr="009F65A6">
        <w:rPr>
          <w:rFonts w:cs="Times New Roman"/>
          <w:szCs w:val="18"/>
          <w:lang w:val="nl-NL" w:eastAsia="ja-JP"/>
        </w:rPr>
        <w:t xml:space="preserve"> voor individuele hoofdstukken is voldaan.</w:t>
      </w:r>
      <w:r w:rsidR="006B5DDE">
        <w:rPr>
          <w:rStyle w:val="FootnoteReference"/>
          <w:rFonts w:cs="Times New Roman"/>
          <w:szCs w:val="18"/>
          <w:lang w:val="nl-NL" w:eastAsia="ja-JP"/>
        </w:rPr>
        <w:footnoteReference w:id="3"/>
      </w:r>
      <w:r w:rsidR="00D1320A">
        <w:rPr>
          <w:rFonts w:cs="Times New Roman"/>
          <w:szCs w:val="18"/>
          <w:vertAlign w:val="superscript"/>
          <w:lang w:val="nl-NL" w:eastAsia="ja-JP"/>
        </w:rPr>
        <w:t xml:space="preserve"> </w:t>
      </w:r>
      <w:r>
        <w:rPr>
          <w:rFonts w:cs="Times New Roman"/>
          <w:szCs w:val="18"/>
          <w:lang w:val="nl-NL" w:eastAsia="ja-JP"/>
        </w:rPr>
        <w:t xml:space="preserve">Het kabinet deelt de analyse dat Montenegro aan deze </w:t>
      </w:r>
      <w:r w:rsidRPr="009F65A6">
        <w:rPr>
          <w:rFonts w:cs="Times New Roman"/>
          <w:i/>
          <w:iCs/>
          <w:szCs w:val="18"/>
          <w:lang w:val="nl-NL" w:eastAsia="ja-JP"/>
        </w:rPr>
        <w:t>benchmarks</w:t>
      </w:r>
      <w:r>
        <w:rPr>
          <w:rFonts w:cs="Times New Roman"/>
          <w:szCs w:val="18"/>
          <w:lang w:val="nl-NL" w:eastAsia="ja-JP"/>
        </w:rPr>
        <w:t xml:space="preserve"> voldaan heeft en is daarom voornemens om in te stemmen met het onder voorbehoud sluiten van deze hoofdstukken. Het krachtenveld in de Raad beweegt zich richting unanieme steun voor deze stap.</w:t>
      </w:r>
    </w:p>
    <w:p w:rsidRPr="006A5A19" w:rsidR="001B64FF" w:rsidP="00405010" w:rsidRDefault="001B64FF" w14:paraId="4BABE4FC" w14:textId="58E49CC3">
      <w:pPr>
        <w:spacing w:line="276" w:lineRule="auto"/>
        <w:contextualSpacing/>
        <w:rPr>
          <w:rFonts w:cs="Times New Roman"/>
          <w:szCs w:val="18"/>
          <w:lang w:val="nl-NL" w:eastAsia="ja-JP"/>
        </w:rPr>
      </w:pPr>
    </w:p>
    <w:sectPr w:rsidRPr="006A5A19" w:rsidR="001B64F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FC900" w14:textId="77777777" w:rsidR="00A400A5" w:rsidRDefault="00A400A5" w:rsidP="003E101F">
      <w:pPr>
        <w:spacing w:after="0"/>
      </w:pPr>
      <w:r>
        <w:separator/>
      </w:r>
    </w:p>
  </w:endnote>
  <w:endnote w:type="continuationSeparator" w:id="0">
    <w:p w14:paraId="013FD744" w14:textId="77777777" w:rsidR="00A400A5" w:rsidRDefault="00A400A5"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CDC6F" w14:textId="77777777" w:rsidR="00A400A5" w:rsidRDefault="00A400A5" w:rsidP="003E101F">
      <w:pPr>
        <w:spacing w:after="0"/>
      </w:pPr>
      <w:r>
        <w:separator/>
      </w:r>
    </w:p>
  </w:footnote>
  <w:footnote w:type="continuationSeparator" w:id="0">
    <w:p w14:paraId="65640C8B" w14:textId="77777777" w:rsidR="00A400A5" w:rsidRDefault="00A400A5" w:rsidP="003E101F">
      <w:pPr>
        <w:spacing w:after="0"/>
      </w:pPr>
      <w:r>
        <w:continuationSeparator/>
      </w:r>
    </w:p>
  </w:footnote>
  <w:footnote w:id="1">
    <w:p w14:paraId="487A5902" w14:textId="0B18AF62" w:rsidR="003050F6" w:rsidRDefault="003050F6" w:rsidP="003050F6">
      <w:pPr>
        <w:pStyle w:val="FootnoteText"/>
        <w:rPr>
          <w:sz w:val="16"/>
          <w:szCs w:val="16"/>
          <w:lang w:val="nl-NL"/>
        </w:rPr>
      </w:pPr>
      <w:r>
        <w:rPr>
          <w:rStyle w:val="FootnoteReference"/>
          <w:sz w:val="16"/>
          <w:szCs w:val="16"/>
        </w:rPr>
        <w:footnoteRef/>
      </w:r>
      <w:r>
        <w:rPr>
          <w:sz w:val="16"/>
          <w:szCs w:val="16"/>
          <w:lang w:val="nl-NL"/>
        </w:rPr>
        <w:t xml:space="preserve"> Kamerbrief ‘Update Nederlandse inzet ten aanzien van de onderhandelingen over het Meerjarig Financieel Kader 2028–2034 en het eigenmiddelenbesluit van de EU’, Kamerstuk 22 112</w:t>
      </w:r>
      <w:r w:rsidR="00EC78B4">
        <w:rPr>
          <w:sz w:val="16"/>
          <w:szCs w:val="16"/>
          <w:lang w:val="nl-NL"/>
        </w:rPr>
        <w:t>,</w:t>
      </w:r>
      <w:r>
        <w:rPr>
          <w:sz w:val="16"/>
          <w:szCs w:val="16"/>
          <w:lang w:val="nl-NL"/>
        </w:rPr>
        <w:t xml:space="preserve"> nr. 4357.</w:t>
      </w:r>
    </w:p>
  </w:footnote>
  <w:footnote w:id="2">
    <w:p w14:paraId="34215931" w14:textId="4D0CEFEF" w:rsidR="002078AC" w:rsidRPr="00710E78" w:rsidRDefault="002078AC" w:rsidP="002078AC">
      <w:pPr>
        <w:pStyle w:val="FootnoteText"/>
        <w:rPr>
          <w:sz w:val="16"/>
          <w:szCs w:val="16"/>
          <w:highlight w:val="yellow"/>
          <w:lang w:val="nl-NL"/>
        </w:rPr>
      </w:pPr>
      <w:r>
        <w:rPr>
          <w:rStyle w:val="FootnoteReference"/>
        </w:rPr>
        <w:footnoteRef/>
      </w:r>
      <w:r w:rsidRPr="00710E78">
        <w:rPr>
          <w:lang w:val="nl-NL"/>
        </w:rPr>
        <w:t xml:space="preserve"> </w:t>
      </w:r>
      <w:r w:rsidRPr="00710E78">
        <w:rPr>
          <w:sz w:val="16"/>
          <w:szCs w:val="16"/>
          <w:lang w:val="nl-NL"/>
        </w:rPr>
        <w:t xml:space="preserve">Kamerstuk </w:t>
      </w:r>
      <w:r w:rsidR="00453F5E" w:rsidRPr="00453F5E">
        <w:rPr>
          <w:sz w:val="16"/>
          <w:szCs w:val="16"/>
          <w:lang w:val="nl-NL"/>
        </w:rPr>
        <w:t>22</w:t>
      </w:r>
      <w:r w:rsidR="00453F5E">
        <w:rPr>
          <w:sz w:val="16"/>
          <w:szCs w:val="16"/>
          <w:lang w:val="nl-NL"/>
        </w:rPr>
        <w:t xml:space="preserve"> </w:t>
      </w:r>
      <w:r w:rsidR="00453F5E" w:rsidRPr="00453F5E">
        <w:rPr>
          <w:sz w:val="16"/>
          <w:szCs w:val="16"/>
          <w:lang w:val="nl-NL"/>
        </w:rPr>
        <w:t>112</w:t>
      </w:r>
      <w:r w:rsidR="00EC78B4">
        <w:rPr>
          <w:sz w:val="16"/>
          <w:szCs w:val="16"/>
          <w:lang w:val="nl-NL"/>
        </w:rPr>
        <w:t>,</w:t>
      </w:r>
      <w:r w:rsidR="00453F5E">
        <w:rPr>
          <w:sz w:val="16"/>
          <w:szCs w:val="16"/>
          <w:lang w:val="nl-NL"/>
        </w:rPr>
        <w:t xml:space="preserve"> nr. </w:t>
      </w:r>
      <w:r w:rsidR="00453F5E" w:rsidRPr="00453F5E">
        <w:rPr>
          <w:sz w:val="16"/>
          <w:szCs w:val="16"/>
          <w:lang w:val="nl-NL"/>
        </w:rPr>
        <w:t>4304</w:t>
      </w:r>
      <w:r w:rsidR="00EC78B4">
        <w:rPr>
          <w:sz w:val="16"/>
          <w:szCs w:val="16"/>
          <w:lang w:val="nl-NL"/>
        </w:rPr>
        <w:t>.</w:t>
      </w:r>
    </w:p>
    <w:p w14:paraId="270C7A44" w14:textId="7E678536" w:rsidR="002078AC" w:rsidRPr="00710E78" w:rsidRDefault="002078AC">
      <w:pPr>
        <w:pStyle w:val="FootnoteText"/>
        <w:rPr>
          <w:lang w:val="nl-NL"/>
        </w:rPr>
      </w:pPr>
    </w:p>
  </w:footnote>
  <w:footnote w:id="3">
    <w:p w14:paraId="29CF069C" w14:textId="045D798C" w:rsidR="006B5DDE" w:rsidRPr="00EC78B4" w:rsidRDefault="006B5DDE">
      <w:pPr>
        <w:pStyle w:val="FootnoteText"/>
        <w:rPr>
          <w:sz w:val="16"/>
          <w:szCs w:val="16"/>
          <w:lang w:val="nl-NL"/>
        </w:rPr>
      </w:pPr>
      <w:r w:rsidRPr="00EC78B4">
        <w:rPr>
          <w:rStyle w:val="FootnoteReference"/>
          <w:sz w:val="16"/>
          <w:szCs w:val="16"/>
        </w:rPr>
        <w:footnoteRef/>
      </w:r>
      <w:r w:rsidRPr="00EC78B4">
        <w:rPr>
          <w:sz w:val="16"/>
          <w:szCs w:val="16"/>
          <w:lang w:val="nl-NL"/>
        </w:rPr>
        <w:t xml:space="preserve"> </w:t>
      </w:r>
      <w:r w:rsidRPr="00EC78B4">
        <w:rPr>
          <w:rFonts w:cs="Calibri"/>
          <w:sz w:val="16"/>
          <w:szCs w:val="16"/>
          <w:lang w:val="nl-NL"/>
        </w:rPr>
        <w:t>Kamerstuk 23 987, nr. 398</w:t>
      </w:r>
      <w:r w:rsidR="00EC78B4" w:rsidRPr="00EC78B4">
        <w:rPr>
          <w:rFonts w:cs="Calibri"/>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EB1"/>
    <w:rsid w:val="000041D8"/>
    <w:rsid w:val="00005FC3"/>
    <w:rsid w:val="00007F96"/>
    <w:rsid w:val="00021A49"/>
    <w:rsid w:val="000248C6"/>
    <w:rsid w:val="00032742"/>
    <w:rsid w:val="00040F30"/>
    <w:rsid w:val="00072F2C"/>
    <w:rsid w:val="000827D1"/>
    <w:rsid w:val="000907DC"/>
    <w:rsid w:val="0009397E"/>
    <w:rsid w:val="000A5E3F"/>
    <w:rsid w:val="000B027F"/>
    <w:rsid w:val="000C00AE"/>
    <w:rsid w:val="000C4553"/>
    <w:rsid w:val="000F212E"/>
    <w:rsid w:val="00105423"/>
    <w:rsid w:val="001248F0"/>
    <w:rsid w:val="00137A19"/>
    <w:rsid w:val="001417AE"/>
    <w:rsid w:val="001446E6"/>
    <w:rsid w:val="00164DED"/>
    <w:rsid w:val="001810A0"/>
    <w:rsid w:val="00181F35"/>
    <w:rsid w:val="00184021"/>
    <w:rsid w:val="00190A88"/>
    <w:rsid w:val="00195A44"/>
    <w:rsid w:val="001B64FF"/>
    <w:rsid w:val="001E28C2"/>
    <w:rsid w:val="001E7F50"/>
    <w:rsid w:val="001F4DE2"/>
    <w:rsid w:val="002029AE"/>
    <w:rsid w:val="002078AC"/>
    <w:rsid w:val="002174C1"/>
    <w:rsid w:val="00217EC3"/>
    <w:rsid w:val="002220E1"/>
    <w:rsid w:val="00237549"/>
    <w:rsid w:val="0024487B"/>
    <w:rsid w:val="00264CE8"/>
    <w:rsid w:val="0027498C"/>
    <w:rsid w:val="00275571"/>
    <w:rsid w:val="00287C5C"/>
    <w:rsid w:val="002911F6"/>
    <w:rsid w:val="00292BA4"/>
    <w:rsid w:val="002A4D5B"/>
    <w:rsid w:val="002B0460"/>
    <w:rsid w:val="002B422F"/>
    <w:rsid w:val="002D40BF"/>
    <w:rsid w:val="002E2A5C"/>
    <w:rsid w:val="002E36A3"/>
    <w:rsid w:val="002E79BD"/>
    <w:rsid w:val="00301D99"/>
    <w:rsid w:val="003039DD"/>
    <w:rsid w:val="003050F6"/>
    <w:rsid w:val="003225C1"/>
    <w:rsid w:val="00330A91"/>
    <w:rsid w:val="0036651B"/>
    <w:rsid w:val="003732C4"/>
    <w:rsid w:val="003A08E5"/>
    <w:rsid w:val="003B7FFA"/>
    <w:rsid w:val="003E101F"/>
    <w:rsid w:val="003E66A1"/>
    <w:rsid w:val="003F789A"/>
    <w:rsid w:val="00400BAD"/>
    <w:rsid w:val="00402E55"/>
    <w:rsid w:val="00405010"/>
    <w:rsid w:val="00407C95"/>
    <w:rsid w:val="0041716A"/>
    <w:rsid w:val="00422371"/>
    <w:rsid w:val="004277BB"/>
    <w:rsid w:val="00450417"/>
    <w:rsid w:val="00453F5E"/>
    <w:rsid w:val="0046444D"/>
    <w:rsid w:val="004735AA"/>
    <w:rsid w:val="00482D59"/>
    <w:rsid w:val="00483D2C"/>
    <w:rsid w:val="00485B7C"/>
    <w:rsid w:val="004A5792"/>
    <w:rsid w:val="004C2933"/>
    <w:rsid w:val="004C3BF1"/>
    <w:rsid w:val="004C40A0"/>
    <w:rsid w:val="004F42F0"/>
    <w:rsid w:val="004F66E9"/>
    <w:rsid w:val="005022A8"/>
    <w:rsid w:val="005034D2"/>
    <w:rsid w:val="00515557"/>
    <w:rsid w:val="00523D5D"/>
    <w:rsid w:val="005308C3"/>
    <w:rsid w:val="00547190"/>
    <w:rsid w:val="005513AA"/>
    <w:rsid w:val="0055332D"/>
    <w:rsid w:val="005717BC"/>
    <w:rsid w:val="00574A42"/>
    <w:rsid w:val="005768F4"/>
    <w:rsid w:val="005C00B5"/>
    <w:rsid w:val="005C50C7"/>
    <w:rsid w:val="005C765E"/>
    <w:rsid w:val="005E35F9"/>
    <w:rsid w:val="005F2838"/>
    <w:rsid w:val="005F5623"/>
    <w:rsid w:val="006137C7"/>
    <w:rsid w:val="00614604"/>
    <w:rsid w:val="0062318D"/>
    <w:rsid w:val="006233C5"/>
    <w:rsid w:val="00623C77"/>
    <w:rsid w:val="00645145"/>
    <w:rsid w:val="00651736"/>
    <w:rsid w:val="00653DBF"/>
    <w:rsid w:val="00656046"/>
    <w:rsid w:val="006624B9"/>
    <w:rsid w:val="00690694"/>
    <w:rsid w:val="006908F3"/>
    <w:rsid w:val="006A2633"/>
    <w:rsid w:val="006A40A3"/>
    <w:rsid w:val="006A5A19"/>
    <w:rsid w:val="006A784B"/>
    <w:rsid w:val="006B3EF2"/>
    <w:rsid w:val="006B5DDE"/>
    <w:rsid w:val="006D7DA6"/>
    <w:rsid w:val="006E5C03"/>
    <w:rsid w:val="006F40FD"/>
    <w:rsid w:val="007007CB"/>
    <w:rsid w:val="00703614"/>
    <w:rsid w:val="00707041"/>
    <w:rsid w:val="007074E4"/>
    <w:rsid w:val="00710E78"/>
    <w:rsid w:val="00722F81"/>
    <w:rsid w:val="00741999"/>
    <w:rsid w:val="00772551"/>
    <w:rsid w:val="007B226A"/>
    <w:rsid w:val="007B4242"/>
    <w:rsid w:val="007D01AD"/>
    <w:rsid w:val="007E27C8"/>
    <w:rsid w:val="007E6B4D"/>
    <w:rsid w:val="007E7315"/>
    <w:rsid w:val="00816217"/>
    <w:rsid w:val="0081790E"/>
    <w:rsid w:val="00822F7D"/>
    <w:rsid w:val="00827A0B"/>
    <w:rsid w:val="00866594"/>
    <w:rsid w:val="008B51E1"/>
    <w:rsid w:val="008C1341"/>
    <w:rsid w:val="008D24E0"/>
    <w:rsid w:val="008E4F87"/>
    <w:rsid w:val="008F0B16"/>
    <w:rsid w:val="00907592"/>
    <w:rsid w:val="00932462"/>
    <w:rsid w:val="0094435E"/>
    <w:rsid w:val="00965C6E"/>
    <w:rsid w:val="00990E0C"/>
    <w:rsid w:val="009A1561"/>
    <w:rsid w:val="009A79EE"/>
    <w:rsid w:val="009C1EB1"/>
    <w:rsid w:val="009D5E10"/>
    <w:rsid w:val="009E43F0"/>
    <w:rsid w:val="009E6F26"/>
    <w:rsid w:val="009F1080"/>
    <w:rsid w:val="009F65A6"/>
    <w:rsid w:val="009F713F"/>
    <w:rsid w:val="00A154E1"/>
    <w:rsid w:val="00A21CB5"/>
    <w:rsid w:val="00A26844"/>
    <w:rsid w:val="00A400A5"/>
    <w:rsid w:val="00A43EC8"/>
    <w:rsid w:val="00A504FA"/>
    <w:rsid w:val="00AC5FC5"/>
    <w:rsid w:val="00AC7762"/>
    <w:rsid w:val="00AD54B4"/>
    <w:rsid w:val="00AD6AE3"/>
    <w:rsid w:val="00B01AA9"/>
    <w:rsid w:val="00B06843"/>
    <w:rsid w:val="00B11837"/>
    <w:rsid w:val="00B21CDB"/>
    <w:rsid w:val="00B27427"/>
    <w:rsid w:val="00B30354"/>
    <w:rsid w:val="00B331A5"/>
    <w:rsid w:val="00B36EC6"/>
    <w:rsid w:val="00B47A17"/>
    <w:rsid w:val="00B60EE6"/>
    <w:rsid w:val="00BA5B9C"/>
    <w:rsid w:val="00BC2FC7"/>
    <w:rsid w:val="00BD7289"/>
    <w:rsid w:val="00BF53C2"/>
    <w:rsid w:val="00C10C44"/>
    <w:rsid w:val="00C12616"/>
    <w:rsid w:val="00C238BF"/>
    <w:rsid w:val="00C2573C"/>
    <w:rsid w:val="00C312C4"/>
    <w:rsid w:val="00C346DA"/>
    <w:rsid w:val="00C40485"/>
    <w:rsid w:val="00C524D1"/>
    <w:rsid w:val="00C54DEC"/>
    <w:rsid w:val="00C9046B"/>
    <w:rsid w:val="00C91411"/>
    <w:rsid w:val="00CA2679"/>
    <w:rsid w:val="00CA5C88"/>
    <w:rsid w:val="00CB1C74"/>
    <w:rsid w:val="00CB495A"/>
    <w:rsid w:val="00CC0108"/>
    <w:rsid w:val="00CD343D"/>
    <w:rsid w:val="00CE5C39"/>
    <w:rsid w:val="00D1227C"/>
    <w:rsid w:val="00D1320A"/>
    <w:rsid w:val="00D2540C"/>
    <w:rsid w:val="00D309B7"/>
    <w:rsid w:val="00D32CE5"/>
    <w:rsid w:val="00D7013B"/>
    <w:rsid w:val="00D84CA6"/>
    <w:rsid w:val="00DD28EE"/>
    <w:rsid w:val="00DE5032"/>
    <w:rsid w:val="00DE79A0"/>
    <w:rsid w:val="00E07DCD"/>
    <w:rsid w:val="00E27259"/>
    <w:rsid w:val="00E315DA"/>
    <w:rsid w:val="00E31C2E"/>
    <w:rsid w:val="00E41A73"/>
    <w:rsid w:val="00E41ED0"/>
    <w:rsid w:val="00E6324F"/>
    <w:rsid w:val="00E6431A"/>
    <w:rsid w:val="00E8167E"/>
    <w:rsid w:val="00E91A6D"/>
    <w:rsid w:val="00EA3A2D"/>
    <w:rsid w:val="00EB2E08"/>
    <w:rsid w:val="00EB31CA"/>
    <w:rsid w:val="00EC78B4"/>
    <w:rsid w:val="00ED112F"/>
    <w:rsid w:val="00F148A3"/>
    <w:rsid w:val="00F27E16"/>
    <w:rsid w:val="00F42AD5"/>
    <w:rsid w:val="00F4515B"/>
    <w:rsid w:val="00F54F96"/>
    <w:rsid w:val="00F62BFC"/>
    <w:rsid w:val="00FA1730"/>
    <w:rsid w:val="00FF0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character" w:styleId="CommentReference">
    <w:name w:val="annotation reference"/>
    <w:basedOn w:val="DefaultParagraphFont"/>
    <w:uiPriority w:val="99"/>
    <w:semiHidden/>
    <w:unhideWhenUsed/>
    <w:rsid w:val="00301D99"/>
    <w:rPr>
      <w:sz w:val="16"/>
      <w:szCs w:val="16"/>
    </w:rPr>
  </w:style>
  <w:style w:type="paragraph" w:styleId="CommentText">
    <w:name w:val="annotation text"/>
    <w:basedOn w:val="Normal"/>
    <w:link w:val="CommentTextChar"/>
    <w:uiPriority w:val="99"/>
    <w:unhideWhenUsed/>
    <w:rsid w:val="00301D99"/>
    <w:rPr>
      <w:sz w:val="20"/>
      <w:szCs w:val="20"/>
    </w:rPr>
  </w:style>
  <w:style w:type="character" w:customStyle="1" w:styleId="CommentTextChar">
    <w:name w:val="Comment Text Char"/>
    <w:basedOn w:val="DefaultParagraphFont"/>
    <w:link w:val="CommentText"/>
    <w:uiPriority w:val="99"/>
    <w:rsid w:val="00301D99"/>
    <w:rPr>
      <w:sz w:val="20"/>
      <w:szCs w:val="20"/>
    </w:rPr>
  </w:style>
  <w:style w:type="paragraph" w:styleId="CommentSubject">
    <w:name w:val="annotation subject"/>
    <w:basedOn w:val="CommentText"/>
    <w:next w:val="CommentText"/>
    <w:link w:val="CommentSubjectChar"/>
    <w:uiPriority w:val="99"/>
    <w:semiHidden/>
    <w:unhideWhenUsed/>
    <w:rsid w:val="00301D99"/>
    <w:rPr>
      <w:b/>
      <w:bCs/>
    </w:rPr>
  </w:style>
  <w:style w:type="character" w:customStyle="1" w:styleId="CommentSubjectChar">
    <w:name w:val="Comment Subject Char"/>
    <w:basedOn w:val="CommentTextChar"/>
    <w:link w:val="CommentSubject"/>
    <w:uiPriority w:val="99"/>
    <w:semiHidden/>
    <w:rsid w:val="00301D99"/>
    <w:rPr>
      <w:b/>
      <w:bCs/>
      <w:sz w:val="20"/>
      <w:szCs w:val="20"/>
    </w:rPr>
  </w:style>
  <w:style w:type="paragraph" w:styleId="FootnoteText">
    <w:name w:val="footnote text"/>
    <w:basedOn w:val="Normal"/>
    <w:link w:val="FootnoteTextChar"/>
    <w:uiPriority w:val="99"/>
    <w:semiHidden/>
    <w:unhideWhenUsed/>
    <w:rsid w:val="003050F6"/>
    <w:pPr>
      <w:spacing w:after="0"/>
    </w:pPr>
    <w:rPr>
      <w:sz w:val="20"/>
      <w:szCs w:val="20"/>
    </w:rPr>
  </w:style>
  <w:style w:type="character" w:customStyle="1" w:styleId="FootnoteTextChar">
    <w:name w:val="Footnote Text Char"/>
    <w:basedOn w:val="DefaultParagraphFont"/>
    <w:link w:val="FootnoteText"/>
    <w:uiPriority w:val="99"/>
    <w:semiHidden/>
    <w:rsid w:val="003050F6"/>
    <w:rPr>
      <w:sz w:val="20"/>
      <w:szCs w:val="20"/>
    </w:rPr>
  </w:style>
  <w:style w:type="character" w:styleId="FootnoteReference">
    <w:name w:val="footnote reference"/>
    <w:basedOn w:val="DefaultParagraphFont"/>
    <w:uiPriority w:val="99"/>
    <w:semiHidden/>
    <w:unhideWhenUsed/>
    <w:rsid w:val="003050F6"/>
    <w:rPr>
      <w:vertAlign w:val="superscript"/>
    </w:rPr>
  </w:style>
  <w:style w:type="paragraph" w:styleId="Revision">
    <w:name w:val="Revision"/>
    <w:hidden/>
    <w:uiPriority w:val="99"/>
    <w:semiHidden/>
    <w:rsid w:val="009F65A6"/>
    <w:pPr>
      <w:spacing w:after="0"/>
    </w:pPr>
  </w:style>
  <w:style w:type="paragraph" w:styleId="ListParagraph">
    <w:name w:val="List Paragraph"/>
    <w:basedOn w:val="Normal"/>
    <w:uiPriority w:val="34"/>
    <w:qFormat/>
    <w:rsid w:val="004C3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69869">
      <w:bodyDiv w:val="1"/>
      <w:marLeft w:val="0"/>
      <w:marRight w:val="0"/>
      <w:marTop w:val="0"/>
      <w:marBottom w:val="0"/>
      <w:divBdr>
        <w:top w:val="none" w:sz="0" w:space="0" w:color="auto"/>
        <w:left w:val="none" w:sz="0" w:space="0" w:color="auto"/>
        <w:bottom w:val="none" w:sz="0" w:space="0" w:color="auto"/>
        <w:right w:val="none" w:sz="0" w:space="0" w:color="auto"/>
      </w:divBdr>
      <w:divsChild>
        <w:div w:id="1256476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6812542">
      <w:bodyDiv w:val="1"/>
      <w:marLeft w:val="0"/>
      <w:marRight w:val="0"/>
      <w:marTop w:val="0"/>
      <w:marBottom w:val="0"/>
      <w:divBdr>
        <w:top w:val="none" w:sz="0" w:space="0" w:color="auto"/>
        <w:left w:val="none" w:sz="0" w:space="0" w:color="auto"/>
        <w:bottom w:val="none" w:sz="0" w:space="0" w:color="auto"/>
        <w:right w:val="none" w:sz="0" w:space="0" w:color="auto"/>
      </w:divBdr>
    </w:div>
    <w:div w:id="366679789">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482847397">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684816691">
      <w:bodyDiv w:val="1"/>
      <w:marLeft w:val="0"/>
      <w:marRight w:val="0"/>
      <w:marTop w:val="0"/>
      <w:marBottom w:val="0"/>
      <w:divBdr>
        <w:top w:val="none" w:sz="0" w:space="0" w:color="auto"/>
        <w:left w:val="none" w:sz="0" w:space="0" w:color="auto"/>
        <w:bottom w:val="none" w:sz="0" w:space="0" w:color="auto"/>
        <w:right w:val="none" w:sz="0" w:space="0" w:color="auto"/>
      </w:divBdr>
    </w:div>
    <w:div w:id="1772973124">
      <w:bodyDiv w:val="1"/>
      <w:marLeft w:val="0"/>
      <w:marRight w:val="0"/>
      <w:marTop w:val="0"/>
      <w:marBottom w:val="0"/>
      <w:divBdr>
        <w:top w:val="none" w:sz="0" w:space="0" w:color="auto"/>
        <w:left w:val="none" w:sz="0" w:space="0" w:color="auto"/>
        <w:bottom w:val="none" w:sz="0" w:space="0" w:color="auto"/>
        <w:right w:val="none" w:sz="0" w:space="0" w:color="auto"/>
      </w:divBdr>
    </w:div>
    <w:div w:id="1775250024">
      <w:bodyDiv w:val="1"/>
      <w:marLeft w:val="0"/>
      <w:marRight w:val="0"/>
      <w:marTop w:val="0"/>
      <w:marBottom w:val="0"/>
      <w:divBdr>
        <w:top w:val="none" w:sz="0" w:space="0" w:color="auto"/>
        <w:left w:val="none" w:sz="0" w:space="0" w:color="auto"/>
        <w:bottom w:val="none" w:sz="0" w:space="0" w:color="auto"/>
        <w:right w:val="none" w:sz="0" w:space="0" w:color="auto"/>
      </w:divBdr>
    </w:div>
    <w:div w:id="1891528495">
      <w:bodyDiv w:val="1"/>
      <w:marLeft w:val="0"/>
      <w:marRight w:val="0"/>
      <w:marTop w:val="0"/>
      <w:marBottom w:val="0"/>
      <w:divBdr>
        <w:top w:val="none" w:sz="0" w:space="0" w:color="auto"/>
        <w:left w:val="none" w:sz="0" w:space="0" w:color="auto"/>
        <w:bottom w:val="none" w:sz="0" w:space="0" w:color="auto"/>
        <w:right w:val="none" w:sz="0" w:space="0" w:color="auto"/>
      </w:divBdr>
      <w:divsChild>
        <w:div w:id="840121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1205</ap:Words>
  <ap:Characters>6628</ap:Characters>
  <ap:DocSecurity>0</ap:DocSecurity>
  <ap:Lines>55</ap:Lines>
  <ap:Paragraphs>15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2026-06-30T13:04:00.0000000Z</dcterms:created>
  <dcterms:modified xsi:type="dcterms:W3CDTF">2026-06-30T13:04:00.0000000Z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0x0101009C7CE436063D44E9BE7DC0259EF7C32F006EB9F9836A634AE58B6169785FD3936F0059C617296B049142960D7DBD88D31EB3</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724e109d-d487-48fb-a7d1-11654948f068</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https://247.plaza.buzaservices.nl/subject/PV-RK2026052026/BZ2629630/GA%20RAZ%20juli.docx,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