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C740E4" w:rsidTr="00C740E4" w14:paraId="71A64560" w14:textId="77777777">
        <w:sdt>
          <w:sdtPr>
            <w:tag w:val="bmZaakNummerAdvies"/>
            <w:id w:val="-2047826907"/>
            <w:lock w:val="sdtLocked"/>
            <w:placeholder>
              <w:docPart w:val="DefaultPlaceholder_-1854013440"/>
            </w:placeholder>
          </w:sdtPr>
          <w:sdtEndPr/>
          <w:sdtContent>
            <w:tc>
              <w:tcPr>
                <w:tcW w:w="4251" w:type="dxa"/>
              </w:tcPr>
              <w:p w:rsidR="00C740E4" w:rsidRDefault="00C740E4" w14:paraId="69979E80" w14:textId="691931F1">
                <w:r>
                  <w:t>No. W12.25.00292/III</w:t>
                </w:r>
              </w:p>
            </w:tc>
          </w:sdtContent>
        </w:sdt>
        <w:sdt>
          <w:sdtPr>
            <w:tag w:val="bmDatumAdvies"/>
            <w:id w:val="1392695167"/>
            <w:lock w:val="sdtLocked"/>
            <w:placeholder>
              <w:docPart w:val="DefaultPlaceholder_-1854013440"/>
            </w:placeholder>
          </w:sdtPr>
          <w:sdtEndPr/>
          <w:sdtContent>
            <w:tc>
              <w:tcPr>
                <w:tcW w:w="4252" w:type="dxa"/>
              </w:tcPr>
              <w:p w:rsidR="00C740E4" w:rsidRDefault="00C740E4" w14:paraId="78A8753B" w14:textId="22F23665">
                <w:r>
                  <w:t>'s-Gravenhage, 29 januari 2026</w:t>
                </w:r>
              </w:p>
            </w:tc>
          </w:sdtContent>
        </w:sdt>
      </w:tr>
    </w:tbl>
    <w:p w:rsidR="00C740E4" w:rsidRDefault="00C740E4" w14:paraId="46343631" w14:textId="77777777"/>
    <w:p w:rsidR="00C740E4" w:rsidRDefault="00C740E4" w14:paraId="6627920A" w14:textId="77777777"/>
    <w:p w:rsidRPr="004A4633" w:rsidR="001978DD" w:rsidRDefault="002D4635" w14:paraId="02877834" w14:textId="2766252D">
      <w:sdt>
        <w:sdtPr>
          <w:tag w:val="bmAanhef"/>
          <w:id w:val="262426957"/>
          <w:lock w:val="sdtLocked"/>
          <w:placeholder>
            <w:docPart w:val="DefaultPlaceholder_-1854013440"/>
          </w:placeholder>
        </w:sdtPr>
        <w:sdtEndPr/>
        <w:sdtContent>
          <w:r w:rsidR="00C740E4">
            <w:rPr>
              <w:color w:val="000000"/>
            </w:rPr>
            <w:t xml:space="preserve">Bij Kabinetsmissive van 13 oktober 2025, no.2025002292, heeft Uwe Majesteit, op voordracht van de Staatssecretaris van Sociale Zaken en Werkgelegenheid, bij de Afdeling advisering van de Raad van State ter overweging aanhangig gemaakt </w:t>
          </w:r>
          <w:r w:rsidRPr="003723D3" w:rsidR="004A1E4F">
            <w:t>het voorstel van wet houdende wijziging van de Arbeidsomstandighedenwet in verband met beroepsziekten en het Steunpunt RI&amp;E</w:t>
          </w:r>
          <w:r w:rsidR="00C740E4">
            <w:rPr>
              <w:color w:val="000000"/>
            </w:rPr>
            <w:t>, met memorie van toelichting.</w:t>
          </w:r>
        </w:sdtContent>
      </w:sdt>
    </w:p>
    <w:p w:rsidRPr="004A4633" w:rsidR="001978DD" w:rsidRDefault="001978DD" w14:paraId="02877835" w14:textId="77777777"/>
    <w:sdt>
      <w:sdtPr>
        <w:tag w:val="bmVrijeTekst1"/>
        <w:id w:val="404732150"/>
        <w:lock w:val="sdtLocked"/>
        <w:placeholder>
          <w:docPart w:val="DefaultPlaceholder_-1854013440"/>
        </w:placeholder>
      </w:sdtPr>
      <w:sdtEndPr/>
      <w:sdtContent>
        <w:p w:rsidR="009E609E" w:rsidP="009E609E" w:rsidRDefault="0051606C" w14:paraId="12A13E5E" w14:textId="60E27CE5">
          <w:r>
            <w:t xml:space="preserve">Het wetsvoorstel regelt </w:t>
          </w:r>
          <w:r w:rsidR="00487F25">
            <w:t xml:space="preserve">in de Arbeidsomstandighedenwet </w:t>
          </w:r>
          <w:r w:rsidR="002862EA">
            <w:t>grondslagen</w:t>
          </w:r>
          <w:r w:rsidR="00101CC3">
            <w:t xml:space="preserve"> voor </w:t>
          </w:r>
          <w:r w:rsidR="002862EA">
            <w:t xml:space="preserve">een drietal </w:t>
          </w:r>
          <w:r w:rsidR="00101CC3">
            <w:t>beleidsontwikkelingen</w:t>
          </w:r>
          <w:r w:rsidR="002862EA">
            <w:t xml:space="preserve">. Het gaat </w:t>
          </w:r>
          <w:r w:rsidR="00330D36">
            <w:t>in</w:t>
          </w:r>
          <w:r w:rsidR="0064019A">
            <w:t xml:space="preserve"> </w:t>
          </w:r>
          <w:r w:rsidR="00330D36">
            <w:t>de eerste plaats</w:t>
          </w:r>
          <w:r w:rsidR="002862EA">
            <w:t xml:space="preserve"> om </w:t>
          </w:r>
          <w:r w:rsidR="00D76B7F">
            <w:t xml:space="preserve">het </w:t>
          </w:r>
          <w:proofErr w:type="gramStart"/>
          <w:r w:rsidR="00D76B7F">
            <w:t>reeds</w:t>
          </w:r>
          <w:proofErr w:type="gramEnd"/>
          <w:r w:rsidR="00D76B7F">
            <w:t xml:space="preserve"> bestaande Steunpunt RI&amp;E</w:t>
          </w:r>
          <w:r w:rsidR="00330D36">
            <w:t xml:space="preserve">. De </w:t>
          </w:r>
          <w:r w:rsidR="00F2243D">
            <w:t xml:space="preserve">twee </w:t>
          </w:r>
          <w:r w:rsidR="00330D36">
            <w:t xml:space="preserve">andere </w:t>
          </w:r>
          <w:r w:rsidR="000C5E52">
            <w:t>ontwikkelingen betreffen</w:t>
          </w:r>
          <w:r w:rsidR="00D76B7F">
            <w:t xml:space="preserve"> </w:t>
          </w:r>
          <w:r w:rsidR="006F1A15">
            <w:t xml:space="preserve">de problematiek van beroepsziekten. Met </w:t>
          </w:r>
          <w:r w:rsidR="00D76B7F">
            <w:t>een samenwerkingsverband v</w:t>
          </w:r>
          <w:r w:rsidR="000C1DB2">
            <w:t xml:space="preserve">an instellingen die een kennisprogramma beroepsziekte </w:t>
          </w:r>
          <w:r w:rsidR="007D785E">
            <w:t>ontwikkelen en</w:t>
          </w:r>
          <w:r w:rsidR="00487F25">
            <w:t xml:space="preserve"> uitvoeren</w:t>
          </w:r>
          <w:r w:rsidR="00E124C9">
            <w:t xml:space="preserve"> </w:t>
          </w:r>
          <w:r w:rsidR="006F1A15">
            <w:t>wordt bevordering van de</w:t>
          </w:r>
          <w:r w:rsidR="00D65CF5">
            <w:t xml:space="preserve"> </w:t>
          </w:r>
          <w:r w:rsidR="006F1A15">
            <w:t xml:space="preserve">kennis </w:t>
          </w:r>
          <w:r w:rsidR="00D65CF5">
            <w:t xml:space="preserve">op dit gebied </w:t>
          </w:r>
          <w:r w:rsidR="006F1A15">
            <w:t>beoogd.</w:t>
          </w:r>
          <w:r w:rsidR="00E124C9">
            <w:t xml:space="preserve"> </w:t>
          </w:r>
          <w:r w:rsidR="001B1256">
            <w:t>En m</w:t>
          </w:r>
          <w:r w:rsidR="006F1A15">
            <w:t xml:space="preserve">et </w:t>
          </w:r>
          <w:r w:rsidR="007F6DC4">
            <w:t xml:space="preserve">een grondslag voor </w:t>
          </w:r>
          <w:r w:rsidR="00C55D48">
            <w:t xml:space="preserve">al in ontwikkeling zijnde </w:t>
          </w:r>
          <w:r w:rsidR="00487F25">
            <w:t>tegemoetkomingsregeling</w:t>
          </w:r>
          <w:r w:rsidR="00011BC1">
            <w:t>en</w:t>
          </w:r>
          <w:r w:rsidR="00487F25">
            <w:t xml:space="preserve"> voor beroepsziekten</w:t>
          </w:r>
          <w:r w:rsidR="006F1A15">
            <w:t xml:space="preserve"> </w:t>
          </w:r>
          <w:r w:rsidR="008561C0">
            <w:t xml:space="preserve">wordt beoogd de erkenning </w:t>
          </w:r>
          <w:r w:rsidR="00D765E3">
            <w:t xml:space="preserve">van getroffenen beter te regelen. </w:t>
          </w:r>
        </w:p>
        <w:p w:rsidR="00487F25" w:rsidP="009E609E" w:rsidRDefault="00487F25" w14:paraId="65D65EFB" w14:textId="77777777"/>
        <w:p w:rsidR="00080B68" w:rsidP="00080B68" w:rsidRDefault="00487F25" w14:paraId="2231061F" w14:textId="65F1020A">
          <w:r>
            <w:t xml:space="preserve">De Afdeling </w:t>
          </w:r>
          <w:r w:rsidR="00030D46">
            <w:t xml:space="preserve">advisering van de Raad van State </w:t>
          </w:r>
          <w:r w:rsidR="00EF12AC">
            <w:t xml:space="preserve">maakt opmerkingen over de voorgestelde grondslag voor een </w:t>
          </w:r>
          <w:r w:rsidR="00D765E3">
            <w:t xml:space="preserve">tegemoetkomingsregeling. Ten </w:t>
          </w:r>
          <w:r w:rsidR="00EF12AC">
            <w:t>eerste</w:t>
          </w:r>
          <w:r w:rsidR="00080B68">
            <w:t xml:space="preserve"> </w:t>
          </w:r>
          <w:r w:rsidRPr="004A4633" w:rsidR="00080B68">
            <w:t xml:space="preserve">merkt </w:t>
          </w:r>
          <w:r w:rsidR="00080B68">
            <w:t xml:space="preserve">zij op </w:t>
          </w:r>
          <w:r w:rsidRPr="004A4633" w:rsidR="00080B68">
            <w:t>dat erkenning</w:t>
          </w:r>
          <w:r w:rsidR="00080B68">
            <w:t xml:space="preserve"> van leed</w:t>
          </w:r>
          <w:r w:rsidRPr="004A4633" w:rsidR="00080B68">
            <w:t xml:space="preserve"> </w:t>
          </w:r>
          <w:r w:rsidR="00BB6752">
            <w:t xml:space="preserve">meer </w:t>
          </w:r>
          <w:r w:rsidR="00BE38E4">
            <w:t xml:space="preserve">omvat </w:t>
          </w:r>
          <w:r w:rsidR="00BB6752">
            <w:t xml:space="preserve">dan alleen een </w:t>
          </w:r>
          <w:r w:rsidR="00877564">
            <w:t>financiële teg</w:t>
          </w:r>
          <w:r w:rsidR="00BE38E4">
            <w:t>e</w:t>
          </w:r>
          <w:r w:rsidR="00877564">
            <w:t xml:space="preserve">moetkoming. </w:t>
          </w:r>
          <w:r w:rsidRPr="004A4633" w:rsidR="00080B68">
            <w:t xml:space="preserve">In de toelichting wordt niet ingegaan op </w:t>
          </w:r>
          <w:r w:rsidR="00877564">
            <w:t xml:space="preserve">andere </w:t>
          </w:r>
          <w:r w:rsidR="007B7DBC">
            <w:t xml:space="preserve">relevante </w:t>
          </w:r>
          <w:r w:rsidR="00877564">
            <w:t xml:space="preserve">aspecten van </w:t>
          </w:r>
          <w:r w:rsidRPr="004A4633" w:rsidR="00080B68">
            <w:t xml:space="preserve">erkenning van leed. Het is daarmee niet duidelijk of </w:t>
          </w:r>
          <w:r w:rsidR="00C5559D">
            <w:t xml:space="preserve">met een financiële tegemoetkoming </w:t>
          </w:r>
          <w:r w:rsidR="00AA65ED">
            <w:t xml:space="preserve">voldoende wordt voorzien </w:t>
          </w:r>
          <w:r w:rsidRPr="004A4633" w:rsidR="00080B68">
            <w:t xml:space="preserve">in de </w:t>
          </w:r>
          <w:r w:rsidR="009773D0">
            <w:t xml:space="preserve">vorm van </w:t>
          </w:r>
          <w:r w:rsidRPr="004A4633" w:rsidR="00080B68">
            <w:t>erkenning waaraan de doelgroep behoefte heeft</w:t>
          </w:r>
          <w:r w:rsidR="007B7DBC">
            <w:t xml:space="preserve">, of dat (ook) andere maatregelen nodig zijn. </w:t>
          </w:r>
        </w:p>
        <w:p w:rsidR="007B7DBC" w:rsidP="00080B68" w:rsidRDefault="007B7DBC" w14:paraId="0A81BDF3" w14:textId="77777777"/>
        <w:p w:rsidR="000D5316" w:rsidP="006211CE" w:rsidRDefault="003833E4" w14:paraId="217E15E1" w14:textId="16045093">
          <w:r>
            <w:t>Daarnaast merkt d</w:t>
          </w:r>
          <w:r w:rsidR="00390D3D">
            <w:t>e Afdeling op dat</w:t>
          </w:r>
          <w:r w:rsidR="004A7547">
            <w:t xml:space="preserve"> </w:t>
          </w:r>
          <w:r w:rsidR="00EB562C">
            <w:t xml:space="preserve">de </w:t>
          </w:r>
          <w:r w:rsidR="00F52DB6">
            <w:t xml:space="preserve">uitwerking van de tegemoetkomingsregeling </w:t>
          </w:r>
          <w:r w:rsidR="006F197A">
            <w:t>volledig</w:t>
          </w:r>
          <w:r w:rsidR="00F52DB6">
            <w:t xml:space="preserve"> wordt gedelegeerd </w:t>
          </w:r>
          <w:r w:rsidR="004A7547">
            <w:t>aan</w:t>
          </w:r>
          <w:r w:rsidR="00EB562C">
            <w:t xml:space="preserve"> de minister</w:t>
          </w:r>
          <w:r w:rsidR="007B3EB0">
            <w:t xml:space="preserve">. </w:t>
          </w:r>
          <w:r w:rsidR="004877D4">
            <w:t xml:space="preserve">Nu </w:t>
          </w:r>
          <w:proofErr w:type="gramStart"/>
          <w:r w:rsidR="004877D4">
            <w:t>reeds</w:t>
          </w:r>
          <w:proofErr w:type="gramEnd"/>
          <w:r w:rsidR="004877D4">
            <w:t xml:space="preserve"> ervaring is opgedaan met dergelijke regelingen </w:t>
          </w:r>
          <w:r w:rsidR="00003547">
            <w:t xml:space="preserve">is het vastleggen van de hoofdlijnen in een wettelijke regeling mogelijk. Dit is ook wenselijk om het doel van </w:t>
          </w:r>
          <w:r w:rsidR="00975920">
            <w:t xml:space="preserve">het codificeren in een </w:t>
          </w:r>
          <w:r w:rsidR="00EB562C">
            <w:t xml:space="preserve">wettelijke regeling </w:t>
          </w:r>
          <w:r w:rsidR="00975920">
            <w:t xml:space="preserve">tot zijn recht te laten komen. </w:t>
          </w:r>
          <w:r w:rsidR="006211CE">
            <w:t xml:space="preserve">Bovendien </w:t>
          </w:r>
          <w:r w:rsidR="00F979F1">
            <w:t>worden hierdoor</w:t>
          </w:r>
          <w:r w:rsidR="00061ADB">
            <w:t xml:space="preserve"> onnodige</w:t>
          </w:r>
          <w:r w:rsidR="005757A9">
            <w:t xml:space="preserve"> en onwenselijke</w:t>
          </w:r>
          <w:r w:rsidR="00061ADB">
            <w:t xml:space="preserve"> verschillen tussen de bestaande regelingen </w:t>
          </w:r>
          <w:r w:rsidR="000759F0">
            <w:t xml:space="preserve">weggenomen. </w:t>
          </w:r>
          <w:r w:rsidR="00FD785E">
            <w:t xml:space="preserve">In het verlengde hiervan </w:t>
          </w:r>
          <w:r w:rsidR="003611E9">
            <w:t xml:space="preserve">vraagt </w:t>
          </w:r>
          <w:r w:rsidR="00FD785E">
            <w:t xml:space="preserve">de Afdeling </w:t>
          </w:r>
          <w:r w:rsidR="00280D7E">
            <w:t>o</w:t>
          </w:r>
          <w:r w:rsidR="003611E9">
            <w:t xml:space="preserve">f </w:t>
          </w:r>
          <w:r w:rsidR="005F742E">
            <w:t xml:space="preserve">een </w:t>
          </w:r>
          <w:r w:rsidRPr="004A4633" w:rsidR="00502454">
            <w:t>tegemoetkoming</w:t>
          </w:r>
          <w:r w:rsidR="005F742E">
            <w:t>sregeling voor</w:t>
          </w:r>
          <w:r w:rsidRPr="004A4633" w:rsidR="00502454">
            <w:t xml:space="preserve"> beroepsziekte</w:t>
          </w:r>
          <w:r w:rsidR="005F742E">
            <w:t>n</w:t>
          </w:r>
          <w:r w:rsidR="00456D19">
            <w:t xml:space="preserve"> naar haar aard</w:t>
          </w:r>
          <w:r w:rsidRPr="004A4633" w:rsidR="00502454">
            <w:t xml:space="preserve"> niet </w:t>
          </w:r>
          <w:r w:rsidR="003B6F0B">
            <w:t xml:space="preserve">beter past in </w:t>
          </w:r>
          <w:r w:rsidRPr="004A4633" w:rsidR="00502454">
            <w:t>de Wet WIA</w:t>
          </w:r>
          <w:r w:rsidR="003B6F0B">
            <w:t xml:space="preserve"> dan in de Arbeidsomstandighedenwet</w:t>
          </w:r>
          <w:r w:rsidRPr="004A4633" w:rsidR="00502454">
            <w:t xml:space="preserve">. </w:t>
          </w:r>
        </w:p>
        <w:p w:rsidR="006211CE" w:rsidP="006211CE" w:rsidRDefault="006211CE" w14:paraId="4E0F4626" w14:textId="77777777"/>
        <w:p w:rsidR="005F742E" w:rsidP="006211CE" w:rsidRDefault="00AC2A87" w14:paraId="22867DF6" w14:textId="05E38BED">
          <w:r>
            <w:t>De</w:t>
          </w:r>
          <w:r w:rsidR="006E6BF2">
            <w:t xml:space="preserve"> Afdeling</w:t>
          </w:r>
          <w:r w:rsidR="00DA1FE1">
            <w:t xml:space="preserve"> </w:t>
          </w:r>
          <w:r w:rsidR="00B1283F">
            <w:t xml:space="preserve">maakt </w:t>
          </w:r>
          <w:r w:rsidR="00DA1FE1">
            <w:t>verder</w:t>
          </w:r>
          <w:r w:rsidR="00B1283F">
            <w:t xml:space="preserve"> een opmerking over</w:t>
          </w:r>
          <w:r w:rsidR="006E6BF2">
            <w:t xml:space="preserve"> de voorgestelde wettelijke definitie van beroepsziekte</w:t>
          </w:r>
          <w:r w:rsidR="00DA1FE1">
            <w:t>. Tot slot</w:t>
          </w:r>
          <w:r w:rsidR="00D70C6D">
            <w:t xml:space="preserve"> </w:t>
          </w:r>
          <w:r w:rsidRPr="00D70C6D" w:rsidR="00D70C6D">
            <w:t>adviseert</w:t>
          </w:r>
          <w:r w:rsidR="00B1018C">
            <w:t xml:space="preserve"> </w:t>
          </w:r>
          <w:r w:rsidR="00B80028">
            <w:t>de Afdeling</w:t>
          </w:r>
          <w:r w:rsidRPr="00D70C6D" w:rsidR="00D70C6D">
            <w:t xml:space="preserve"> in de toelichting </w:t>
          </w:r>
          <w:r w:rsidR="003061AE">
            <w:t>nader</w:t>
          </w:r>
          <w:r w:rsidR="00F70C32">
            <w:t xml:space="preserve"> te motiveren waarom </w:t>
          </w:r>
          <w:r w:rsidR="004C01CE">
            <w:t>de</w:t>
          </w:r>
          <w:r w:rsidR="006F1797">
            <w:t xml:space="preserve"> </w:t>
          </w:r>
          <w:r w:rsidR="004C01CE">
            <w:t>subsidie</w:t>
          </w:r>
          <w:r w:rsidR="003061AE">
            <w:t xml:space="preserve"> aan het samenwerkingsverband </w:t>
          </w:r>
          <w:r w:rsidR="006F1797">
            <w:t>ni</w:t>
          </w:r>
          <w:r w:rsidR="004C01CE">
            <w:t>et leid</w:t>
          </w:r>
          <w:r w:rsidR="003061AE">
            <w:t>t</w:t>
          </w:r>
          <w:r w:rsidR="004C01CE">
            <w:t xml:space="preserve"> tot </w:t>
          </w:r>
          <w:r w:rsidRPr="00D70C6D" w:rsidR="00D70C6D">
            <w:t xml:space="preserve">staatssteun. Daarnaast adviseert zij de taak die bij ministeriële regeling wordt toegekend aan de </w:t>
          </w:r>
          <w:proofErr w:type="gramStart"/>
          <w:r w:rsidRPr="00D70C6D" w:rsidR="00D70C6D">
            <w:t>SER vorm</w:t>
          </w:r>
          <w:proofErr w:type="gramEnd"/>
          <w:r w:rsidRPr="00D70C6D" w:rsidR="00D70C6D">
            <w:t xml:space="preserve"> te geven als een DAEB en de subsidieverstrekking </w:t>
          </w:r>
          <w:r w:rsidR="003061AE">
            <w:t xml:space="preserve">aan de SER </w:t>
          </w:r>
          <w:r w:rsidRPr="00D70C6D" w:rsidR="00D70C6D">
            <w:t>daarop af te stemmen</w:t>
          </w:r>
          <w:r w:rsidR="00B6471C">
            <w:t>.</w:t>
          </w:r>
        </w:p>
        <w:p w:rsidR="00471F31" w:rsidP="006211CE" w:rsidRDefault="00471F31" w14:paraId="45BFB13A" w14:textId="77777777"/>
        <w:p w:rsidRPr="004A4633" w:rsidR="00487F25" w:rsidP="009E609E" w:rsidRDefault="00471F31" w14:paraId="39C51F54" w14:textId="21DA73A8">
          <w:r>
            <w:t xml:space="preserve">In verband hiermee is </w:t>
          </w:r>
          <w:r w:rsidR="00114AE1">
            <w:t xml:space="preserve">aanpassing </w:t>
          </w:r>
          <w:r w:rsidR="00030D46">
            <w:t xml:space="preserve">wenselijk </w:t>
          </w:r>
          <w:r w:rsidR="00114AE1">
            <w:t xml:space="preserve">van het wetsvoorstel en de toelichting. </w:t>
          </w:r>
        </w:p>
        <w:p w:rsidR="008076C9" w:rsidRDefault="008076C9" w14:paraId="481BC827" w14:textId="77777777">
          <w:r>
            <w:br w:type="page"/>
          </w:r>
        </w:p>
        <w:p w:rsidRPr="004A4633" w:rsidR="009E609E" w:rsidP="009E609E" w:rsidRDefault="009E609E" w14:paraId="5DC75AC5" w14:textId="3A682337">
          <w:r w:rsidRPr="004A4633">
            <w:lastRenderedPageBreak/>
            <w:t xml:space="preserve">1. </w:t>
          </w:r>
          <w:r w:rsidRPr="004A4633">
            <w:tab/>
          </w:r>
          <w:r w:rsidRPr="004A4633" w:rsidR="006826BA">
            <w:rPr>
              <w:u w:val="single"/>
            </w:rPr>
            <w:t>Inhoud en achtergrond</w:t>
          </w:r>
          <w:r w:rsidRPr="004A4633">
            <w:rPr>
              <w:u w:val="single"/>
            </w:rPr>
            <w:t xml:space="preserve"> wetsvoorstel</w:t>
          </w:r>
        </w:p>
        <w:p w:rsidRPr="004A4633" w:rsidR="009E609E" w:rsidP="009E609E" w:rsidRDefault="009E609E" w14:paraId="0A171A33" w14:textId="77777777"/>
        <w:p w:rsidRPr="004A4633" w:rsidR="006826BA" w:rsidP="009E609E" w:rsidRDefault="006826BA" w14:paraId="76C67093" w14:textId="2422295F">
          <w:pPr>
            <w:rPr>
              <w:i/>
              <w:iCs/>
            </w:rPr>
          </w:pPr>
          <w:r w:rsidRPr="004A4633">
            <w:t xml:space="preserve">a. </w:t>
          </w:r>
          <w:r w:rsidRPr="004A4633">
            <w:tab/>
          </w:r>
          <w:r w:rsidRPr="004A4633">
            <w:rPr>
              <w:i/>
              <w:iCs/>
            </w:rPr>
            <w:t>Inhoud</w:t>
          </w:r>
        </w:p>
        <w:p w:rsidR="004B6BC2" w:rsidP="004B6BC2" w:rsidRDefault="004B6BC2" w14:paraId="5F9EA1C1" w14:textId="310621CE">
          <w:r w:rsidRPr="004A4633">
            <w:t xml:space="preserve">Het wetsvoorstel </w:t>
          </w:r>
          <w:r>
            <w:t xml:space="preserve">voorziet in een wettelijke grondslag voor drie beleidsontwikkelingen, die in de praktijk al </w:t>
          </w:r>
          <w:r w:rsidR="0062050A">
            <w:t xml:space="preserve">voor een </w:t>
          </w:r>
          <w:r>
            <w:t xml:space="preserve">deel zijn ingevoerd. </w:t>
          </w:r>
          <w:r w:rsidR="000806C1">
            <w:t xml:space="preserve">De drie grondslagen worden geregeld in de Arbeidsomstandighedenwet. </w:t>
          </w:r>
        </w:p>
        <w:p w:rsidR="004B6BC2" w:rsidP="009E609E" w:rsidRDefault="004B6BC2" w14:paraId="30E7BD4E" w14:textId="77777777"/>
        <w:p w:rsidRPr="004A4633" w:rsidR="009E609E" w:rsidP="009E609E" w:rsidRDefault="0062050A" w14:paraId="3276CAC1" w14:textId="2ED9D689">
          <w:r>
            <w:t>Dit betreft</w:t>
          </w:r>
          <w:r w:rsidR="00946004">
            <w:t xml:space="preserve"> in </w:t>
          </w:r>
          <w:r w:rsidRPr="004A4633" w:rsidR="009E609E">
            <w:t>eerste</w:t>
          </w:r>
          <w:r w:rsidR="00946004">
            <w:t xml:space="preserve"> plaats </w:t>
          </w:r>
          <w:r w:rsidR="007052AA">
            <w:t>een grondslag voor</w:t>
          </w:r>
          <w:r w:rsidRPr="004A4633" w:rsidR="009E609E">
            <w:t xml:space="preserve"> het </w:t>
          </w:r>
          <w:proofErr w:type="gramStart"/>
          <w:r w:rsidRPr="004A4633" w:rsidR="009E609E">
            <w:t>reeds</w:t>
          </w:r>
          <w:proofErr w:type="gramEnd"/>
          <w:r w:rsidRPr="004A4633" w:rsidR="009E609E">
            <w:t xml:space="preserve"> bestaande Steunpunt RI&amp;E (risico-inventarisatie en evaluatie) en </w:t>
          </w:r>
          <w:r w:rsidR="005272D7">
            <w:t>een</w:t>
          </w:r>
          <w:r w:rsidR="00312F7B">
            <w:t xml:space="preserve"> structurele verlening</w:t>
          </w:r>
          <w:r w:rsidRPr="004A4633" w:rsidR="009E609E">
            <w:t xml:space="preserve"> van subsidie aan </w:t>
          </w:r>
          <w:r w:rsidR="002D267F">
            <w:t>deze organisatie</w:t>
          </w:r>
          <w:r w:rsidRPr="004A4633" w:rsidR="009E609E">
            <w:t xml:space="preserve">. Het Steunpunt </w:t>
          </w:r>
          <w:r w:rsidR="00796F94">
            <w:t>RI&amp;E</w:t>
          </w:r>
          <w:r w:rsidR="00844FCB">
            <w:t>, waarvan het secretariaat is ondergebracht bij de Sociaal-Economische Raad (SER),</w:t>
          </w:r>
          <w:r w:rsidR="00796F94">
            <w:t xml:space="preserve"> </w:t>
          </w:r>
          <w:r w:rsidRPr="004A4633" w:rsidR="009E609E">
            <w:t>ondersteunt bedrijven en branches met informatie en hulpmiddelen bij het voldoen aan hun RI&amp;E-verplichting</w:t>
          </w:r>
          <w:r w:rsidRPr="004A4633" w:rsidR="00FA145F">
            <w:t>en</w:t>
          </w:r>
          <w:r w:rsidRPr="004A4633" w:rsidR="009E609E">
            <w:t xml:space="preserve">. </w:t>
          </w:r>
        </w:p>
        <w:p w:rsidRPr="004A4633" w:rsidR="009E609E" w:rsidP="009E609E" w:rsidRDefault="009E609E" w14:paraId="124D0F4E" w14:textId="77777777">
          <w:r w:rsidRPr="004A4633">
            <w:t xml:space="preserve"> </w:t>
          </w:r>
        </w:p>
        <w:p w:rsidRPr="004A4633" w:rsidR="009E609E" w:rsidP="009E609E" w:rsidRDefault="0079789B" w14:paraId="3150D7DD" w14:textId="3E1EFDCF">
          <w:r>
            <w:t>In de</w:t>
          </w:r>
          <w:r w:rsidRPr="004A4633" w:rsidR="009E609E">
            <w:t xml:space="preserve"> twee</w:t>
          </w:r>
          <w:r>
            <w:t xml:space="preserve">de plaats wordt </w:t>
          </w:r>
          <w:r w:rsidRPr="004A4633" w:rsidR="009E609E">
            <w:t xml:space="preserve">een subsidiegrondslag voorgesteld voor een samenwerkingsverband van instellingen die kennisactiviteiten verrichten ter voorkoming of beperking van beroepsziekten. Het kennisprogramma zal verder worden uitgewerkt in </w:t>
          </w:r>
          <w:r>
            <w:t>een</w:t>
          </w:r>
          <w:r w:rsidRPr="004A4633" w:rsidR="009E609E">
            <w:t xml:space="preserve"> subsidieregeling en </w:t>
          </w:r>
          <w:r>
            <w:t>een</w:t>
          </w:r>
          <w:r w:rsidRPr="004A4633" w:rsidR="009E609E">
            <w:t xml:space="preserve"> daarbij te voegen hoofdlijnennotitie. Er zal steeds voor een periode van vijf jaar aan een samenwerkingsverband een subsidie worden toegekend. </w:t>
          </w:r>
        </w:p>
        <w:p w:rsidRPr="004A4633" w:rsidR="009E609E" w:rsidP="009E609E" w:rsidRDefault="009E609E" w14:paraId="0575F96D" w14:textId="77777777"/>
        <w:p w:rsidRPr="004A4633" w:rsidR="009E609E" w:rsidP="009E609E" w:rsidRDefault="00C36729" w14:paraId="19EE90A9" w14:textId="4BE5AC24">
          <w:r>
            <w:t>Ten slotte</w:t>
          </w:r>
          <w:r w:rsidRPr="004A4633" w:rsidR="009E609E">
            <w:t xml:space="preserve"> wordt een grondslag voor tegemoetkomingsregelingen voor beroepsziekten</w:t>
          </w:r>
          <w:r w:rsidR="006122E8">
            <w:t xml:space="preserve"> voorgesteld</w:t>
          </w:r>
          <w:r w:rsidRPr="004A4633" w:rsidR="009E609E">
            <w:t xml:space="preserve">. </w:t>
          </w:r>
          <w:r>
            <w:t xml:space="preserve">Volgens het voorstel kan </w:t>
          </w:r>
          <w:r w:rsidRPr="004A4633" w:rsidR="009E609E">
            <w:t xml:space="preserve">de </w:t>
          </w:r>
          <w:r w:rsidR="00030D46">
            <w:t>m</w:t>
          </w:r>
          <w:r w:rsidRPr="004A4633" w:rsidR="009E609E">
            <w:t>inister van Sociale Zaken en Werkgelegenheid</w:t>
          </w:r>
          <w:r w:rsidR="008845A3">
            <w:t xml:space="preserve"> (SZW)</w:t>
          </w:r>
          <w:r w:rsidRPr="004A4633" w:rsidR="009E609E">
            <w:t xml:space="preserve"> een tegemoetkoming toekennen aan personen die lijden aan een beroepsziekte. De uitwerking hiervan vindt plaats bij ministeriële regeling. Uit de toelichting blijkt dat twee bestaande tegemoetkomingsregelingen op deze nieuwe grondslag zullen worden gebaseerd.</w:t>
          </w:r>
          <w:r w:rsidRPr="004A4633" w:rsidR="00573320">
            <w:rPr>
              <w:rStyle w:val="Voetnootmarkering"/>
            </w:rPr>
            <w:footnoteReference w:id="2"/>
          </w:r>
          <w:r w:rsidRPr="004A4633" w:rsidR="009E609E">
            <w:t xml:space="preserve"> </w:t>
          </w:r>
        </w:p>
        <w:p w:rsidR="009E609E" w:rsidP="009E609E" w:rsidRDefault="009E609E" w14:paraId="29EB3C55" w14:textId="77777777"/>
        <w:p w:rsidRPr="004A4633" w:rsidR="006826BA" w:rsidP="009E609E" w:rsidRDefault="006826BA" w14:paraId="758FB5B4" w14:textId="0585BEE4">
          <w:pPr>
            <w:rPr>
              <w:i/>
              <w:iCs/>
            </w:rPr>
          </w:pPr>
          <w:r w:rsidRPr="004A4633">
            <w:t xml:space="preserve">b. </w:t>
          </w:r>
          <w:r w:rsidRPr="004A4633" w:rsidR="00332934">
            <w:tab/>
          </w:r>
          <w:r w:rsidRPr="004A4633" w:rsidR="00332934">
            <w:rPr>
              <w:i/>
              <w:iCs/>
            </w:rPr>
            <w:t>Omgaan met beroepsziekte</w:t>
          </w:r>
        </w:p>
        <w:p w:rsidRPr="004A4633" w:rsidR="009E609E" w:rsidP="009E609E" w:rsidRDefault="0056062A" w14:paraId="40766497" w14:textId="23988940">
          <w:r>
            <w:t xml:space="preserve">In het kader van de verplichting van werkgevers om te </w:t>
          </w:r>
          <w:r w:rsidRPr="004A4633" w:rsidR="009E609E">
            <w:t>zorgen voor een veilige en gezonde werkomgeving voor hun werknemers</w:t>
          </w:r>
          <w:r w:rsidR="007D0754">
            <w:t xml:space="preserve"> moeten</w:t>
          </w:r>
          <w:r w:rsidRPr="004A4633" w:rsidR="009E609E">
            <w:t xml:space="preserve"> zij een risico-inventarisatie en -evaluatie </w:t>
          </w:r>
          <w:r w:rsidR="007D0754">
            <w:t>uitvoeren</w:t>
          </w:r>
          <w:r w:rsidRPr="004A4633" w:rsidR="009E609E">
            <w:t xml:space="preserve">. Als werknemers worden of kunnen worden blootgesteld aan kankerverwekkende, mutagene of reprotoxische stoffen, gelden </w:t>
          </w:r>
          <w:r w:rsidR="007D0754">
            <w:t>daarbij</w:t>
          </w:r>
          <w:r w:rsidRPr="004A4633" w:rsidR="009E609E">
            <w:t xml:space="preserve"> aanvullende vereisten.</w:t>
          </w:r>
          <w:r w:rsidRPr="004A4633" w:rsidR="009E609E">
            <w:rPr>
              <w:vertAlign w:val="superscript"/>
            </w:rPr>
            <w:footnoteReference w:id="3"/>
          </w:r>
          <w:r w:rsidRPr="004A4633" w:rsidR="009E609E">
            <w:t xml:space="preserve"> On</w:t>
          </w:r>
          <w:r w:rsidR="00B51401">
            <w:t xml:space="preserve">danks het bestaan van </w:t>
          </w:r>
          <w:r w:rsidRPr="004A4633" w:rsidR="0046089A">
            <w:t>deze</w:t>
          </w:r>
          <w:r w:rsidRPr="004A4633" w:rsidR="009E609E">
            <w:t xml:space="preserve"> verplichtingen komt het voor dat (voormalige) werkenden </w:t>
          </w:r>
          <w:r w:rsidRPr="004A4633" w:rsidR="00C1660C">
            <w:t xml:space="preserve">een </w:t>
          </w:r>
          <w:r w:rsidR="006901D1">
            <w:t>beroeps</w:t>
          </w:r>
          <w:r w:rsidRPr="004A4633" w:rsidR="00C1660C">
            <w:t>ziekte oplopen</w:t>
          </w:r>
          <w:r w:rsidR="006901D1">
            <w:t xml:space="preserve">. </w:t>
          </w:r>
          <w:r w:rsidR="00DF3B65">
            <w:t xml:space="preserve">Dat is een ziekte </w:t>
          </w:r>
          <w:r w:rsidRPr="004A4633" w:rsidR="00DF3B65">
            <w:t xml:space="preserve">die </w:t>
          </w:r>
          <w:r w:rsidR="00DF3B65">
            <w:t>het gevolg is van een belasting die in overwegende mate in arbeid of arbeidsomstandigheden heeft plaatsgevonden.</w:t>
          </w:r>
          <w:r w:rsidR="00DF3B65">
            <w:rPr>
              <w:rStyle w:val="Voetnootmarkering"/>
            </w:rPr>
            <w:footnoteReference w:id="4"/>
          </w:r>
          <w:r w:rsidRPr="004A4633" w:rsidR="009E609E">
            <w:t xml:space="preserve"> </w:t>
          </w:r>
        </w:p>
        <w:p w:rsidRPr="004A4633" w:rsidR="009E609E" w:rsidP="009E609E" w:rsidRDefault="009E609E" w14:paraId="18FDDB49" w14:textId="77777777"/>
        <w:p w:rsidRPr="004A4633" w:rsidR="009E609E" w:rsidP="009E609E" w:rsidRDefault="007D7FEE" w14:paraId="5DD23E9C" w14:textId="3F7D837A">
          <w:r>
            <w:t xml:space="preserve">De kennis over </w:t>
          </w:r>
          <w:r w:rsidRPr="004A4633" w:rsidR="009E609E">
            <w:t>beroepsziekten is in Nederland nog onvoldoende ontwikkeld, aldus de toelichting. Dit</w:t>
          </w:r>
          <w:r>
            <w:t xml:space="preserve"> wordt toegeschreven aan de in Nederland gehanteerde </w:t>
          </w:r>
          <w:r>
            <w:lastRenderedPageBreak/>
            <w:t xml:space="preserve">systematiek om arbeidsongeschiktheidsuitkeringen </w:t>
          </w:r>
          <w:r w:rsidR="00CB076A">
            <w:t xml:space="preserve">toe te kennen op basis van het zogeheten </w:t>
          </w:r>
          <w:r w:rsidRPr="004A4633" w:rsidR="009E609E">
            <w:t>‘risque social’</w:t>
          </w:r>
          <w:r w:rsidR="00CB076A">
            <w:t xml:space="preserve"> (Wet WIA)</w:t>
          </w:r>
          <w:r w:rsidRPr="004A4633" w:rsidR="009E609E">
            <w:t>. Daarbi</w:t>
          </w:r>
          <w:r w:rsidR="00CB076A">
            <w:t xml:space="preserve">j </w:t>
          </w:r>
          <w:r w:rsidR="0012502D">
            <w:t xml:space="preserve">wordt </w:t>
          </w:r>
          <w:r w:rsidRPr="004A4633" w:rsidR="009E609E">
            <w:t xml:space="preserve">niet gekeken naar de </w:t>
          </w:r>
          <w:r w:rsidR="0012502D">
            <w:t>vraag of de arbeidsongeschiktheid is veroorzaakt door het werk</w:t>
          </w:r>
          <w:r w:rsidR="009B1FDB">
            <w:t xml:space="preserve">, waardoor </w:t>
          </w:r>
          <w:r w:rsidR="00B84701">
            <w:t xml:space="preserve">over </w:t>
          </w:r>
          <w:r w:rsidR="009B1FDB">
            <w:t xml:space="preserve">deze oorzaak van arbeidsongeschiktheid </w:t>
          </w:r>
          <w:r w:rsidR="000E1624">
            <w:t xml:space="preserve">in Nederland </w:t>
          </w:r>
          <w:r w:rsidR="009B1FDB">
            <w:t xml:space="preserve">minder </w:t>
          </w:r>
          <w:r w:rsidR="000E1624">
            <w:t>kennis wordt verzameld</w:t>
          </w:r>
          <w:r w:rsidR="0012502D">
            <w:t>.</w:t>
          </w:r>
          <w:r w:rsidRPr="004A4633" w:rsidR="009E609E">
            <w:t xml:space="preserve"> Ook</w:t>
          </w:r>
          <w:r w:rsidR="0012502D">
            <w:t xml:space="preserve"> wordt volgens de toelichting de wel bestaande</w:t>
          </w:r>
          <w:r w:rsidRPr="004A4633" w:rsidR="009E609E">
            <w:t xml:space="preserve"> kennis over beroepsziekten in de praktijk onvoldoende toegepast. Dit bemoeilijkt preventie, vroeg</w:t>
          </w:r>
          <w:r w:rsidR="003658B1">
            <w:t xml:space="preserve">e </w:t>
          </w:r>
          <w:r w:rsidRPr="004A4633" w:rsidR="009E609E">
            <w:t xml:space="preserve">signalering en </w:t>
          </w:r>
          <w:r w:rsidR="003658B1">
            <w:t xml:space="preserve">de </w:t>
          </w:r>
          <w:r w:rsidRPr="004A4633" w:rsidR="009E609E">
            <w:t>medische diagnostiek.</w:t>
          </w:r>
          <w:r w:rsidRPr="004A4633" w:rsidR="009E609E">
            <w:rPr>
              <w:vertAlign w:val="superscript"/>
            </w:rPr>
            <w:footnoteReference w:id="5"/>
          </w:r>
          <w:r w:rsidRPr="004A4633" w:rsidR="009E609E">
            <w:t xml:space="preserve"> </w:t>
          </w:r>
        </w:p>
        <w:p w:rsidRPr="004A4633" w:rsidR="009E609E" w:rsidP="009E609E" w:rsidRDefault="009E609E" w14:paraId="65B8BE43" w14:textId="77777777"/>
        <w:p w:rsidRPr="004A4633" w:rsidR="009E609E" w:rsidP="009E609E" w:rsidRDefault="00326429" w14:paraId="7B67F723" w14:textId="39AF9E8B">
          <w:r>
            <w:t>In het Nederlandse systeem z</w:t>
          </w:r>
          <w:r w:rsidRPr="004A4633" w:rsidR="009E609E">
            <w:t xml:space="preserve">ijn (voormalige) werkenden </w:t>
          </w:r>
          <w:r w:rsidR="009119E0">
            <w:t xml:space="preserve">die een beroepsziekte oplopen </w:t>
          </w:r>
          <w:r w:rsidR="00A13525">
            <w:t>(afgezien van socialezekerheidsuitkeringen)</w:t>
          </w:r>
          <w:r w:rsidR="00911ED2">
            <w:rPr>
              <w:rStyle w:val="Voetnootmarkering"/>
            </w:rPr>
            <w:footnoteReference w:id="6"/>
          </w:r>
          <w:r w:rsidR="00A13525">
            <w:t xml:space="preserve"> </w:t>
          </w:r>
          <w:r w:rsidR="009119E0">
            <w:t xml:space="preserve">voor </w:t>
          </w:r>
          <w:r w:rsidR="00A74818">
            <w:t>een</w:t>
          </w:r>
          <w:r w:rsidR="000F63AB">
            <w:t xml:space="preserve"> </w:t>
          </w:r>
          <w:r w:rsidR="009119E0">
            <w:t>schade</w:t>
          </w:r>
          <w:r w:rsidR="00A74818">
            <w:t>vergoeding</w:t>
          </w:r>
          <w:r w:rsidR="009119E0">
            <w:t xml:space="preserve"> </w:t>
          </w:r>
          <w:r w:rsidRPr="004A4633" w:rsidR="009E609E">
            <w:t xml:space="preserve">aangewezen op het </w:t>
          </w:r>
          <w:r w:rsidR="00844CD1">
            <w:t xml:space="preserve">civiele </w:t>
          </w:r>
          <w:r w:rsidRPr="004A4633" w:rsidR="009E609E">
            <w:t>aansprakelijkheidsrecht.</w:t>
          </w:r>
          <w:r w:rsidR="00916E81">
            <w:t xml:space="preserve"> </w:t>
          </w:r>
          <w:r w:rsidR="00111DFF">
            <w:t>Als gevolg van</w:t>
          </w:r>
          <w:r w:rsidRPr="004A4633" w:rsidR="009E609E">
            <w:t xml:space="preserve"> de </w:t>
          </w:r>
          <w:r w:rsidR="00111DFF">
            <w:t>geleidelijke</w:t>
          </w:r>
          <w:r w:rsidRPr="004A4633" w:rsidR="009E609E">
            <w:t xml:space="preserve"> versobering van </w:t>
          </w:r>
          <w:r w:rsidR="00844CD1">
            <w:t xml:space="preserve">de </w:t>
          </w:r>
          <w:r w:rsidRPr="004A4633" w:rsidR="009E609E">
            <w:t xml:space="preserve">arbeidsongeschiktheidsuitkeringen en aanscherping van de voorwaarden voor uitkering is deze route relatief belangrijker geworden. </w:t>
          </w:r>
          <w:r w:rsidR="00844CD1">
            <w:t>Claims</w:t>
          </w:r>
          <w:r w:rsidR="00E3099B">
            <w:t xml:space="preserve"> op basis van be</w:t>
          </w:r>
          <w:r w:rsidRPr="004A4633" w:rsidR="009E609E">
            <w:t>roepsziekte</w:t>
          </w:r>
          <w:r w:rsidR="00E3099B">
            <w:t xml:space="preserve">n </w:t>
          </w:r>
          <w:r w:rsidRPr="004A4633" w:rsidR="009E609E">
            <w:t>zijn echter vaak ingewikkeld en leiden, mede daar</w:t>
          </w:r>
          <w:r w:rsidR="0064236C">
            <w:t>door</w:t>
          </w:r>
          <w:r w:rsidRPr="004A4633" w:rsidR="009E609E">
            <w:t xml:space="preserve">, tot langdurige aansprakelijkheidsprocedures. </w:t>
          </w:r>
          <w:r w:rsidR="003B0C6D">
            <w:t>Voor z</w:t>
          </w:r>
          <w:r w:rsidRPr="004A4633" w:rsidR="009E609E">
            <w:t>ieke werknemers vo</w:t>
          </w:r>
          <w:r w:rsidR="003B0C6D">
            <w:t xml:space="preserve">rmt dit een </w:t>
          </w:r>
          <w:r w:rsidRPr="004A4633" w:rsidR="009E609E">
            <w:t>belemmer</w:t>
          </w:r>
          <w:r w:rsidR="003B0C6D">
            <w:t xml:space="preserve">ing </w:t>
          </w:r>
          <w:r w:rsidRPr="004A4633" w:rsidR="009E609E">
            <w:t>om hun werk- of opdrachtgever aansprakelijk te stellen.</w:t>
          </w:r>
          <w:r w:rsidRPr="004A4633" w:rsidR="009E609E">
            <w:rPr>
              <w:vertAlign w:val="superscript"/>
            </w:rPr>
            <w:footnoteReference w:id="7"/>
          </w:r>
          <w:r w:rsidRPr="004A4633" w:rsidR="009E609E">
            <w:t xml:space="preserve"> </w:t>
          </w:r>
        </w:p>
        <w:p w:rsidRPr="004A4633" w:rsidR="009E609E" w:rsidP="009E609E" w:rsidRDefault="009E609E" w14:paraId="5E810202" w14:textId="77777777"/>
        <w:p w:rsidRPr="004A4633" w:rsidR="00897676" w:rsidP="009E609E" w:rsidRDefault="00897676" w14:paraId="3A9FE6F3" w14:textId="7C0744B2">
          <w:pPr>
            <w:rPr>
              <w:i/>
              <w:iCs/>
            </w:rPr>
          </w:pPr>
          <w:r w:rsidRPr="004A4633">
            <w:t xml:space="preserve">c. </w:t>
          </w:r>
          <w:r w:rsidRPr="004A4633">
            <w:tab/>
          </w:r>
          <w:r w:rsidRPr="004A4633">
            <w:rPr>
              <w:i/>
              <w:iCs/>
            </w:rPr>
            <w:t>Commissie VSAB</w:t>
          </w:r>
        </w:p>
        <w:p w:rsidR="00FC7269" w:rsidP="009E609E" w:rsidRDefault="009E609E" w14:paraId="3C3F05E7" w14:textId="049B2225">
          <w:r w:rsidRPr="004A4633">
            <w:t xml:space="preserve">De afgelopen </w:t>
          </w:r>
          <w:r w:rsidR="00AC0417">
            <w:t xml:space="preserve">ruim </w:t>
          </w:r>
          <w:r w:rsidRPr="004A4633">
            <w:t>twintig jaar zijn diverse regelingen getroffen om buiten het aansprakelijkheidsrecht om een tegemoetkoming te verstrekken aan werknemers en/of zelfstandigen met een bepaalde beroepsziekte</w:t>
          </w:r>
          <w:r w:rsidR="00FC7269">
            <w:t>.</w:t>
          </w:r>
          <w:r w:rsidRPr="004A4633">
            <w:t xml:space="preserve"> </w:t>
          </w:r>
          <w:r w:rsidRPr="00B77301" w:rsidR="00D401A8">
            <w:t xml:space="preserve">Dit </w:t>
          </w:r>
          <w:r w:rsidR="00206AEE">
            <w:t>gold</w:t>
          </w:r>
          <w:r w:rsidRPr="00B77301" w:rsidR="00D401A8">
            <w:t xml:space="preserve"> bijvoorbeeld </w:t>
          </w:r>
          <w:r w:rsidR="00206AEE">
            <w:t xml:space="preserve">voor </w:t>
          </w:r>
          <w:r w:rsidRPr="00B77301" w:rsidR="00D401A8">
            <w:t>aan asbest gerelateerde ziekte</w:t>
          </w:r>
          <w:r w:rsidR="00D401A8">
            <w:t>n</w:t>
          </w:r>
          <w:r w:rsidRPr="00B77301" w:rsidR="00D401A8">
            <w:t>, mede gelet op de soms lange incubatieperiode van deze ziekte</w:t>
          </w:r>
          <w:r w:rsidR="00D12F6A">
            <w:t>n</w:t>
          </w:r>
          <w:r w:rsidR="00645AD8">
            <w:t>.</w:t>
          </w:r>
          <w:r w:rsidRPr="00B77301" w:rsidR="00D401A8">
            <w:t xml:space="preserve"> </w:t>
          </w:r>
          <w:r w:rsidR="00645AD8">
            <w:t>D</w:t>
          </w:r>
          <w:r w:rsidRPr="00B77301" w:rsidR="00D401A8">
            <w:t xml:space="preserve">aardoor </w:t>
          </w:r>
          <w:r w:rsidR="00645AD8">
            <w:t xml:space="preserve">waren </w:t>
          </w:r>
          <w:r w:rsidRPr="00B77301" w:rsidR="00D401A8">
            <w:t>de aansprakelijkheidsprocedures vaak niet toereikend. Daarna gebeurde hetzelfde met andere beroepsziekten, waaronder die als gevolg van het werken met chroom-6</w:t>
          </w:r>
          <w:r w:rsidR="00D401A8">
            <w:t xml:space="preserve"> </w:t>
          </w:r>
          <w:r w:rsidRPr="00B77301" w:rsidR="00D401A8">
            <w:t>bij onder meer Defensie</w:t>
          </w:r>
          <w:r w:rsidR="00FC7269">
            <w:t xml:space="preserve">. </w:t>
          </w:r>
        </w:p>
        <w:p w:rsidR="00FC7269" w:rsidP="009E609E" w:rsidRDefault="00FC7269" w14:paraId="7D1B3E6C" w14:textId="77777777"/>
        <w:p w:rsidRPr="004A4633" w:rsidR="009E609E" w:rsidP="009E609E" w:rsidRDefault="009E609E" w14:paraId="1636F027" w14:textId="0A0DDCCF">
          <w:r w:rsidRPr="004A4633">
            <w:t xml:space="preserve">De </w:t>
          </w:r>
          <w:r w:rsidR="00516AB0">
            <w:t xml:space="preserve">problematiek rond het werken met </w:t>
          </w:r>
          <w:r w:rsidRPr="004A4633">
            <w:t xml:space="preserve">chroom-6 </w:t>
          </w:r>
          <w:r w:rsidR="00AE372D">
            <w:t>vormde</w:t>
          </w:r>
          <w:r w:rsidRPr="004A4633" w:rsidR="00AE372D">
            <w:t xml:space="preserve"> </w:t>
          </w:r>
          <w:r w:rsidRPr="004A4633">
            <w:t>aanleiding om in 2019 de commissie Vergemakkelijking Schadeafhandeling bij Beroepsziekten (VSAB) in te stellen</w:t>
          </w:r>
          <w:r w:rsidR="00396C80">
            <w:t xml:space="preserve"> (commissie-Heerts)</w:t>
          </w:r>
          <w:r w:rsidRPr="004A4633">
            <w:t xml:space="preserve">. De commissie werd gevraagd te adviseren over een betere organisatie van schadeafhandeling bij beroepsziekten door stoffen en daartoe verbetervoorstellen te doen. </w:t>
          </w:r>
        </w:p>
        <w:p w:rsidRPr="004A4633" w:rsidR="009E609E" w:rsidP="009E609E" w:rsidRDefault="009E609E" w14:paraId="54A7D172" w14:textId="77777777"/>
        <w:p w:rsidRPr="004A4633" w:rsidR="009E609E" w:rsidP="009E609E" w:rsidRDefault="009E609E" w14:paraId="451AF4FB" w14:textId="178D2924">
          <w:r w:rsidRPr="004A4633">
            <w:t>De commissie concludeert in haar advies dat vooral onder werkgevers geen draagvlak bestaat voor een fundamenteel andere inrichting van de praktijk van schadecompensatie bij beroepsziekten.</w:t>
          </w:r>
          <w:r w:rsidRPr="004A4633">
            <w:rPr>
              <w:vertAlign w:val="superscript"/>
            </w:rPr>
            <w:footnoteReference w:id="8"/>
          </w:r>
          <w:r w:rsidRPr="004A4633">
            <w:t xml:space="preserve"> Omdat de commissie wilde komen met een </w:t>
          </w:r>
          <w:r w:rsidR="0002600E">
            <w:t xml:space="preserve">breed </w:t>
          </w:r>
          <w:r w:rsidRPr="004A4633">
            <w:t xml:space="preserve">gedragen voorstel, is dat niet geadviseerd. In plaats daarvan </w:t>
          </w:r>
          <w:r w:rsidR="00894601">
            <w:t>werd aanbevolen</w:t>
          </w:r>
          <w:r w:rsidRPr="004A4633" w:rsidR="00894601">
            <w:t xml:space="preserve"> </w:t>
          </w:r>
          <w:r w:rsidRPr="004A4633">
            <w:t xml:space="preserve">om de preventie en handhaving te verbeteren, kennisontwikkeling te </w:t>
          </w:r>
          <w:r w:rsidRPr="004A4633">
            <w:lastRenderedPageBreak/>
            <w:t xml:space="preserve">stimuleren en te voorzien in een algemene tegemoetkoming voor werkenden met een stoffenziekte, uit te voeren door een speciaal fonds. </w:t>
          </w:r>
        </w:p>
        <w:p w:rsidRPr="004A4633" w:rsidR="009E609E" w:rsidP="009E609E" w:rsidRDefault="009E609E" w14:paraId="3635109C" w14:textId="77777777"/>
        <w:p w:rsidR="006F6E44" w:rsidP="009E609E" w:rsidRDefault="00AE372D" w14:paraId="31AB7DFE" w14:textId="3B47866E">
          <w:r>
            <w:t>In vervolg</w:t>
          </w:r>
          <w:r w:rsidRPr="004A4633">
            <w:t xml:space="preserve"> </w:t>
          </w:r>
          <w:r w:rsidR="00AC2971">
            <w:t>op</w:t>
          </w:r>
          <w:r w:rsidRPr="004A4633" w:rsidR="009E609E">
            <w:t xml:space="preserve"> het advies</w:t>
          </w:r>
          <w:r w:rsidR="00AC2971">
            <w:t xml:space="preserve"> </w:t>
          </w:r>
          <w:r w:rsidR="00A57E81">
            <w:t xml:space="preserve">van de commissie VSAB </w:t>
          </w:r>
          <w:r w:rsidR="00AC2971">
            <w:t xml:space="preserve">heeft de Minister van SZW </w:t>
          </w:r>
          <w:r w:rsidRPr="004A4633" w:rsidR="009E609E">
            <w:t xml:space="preserve">in 2023 </w:t>
          </w:r>
          <w:r w:rsidR="00AC2971">
            <w:t xml:space="preserve">op basis van de Kaderwet SZW-subsidies </w:t>
          </w:r>
          <w:r w:rsidRPr="004A4633" w:rsidR="009E609E">
            <w:t>een ministeriële regeling getroffen die werkenden met een stoffengerelateerde beroepsziekte recht geeft op een financiële tegemoetkoming.</w:t>
          </w:r>
          <w:r w:rsidR="00101E51">
            <w:rPr>
              <w:rStyle w:val="Voetnootmarkering"/>
            </w:rPr>
            <w:footnoteReference w:id="9"/>
          </w:r>
          <w:r w:rsidRPr="004A4633" w:rsidR="009E609E">
            <w:t xml:space="preserve"> Ook is aan het samenwerkingsverband Landelijk expertisecentrum stoffengerelateerde beroepsziekten (Lexces) een subsidie verstrekt voor een eerste werkprogramma naar beroepsziekten door gevaarlijke stoffen. </w:t>
          </w:r>
        </w:p>
        <w:p w:rsidR="006F6E44" w:rsidP="009E609E" w:rsidRDefault="006F6E44" w14:paraId="1751E7D7" w14:textId="77777777"/>
        <w:p w:rsidRPr="004A4633" w:rsidR="009E609E" w:rsidP="009E609E" w:rsidRDefault="009E609E" w14:paraId="2CCAF8D4" w14:textId="0696C986">
          <w:r w:rsidRPr="004A4633">
            <w:t xml:space="preserve">Door te voorzien in wettelijke grondslagen </w:t>
          </w:r>
          <w:r w:rsidR="008845A3">
            <w:t xml:space="preserve">voor deze ontwikkelingen </w:t>
          </w:r>
          <w:r w:rsidRPr="004A4633">
            <w:t>vormt het wetsvoorstel het sluitstuk van de uitwerking van het advies van de commissie VSAB, aldus de toelichting.</w:t>
          </w:r>
          <w:r w:rsidRPr="004A4633">
            <w:rPr>
              <w:vertAlign w:val="superscript"/>
            </w:rPr>
            <w:footnoteReference w:id="10"/>
          </w:r>
        </w:p>
        <w:p w:rsidRPr="004A4633" w:rsidR="009E609E" w:rsidP="009E609E" w:rsidRDefault="009E609E" w14:paraId="01B8B3C9" w14:textId="77777777"/>
        <w:p w:rsidRPr="004A4633" w:rsidR="00897676" w:rsidP="009E609E" w:rsidRDefault="00897676" w14:paraId="7F68DD45" w14:textId="6ACE20E8">
          <w:r w:rsidRPr="004A4633">
            <w:t xml:space="preserve">2. </w:t>
          </w:r>
          <w:r w:rsidRPr="004A4633">
            <w:tab/>
          </w:r>
          <w:r w:rsidRPr="004A4633" w:rsidR="00532776">
            <w:rPr>
              <w:u w:val="single"/>
            </w:rPr>
            <w:t>Tegemoetkomingsregeling</w:t>
          </w:r>
        </w:p>
        <w:p w:rsidRPr="004A4633" w:rsidR="00897676" w:rsidP="009E609E" w:rsidRDefault="00897676" w14:paraId="73890C1A" w14:textId="77777777"/>
        <w:p w:rsidRPr="004A4633" w:rsidR="009E609E" w:rsidP="009E609E" w:rsidRDefault="009E609E" w14:paraId="25D5E689" w14:textId="1EDF085A">
          <w:r w:rsidRPr="004A4633">
            <w:t>De Afdeling</w:t>
          </w:r>
          <w:r w:rsidR="006122E8">
            <w:t xml:space="preserve"> onderschrijft de noodzaak van m</w:t>
          </w:r>
          <w:r w:rsidRPr="004A4633" w:rsidR="0015062A">
            <w:t xml:space="preserve">aatregelen </w:t>
          </w:r>
          <w:r w:rsidRPr="004A4633" w:rsidR="007333A3">
            <w:t xml:space="preserve">om de naleving van RI&amp;E-verplichtingen te verbeteren en de </w:t>
          </w:r>
          <w:r w:rsidRPr="004A4633" w:rsidR="003D17D4">
            <w:t xml:space="preserve">ontwikkeling van </w:t>
          </w:r>
          <w:r w:rsidRPr="004A4633" w:rsidR="007333A3">
            <w:t xml:space="preserve">kennis over beroepsziekten te </w:t>
          </w:r>
          <w:r w:rsidRPr="004A4633" w:rsidR="003D17D4">
            <w:t>stimuleren</w:t>
          </w:r>
          <w:r w:rsidRPr="004A4633" w:rsidR="00174A6F">
            <w:t xml:space="preserve">. </w:t>
          </w:r>
          <w:r w:rsidR="00ED57D4">
            <w:t xml:space="preserve">Dit </w:t>
          </w:r>
          <w:r w:rsidRPr="004A4633" w:rsidR="00096D1E">
            <w:t xml:space="preserve">komt niet alleen zieke werkenden ten goede, maar </w:t>
          </w:r>
          <w:r w:rsidRPr="004A4633" w:rsidR="006A584B">
            <w:t xml:space="preserve">is ook nodig voor betere preventie. </w:t>
          </w:r>
          <w:r w:rsidR="00AD2E65">
            <w:t>Wel roept</w:t>
          </w:r>
          <w:r w:rsidRPr="004A4633">
            <w:t xml:space="preserve"> de</w:t>
          </w:r>
          <w:r w:rsidRPr="004A4633" w:rsidR="007571DE">
            <w:t xml:space="preserve"> </w:t>
          </w:r>
          <w:r w:rsidR="00B37183">
            <w:t xml:space="preserve">voorgestelde </w:t>
          </w:r>
          <w:r w:rsidR="00340702">
            <w:t>regeling van</w:t>
          </w:r>
          <w:r w:rsidRPr="004A4633" w:rsidR="007571DE">
            <w:t xml:space="preserve"> </w:t>
          </w:r>
          <w:r w:rsidRPr="004A4633">
            <w:t xml:space="preserve">tegemoetkomingsregelingen vragen op. </w:t>
          </w:r>
        </w:p>
        <w:p w:rsidRPr="004A4633" w:rsidR="009E609E" w:rsidP="009E609E" w:rsidRDefault="009E609E" w14:paraId="19F9D850" w14:textId="77777777"/>
        <w:p w:rsidRPr="004A4633" w:rsidR="009E609E" w:rsidP="009E609E" w:rsidRDefault="009E609E" w14:paraId="20EC2492" w14:textId="741E47A0">
          <w:pPr>
            <w:rPr>
              <w:i/>
              <w:iCs/>
            </w:rPr>
          </w:pPr>
          <w:r w:rsidRPr="004A4633">
            <w:t xml:space="preserve">a. </w:t>
          </w:r>
          <w:r w:rsidRPr="004A4633">
            <w:tab/>
          </w:r>
          <w:r w:rsidRPr="004A4633">
            <w:rPr>
              <w:i/>
              <w:iCs/>
            </w:rPr>
            <w:t>Erkenning bieden</w:t>
          </w:r>
        </w:p>
        <w:p w:rsidRPr="004A4633" w:rsidR="009E609E" w:rsidP="009E609E" w:rsidRDefault="009E609E" w14:paraId="25905706" w14:textId="4E7990E6">
          <w:r w:rsidRPr="004A4633">
            <w:t xml:space="preserve">Uit de toelichting volgt dat de bestaande tegemoetkomingsregelingen zijn bedoeld om erkenning te bieden aan werkenden die lijden aan een beroepsziekte. Eerder heeft de </w:t>
          </w:r>
          <w:r w:rsidR="00645AD8">
            <w:t>m</w:t>
          </w:r>
          <w:r w:rsidRPr="004A4633">
            <w:t xml:space="preserve">inister </w:t>
          </w:r>
          <w:r w:rsidR="007A34D4">
            <w:t xml:space="preserve">van SZW </w:t>
          </w:r>
          <w:r w:rsidR="007E7FE9">
            <w:t>bij de invoering van de</w:t>
          </w:r>
          <w:r w:rsidRPr="004A4633">
            <w:t xml:space="preserve"> tegemoetkomingsregeling voor stoffengerelateerde beroepsziekten gezegd dat hiermee </w:t>
          </w:r>
          <w:r w:rsidRPr="004A4633" w:rsidR="00A452EE">
            <w:t>“</w:t>
          </w:r>
          <w:r w:rsidRPr="004A4633">
            <w:t>een korte en snelle route naar erkenning</w:t>
          </w:r>
          <w:r w:rsidRPr="004A4633" w:rsidR="00A452EE">
            <w:t>”</w:t>
          </w:r>
          <w:r w:rsidRPr="004A4633">
            <w:t xml:space="preserve"> </w:t>
          </w:r>
          <w:r w:rsidRPr="004A4633" w:rsidR="00167121">
            <w:t>wordt geboden</w:t>
          </w:r>
          <w:r w:rsidRPr="004A4633">
            <w:t>.</w:t>
          </w:r>
          <w:r w:rsidRPr="004A4633">
            <w:rPr>
              <w:vertAlign w:val="superscript"/>
            </w:rPr>
            <w:footnoteReference w:id="11"/>
          </w:r>
          <w:r w:rsidRPr="004A4633">
            <w:t xml:space="preserve"> </w:t>
          </w:r>
          <w:r w:rsidR="00923651">
            <w:t xml:space="preserve">Met </w:t>
          </w:r>
          <w:r w:rsidRPr="004A4633">
            <w:t>een wettelijke grondslag voor deze regelingen wil de regering deze erkenning beter regelen.</w:t>
          </w:r>
          <w:r w:rsidRPr="004A4633">
            <w:rPr>
              <w:vertAlign w:val="superscript"/>
            </w:rPr>
            <w:footnoteReference w:id="12"/>
          </w:r>
          <w:r w:rsidRPr="004A4633">
            <w:t xml:space="preserve"> </w:t>
          </w:r>
          <w:r w:rsidR="00D25450">
            <w:t>De werkgever is en blijft v</w:t>
          </w:r>
          <w:r w:rsidR="0008372C">
            <w:t xml:space="preserve">erantwoordelijkheid </w:t>
          </w:r>
          <w:r w:rsidR="000C1758">
            <w:t>voor gezonde en veilige arbeidsomstandigheden.</w:t>
          </w:r>
          <w:r w:rsidR="00D25450">
            <w:rPr>
              <w:rStyle w:val="Voetnootmarkering"/>
            </w:rPr>
            <w:footnoteReference w:id="13"/>
          </w:r>
        </w:p>
        <w:p w:rsidRPr="004A4633" w:rsidR="009E609E" w:rsidP="009E609E" w:rsidRDefault="009E609E" w14:paraId="2D673B8D" w14:textId="77777777"/>
        <w:p w:rsidRPr="004A4633" w:rsidR="009E609E" w:rsidP="009E609E" w:rsidRDefault="009E609E" w14:paraId="6C6456CD" w14:textId="252FF767">
          <w:r w:rsidRPr="004A4633">
            <w:t>Dat burgers vragen om, en hechten aan, erkenning van de uitzonderlijke, belastende omstandigheden waarin zij door ziekte terecht zijn gekomen, valt te begrijpen. Verlies van gezondheid gaat vaak hand in hand met verlies van werk en sociale contacten, met verlies van inkomen, hoge medische kosten, afhankelijkheid van zorg door derden en vormt een belasting voor de naasten.</w:t>
          </w:r>
          <w:r w:rsidRPr="004A4633">
            <w:rPr>
              <w:vertAlign w:val="superscript"/>
            </w:rPr>
            <w:footnoteReference w:id="14"/>
          </w:r>
          <w:r w:rsidRPr="004A4633">
            <w:t xml:space="preserve"> In zulke diepingrijpende situaties luistert het bieden van erkenning nauw. </w:t>
          </w:r>
          <w:r w:rsidRPr="004A4633" w:rsidR="000F6304">
            <w:t xml:space="preserve">De </w:t>
          </w:r>
          <w:r w:rsidRPr="004A4633">
            <w:lastRenderedPageBreak/>
            <w:t xml:space="preserve">vraag </w:t>
          </w:r>
          <w:r w:rsidRPr="004A4633" w:rsidR="000F6304">
            <w:t xml:space="preserve">is </w:t>
          </w:r>
          <w:r w:rsidR="00F67AE1">
            <w:t>of hierbij kan worden volstaan met</w:t>
          </w:r>
          <w:r w:rsidRPr="004A4633" w:rsidR="000F6304">
            <w:t xml:space="preserve"> </w:t>
          </w:r>
          <w:r w:rsidRPr="004A4633" w:rsidR="009572F1">
            <w:t xml:space="preserve">het </w:t>
          </w:r>
          <w:r w:rsidRPr="004A4633">
            <w:t>toekennen van een tegemoetkoming</w:t>
          </w:r>
          <w:r w:rsidRPr="004A4633" w:rsidR="009572F1">
            <w:t>.</w:t>
          </w:r>
        </w:p>
        <w:p w:rsidRPr="004A4633" w:rsidR="009E609E" w:rsidP="009E609E" w:rsidRDefault="009E609E" w14:paraId="6062FAB8" w14:textId="77777777"/>
        <w:p w:rsidRPr="004A4633" w:rsidR="009E609E" w:rsidP="009E609E" w:rsidRDefault="009E609E" w14:paraId="5039559C" w14:textId="0663874F">
          <w:r w:rsidRPr="004A4633">
            <w:t>De Afdeling merkt op dat erkenning op veel verschillende manieren kan worden geboden. Inzicht in de behoeften van de doelgroep</w:t>
          </w:r>
          <w:r w:rsidRPr="004A4633" w:rsidR="009572F1">
            <w:t>, bijvoorbeeld door met hen in gesprek te gaan,</w:t>
          </w:r>
          <w:r w:rsidRPr="004A4633">
            <w:t xml:space="preserve"> </w:t>
          </w:r>
          <w:r w:rsidRPr="004A4633" w:rsidR="00DA2914">
            <w:t>is van groot belang</w:t>
          </w:r>
          <w:r w:rsidRPr="004A4633">
            <w:t xml:space="preserve"> bij de afweging van passende, doeltreffende en doelmatige maatregelen. Een snelle, eenzijdig bepaalde oplossing is </w:t>
          </w:r>
          <w:r w:rsidRPr="004A4633" w:rsidR="003F6552">
            <w:t>daarom</w:t>
          </w:r>
          <w:r w:rsidRPr="004A4633">
            <w:t xml:space="preserve"> niet wenselijk. </w:t>
          </w:r>
          <w:r w:rsidRPr="004A4633" w:rsidR="00F5115C">
            <w:t>Dit heeft als risico</w:t>
          </w:r>
          <w:r w:rsidRPr="004A4633">
            <w:t xml:space="preserve"> dat de maatregel niet wordt opgevat als erkenning van leed, maar als een administratieve handeling. Dit geldt in het bijzonder als voor een financiële tegemoetkoming wordt gekozen. </w:t>
          </w:r>
        </w:p>
        <w:p w:rsidRPr="004A4633" w:rsidR="009E609E" w:rsidP="009E609E" w:rsidRDefault="009E609E" w14:paraId="429629AC" w14:textId="77777777"/>
        <w:p w:rsidRPr="004A4633" w:rsidR="00EB4CA7" w:rsidP="009E609E" w:rsidRDefault="009E609E" w14:paraId="7637856E" w14:textId="1390832A">
          <w:r w:rsidRPr="004A4633">
            <w:t>In de toelichting wordt niet ingegaan op de</w:t>
          </w:r>
          <w:r w:rsidR="007B7DBC">
            <w:t xml:space="preserve"> relevante</w:t>
          </w:r>
          <w:r w:rsidRPr="004A4633">
            <w:t xml:space="preserve"> vragen en afwegingen die erkenning van leed meebrengt.</w:t>
          </w:r>
          <w:r w:rsidRPr="004A4633">
            <w:rPr>
              <w:vertAlign w:val="superscript"/>
            </w:rPr>
            <w:footnoteReference w:id="15"/>
          </w:r>
          <w:r w:rsidRPr="004A4633">
            <w:t xml:space="preserve"> </w:t>
          </w:r>
          <w:r w:rsidR="003F0772">
            <w:t>Daarmee is</w:t>
          </w:r>
          <w:r w:rsidRPr="004A4633">
            <w:t xml:space="preserve"> niet duidelijk </w:t>
          </w:r>
          <w:r w:rsidR="003F0772">
            <w:t>of</w:t>
          </w:r>
          <w:r w:rsidRPr="004A4633">
            <w:t xml:space="preserve"> met een financiële tegemoetkoming wordt voorzien in de erkenning waaraan de doelgroep behoefte heeft. </w:t>
          </w:r>
          <w:r w:rsidRPr="004A4633" w:rsidR="00EB4CA7">
            <w:t xml:space="preserve">Dat </w:t>
          </w:r>
          <w:r w:rsidR="009C0F53">
            <w:t>het vooralsnog gaat om</w:t>
          </w:r>
          <w:r w:rsidRPr="004A4633" w:rsidR="000C235B">
            <w:t xml:space="preserve"> </w:t>
          </w:r>
          <w:r w:rsidRPr="004A4633" w:rsidR="00D87268">
            <w:t>een</w:t>
          </w:r>
          <w:r w:rsidRPr="004A4633" w:rsidR="004C6157">
            <w:t xml:space="preserve"> grondslag</w:t>
          </w:r>
          <w:r w:rsidRPr="004A4633" w:rsidR="00D87268">
            <w:t xml:space="preserve"> </w:t>
          </w:r>
          <w:r w:rsidRPr="004A4633" w:rsidR="004C6157">
            <w:t xml:space="preserve">voor bestaande </w:t>
          </w:r>
          <w:r w:rsidRPr="004A4633" w:rsidR="00150CD1">
            <w:t>regelingen van tegemoetkomingen</w:t>
          </w:r>
          <w:r w:rsidRPr="004A4633" w:rsidR="000C235B">
            <w:t xml:space="preserve"> </w:t>
          </w:r>
          <w:r w:rsidRPr="004A4633" w:rsidR="004C6157">
            <w:t xml:space="preserve">doet hieraan niet af. Integendeel, uit </w:t>
          </w:r>
          <w:r w:rsidRPr="004A4633">
            <w:t xml:space="preserve">onderzoek blijkt dat gedupeerden bij </w:t>
          </w:r>
          <w:r w:rsidR="00700FDD">
            <w:t>eerdere</w:t>
          </w:r>
          <w:r w:rsidRPr="004A4633" w:rsidR="00700FDD">
            <w:t xml:space="preserve"> </w:t>
          </w:r>
          <w:r w:rsidRPr="004A4633">
            <w:t>regelingen een gebrek hebben ervaren aan inspraak en daadwerkelijk luisteren. Ook was er ontevredenheid over de uitkomst.</w:t>
          </w:r>
          <w:r w:rsidRPr="004A4633">
            <w:rPr>
              <w:vertAlign w:val="superscript"/>
            </w:rPr>
            <w:footnoteReference w:id="16"/>
          </w:r>
          <w:r w:rsidRPr="004A4633">
            <w:t xml:space="preserve"> </w:t>
          </w:r>
        </w:p>
        <w:p w:rsidRPr="004A4633" w:rsidR="00EB4CA7" w:rsidP="009E609E" w:rsidRDefault="00EB4CA7" w14:paraId="4B58F899" w14:textId="77777777"/>
        <w:p w:rsidRPr="004A4633" w:rsidR="009E609E" w:rsidP="009E609E" w:rsidRDefault="000D4DBB" w14:paraId="15C989D2" w14:textId="640F2112">
          <w:r w:rsidRPr="004A4633">
            <w:t xml:space="preserve">Van belang is dat </w:t>
          </w:r>
          <w:r w:rsidR="00F8421F">
            <w:t>erkennings</w:t>
          </w:r>
          <w:r w:rsidRPr="004A4633">
            <w:t xml:space="preserve">maatregelen </w:t>
          </w:r>
          <w:r w:rsidRPr="004A4633" w:rsidR="00A012E8">
            <w:t xml:space="preserve">bijdragen aan het herstel van de waardigheid van de getroffen burgers. </w:t>
          </w:r>
          <w:r w:rsidRPr="004A4633" w:rsidR="002C420B">
            <w:t>In veel gevallen willen zij eerst en vooral worden gehoord.</w:t>
          </w:r>
          <w:r w:rsidR="00035C9B">
            <w:t xml:space="preserve"> </w:t>
          </w:r>
          <w:r w:rsidR="00B10B51">
            <w:t xml:space="preserve">Ook is zorgvuldige communicatie vanuit de overheid </w:t>
          </w:r>
          <w:r w:rsidR="006D684A">
            <w:t>cruciaal</w:t>
          </w:r>
          <w:r w:rsidR="00B10B51">
            <w:t xml:space="preserve"> o</w:t>
          </w:r>
          <w:r w:rsidR="00035C9B">
            <w:t xml:space="preserve">m </w:t>
          </w:r>
          <w:r w:rsidR="00592B56">
            <w:t>onrealistische verwachtingen te voorkome</w:t>
          </w:r>
          <w:r w:rsidR="00AB3FD4">
            <w:t>n, bijvoorbeeld over de aard en hoogte van de tegemoetkoming</w:t>
          </w:r>
          <w:r w:rsidR="00592B56">
            <w:t>.</w:t>
          </w:r>
          <w:r w:rsidRPr="004A4633" w:rsidR="002C420B">
            <w:t xml:space="preserve"> </w:t>
          </w:r>
          <w:r w:rsidR="006B5968">
            <w:t>Verder geldt</w:t>
          </w:r>
          <w:r w:rsidRPr="004A4633" w:rsidR="007E22B2">
            <w:t xml:space="preserve"> dat </w:t>
          </w:r>
          <w:r w:rsidR="002F6FCE">
            <w:t>het verstrekken van een financiële tegemoetkoming</w:t>
          </w:r>
          <w:r w:rsidRPr="004A4633" w:rsidR="008B77EE">
            <w:t xml:space="preserve"> aan betekenis wint wanneer </w:t>
          </w:r>
          <w:r w:rsidR="00546037">
            <w:t>dit</w:t>
          </w:r>
          <w:r w:rsidRPr="004A4633" w:rsidR="00546037">
            <w:t xml:space="preserve"> </w:t>
          </w:r>
          <w:r w:rsidRPr="004A4633" w:rsidR="008B77EE">
            <w:t>wordt gecombineerd met een of meer andere vormen van erkenning. Uit de toelichting blijkt niet</w:t>
          </w:r>
          <w:r w:rsidRPr="004A4633" w:rsidR="003C29A6">
            <w:t xml:space="preserve"> of, en zo ja, </w:t>
          </w:r>
          <w:r w:rsidRPr="004A4633" w:rsidR="002F5E42">
            <w:t>hoe</w:t>
          </w:r>
          <w:r w:rsidR="00DD4ACE">
            <w:t xml:space="preserve"> de regering voornemens is</w:t>
          </w:r>
          <w:r w:rsidRPr="004A4633" w:rsidR="002F5E42">
            <w:t xml:space="preserve"> op andere manieren erkenning </w:t>
          </w:r>
          <w:r w:rsidR="003123F1">
            <w:t>te</w:t>
          </w:r>
          <w:r w:rsidRPr="004A4633" w:rsidR="003123F1">
            <w:t xml:space="preserve"> </w:t>
          </w:r>
          <w:r w:rsidR="003123F1">
            <w:t>bieden</w:t>
          </w:r>
          <w:r w:rsidR="00AB79A9">
            <w:t xml:space="preserve"> of</w:t>
          </w:r>
          <w:r w:rsidR="00BC7BB3">
            <w:t xml:space="preserve"> daarvoor</w:t>
          </w:r>
          <w:r w:rsidR="00AB79A9">
            <w:t xml:space="preserve"> werkgevers of brancheorganisaties </w:t>
          </w:r>
          <w:r w:rsidR="00BC7BB3">
            <w:t>verantwoordelijkheid te geven</w:t>
          </w:r>
          <w:r w:rsidRPr="004A4633" w:rsidR="002F5E42">
            <w:t xml:space="preserve">. </w:t>
          </w:r>
        </w:p>
        <w:p w:rsidRPr="004A4633" w:rsidR="002F5E42" w:rsidP="009E609E" w:rsidRDefault="002F5E42" w14:paraId="7871F2CC" w14:textId="77777777"/>
        <w:p w:rsidRPr="004A4633" w:rsidR="00430B34" w:rsidP="00AD0B55" w:rsidRDefault="00430B34" w14:paraId="17544472" w14:textId="32519F9C">
          <w:r w:rsidRPr="004A4633">
            <w:t>De Afdeling adviseert</w:t>
          </w:r>
          <w:r w:rsidR="004B147F">
            <w:t xml:space="preserve"> in </w:t>
          </w:r>
          <w:r w:rsidRPr="004A4633" w:rsidR="004B147F">
            <w:t xml:space="preserve">de toelichting </w:t>
          </w:r>
          <w:r w:rsidR="004B147F">
            <w:t>in te gaan</w:t>
          </w:r>
          <w:r w:rsidRPr="004A4633" w:rsidR="004B147F">
            <w:t xml:space="preserve"> op de</w:t>
          </w:r>
          <w:r w:rsidR="00AD443B">
            <w:t xml:space="preserve"> relev</w:t>
          </w:r>
          <w:r w:rsidR="0014634E">
            <w:t>a</w:t>
          </w:r>
          <w:r w:rsidR="00AD443B">
            <w:t>nte</w:t>
          </w:r>
          <w:r w:rsidRPr="004A4633" w:rsidR="004B147F">
            <w:t xml:space="preserve"> vragen en afwegingen die erkenning van leed meebrengt</w:t>
          </w:r>
          <w:r w:rsidR="00E30E3C">
            <w:t>.</w:t>
          </w:r>
          <w:r w:rsidR="00D12A49">
            <w:t xml:space="preserve"> </w:t>
          </w:r>
          <w:r w:rsidR="00E30E3C">
            <w:t>Zij adviseert</w:t>
          </w:r>
          <w:r w:rsidR="002A1417">
            <w:t xml:space="preserve"> in dat verband</w:t>
          </w:r>
          <w:r w:rsidR="00AD443B">
            <w:t xml:space="preserve"> nader </w:t>
          </w:r>
          <w:r w:rsidR="0022041B">
            <w:t xml:space="preserve">te motiveren </w:t>
          </w:r>
          <w:r w:rsidR="002040DF">
            <w:t>of met</w:t>
          </w:r>
          <w:r w:rsidR="0022041B">
            <w:t xml:space="preserve"> een financiële tegemoetkoming</w:t>
          </w:r>
          <w:r w:rsidRPr="004A4633">
            <w:t xml:space="preserve"> </w:t>
          </w:r>
          <w:r w:rsidR="00907786">
            <w:t xml:space="preserve">voldoende </w:t>
          </w:r>
          <w:r w:rsidR="0014634E">
            <w:t xml:space="preserve">wordt </w:t>
          </w:r>
          <w:r w:rsidR="005A51F8">
            <w:t>voorzie</w:t>
          </w:r>
          <w:r w:rsidR="0014634E">
            <w:t>n</w:t>
          </w:r>
          <w:r w:rsidR="005A51F8">
            <w:t xml:space="preserve"> in de erkenning </w:t>
          </w:r>
          <w:r w:rsidR="00907786">
            <w:t>waaraan de doelgroep behoefte heeft</w:t>
          </w:r>
          <w:r w:rsidR="00E30E3C">
            <w:t>,</w:t>
          </w:r>
          <w:r w:rsidR="00907786">
            <w:t xml:space="preserve"> of </w:t>
          </w:r>
          <w:r w:rsidR="00F37E47">
            <w:t xml:space="preserve">dat hiervoor (ook) </w:t>
          </w:r>
          <w:r w:rsidR="00D12A49">
            <w:t xml:space="preserve">andere </w:t>
          </w:r>
          <w:r w:rsidR="00BD5D38">
            <w:t>maatregelen</w:t>
          </w:r>
          <w:r w:rsidR="00F37E47">
            <w:t xml:space="preserve"> nodig zijn</w:t>
          </w:r>
          <w:r w:rsidR="00D12A49">
            <w:t>.</w:t>
          </w:r>
          <w:r w:rsidRPr="004A4633">
            <w:t xml:space="preserve"> </w:t>
          </w:r>
        </w:p>
        <w:p w:rsidRPr="004A4633" w:rsidR="009E609E" w:rsidP="009E609E" w:rsidRDefault="009E609E" w14:paraId="0F4CC467" w14:textId="77777777"/>
        <w:p w:rsidRPr="004A4633" w:rsidR="009E609E" w:rsidP="009E609E" w:rsidRDefault="009E609E" w14:paraId="0F1762E3" w14:textId="47F61B6F">
          <w:r w:rsidRPr="004A4633">
            <w:t xml:space="preserve">b. </w:t>
          </w:r>
          <w:r w:rsidRPr="004A4633">
            <w:tab/>
          </w:r>
          <w:r w:rsidRPr="004A4633" w:rsidR="003A0C97">
            <w:rPr>
              <w:i/>
              <w:iCs/>
            </w:rPr>
            <w:t xml:space="preserve">Wettelijke </w:t>
          </w:r>
          <w:r w:rsidRPr="004A4633" w:rsidR="00F2561A">
            <w:rPr>
              <w:i/>
              <w:iCs/>
            </w:rPr>
            <w:t>tegemoetkomings</w:t>
          </w:r>
          <w:r w:rsidRPr="004A4633" w:rsidR="003A0C97">
            <w:rPr>
              <w:i/>
              <w:iCs/>
            </w:rPr>
            <w:t>regeling</w:t>
          </w:r>
        </w:p>
        <w:p w:rsidRPr="004A4633" w:rsidR="002C4BEE" w:rsidP="009E609E" w:rsidRDefault="00526673" w14:paraId="32828E69" w14:textId="1D6F66FD">
          <w:r w:rsidRPr="004A4633">
            <w:t>Het voorstel regelt een</w:t>
          </w:r>
          <w:r w:rsidRPr="004A4633" w:rsidR="00FB00E7">
            <w:t xml:space="preserve"> wettelijke grondslag voor een financiële tegemoetkoming</w:t>
          </w:r>
          <w:r w:rsidRPr="004A4633" w:rsidR="007F29D4">
            <w:t xml:space="preserve"> aan </w:t>
          </w:r>
          <w:r w:rsidRPr="004A4633" w:rsidR="00E80459">
            <w:t>personen</w:t>
          </w:r>
          <w:r w:rsidRPr="004A4633" w:rsidR="007F29D4">
            <w:t xml:space="preserve"> die lijden aan een</w:t>
          </w:r>
          <w:r w:rsidRPr="004A4633" w:rsidR="00E80459">
            <w:t xml:space="preserve"> beroepsziekte</w:t>
          </w:r>
          <w:r w:rsidRPr="004A4633" w:rsidR="00FB00E7">
            <w:t>.</w:t>
          </w:r>
          <w:r w:rsidRPr="004A4633" w:rsidR="00BB1959">
            <w:t xml:space="preserve"> </w:t>
          </w:r>
          <w:r w:rsidRPr="004A4633" w:rsidR="00681012">
            <w:t xml:space="preserve">De Afdeling </w:t>
          </w:r>
          <w:r w:rsidRPr="004A4633" w:rsidR="009D6B02">
            <w:t xml:space="preserve">onderschrijft </w:t>
          </w:r>
          <w:r w:rsidRPr="004A4633" w:rsidR="00E80459">
            <w:t>de noodzaak</w:t>
          </w:r>
          <w:r w:rsidRPr="004A4633" w:rsidR="009D6B02">
            <w:t xml:space="preserve"> van </w:t>
          </w:r>
          <w:r w:rsidRPr="004A4633" w:rsidR="008B3591">
            <w:t>een</w:t>
          </w:r>
          <w:r w:rsidRPr="004A4633" w:rsidR="009D6B02">
            <w:t xml:space="preserve"> </w:t>
          </w:r>
          <w:r w:rsidRPr="004A4633" w:rsidR="007F29D4">
            <w:t xml:space="preserve">specifieke wettelijke </w:t>
          </w:r>
          <w:r w:rsidRPr="004A4633" w:rsidR="00E80459">
            <w:t>bevoegdheid</w:t>
          </w:r>
          <w:r w:rsidR="00794B81">
            <w:t>. E</w:t>
          </w:r>
          <w:r w:rsidRPr="004A4633" w:rsidR="001029FD">
            <w:t xml:space="preserve">en </w:t>
          </w:r>
          <w:r w:rsidR="00E77D17">
            <w:t xml:space="preserve">betaling door de </w:t>
          </w:r>
          <w:r w:rsidR="00E77D17">
            <w:lastRenderedPageBreak/>
            <w:t xml:space="preserve">overheid </w:t>
          </w:r>
          <w:r w:rsidR="00794B81">
            <w:t xml:space="preserve">behoeft immers </w:t>
          </w:r>
          <w:r w:rsidR="00E77D17">
            <w:t>een geldige rechtsgrond</w:t>
          </w:r>
          <w:r w:rsidRPr="004A4633" w:rsidR="00E80459">
            <w:t>.</w:t>
          </w:r>
          <w:r w:rsidRPr="004A4633" w:rsidR="00CD1193">
            <w:rPr>
              <w:rStyle w:val="Voetnootmarkering"/>
            </w:rPr>
            <w:footnoteReference w:id="17"/>
          </w:r>
          <w:r w:rsidRPr="004A4633" w:rsidR="00E80459">
            <w:t xml:space="preserve"> </w:t>
          </w:r>
          <w:r w:rsidRPr="004A4633" w:rsidR="00976714">
            <w:t xml:space="preserve">De uitwerking hiervan wordt </w:t>
          </w:r>
          <w:r w:rsidR="00190F45">
            <w:t xml:space="preserve">in het voorstel </w:t>
          </w:r>
          <w:r w:rsidRPr="004A4633" w:rsidR="00976714">
            <w:t xml:space="preserve">echter </w:t>
          </w:r>
          <w:r w:rsidR="002E4123">
            <w:t xml:space="preserve">volledig </w:t>
          </w:r>
          <w:r w:rsidRPr="004A4633" w:rsidR="00131240">
            <w:t xml:space="preserve">gedelegeerd </w:t>
          </w:r>
          <w:r w:rsidRPr="004A4633" w:rsidR="00C90E3B">
            <w:t>aan de minister</w:t>
          </w:r>
          <w:r w:rsidRPr="004A4633" w:rsidR="00976714">
            <w:t xml:space="preserve">. Dit beperkt </w:t>
          </w:r>
          <w:r w:rsidRPr="004A4633" w:rsidR="00A71BAE">
            <w:t>de waarde van een formeel wettelijke regeling</w:t>
          </w:r>
          <w:r w:rsidRPr="004A4633" w:rsidR="00976714">
            <w:t xml:space="preserve">, nu </w:t>
          </w:r>
          <w:r w:rsidRPr="004A4633" w:rsidR="002C4BEE">
            <w:t xml:space="preserve">de democratische legitimatie slechts </w:t>
          </w:r>
          <w:r w:rsidRPr="004A4633" w:rsidR="00872820">
            <w:t>zie</w:t>
          </w:r>
          <w:r w:rsidR="009E49AC">
            <w:t>t</w:t>
          </w:r>
          <w:r w:rsidRPr="004A4633" w:rsidR="002C4BEE">
            <w:t xml:space="preserve"> op de </w:t>
          </w:r>
          <w:r w:rsidR="009E49AC">
            <w:t xml:space="preserve">toekenning van bevoegdheden </w:t>
          </w:r>
          <w:r w:rsidR="005F71F9">
            <w:t>e</w:t>
          </w:r>
          <w:r w:rsidRPr="004A4633" w:rsidR="00872820">
            <w:t>n</w:t>
          </w:r>
          <w:r w:rsidRPr="004A4633" w:rsidR="002C4BEE">
            <w:t xml:space="preserve"> niet </w:t>
          </w:r>
          <w:r w:rsidR="005F71F9">
            <w:t xml:space="preserve">op </w:t>
          </w:r>
          <w:r w:rsidRPr="004A4633" w:rsidR="002C4BEE">
            <w:t>de inhoudelijke vormgeving van de financiële tegemoetkoming.</w:t>
          </w:r>
        </w:p>
        <w:p w:rsidRPr="004A4633" w:rsidR="00AF70CE" w:rsidP="009E609E" w:rsidRDefault="00AF70CE" w14:paraId="5125A760" w14:textId="77777777"/>
        <w:p w:rsidRPr="004A4633" w:rsidR="007F4C4F" w:rsidP="009E609E" w:rsidRDefault="00C83214" w14:paraId="13630FED" w14:textId="2AE1E17C">
          <w:r>
            <w:t xml:space="preserve">De gekozen </w:t>
          </w:r>
          <w:r w:rsidR="00064666">
            <w:t xml:space="preserve">rechtstreekse </w:t>
          </w:r>
          <w:r w:rsidRPr="004A4633" w:rsidR="008F24A0">
            <w:t>delegatie aan de minister</w:t>
          </w:r>
          <w:r w:rsidR="00B7377C">
            <w:t xml:space="preserve"> strookt ook niet met de Aanwijzingen voor de regelgeving.</w:t>
          </w:r>
          <w:r w:rsidRPr="004A4633" w:rsidR="008F24A0">
            <w:t xml:space="preserve"> </w:t>
          </w:r>
          <w:r w:rsidR="004E7A7B">
            <w:t>De algehele</w:t>
          </w:r>
          <w:r w:rsidRPr="004A4633" w:rsidR="00DE3A03">
            <w:t xml:space="preserve"> </w:t>
          </w:r>
          <w:r w:rsidRPr="004A4633" w:rsidR="00F4249A">
            <w:t xml:space="preserve">uitwerking van een financiële tegemoetkoming vergt inhoudelijke, normatieve keuzes en </w:t>
          </w:r>
          <w:r w:rsidRPr="004A4633" w:rsidR="00BC7B1A">
            <w:t xml:space="preserve">is daarom niet </w:t>
          </w:r>
          <w:r w:rsidRPr="004A4633" w:rsidR="00F4249A">
            <w:t xml:space="preserve">beperkt tot </w:t>
          </w:r>
          <w:r w:rsidRPr="004A4633" w:rsidR="008F24A0">
            <w:t>voorschriften van administratieve aard</w:t>
          </w:r>
          <w:r w:rsidRPr="004A4633" w:rsidR="00F4249A">
            <w:t xml:space="preserve"> of </w:t>
          </w:r>
          <w:r w:rsidRPr="004A4633" w:rsidR="00DE3A03">
            <w:t xml:space="preserve">tot </w:t>
          </w:r>
          <w:r w:rsidRPr="004A4633" w:rsidR="00F4249A">
            <w:t>details.</w:t>
          </w:r>
          <w:r w:rsidRPr="004A4633" w:rsidR="00705404">
            <w:rPr>
              <w:rStyle w:val="Voetnootmarkering"/>
            </w:rPr>
            <w:footnoteReference w:id="18"/>
          </w:r>
          <w:r w:rsidRPr="004A4633" w:rsidR="00F4249A">
            <w:t xml:space="preserve"> </w:t>
          </w:r>
          <w:r w:rsidRPr="004A4633" w:rsidR="00512B13">
            <w:t xml:space="preserve">Weliswaar </w:t>
          </w:r>
          <w:r w:rsidRPr="004A4633" w:rsidR="000E2F1E">
            <w:t xml:space="preserve">volgt uit </w:t>
          </w:r>
          <w:r w:rsidR="00AE6D81">
            <w:t xml:space="preserve">de </w:t>
          </w:r>
          <w:r w:rsidRPr="004A4633" w:rsidR="000E2F1E">
            <w:t>toelichting dat</w:t>
          </w:r>
          <w:r w:rsidRPr="004A4633" w:rsidR="00512B13">
            <w:t xml:space="preserve"> </w:t>
          </w:r>
          <w:r w:rsidR="00864443">
            <w:t>het voorstel</w:t>
          </w:r>
          <w:r w:rsidRPr="004A4633" w:rsidR="000E2F1E">
            <w:t xml:space="preserve"> eerst en vooral </w:t>
          </w:r>
          <w:r w:rsidR="00864443">
            <w:t>beoog</w:t>
          </w:r>
          <w:r w:rsidR="00C75F32">
            <w:t>t</w:t>
          </w:r>
          <w:r w:rsidRPr="004A4633" w:rsidR="000E2F1E">
            <w:t xml:space="preserve"> om bestaande tegemoetkomingsregelingen van een toereikende wettelijke basis te voorzien, maar toekomstige </w:t>
          </w:r>
          <w:r w:rsidR="00B7377C">
            <w:t xml:space="preserve">aanpassingen </w:t>
          </w:r>
          <w:r w:rsidR="00AA7CCF">
            <w:t xml:space="preserve">van deze regelingen en de invoering van </w:t>
          </w:r>
          <w:r w:rsidRPr="004A4633" w:rsidR="000E2F1E">
            <w:t xml:space="preserve">nieuwe regelingen </w:t>
          </w:r>
          <w:r w:rsidRPr="004A4633" w:rsidR="00CC3715">
            <w:t>worden expliciet niet</w:t>
          </w:r>
          <w:r w:rsidRPr="004A4633" w:rsidR="000E2F1E">
            <w:t xml:space="preserve"> uitgesloten</w:t>
          </w:r>
          <w:r w:rsidR="00AA7CCF">
            <w:t xml:space="preserve"> en vallen ook te verwachten</w:t>
          </w:r>
          <w:r w:rsidRPr="004A4633" w:rsidR="000E2F1E">
            <w:t>.</w:t>
          </w:r>
          <w:r w:rsidRPr="004A4633" w:rsidR="00FB07F9">
            <w:t xml:space="preserve"> </w:t>
          </w:r>
        </w:p>
        <w:p w:rsidR="002E4EC4" w:rsidP="009E609E" w:rsidRDefault="002E4EC4" w14:paraId="61C1A5EE" w14:textId="77777777"/>
        <w:p w:rsidRPr="004A4633" w:rsidR="00770910" w:rsidP="009E609E" w:rsidRDefault="002E4EC4" w14:paraId="23A916E3" w14:textId="3E7BA0A1">
          <w:r>
            <w:t xml:space="preserve">Inmiddels is met de bestaande tegemoetkomingsregelingen voldoende ervaring opgedaan om de belangrijkste </w:t>
          </w:r>
          <w:r w:rsidR="00EE4CA3">
            <w:t xml:space="preserve">aspecten hiervan in de wet te </w:t>
          </w:r>
          <w:r w:rsidR="00453ABE">
            <w:t xml:space="preserve">kunnen </w:t>
          </w:r>
          <w:r w:rsidR="00FB1332">
            <w:t>regelen</w:t>
          </w:r>
          <w:r w:rsidR="00E62844">
            <w:t xml:space="preserve">. </w:t>
          </w:r>
          <w:r w:rsidR="00BC5A14">
            <w:t>D</w:t>
          </w:r>
          <w:r w:rsidR="004B4EB2">
            <w:t>i</w:t>
          </w:r>
          <w:r w:rsidR="00BC5A14">
            <w:t xml:space="preserve">t is </w:t>
          </w:r>
          <w:r w:rsidR="001700EF">
            <w:t>temeer</w:t>
          </w:r>
          <w:r w:rsidR="00BC5A14">
            <w:t xml:space="preserve"> wenselijk omdat </w:t>
          </w:r>
          <w:r w:rsidRPr="004A4633" w:rsidR="002F6441">
            <w:t>tussen (eerdere)</w:t>
          </w:r>
          <w:r w:rsidRPr="004A4633" w:rsidR="003E7435">
            <w:t xml:space="preserve"> </w:t>
          </w:r>
          <w:r w:rsidRPr="004A4633" w:rsidR="00183F05">
            <w:t xml:space="preserve">tegemoetkomingsregelingen voor beroepsziekten </w:t>
          </w:r>
          <w:r w:rsidRPr="004A4633" w:rsidR="002F6441">
            <w:t>allerlei</w:t>
          </w:r>
          <w:r w:rsidRPr="004A4633" w:rsidR="005C4D0A">
            <w:t xml:space="preserve"> verschillen bestaan</w:t>
          </w:r>
          <w:r w:rsidRPr="004A4633" w:rsidR="00183F05">
            <w:t xml:space="preserve">, </w:t>
          </w:r>
          <w:r w:rsidRPr="004A4633" w:rsidR="00C1182E">
            <w:t>bijvoorbeeld in</w:t>
          </w:r>
          <w:r w:rsidRPr="004A4633" w:rsidR="00AA2B89">
            <w:t xml:space="preserve"> </w:t>
          </w:r>
          <w:r w:rsidRPr="004A4633" w:rsidR="005C4D0A">
            <w:t xml:space="preserve">de voorwaarden </w:t>
          </w:r>
          <w:r w:rsidRPr="004A4633" w:rsidR="00364261">
            <w:t xml:space="preserve">waaronder aanspraak wordt gemaakt </w:t>
          </w:r>
          <w:r w:rsidRPr="004A4633" w:rsidR="005C4D0A">
            <w:t>op een tegemoetkoming</w:t>
          </w:r>
          <w:r w:rsidRPr="004A4633" w:rsidR="003B0711">
            <w:t xml:space="preserve"> </w:t>
          </w:r>
          <w:r w:rsidRPr="004A4633" w:rsidR="00364261">
            <w:t xml:space="preserve">of in </w:t>
          </w:r>
          <w:r w:rsidRPr="004A4633" w:rsidR="003B0711">
            <w:t>de uitkomst</w:t>
          </w:r>
          <w:r w:rsidRPr="004A4633" w:rsidR="00364261">
            <w:t>en</w:t>
          </w:r>
          <w:r w:rsidRPr="004A4633" w:rsidR="003B0711">
            <w:t xml:space="preserve"> van de regeling</w:t>
          </w:r>
          <w:r w:rsidRPr="004A4633" w:rsidR="005C4D0A">
            <w:t>.</w:t>
          </w:r>
          <w:r w:rsidRPr="004A4633" w:rsidR="00532117">
            <w:rPr>
              <w:rStyle w:val="Voetnootmarkering"/>
            </w:rPr>
            <w:footnoteReference w:id="19"/>
          </w:r>
          <w:r w:rsidRPr="004A4633" w:rsidR="005C4D0A">
            <w:t xml:space="preserve"> D</w:t>
          </w:r>
          <w:r w:rsidR="004B4EB2">
            <w:t>a</w:t>
          </w:r>
          <w:r w:rsidRPr="004A4633" w:rsidR="005C4D0A">
            <w:t xml:space="preserve">t </w:t>
          </w:r>
          <w:r w:rsidR="004B4EB2">
            <w:t>heeft er vooral mee te maken dat</w:t>
          </w:r>
          <w:r w:rsidRPr="004A4633" w:rsidR="00361E61">
            <w:t xml:space="preserve"> </w:t>
          </w:r>
          <w:r w:rsidRPr="004A4633" w:rsidR="00FB7657">
            <w:t xml:space="preserve">er geen vooraf bepaalde </w:t>
          </w:r>
          <w:r w:rsidR="00361E61">
            <w:t xml:space="preserve">(wettelijke) </w:t>
          </w:r>
          <w:r w:rsidRPr="004A4633" w:rsidR="00FB7657">
            <w:t xml:space="preserve">kaders of vereisten </w:t>
          </w:r>
          <w:r w:rsidR="00361E61">
            <w:t xml:space="preserve">zijn </w:t>
          </w:r>
          <w:r w:rsidR="004B4EB2">
            <w:t>voor</w:t>
          </w:r>
          <w:r w:rsidRPr="004A4633" w:rsidR="004B4EB2">
            <w:t xml:space="preserve"> </w:t>
          </w:r>
          <w:r w:rsidRPr="004A4633" w:rsidR="00FB7657">
            <w:t xml:space="preserve">deze regelingen. Het gevolg hiervan is dat </w:t>
          </w:r>
          <w:r w:rsidRPr="004A4633" w:rsidR="00532117">
            <w:t>dat de rechtspositie van de benadeelde partij verschilt per regeling</w:t>
          </w:r>
          <w:r w:rsidRPr="004A4633" w:rsidR="0035406C">
            <w:t xml:space="preserve">. </w:t>
          </w:r>
          <w:r w:rsidRPr="004A4633" w:rsidR="00F03352">
            <w:t xml:space="preserve">Dit kan ongelijkheid en onzekerheid </w:t>
          </w:r>
          <w:r w:rsidRPr="004A4633" w:rsidR="008620DF">
            <w:t xml:space="preserve">onder benadeelden </w:t>
          </w:r>
          <w:r w:rsidRPr="004A4633" w:rsidR="00F03352">
            <w:t>in de hand werken</w:t>
          </w:r>
          <w:r w:rsidRPr="004A4633" w:rsidR="0035406C">
            <w:t>.</w:t>
          </w:r>
        </w:p>
        <w:p w:rsidRPr="004A4633" w:rsidR="0035406C" w:rsidP="009E609E" w:rsidRDefault="0035406C" w14:paraId="6B465042" w14:textId="77777777"/>
        <w:p w:rsidRPr="004A4633" w:rsidR="001634FA" w:rsidP="009E609E" w:rsidRDefault="007375E6" w14:paraId="289CFDAF" w14:textId="73ED3462">
          <w:r w:rsidRPr="004A4633">
            <w:t>Deze knelpunten worden met de voorgestelde grondslag niet ondervangen</w:t>
          </w:r>
          <w:r w:rsidR="00086B9C">
            <w:t xml:space="preserve"> en opgelost</w:t>
          </w:r>
          <w:r w:rsidRPr="004A4633">
            <w:t xml:space="preserve">. </w:t>
          </w:r>
          <w:r w:rsidRPr="004A4633" w:rsidR="00F72C1C">
            <w:t xml:space="preserve">Dit </w:t>
          </w:r>
          <w:proofErr w:type="gramStart"/>
          <w:r w:rsidRPr="004A4633" w:rsidR="00F72C1C">
            <w:t>onderstreept</w:t>
          </w:r>
          <w:proofErr w:type="gramEnd"/>
          <w:r w:rsidRPr="004A4633" w:rsidR="00F72C1C">
            <w:t xml:space="preserve"> </w:t>
          </w:r>
          <w:r w:rsidR="001B09F3">
            <w:t xml:space="preserve">de noodzaak en </w:t>
          </w:r>
          <w:r w:rsidRPr="004A4633" w:rsidR="00F72C1C">
            <w:t xml:space="preserve">het belang </w:t>
          </w:r>
          <w:r w:rsidRPr="004A4633" w:rsidR="00814670">
            <w:t>van een o</w:t>
          </w:r>
          <w:r w:rsidRPr="004A4633">
            <w:t>p wetsniveau</w:t>
          </w:r>
          <w:r w:rsidR="003B235C">
            <w:t xml:space="preserve"> te geven</w:t>
          </w:r>
          <w:r w:rsidRPr="004A4633">
            <w:t xml:space="preserve"> </w:t>
          </w:r>
          <w:r w:rsidRPr="004A4633" w:rsidR="00814670">
            <w:t>nader</w:t>
          </w:r>
          <w:r w:rsidR="003B235C">
            <w:t>e</w:t>
          </w:r>
          <w:r w:rsidRPr="004A4633">
            <w:t xml:space="preserve"> uitwerk</w:t>
          </w:r>
          <w:r w:rsidR="003B235C">
            <w:t>ing</w:t>
          </w:r>
          <w:r w:rsidR="004A01F6">
            <w:t xml:space="preserve"> van een</w:t>
          </w:r>
          <w:r w:rsidRPr="004A4633">
            <w:t xml:space="preserve"> tegemoetkomingsregeling</w:t>
          </w:r>
          <w:r w:rsidRPr="004A4633" w:rsidR="00C211F2">
            <w:t xml:space="preserve"> voor beroepsziekten</w:t>
          </w:r>
          <w:r w:rsidRPr="004A4633" w:rsidR="0040325B">
            <w:t>.</w:t>
          </w:r>
          <w:r w:rsidR="00867198">
            <w:t xml:space="preserve"> </w:t>
          </w:r>
          <w:r w:rsidRPr="004A4633" w:rsidR="00511E70">
            <w:t xml:space="preserve">Niet alleen </w:t>
          </w:r>
          <w:r w:rsidR="004A01F6">
            <w:t>worden</w:t>
          </w:r>
          <w:r w:rsidRPr="004A4633" w:rsidR="00511E70">
            <w:t xml:space="preserve"> de belangrijkste inhoudelijke keuzes </w:t>
          </w:r>
          <w:r w:rsidRPr="004A4633" w:rsidR="00133D03">
            <w:t xml:space="preserve">dan </w:t>
          </w:r>
          <w:r w:rsidR="00264D03">
            <w:t>voluit</w:t>
          </w:r>
          <w:r w:rsidRPr="004A4633" w:rsidR="00264D03">
            <w:t xml:space="preserve"> </w:t>
          </w:r>
          <w:r w:rsidRPr="004A4633" w:rsidR="00133D03">
            <w:t>democratisch gelegitimeerd. Ook</w:t>
          </w:r>
          <w:r w:rsidRPr="004A4633" w:rsidR="0006556F">
            <w:t xml:space="preserve"> </w:t>
          </w:r>
          <w:r w:rsidRPr="004A4633" w:rsidR="00E37F8E">
            <w:t>biedt een uniforme wettelijk</w:t>
          </w:r>
          <w:r w:rsidR="00FA1C61">
            <w:t>e</w:t>
          </w:r>
          <w:r w:rsidRPr="004A4633" w:rsidR="00E37F8E">
            <w:t xml:space="preserve"> </w:t>
          </w:r>
          <w:r w:rsidR="00FA1C61">
            <w:t>tegemoetkomings</w:t>
          </w:r>
          <w:r w:rsidRPr="004A4633" w:rsidR="00E37F8E">
            <w:t xml:space="preserve">regeling </w:t>
          </w:r>
          <w:r w:rsidRPr="004A4633" w:rsidR="00A1640A">
            <w:t xml:space="preserve">meer </w:t>
          </w:r>
          <w:r w:rsidRPr="004A4633" w:rsidR="002B0053">
            <w:t>rechts</w:t>
          </w:r>
          <w:r w:rsidRPr="004A4633" w:rsidR="00CF2909">
            <w:t xml:space="preserve">zekerheid en </w:t>
          </w:r>
          <w:r w:rsidRPr="004A4633" w:rsidR="00C3330D">
            <w:t>rechts</w:t>
          </w:r>
          <w:r w:rsidRPr="004A4633" w:rsidR="00CF2909">
            <w:t>gelijkheid aan gedupeerden</w:t>
          </w:r>
          <w:r w:rsidRPr="004A4633" w:rsidR="00FF73E5">
            <w:t xml:space="preserve">, en </w:t>
          </w:r>
          <w:r w:rsidRPr="004A4633" w:rsidR="00834840">
            <w:t xml:space="preserve">wordt </w:t>
          </w:r>
          <w:r w:rsidRPr="004A4633" w:rsidR="005E0CD3">
            <w:t xml:space="preserve">nieuwe aanwas van </w:t>
          </w:r>
          <w:r w:rsidRPr="004A4633" w:rsidR="00A1640A">
            <w:t xml:space="preserve">ad hoc-regelingen </w:t>
          </w:r>
          <w:r w:rsidRPr="004A4633" w:rsidR="005E0CD3">
            <w:t xml:space="preserve">voorkomen. </w:t>
          </w:r>
          <w:r w:rsidR="0092486D">
            <w:t>Hier</w:t>
          </w:r>
          <w:r w:rsidR="00417FA6">
            <w:t>bij</w:t>
          </w:r>
          <w:r w:rsidR="00ED07FA">
            <w:t xml:space="preserve"> </w:t>
          </w:r>
          <w:r w:rsidR="00F91353">
            <w:t>kan worden geput uit bestaande tegemoetkomingsregelingen.</w:t>
          </w:r>
          <w:r w:rsidR="00F91353">
            <w:rPr>
              <w:rStyle w:val="Voetnootmarkering"/>
            </w:rPr>
            <w:footnoteReference w:id="20"/>
          </w:r>
          <w:r w:rsidR="00F91353">
            <w:t xml:space="preserve"> </w:t>
          </w:r>
          <w:r w:rsidR="00B754B7">
            <w:t xml:space="preserve">Voor zover </w:t>
          </w:r>
          <w:r w:rsidR="0092486D">
            <w:t>op</w:t>
          </w:r>
          <w:r w:rsidR="00B754B7">
            <w:t xml:space="preserve"> onderdelen behoefte bestaat aan meer flexibiliteit, zoals wat betreft de door de regeling bestreken ziekten, is een algemene maatregel van bestuur daarvoor het aangewezen </w:t>
          </w:r>
          <w:r w:rsidR="0096682A">
            <w:t>instrument.</w:t>
          </w:r>
          <w:r w:rsidR="00D473E5">
            <w:t xml:space="preserve"> </w:t>
          </w:r>
        </w:p>
        <w:p w:rsidRPr="004A4633" w:rsidR="0035406C" w:rsidP="009E609E" w:rsidRDefault="0035406C" w14:paraId="10349103" w14:textId="77777777"/>
        <w:p w:rsidRPr="004A4633" w:rsidR="004B147F" w:rsidP="004B147F" w:rsidRDefault="00975F81" w14:paraId="59F8EB44" w14:textId="2C518DA9">
          <w:r>
            <w:lastRenderedPageBreak/>
            <w:t>Meer in het algemeen</w:t>
          </w:r>
          <w:r w:rsidR="0092486D">
            <w:t xml:space="preserve"> </w:t>
          </w:r>
          <w:r w:rsidR="00970118">
            <w:t>geldt</w:t>
          </w:r>
          <w:r w:rsidR="00C87290">
            <w:t xml:space="preserve"> dat</w:t>
          </w:r>
          <w:r w:rsidR="00CB6BA7">
            <w:t xml:space="preserve"> </w:t>
          </w:r>
          <w:r w:rsidR="00B91BF6">
            <w:t>v</w:t>
          </w:r>
          <w:r w:rsidR="007B25BA">
            <w:t xml:space="preserve">oor </w:t>
          </w:r>
          <w:r w:rsidRPr="004A4633" w:rsidR="004B147F">
            <w:t>een structurele verbetering van schadecompensatie bij beroepsziekten andere maatregelen nodig</w:t>
          </w:r>
          <w:r w:rsidR="00B91BF6">
            <w:t xml:space="preserve"> zijn dan een tegemoetkomingsregeling</w:t>
          </w:r>
          <w:r w:rsidRPr="004A4633" w:rsidR="004B147F">
            <w:t xml:space="preserve">. Te denken valt aan een verplichte directe verzekering, al dan niet binnen sectoren waar het risico op beroepsziekten groter is, of </w:t>
          </w:r>
          <w:r w:rsidR="004108AC">
            <w:t xml:space="preserve">aan </w:t>
          </w:r>
          <w:r w:rsidRPr="004A4633" w:rsidR="004B147F">
            <w:t xml:space="preserve">aanpassingen </w:t>
          </w:r>
          <w:r w:rsidR="009C6DF9">
            <w:t>v</w:t>
          </w:r>
          <w:r w:rsidRPr="004A4633" w:rsidR="004B147F">
            <w:t xml:space="preserve">an het aansprakelijkheidsrecht. Het belang van draagvlak </w:t>
          </w:r>
          <w:r w:rsidR="009D5E42">
            <w:t xml:space="preserve">voor zulke maatregelen </w:t>
          </w:r>
          <w:r w:rsidRPr="004A4633" w:rsidR="004B147F">
            <w:t>onder werkgevers dient</w:t>
          </w:r>
          <w:r w:rsidR="004108AC">
            <w:t xml:space="preserve"> hierbij </w:t>
          </w:r>
          <w:r w:rsidRPr="004A4633" w:rsidR="004B147F">
            <w:t xml:space="preserve">afgewogen te worden tegen de knelpunten waar zieke werkenden tegenaan lopen. In de toelichting blijven zulke maatregelen buiten beschouwing. </w:t>
          </w:r>
        </w:p>
        <w:p w:rsidRPr="004A4633" w:rsidR="00395891" w:rsidP="009E609E" w:rsidRDefault="00395891" w14:paraId="1799CC62" w14:textId="77777777"/>
        <w:p w:rsidRPr="004A4633" w:rsidR="00395891" w:rsidP="009E609E" w:rsidRDefault="00395891" w14:paraId="7EB8FA93" w14:textId="7D744F1A">
          <w:r w:rsidRPr="004A4633">
            <w:t xml:space="preserve">De Afdeling adviseert </w:t>
          </w:r>
          <w:r w:rsidRPr="004A4633" w:rsidR="00852C77">
            <w:t>op het niv</w:t>
          </w:r>
          <w:r w:rsidRPr="004A4633" w:rsidR="00154433">
            <w:t>e</w:t>
          </w:r>
          <w:r w:rsidRPr="004A4633" w:rsidR="00852C77">
            <w:t xml:space="preserve">au van de wet te voorzien in een </w:t>
          </w:r>
          <w:r w:rsidR="00FE7D17">
            <w:t>op hoofdlijnen</w:t>
          </w:r>
          <w:r w:rsidRPr="004A4633" w:rsidR="00FE7D17">
            <w:t xml:space="preserve"> </w:t>
          </w:r>
          <w:r w:rsidRPr="004A4633" w:rsidR="00852C77">
            <w:t>uitgewerkte tegemoetkomingsregeling</w:t>
          </w:r>
          <w:r w:rsidR="00A44C6A">
            <w:t xml:space="preserve"> voor beroepsziekten</w:t>
          </w:r>
          <w:r w:rsidR="00BC29D7">
            <w:t xml:space="preserve"> </w:t>
          </w:r>
          <w:r w:rsidR="00DC680D">
            <w:t xml:space="preserve">en </w:t>
          </w:r>
          <w:r w:rsidR="00C80354">
            <w:t>deze nader uit te werken b</w:t>
          </w:r>
          <w:r w:rsidR="00C50A41">
            <w:t>ij algemene maatregel van bestuur</w:t>
          </w:r>
          <w:r w:rsidRPr="004A4633" w:rsidR="00154433">
            <w:t xml:space="preserve">. </w:t>
          </w:r>
          <w:r w:rsidR="003E7541">
            <w:t xml:space="preserve">Daarnaast </w:t>
          </w:r>
          <w:r w:rsidR="004108AC">
            <w:t>adviseert zi</w:t>
          </w:r>
          <w:r w:rsidR="00747CED">
            <w:t xml:space="preserve">j in de toelichting in te gaan op maatregelen die getroffen kunnen worden om de </w:t>
          </w:r>
          <w:r w:rsidR="00C75F32">
            <w:t xml:space="preserve">vergoeding </w:t>
          </w:r>
          <w:r w:rsidR="00AC2D28">
            <w:t>van schade als gevolg van</w:t>
          </w:r>
          <w:r w:rsidR="00747CED">
            <w:t xml:space="preserve"> beroepsziekten structureel te verbeteren.</w:t>
          </w:r>
        </w:p>
        <w:p w:rsidRPr="004A4633" w:rsidR="009E609E" w:rsidP="009E609E" w:rsidRDefault="009E609E" w14:paraId="6E576409" w14:textId="77777777"/>
        <w:p w:rsidRPr="004A4633" w:rsidR="009E609E" w:rsidP="009E609E" w:rsidRDefault="009E609E" w14:paraId="29A5AD53" w14:textId="2DF5E2E1">
          <w:r w:rsidRPr="004A4633">
            <w:t xml:space="preserve">c. </w:t>
          </w:r>
          <w:r w:rsidRPr="004A4633">
            <w:tab/>
          </w:r>
          <w:r w:rsidR="004D6F3F">
            <w:rPr>
              <w:i/>
              <w:iCs/>
            </w:rPr>
            <w:t>Financiering</w:t>
          </w:r>
          <w:r w:rsidR="0088394F">
            <w:rPr>
              <w:i/>
              <w:iCs/>
            </w:rPr>
            <w:t>, uitvoering</w:t>
          </w:r>
          <w:r w:rsidR="007C7684">
            <w:rPr>
              <w:i/>
              <w:iCs/>
            </w:rPr>
            <w:t xml:space="preserve"> en </w:t>
          </w:r>
          <w:r w:rsidR="004D6F3F">
            <w:rPr>
              <w:i/>
              <w:iCs/>
            </w:rPr>
            <w:t>inpassing in het wettelijk stelsel</w:t>
          </w:r>
        </w:p>
        <w:p w:rsidR="00C90634" w:rsidP="009D57AB" w:rsidRDefault="00C90634" w14:paraId="127B5F30" w14:textId="22AF1F2C">
          <w:r w:rsidRPr="00C90634">
            <w:t>De</w:t>
          </w:r>
          <w:r w:rsidR="00F05A93">
            <w:t xml:space="preserve"> werkgever dan wel opdrachtgever is</w:t>
          </w:r>
          <w:r w:rsidRPr="00C90634">
            <w:t xml:space="preserve"> verantwoordelijk voor gezonde en veilige arbeidsomstandighede</w:t>
          </w:r>
          <w:r w:rsidR="00F05A93">
            <w:t xml:space="preserve">n. </w:t>
          </w:r>
          <w:r w:rsidR="00180F2A">
            <w:t>Zoals ook de toelichting opmerkt, doet e</w:t>
          </w:r>
          <w:r w:rsidR="00F05A93">
            <w:t>e</w:t>
          </w:r>
          <w:r w:rsidRPr="00C90634">
            <w:t xml:space="preserve">n tegemoetkomingsregeling </w:t>
          </w:r>
          <w:r w:rsidR="00F05A93">
            <w:t>aan deze verantwoordelijkheid</w:t>
          </w:r>
          <w:r w:rsidRPr="00C90634">
            <w:t xml:space="preserve"> niets af.</w:t>
          </w:r>
          <w:r w:rsidR="00180F2A">
            <w:rPr>
              <w:rStyle w:val="Voetnootmarkering"/>
            </w:rPr>
            <w:footnoteReference w:id="21"/>
          </w:r>
          <w:r w:rsidRPr="00C90634">
            <w:t xml:space="preserve"> </w:t>
          </w:r>
          <w:r w:rsidR="00DC1D88">
            <w:t>W</w:t>
          </w:r>
          <w:r w:rsidRPr="00C90634">
            <w:t xml:space="preserve">erkgevers en opdrachtgevers </w:t>
          </w:r>
          <w:r w:rsidR="00DC1D88">
            <w:t>moeten zich blijven</w:t>
          </w:r>
          <w:r w:rsidRPr="00C90634">
            <w:t xml:space="preserve"> inspannen voor goede arbeidsomstandigheden.</w:t>
          </w:r>
          <w:r w:rsidR="00CF34DC">
            <w:t xml:space="preserve"> </w:t>
          </w:r>
          <w:r w:rsidR="00DC1D88">
            <w:t>Als w</w:t>
          </w:r>
          <w:r w:rsidRPr="00C90634">
            <w:t>erkgevers en opdrachtgevers hun zorgplicht niet nakomen</w:t>
          </w:r>
          <w:r w:rsidR="00CF34DC">
            <w:t>,</w:t>
          </w:r>
          <w:r w:rsidRPr="00C90634">
            <w:t xml:space="preserve"> </w:t>
          </w:r>
          <w:r w:rsidR="00794C64">
            <w:t xml:space="preserve">zijn </w:t>
          </w:r>
          <w:r w:rsidR="00DC1D88">
            <w:t xml:space="preserve">zij </w:t>
          </w:r>
          <w:r w:rsidR="00CF34DC">
            <w:t xml:space="preserve">in beginsel </w:t>
          </w:r>
          <w:r w:rsidRPr="00C90634">
            <w:t>aansprakelijk voor de schade</w:t>
          </w:r>
          <w:r w:rsidR="003F24CB">
            <w:t xml:space="preserve">. </w:t>
          </w:r>
        </w:p>
        <w:p w:rsidR="00C90634" w:rsidP="009D57AB" w:rsidRDefault="00C90634" w14:paraId="71FD97EE" w14:textId="77777777"/>
        <w:p w:rsidR="00664CDC" w:rsidP="009D57AB" w:rsidRDefault="00797BE0" w14:paraId="123CDE4A" w14:textId="7DB5455F">
          <w:r>
            <w:t>Gelet op deze verantwoordelijkheid van de werkgever</w:t>
          </w:r>
          <w:r w:rsidR="00FB12F8">
            <w:t xml:space="preserve"> of </w:t>
          </w:r>
          <w:r>
            <w:t xml:space="preserve">opdrachtgever acht de Afdeling </w:t>
          </w:r>
          <w:r w:rsidR="00B01F29">
            <w:t xml:space="preserve">het </w:t>
          </w:r>
          <w:r w:rsidR="00423F53">
            <w:t>van belang da</w:t>
          </w:r>
          <w:r w:rsidR="004A0703">
            <w:t xml:space="preserve">t </w:t>
          </w:r>
          <w:r w:rsidR="005F78A4">
            <w:t xml:space="preserve">de </w:t>
          </w:r>
          <w:r w:rsidR="004A0703">
            <w:t xml:space="preserve">tegemoetkomingen </w:t>
          </w:r>
          <w:r w:rsidR="004424F1">
            <w:t xml:space="preserve">voor beroepsziekten </w:t>
          </w:r>
          <w:r w:rsidR="00F31474">
            <w:t>ten minste gedeeltelijk worden gefinancierd</w:t>
          </w:r>
          <w:r w:rsidR="00423F53">
            <w:t xml:space="preserve"> door werkgevers en opdrachtgevers gezamenlijk.</w:t>
          </w:r>
          <w:r w:rsidR="007D3C55">
            <w:t xml:space="preserve"> </w:t>
          </w:r>
          <w:r w:rsidR="004450CE">
            <w:t xml:space="preserve">Dit aandeel </w:t>
          </w:r>
          <w:r w:rsidR="00D37E60">
            <w:t>zou kunnen</w:t>
          </w:r>
          <w:r w:rsidR="004450CE">
            <w:t xml:space="preserve"> verschillen per beroepsziekte waarvoor een tegemoetkoming wordt verstrekt. </w:t>
          </w:r>
          <w:r w:rsidR="00E23E89">
            <w:t xml:space="preserve">Ook de commissie VSAB adviseerde om </w:t>
          </w:r>
          <w:r w:rsidR="008E629E">
            <w:t xml:space="preserve">werkgevers te laten meebetalen aan het fonds </w:t>
          </w:r>
          <w:r w:rsidR="009D556B">
            <w:t xml:space="preserve">voor de uitvoering en financiering van de tegemoetkomingsregeling </w:t>
          </w:r>
          <w:r w:rsidR="00D37E60">
            <w:t>opgericht</w:t>
          </w:r>
          <w:r w:rsidR="009D556B">
            <w:t xml:space="preserve"> zou moeten worden.</w:t>
          </w:r>
          <w:r w:rsidRPr="004A4633" w:rsidR="009D556B">
            <w:rPr>
              <w:rStyle w:val="Voetnootmarkering"/>
            </w:rPr>
            <w:footnoteReference w:id="22"/>
          </w:r>
          <w:r w:rsidR="004424F1">
            <w:t xml:space="preserve"> </w:t>
          </w:r>
        </w:p>
        <w:p w:rsidR="009D57AB" w:rsidP="001A3CD4" w:rsidRDefault="009D57AB" w14:paraId="7B04D999" w14:textId="77777777"/>
        <w:p w:rsidR="00626620" w:rsidP="00EB7D59" w:rsidRDefault="004445ED" w14:paraId="66412B03" w14:textId="34E104C1">
          <w:r w:rsidRPr="004A4633">
            <w:t xml:space="preserve">De Afdeling merkt op dat </w:t>
          </w:r>
          <w:r w:rsidRPr="004A4633" w:rsidR="00224BD0">
            <w:t>de</w:t>
          </w:r>
          <w:r w:rsidRPr="004A4633" w:rsidR="002F7479">
            <w:t xml:space="preserve"> </w:t>
          </w:r>
          <w:r w:rsidR="00FB12F8">
            <w:t xml:space="preserve">financiering en </w:t>
          </w:r>
          <w:r w:rsidR="0088394F">
            <w:t xml:space="preserve">uitvoering </w:t>
          </w:r>
          <w:r w:rsidRPr="004A4633" w:rsidR="002F7479">
            <w:t xml:space="preserve">van de tegemoetkomingen </w:t>
          </w:r>
          <w:r w:rsidRPr="004A4633" w:rsidR="008A2564">
            <w:t>niet wordt geregeld in dit voorstel</w:t>
          </w:r>
          <w:r w:rsidRPr="004A4633" w:rsidR="006F7CED">
            <w:t>.</w:t>
          </w:r>
          <w:r w:rsidRPr="004A4633" w:rsidR="008A2564">
            <w:t xml:space="preserve"> </w:t>
          </w:r>
          <w:r w:rsidR="002619DF">
            <w:t xml:space="preserve">De toelichting verschaft hier geen informatie over, anders dan door verwijzing naar de bestaande regelingen en </w:t>
          </w:r>
          <w:r w:rsidR="00F702CD">
            <w:t>later te nemen beslissingen van de minister. Het gaat hier echter om wezenlijke elementen van een tegemoetkomingsregeling</w:t>
          </w:r>
          <w:r w:rsidR="00820390">
            <w:t>, die</w:t>
          </w:r>
          <w:r w:rsidR="008F0F8C">
            <w:t xml:space="preserve"> daarom</w:t>
          </w:r>
          <w:r w:rsidR="00820390">
            <w:t xml:space="preserve"> op wettelijk niveau geregeld dienen te worden. </w:t>
          </w:r>
          <w:r w:rsidR="00A528E3">
            <w:t xml:space="preserve">Daarbij is </w:t>
          </w:r>
          <w:r w:rsidR="008152FA">
            <w:t>ook aandacht nodig voor de</w:t>
          </w:r>
          <w:r w:rsidR="008B4C32">
            <w:t xml:space="preserve"> </w:t>
          </w:r>
          <w:r w:rsidR="00336FDE">
            <w:t xml:space="preserve">rol van de werkgevers en opdrachtgevers </w:t>
          </w:r>
          <w:r w:rsidR="008B4C32">
            <w:t>bij de financiering van de tegemoetkomingen</w:t>
          </w:r>
          <w:r w:rsidR="008152FA">
            <w:t>.</w:t>
          </w:r>
          <w:r w:rsidR="008B4C32">
            <w:t xml:space="preserve"> </w:t>
          </w:r>
        </w:p>
        <w:p w:rsidR="00626620" w:rsidP="008918F0" w:rsidRDefault="00626620" w14:paraId="6A4127DA" w14:textId="77777777"/>
        <w:p w:rsidRPr="004A4633" w:rsidR="008918F0" w:rsidP="008918F0" w:rsidRDefault="00B30946" w14:paraId="1EA17EF1" w14:textId="280B3341">
          <w:r>
            <w:t xml:space="preserve">In het verlengde hiervan </w:t>
          </w:r>
          <w:r w:rsidR="00B26E59">
            <w:t>merkt de Afdeling op dat</w:t>
          </w:r>
          <w:r>
            <w:t xml:space="preserve"> keuze voor regeling</w:t>
          </w:r>
          <w:r w:rsidRPr="004A4633" w:rsidR="00626620">
            <w:t xml:space="preserve"> in de Arbeidsomstandighedenwet</w:t>
          </w:r>
          <w:r>
            <w:t xml:space="preserve"> </w:t>
          </w:r>
          <w:r w:rsidRPr="004A4633" w:rsidR="00626620">
            <w:t xml:space="preserve">niet </w:t>
          </w:r>
          <w:r w:rsidR="00B26E59">
            <w:t xml:space="preserve">wordt </w:t>
          </w:r>
          <w:r w:rsidRPr="004A4633" w:rsidR="00626620">
            <w:t>gemotiveerd in de toelichting.</w:t>
          </w:r>
          <w:r w:rsidR="00626620">
            <w:t xml:space="preserve"> </w:t>
          </w:r>
          <w:r w:rsidR="00B26E59">
            <w:t>Zij</w:t>
          </w:r>
          <w:r w:rsidR="00626620">
            <w:t xml:space="preserve"> wijst </w:t>
          </w:r>
          <w:proofErr w:type="gramStart"/>
          <w:r w:rsidR="00626620">
            <w:t>er op</w:t>
          </w:r>
          <w:proofErr w:type="gramEnd"/>
          <w:r w:rsidR="00626620">
            <w:t xml:space="preserve"> dat </w:t>
          </w:r>
          <w:r w:rsidR="006B7E65">
            <w:t>een</w:t>
          </w:r>
          <w:r w:rsidR="00626620">
            <w:t xml:space="preserve"> </w:t>
          </w:r>
          <w:r w:rsidR="007C07B0">
            <w:t xml:space="preserve">regeling </w:t>
          </w:r>
          <w:r w:rsidR="007776A6">
            <w:t xml:space="preserve">voor </w:t>
          </w:r>
          <w:r w:rsidR="007C07B0">
            <w:t xml:space="preserve">een door de overheid verschafte </w:t>
          </w:r>
          <w:r w:rsidR="00626620">
            <w:t>tegemoetkoming</w:t>
          </w:r>
          <w:r w:rsidR="007C07B0">
            <w:t xml:space="preserve"> </w:t>
          </w:r>
          <w:r w:rsidR="006B7E65">
            <w:t>voor</w:t>
          </w:r>
          <w:r w:rsidR="00626620">
            <w:t xml:space="preserve"> beroepsziekten </w:t>
          </w:r>
          <w:r w:rsidR="004B739A">
            <w:t xml:space="preserve">raakvlakken </w:t>
          </w:r>
          <w:r w:rsidR="00496F02">
            <w:t>vertoont</w:t>
          </w:r>
          <w:r w:rsidR="004B739A">
            <w:t xml:space="preserve"> met</w:t>
          </w:r>
          <w:r w:rsidR="00626620">
            <w:t xml:space="preserve"> de regeling van uitkeringen bij </w:t>
          </w:r>
          <w:r w:rsidR="00626620">
            <w:lastRenderedPageBreak/>
            <w:t xml:space="preserve">arbeidsongeschiktheid in het kader van de sociale zekerheid. </w:t>
          </w:r>
          <w:r w:rsidR="00F23A63">
            <w:t xml:space="preserve">Daarentegen </w:t>
          </w:r>
          <w:r w:rsidR="005F6711">
            <w:t xml:space="preserve">ziet </w:t>
          </w:r>
          <w:r w:rsidR="00F23A63">
            <w:t xml:space="preserve">de </w:t>
          </w:r>
          <w:r w:rsidR="005F6711">
            <w:t>Arbeidsomstandighedenwet primair op het bevorderen van</w:t>
          </w:r>
          <w:r w:rsidR="00B10565">
            <w:t xml:space="preserve"> </w:t>
          </w:r>
          <w:r w:rsidR="005F6711">
            <w:t>veil</w:t>
          </w:r>
          <w:r w:rsidR="00B10565">
            <w:t>i</w:t>
          </w:r>
          <w:r w:rsidR="005F6711">
            <w:t>ghe</w:t>
          </w:r>
          <w:r w:rsidR="00B10565">
            <w:t>i</w:t>
          </w:r>
          <w:r w:rsidR="005F6711">
            <w:t xml:space="preserve">d en gezondheid binnen ondernemingen. </w:t>
          </w:r>
          <w:r w:rsidR="00622AC1">
            <w:t>I</w:t>
          </w:r>
          <w:r w:rsidR="00E30923">
            <w:t xml:space="preserve">npassing </w:t>
          </w:r>
          <w:r w:rsidR="007776A6">
            <w:t xml:space="preserve">van de regeling </w:t>
          </w:r>
          <w:r w:rsidR="00626620">
            <w:t xml:space="preserve">in de Wet WIA </w:t>
          </w:r>
          <w:r w:rsidR="007776A6">
            <w:t>kan daarom</w:t>
          </w:r>
          <w:r w:rsidR="00526199">
            <w:t xml:space="preserve"> </w:t>
          </w:r>
          <w:r w:rsidR="00602365">
            <w:t xml:space="preserve">ook </w:t>
          </w:r>
          <w:r w:rsidR="00626620">
            <w:t>in de rede liggen.</w:t>
          </w:r>
          <w:r w:rsidR="00622AC1">
            <w:rPr>
              <w:rStyle w:val="Voetnootmarkering"/>
            </w:rPr>
            <w:footnoteReference w:id="23"/>
          </w:r>
        </w:p>
        <w:p w:rsidRPr="004A4633" w:rsidR="00D45D9E" w:rsidP="008918F0" w:rsidRDefault="00D45D9E" w14:paraId="39AFCD98" w14:textId="77777777"/>
        <w:p w:rsidRPr="004A4633" w:rsidR="00D45D9E" w:rsidP="008918F0" w:rsidRDefault="00D45D9E" w14:paraId="28107F92" w14:textId="4CA3009D">
          <w:r w:rsidRPr="004A4633">
            <w:t xml:space="preserve">De Afdeling adviseert </w:t>
          </w:r>
          <w:r w:rsidR="007213CB">
            <w:t xml:space="preserve">de </w:t>
          </w:r>
          <w:r w:rsidR="00867ADB">
            <w:t>financiering</w:t>
          </w:r>
          <w:r w:rsidR="007213CB">
            <w:t xml:space="preserve"> van de tegemoetkomingen, en de rol van werkgevers en opdrachtgevers daarbij, op wettelijk niveau te regelen. </w:t>
          </w:r>
          <w:r w:rsidR="00BC6A5F">
            <w:t xml:space="preserve">Daarnaast adviseert zij </w:t>
          </w:r>
          <w:r w:rsidR="00C767B9">
            <w:t>o</w:t>
          </w:r>
          <w:r w:rsidR="006F1B1C">
            <w:t>m,</w:t>
          </w:r>
          <w:r w:rsidR="00C767B9">
            <w:t xml:space="preserve"> gelet op bovenstaande</w:t>
          </w:r>
          <w:r w:rsidR="006F1B1C">
            <w:t>,</w:t>
          </w:r>
          <w:r w:rsidR="00DD5314">
            <w:t xml:space="preserve"> </w:t>
          </w:r>
          <w:r w:rsidRPr="004A4633" w:rsidR="0065287F">
            <w:t xml:space="preserve">de keuze voor </w:t>
          </w:r>
          <w:r w:rsidR="00883D8C">
            <w:t xml:space="preserve">regeling van een tegemoetkoming </w:t>
          </w:r>
          <w:r w:rsidR="00E810F3">
            <w:t xml:space="preserve">voor beroepsziekten </w:t>
          </w:r>
          <w:r w:rsidRPr="004A4633" w:rsidR="00DD5314">
            <w:t>in de Arbeidsomstandigheden</w:t>
          </w:r>
          <w:r w:rsidR="00DD5314">
            <w:t>wet</w:t>
          </w:r>
          <w:r w:rsidRPr="004A4633" w:rsidR="00DD5314">
            <w:t xml:space="preserve"> nader te </w:t>
          </w:r>
          <w:r w:rsidR="00C767B9">
            <w:t>motiveren</w:t>
          </w:r>
          <w:r w:rsidR="003834A7">
            <w:t>.</w:t>
          </w:r>
        </w:p>
        <w:p w:rsidRPr="004A4633" w:rsidR="009E609E" w:rsidP="009E609E" w:rsidRDefault="009E609E" w14:paraId="2458F073" w14:textId="77777777"/>
        <w:p w:rsidRPr="004A4633" w:rsidR="009E609E" w:rsidP="009E609E" w:rsidRDefault="009E609E" w14:paraId="030D3EF4" w14:textId="396D684D">
          <w:pPr>
            <w:rPr>
              <w:u w:val="single"/>
            </w:rPr>
          </w:pPr>
          <w:r w:rsidRPr="004A4633">
            <w:t xml:space="preserve">3. </w:t>
          </w:r>
          <w:r w:rsidRPr="004A4633">
            <w:tab/>
          </w:r>
          <w:r w:rsidRPr="004A4633">
            <w:rPr>
              <w:u w:val="single"/>
            </w:rPr>
            <w:t>Definitie beroepsziekte</w:t>
          </w:r>
        </w:p>
        <w:p w:rsidRPr="004A4633" w:rsidR="00914A5B" w:rsidP="009E609E" w:rsidRDefault="00914A5B" w14:paraId="405B73BF" w14:textId="60A3E58B"/>
        <w:p w:rsidRPr="004A4633" w:rsidR="005B0BE8" w:rsidP="009E609E" w:rsidRDefault="007F48FE" w14:paraId="676D474F" w14:textId="4ED5BECD">
          <w:r w:rsidRPr="004A4633">
            <w:t xml:space="preserve">Het voorstel </w:t>
          </w:r>
          <w:r w:rsidR="003816D4">
            <w:t xml:space="preserve">definieert een beroepsziekte </w:t>
          </w:r>
          <w:r w:rsidRPr="004A4633" w:rsidR="003816D4">
            <w:t>als een ziekte of aandoening als gevolg van een belasting die in overwegende mate in arbeid of arbeidsomstandigheden heeft plaatsgevonden</w:t>
          </w:r>
          <w:r w:rsidRPr="004A4633">
            <w:t>.</w:t>
          </w:r>
          <w:r w:rsidRPr="004A4633" w:rsidR="00067F6D">
            <w:rPr>
              <w:rStyle w:val="Voetnootmarkering"/>
            </w:rPr>
            <w:footnoteReference w:id="24"/>
          </w:r>
          <w:r w:rsidRPr="004A4633">
            <w:t xml:space="preserve"> Deze definitie </w:t>
          </w:r>
          <w:r w:rsidR="00DE7262">
            <w:t>is</w:t>
          </w:r>
          <w:r w:rsidRPr="004A4633" w:rsidR="00DE7262">
            <w:t xml:space="preserve"> </w:t>
          </w:r>
          <w:r w:rsidRPr="004A4633">
            <w:t xml:space="preserve">ontleend aan de definitie van beroepsziekte </w:t>
          </w:r>
          <w:r w:rsidRPr="004A4633" w:rsidR="00255D0E">
            <w:t>in de Arbeidsomstandighedenregeling</w:t>
          </w:r>
          <w:r w:rsidR="00DC4583">
            <w:t xml:space="preserve">. Daar wordt de definitie gebruikt </w:t>
          </w:r>
          <w:r w:rsidR="001D0E30">
            <w:t xml:space="preserve">om </w:t>
          </w:r>
          <w:r w:rsidR="008002BC">
            <w:t xml:space="preserve">af te bakenen </w:t>
          </w:r>
          <w:r w:rsidR="004C2A4C">
            <w:t xml:space="preserve">in welke </w:t>
          </w:r>
          <w:r w:rsidR="009B1DB1">
            <w:t>gevallen</w:t>
          </w:r>
          <w:r w:rsidR="00DC4583">
            <w:t xml:space="preserve"> een bedrijfsarts of arbodienst </w:t>
          </w:r>
          <w:r w:rsidR="009B1DB1">
            <w:t xml:space="preserve">melding </w:t>
          </w:r>
          <w:r w:rsidR="00DC4583">
            <w:t>moet doen</w:t>
          </w:r>
          <w:r w:rsidR="009B1DB1">
            <w:t xml:space="preserve"> van een beroepsziekte</w:t>
          </w:r>
          <w:r w:rsidR="00DC4583">
            <w:t xml:space="preserve"> </w:t>
          </w:r>
          <w:r w:rsidR="00CE6B6C">
            <w:t>aan het Nederlands Centrum voor Beroepsziekten</w:t>
          </w:r>
          <w:r w:rsidR="009B1DB1">
            <w:t>.</w:t>
          </w:r>
          <w:r w:rsidR="009B1DB1">
            <w:rPr>
              <w:rStyle w:val="Voetnootmarkering"/>
            </w:rPr>
            <w:footnoteReference w:id="25"/>
          </w:r>
          <w:r w:rsidR="00CE6B6C">
            <w:t xml:space="preserve"> </w:t>
          </w:r>
        </w:p>
        <w:p w:rsidRPr="004A4633" w:rsidR="005B0BE8" w:rsidP="009E609E" w:rsidRDefault="005B0BE8" w14:paraId="013D8520" w14:textId="77777777"/>
        <w:p w:rsidR="00D00420" w:rsidP="009E609E" w:rsidRDefault="0054205A" w14:paraId="6BC80CBC" w14:textId="47760F1A">
          <w:r w:rsidRPr="004A4633">
            <w:t xml:space="preserve">De Afdeling merkt op </w:t>
          </w:r>
          <w:r w:rsidR="004E58B0">
            <w:t xml:space="preserve">dat in de Regeling tegemoetkoming stoffengerelateerde beroepsziekten een beroepsziekte wordt gedefinieerd als een ernstige aandoening die vermeld is op </w:t>
          </w:r>
          <w:r w:rsidR="00EE2B6D">
            <w:t>bij deze regeling behorende Lijst beroepsziekten</w:t>
          </w:r>
          <w:r w:rsidR="00A24DD9">
            <w:t>.</w:t>
          </w:r>
          <w:r w:rsidR="00A24DD9">
            <w:rPr>
              <w:rStyle w:val="Voetnootmarkering"/>
            </w:rPr>
            <w:footnoteReference w:id="26"/>
          </w:r>
          <w:r w:rsidR="00D00420">
            <w:t xml:space="preserve"> </w:t>
          </w:r>
          <w:r w:rsidR="00BE6CC2">
            <w:t xml:space="preserve">In </w:t>
          </w:r>
          <w:r w:rsidR="000B51E1">
            <w:t xml:space="preserve">lijn met het advies van de commissie VSAB is </w:t>
          </w:r>
          <w:r w:rsidR="006D3CD5">
            <w:t xml:space="preserve">in </w:t>
          </w:r>
          <w:r w:rsidR="00BE6CC2">
            <w:t xml:space="preserve">deze regeling </w:t>
          </w:r>
          <w:r w:rsidR="00234117">
            <w:t xml:space="preserve">verder een van de voorwaarden </w:t>
          </w:r>
          <w:r w:rsidR="00BE6CC2">
            <w:t xml:space="preserve">voor </w:t>
          </w:r>
          <w:r w:rsidR="00286D0C">
            <w:t xml:space="preserve">de aanspraak op </w:t>
          </w:r>
          <w:r w:rsidR="00BE6CC2">
            <w:t>een tegemoetkoming</w:t>
          </w:r>
          <w:r w:rsidR="00BD0D21">
            <w:t xml:space="preserve"> dat voo</w:t>
          </w:r>
          <w:r w:rsidRPr="00BD0D21" w:rsidR="00BD0D21">
            <w:t>rshands aannemelijk is dat de ernstige aandoening in het geval van de aanvrager het gevolg is van blootstelling aan één of meer gevaarlijke stoffen bij het verrichten van de arbeid</w:t>
          </w:r>
          <w:r w:rsidRPr="00D00420" w:rsidR="00D00420">
            <w:t>.</w:t>
          </w:r>
          <w:r w:rsidR="00BE6CC2">
            <w:rPr>
              <w:rStyle w:val="Voetnootmarkering"/>
            </w:rPr>
            <w:footnoteReference w:id="27"/>
          </w:r>
          <w:r w:rsidR="00D00420">
            <w:t xml:space="preserve"> </w:t>
          </w:r>
        </w:p>
        <w:p w:rsidR="00D00420" w:rsidP="009E609E" w:rsidRDefault="00D00420" w14:paraId="4A14665F" w14:textId="77777777"/>
        <w:p w:rsidRPr="004A4633" w:rsidR="00FE5224" w:rsidP="009E609E" w:rsidRDefault="004D7FF5" w14:paraId="0C389AC1" w14:textId="2A927C4E">
          <w:r>
            <w:t>I</w:t>
          </w:r>
          <w:r w:rsidRPr="004A4633" w:rsidR="007631BB">
            <w:t>n</w:t>
          </w:r>
          <w:r w:rsidRPr="004A4633" w:rsidR="00E0305E">
            <w:t xml:space="preserve"> de toelichting wordt </w:t>
          </w:r>
          <w:r>
            <w:t xml:space="preserve">niet </w:t>
          </w:r>
          <w:r w:rsidRPr="004A4633" w:rsidR="00E0305E">
            <w:t xml:space="preserve">ingegaan op </w:t>
          </w:r>
          <w:r w:rsidR="00D745BE">
            <w:t xml:space="preserve">de vraag </w:t>
          </w:r>
          <w:r w:rsidR="00BD3413">
            <w:t xml:space="preserve">hoe </w:t>
          </w:r>
          <w:r w:rsidRPr="004A4633" w:rsidR="00E0305E">
            <w:t xml:space="preserve">de voorgestelde </w:t>
          </w:r>
          <w:r w:rsidR="009E5CAA">
            <w:t xml:space="preserve">wettelijke </w:t>
          </w:r>
          <w:r w:rsidRPr="004A4633" w:rsidR="00E0305E">
            <w:t xml:space="preserve">definitie </w:t>
          </w:r>
          <w:r w:rsidR="00BD3413">
            <w:t>zich verhoudt tot</w:t>
          </w:r>
          <w:r w:rsidRPr="004A4633" w:rsidR="00BD3413">
            <w:t xml:space="preserve"> </w:t>
          </w:r>
          <w:r w:rsidRPr="004A4633" w:rsidR="00E0305E">
            <w:t xml:space="preserve">andere </w:t>
          </w:r>
          <w:r w:rsidR="007961C4">
            <w:t xml:space="preserve">gehanteerde </w:t>
          </w:r>
          <w:r w:rsidRPr="004A4633" w:rsidR="00E0305E">
            <w:t xml:space="preserve">definities </w:t>
          </w:r>
          <w:r>
            <w:t>van beroepsziekte</w:t>
          </w:r>
          <w:r w:rsidRPr="004A4633" w:rsidR="00D34320">
            <w:t xml:space="preserve">. </w:t>
          </w:r>
          <w:r w:rsidR="00206048">
            <w:t xml:space="preserve">Voor de praktijk is </w:t>
          </w:r>
          <w:r w:rsidR="00964DA7">
            <w:t>een uniforme en helder afgebakende definitie</w:t>
          </w:r>
          <w:r w:rsidR="000F06CB">
            <w:t>, die passend is voor alle gevallen waarop zij van toepassing is,</w:t>
          </w:r>
          <w:r w:rsidR="00964DA7">
            <w:t xml:space="preserve"> van groot belang. </w:t>
          </w:r>
          <w:r w:rsidRPr="004A4633" w:rsidR="00D34320">
            <w:t>Omdat de definitie van beroepsziekt</w:t>
          </w:r>
          <w:r w:rsidRPr="004A4633" w:rsidR="00C77F45">
            <w:t>e</w:t>
          </w:r>
          <w:r w:rsidRPr="004A4633" w:rsidR="00D34320">
            <w:t xml:space="preserve"> </w:t>
          </w:r>
          <w:proofErr w:type="gramStart"/>
          <w:r w:rsidRPr="004A4633" w:rsidR="00D34320">
            <w:t>mede bepalend</w:t>
          </w:r>
          <w:proofErr w:type="gramEnd"/>
          <w:r w:rsidRPr="004A4633" w:rsidR="00D34320">
            <w:t xml:space="preserve"> is voor de toekenning van een tegemoetkoming, </w:t>
          </w:r>
          <w:r w:rsidRPr="004A4633" w:rsidR="00C77F45">
            <w:t xml:space="preserve">is ook </w:t>
          </w:r>
          <w:r w:rsidR="00834DCF">
            <w:t xml:space="preserve">aandacht nodig </w:t>
          </w:r>
          <w:r w:rsidR="00514AE0">
            <w:t>voor</w:t>
          </w:r>
          <w:r w:rsidRPr="004A4633" w:rsidR="00C77F45">
            <w:t xml:space="preserve"> </w:t>
          </w:r>
          <w:r w:rsidRPr="004A4633" w:rsidR="00914343">
            <w:t xml:space="preserve">de </w:t>
          </w:r>
          <w:r w:rsidRPr="004A4633" w:rsidR="00C77F45">
            <w:t>gevolgen</w:t>
          </w:r>
          <w:r w:rsidR="00514AE0">
            <w:t xml:space="preserve"> die </w:t>
          </w:r>
          <w:r w:rsidR="00634CAE">
            <w:t xml:space="preserve">eventuele </w:t>
          </w:r>
          <w:r w:rsidR="00514AE0">
            <w:t xml:space="preserve">verschillen in definities </w:t>
          </w:r>
          <w:r w:rsidR="00286D0C">
            <w:t xml:space="preserve">hiervoor </w:t>
          </w:r>
          <w:r w:rsidR="00514AE0">
            <w:t>kunnen hebben</w:t>
          </w:r>
          <w:r w:rsidRPr="004A4633" w:rsidR="0019725B">
            <w:t xml:space="preserve">. </w:t>
          </w:r>
          <w:r w:rsidR="00D745BE">
            <w:t xml:space="preserve">In dat verband adviseert </w:t>
          </w:r>
          <w:r w:rsidR="00FE5224">
            <w:t xml:space="preserve">de Afdeling </w:t>
          </w:r>
          <w:r w:rsidR="00D745BE">
            <w:t xml:space="preserve">ook </w:t>
          </w:r>
          <w:r w:rsidR="00FE5224">
            <w:t xml:space="preserve">om </w:t>
          </w:r>
          <w:r w:rsidR="00910311">
            <w:t xml:space="preserve">duidelijk te maken </w:t>
          </w:r>
          <w:r w:rsidR="00CD5C1C">
            <w:t xml:space="preserve">of </w:t>
          </w:r>
          <w:r w:rsidR="00FE5224">
            <w:t>het criterium ‘voorshands aannemelijk’</w:t>
          </w:r>
          <w:r w:rsidR="006D3CD5">
            <w:t xml:space="preserve"> </w:t>
          </w:r>
          <w:r w:rsidR="00CD5C1C">
            <w:t xml:space="preserve">de maatstaf blijft voor de </w:t>
          </w:r>
          <w:r w:rsidR="002C340E">
            <w:t>aanspraak</w:t>
          </w:r>
          <w:r w:rsidR="00CD5C1C">
            <w:t xml:space="preserve"> </w:t>
          </w:r>
          <w:r w:rsidR="002C340E">
            <w:t>op</w:t>
          </w:r>
          <w:r w:rsidR="00CD5C1C">
            <w:t xml:space="preserve"> een tegemoetkoming. </w:t>
          </w:r>
        </w:p>
        <w:p w:rsidRPr="004A4633" w:rsidR="00914343" w:rsidP="009E609E" w:rsidRDefault="00914343" w14:paraId="1E862486" w14:textId="77777777"/>
        <w:p w:rsidR="0068530E" w:rsidP="0068530E" w:rsidRDefault="0068530E" w14:paraId="3B803934" w14:textId="74418E40">
          <w:r w:rsidRPr="004A4633">
            <w:t xml:space="preserve">De Afdeling adviseert </w:t>
          </w:r>
          <w:r w:rsidR="00ED2B9D">
            <w:t xml:space="preserve">om gelet op het voorgaande </w:t>
          </w:r>
          <w:r w:rsidRPr="004A4633">
            <w:t xml:space="preserve">de </w:t>
          </w:r>
          <w:r w:rsidR="00B217B5">
            <w:t xml:space="preserve">voorgestelde wettelijke </w:t>
          </w:r>
          <w:r w:rsidRPr="004A4633">
            <w:t xml:space="preserve">definitie van </w:t>
          </w:r>
          <w:r w:rsidRPr="004A4633" w:rsidR="007F5396">
            <w:t>beroepsziekte nader te motiveren</w:t>
          </w:r>
          <w:r w:rsidRPr="004A4633" w:rsidDel="00B217B5" w:rsidR="007F5396">
            <w:t xml:space="preserve"> en </w:t>
          </w:r>
          <w:r w:rsidR="006320DC">
            <w:t>zo nodig aan te passen</w:t>
          </w:r>
          <w:r w:rsidRPr="004A4633" w:rsidR="009D7704">
            <w:t xml:space="preserve">. </w:t>
          </w:r>
        </w:p>
        <w:p w:rsidR="00896678" w:rsidP="0068530E" w:rsidRDefault="00896678" w14:paraId="6C8D7238" w14:textId="77777777"/>
        <w:p w:rsidR="00896678" w:rsidP="0068530E" w:rsidRDefault="00896678" w14:paraId="20130D1C" w14:textId="1A7CF6CE">
          <w:r>
            <w:t xml:space="preserve">4. </w:t>
          </w:r>
          <w:r>
            <w:tab/>
          </w:r>
          <w:r w:rsidRPr="00D572E5">
            <w:rPr>
              <w:u w:val="single"/>
            </w:rPr>
            <w:t>Staatssteun</w:t>
          </w:r>
        </w:p>
        <w:p w:rsidR="00896678" w:rsidP="0068530E" w:rsidRDefault="00896678" w14:paraId="7E7ACDEF" w14:textId="77777777"/>
        <w:p w:rsidR="00896678" w:rsidP="00D22820" w:rsidRDefault="00B22263" w14:paraId="0E41A5F7" w14:textId="71A90F6E">
          <w:r>
            <w:t xml:space="preserve">Het </w:t>
          </w:r>
          <w:r w:rsidR="00072C9A">
            <w:t>voorstel</w:t>
          </w:r>
          <w:r>
            <w:t xml:space="preserve"> </w:t>
          </w:r>
          <w:r w:rsidR="00A30EF1">
            <w:t xml:space="preserve">bevat twee grondslagen voor </w:t>
          </w:r>
          <w:r w:rsidR="00CC79A2">
            <w:t>subsidieverstrekking</w:t>
          </w:r>
          <w:r w:rsidR="00A30EF1">
            <w:t xml:space="preserve">. </w:t>
          </w:r>
          <w:r w:rsidR="006B0EC2">
            <w:t xml:space="preserve">Het gaat om een subsidie </w:t>
          </w:r>
          <w:r w:rsidR="00641601">
            <w:t xml:space="preserve">aan de SER, </w:t>
          </w:r>
          <w:r w:rsidR="005F628C">
            <w:t xml:space="preserve">waaraan de taak zal worden toebedeeld om </w:t>
          </w:r>
          <w:r w:rsidR="006E6C3A">
            <w:t xml:space="preserve">bedrijven en branches </w:t>
          </w:r>
          <w:r w:rsidR="007F0DD3">
            <w:t xml:space="preserve">met informatie en hulpmiddelen te ondersteunen </w:t>
          </w:r>
          <w:r w:rsidR="005553F7">
            <w:t xml:space="preserve">met betrekking tot de risico-inventarisatie en </w:t>
          </w:r>
          <w:r w:rsidR="00183FFA">
            <w:t>-</w:t>
          </w:r>
          <w:r w:rsidR="005553F7">
            <w:t xml:space="preserve">evaluatie. </w:t>
          </w:r>
          <w:r w:rsidR="00790BEF">
            <w:t>Daarna</w:t>
          </w:r>
          <w:r w:rsidR="00AB4EEF">
            <w:t>a</w:t>
          </w:r>
          <w:r w:rsidR="00790BEF">
            <w:t>st</w:t>
          </w:r>
          <w:r w:rsidR="00AB4EEF">
            <w:t xml:space="preserve"> </w:t>
          </w:r>
          <w:r w:rsidR="002D1E39">
            <w:t>betreft het</w:t>
          </w:r>
          <w:r w:rsidR="00AB4EEF">
            <w:t xml:space="preserve"> een subsidie aan </w:t>
          </w:r>
          <w:r w:rsidR="00732BD2">
            <w:t xml:space="preserve">een samenwerkingsverband van </w:t>
          </w:r>
          <w:r w:rsidR="00C005CB">
            <w:t>instellingen</w:t>
          </w:r>
          <w:r w:rsidR="0007455D">
            <w:t xml:space="preserve"> </w:t>
          </w:r>
          <w:r w:rsidR="00997574">
            <w:t xml:space="preserve">voor het verrichten van </w:t>
          </w:r>
          <w:r w:rsidR="0007455D">
            <w:t xml:space="preserve">kennisactiviteiten </w:t>
          </w:r>
          <w:r w:rsidR="00997574">
            <w:t xml:space="preserve">ter voorkoming </w:t>
          </w:r>
          <w:r w:rsidR="00172636">
            <w:t>of beperking van beroepsziekten.</w:t>
          </w:r>
          <w:r w:rsidR="00AB4EEF">
            <w:t xml:space="preserve"> </w:t>
          </w:r>
          <w:r w:rsidR="0074709F">
            <w:t xml:space="preserve">Volgens de toelichting is </w:t>
          </w:r>
          <w:r w:rsidR="005F628C">
            <w:t>bij deze subsidieverstrekkingen</w:t>
          </w:r>
          <w:r w:rsidR="0074709F">
            <w:t xml:space="preserve"> geen sprake van staatssteun. </w:t>
          </w:r>
        </w:p>
        <w:p w:rsidR="00122AC9" w:rsidP="0068530E" w:rsidRDefault="00122AC9" w14:paraId="6195580B" w14:textId="77777777"/>
        <w:p w:rsidR="00D928C6" w:rsidP="009376A3" w:rsidRDefault="0095687C" w14:paraId="55544145" w14:textId="0C681C83">
          <w:r>
            <w:t>De Afdeling merkt op dat</w:t>
          </w:r>
          <w:r w:rsidR="0014557E">
            <w:t xml:space="preserve"> </w:t>
          </w:r>
          <w:r w:rsidR="006E2DCD">
            <w:t>de</w:t>
          </w:r>
          <w:r w:rsidR="00A4222C">
            <w:t xml:space="preserve"> staatssteunanalyses</w:t>
          </w:r>
          <w:r w:rsidR="00050633">
            <w:t xml:space="preserve"> in de toelichting</w:t>
          </w:r>
          <w:r w:rsidR="00A4222C">
            <w:t xml:space="preserve"> zeer beknopt</w:t>
          </w:r>
          <w:r w:rsidR="001A5F96">
            <w:t xml:space="preserve"> zijn</w:t>
          </w:r>
          <w:r w:rsidR="00A4222C">
            <w:t>.</w:t>
          </w:r>
          <w:r w:rsidR="00E52BC4">
            <w:rPr>
              <w:rStyle w:val="Voetnootmarkering"/>
            </w:rPr>
            <w:footnoteReference w:id="28"/>
          </w:r>
          <w:r w:rsidR="001A5F96">
            <w:t xml:space="preserve"> </w:t>
          </w:r>
          <w:r w:rsidR="006D1D1E">
            <w:t>Voor</w:t>
          </w:r>
          <w:r w:rsidR="00781423">
            <w:t xml:space="preserve"> de subsidie aan het samenwerkingsverband geldt </w:t>
          </w:r>
          <w:r w:rsidR="001C0AFA">
            <w:t xml:space="preserve">in het bijzonder </w:t>
          </w:r>
          <w:r w:rsidR="00781423">
            <w:t xml:space="preserve">dat de </w:t>
          </w:r>
          <w:r w:rsidR="00341D62">
            <w:t xml:space="preserve">redenering die ten grondslag ligt aan </w:t>
          </w:r>
          <w:r w:rsidR="00E45B0C">
            <w:t xml:space="preserve">de vermelde conclusies </w:t>
          </w:r>
          <w:r w:rsidR="00341D62">
            <w:t>niet</w:t>
          </w:r>
          <w:r w:rsidR="005C2530">
            <w:t xml:space="preserve"> inzichtelijk</w:t>
          </w:r>
          <w:r w:rsidR="00781423">
            <w:t xml:space="preserve"> is</w:t>
          </w:r>
          <w:r w:rsidR="00E45B0C">
            <w:t>.</w:t>
          </w:r>
          <w:r w:rsidR="00050633">
            <w:t xml:space="preserve"> </w:t>
          </w:r>
          <w:r w:rsidR="00CD2A5D">
            <w:t xml:space="preserve">De Afdeling adviseert </w:t>
          </w:r>
          <w:r w:rsidR="009600D6">
            <w:t xml:space="preserve">de toelichting op dit punt </w:t>
          </w:r>
          <w:r w:rsidR="001A4F6C">
            <w:t>uit te breiden</w:t>
          </w:r>
          <w:r w:rsidR="00AC05A8">
            <w:t xml:space="preserve">. </w:t>
          </w:r>
          <w:r w:rsidR="00C02DF5">
            <w:t>Van bela</w:t>
          </w:r>
          <w:r w:rsidR="006F4B7F">
            <w:t>ng</w:t>
          </w:r>
          <w:r w:rsidR="00C02DF5">
            <w:t xml:space="preserve"> is dat </w:t>
          </w:r>
          <w:r w:rsidR="00305BC0">
            <w:t xml:space="preserve">de subsidie aan het samenwerkingsverband </w:t>
          </w:r>
          <w:r w:rsidRPr="00CD2A5D" w:rsidR="00CD2A5D">
            <w:t xml:space="preserve">(alleen) bestemd is voor de bundeling, ontwikkeling en verspreiding van wetenschappelijk gefundeerde kennis. </w:t>
          </w:r>
          <w:r w:rsidR="00305BC0">
            <w:t>Daarmee</w:t>
          </w:r>
          <w:r w:rsidRPr="00CD2A5D" w:rsidR="00CD2A5D">
            <w:t xml:space="preserve"> wordt de afstand tot de markt bewaard en gaat het niet om economische activiteiten</w:t>
          </w:r>
          <w:r w:rsidR="006F4B7F">
            <w:t>.</w:t>
          </w:r>
          <w:r w:rsidR="006F4B7F">
            <w:rPr>
              <w:rStyle w:val="Voetnootmarkering"/>
            </w:rPr>
            <w:footnoteReference w:id="29"/>
          </w:r>
        </w:p>
        <w:p w:rsidR="00305BC0" w:rsidP="009376A3" w:rsidRDefault="00305BC0" w14:paraId="2D3EE223" w14:textId="77777777"/>
        <w:p w:rsidR="00FB243B" w:rsidP="009376A3" w:rsidRDefault="006E14D0" w14:paraId="34897A75" w14:textId="040C1AEE">
          <w:r>
            <w:t xml:space="preserve">Wat betreft </w:t>
          </w:r>
          <w:r w:rsidR="004E05EC">
            <w:t xml:space="preserve">de </w:t>
          </w:r>
          <w:r w:rsidR="00932168">
            <w:t xml:space="preserve">subsidie aan </w:t>
          </w:r>
          <w:r w:rsidR="00F0138E">
            <w:t xml:space="preserve">de SER </w:t>
          </w:r>
          <w:r w:rsidR="00F61473">
            <w:t>merkt de Afdeling op dat</w:t>
          </w:r>
          <w:r w:rsidR="00313AC9">
            <w:t>, anders dan de toelichting stelt,</w:t>
          </w:r>
          <w:r w:rsidR="00F61473">
            <w:t xml:space="preserve"> de </w:t>
          </w:r>
          <w:r w:rsidR="00BA4E85">
            <w:t xml:space="preserve">activiteiten van </w:t>
          </w:r>
          <w:r w:rsidR="006E1E77">
            <w:t>het Steunpunt</w:t>
          </w:r>
          <w:r w:rsidR="002A0DC7">
            <w:t xml:space="preserve"> </w:t>
          </w:r>
          <w:r w:rsidR="00BA4E85">
            <w:t>e</w:t>
          </w:r>
          <w:r w:rsidR="00F61473">
            <w:t>conomisch van aard</w:t>
          </w:r>
          <w:r w:rsidR="001D3409">
            <w:t xml:space="preserve"> </w:t>
          </w:r>
          <w:r w:rsidR="00BF3F35">
            <w:t xml:space="preserve">lijken te </w:t>
          </w:r>
          <w:r w:rsidR="004D07B6">
            <w:t>zijn</w:t>
          </w:r>
          <w:r w:rsidR="00F61473">
            <w:t>.</w:t>
          </w:r>
          <w:r w:rsidR="00106813">
            <w:t xml:space="preserve"> </w:t>
          </w:r>
          <w:r w:rsidR="00E27186">
            <w:t xml:space="preserve">Zoals </w:t>
          </w:r>
          <w:r w:rsidR="004C14CE">
            <w:t>volgt</w:t>
          </w:r>
          <w:r w:rsidR="00E27186">
            <w:t xml:space="preserve"> uit de toelichting is er een </w:t>
          </w:r>
          <w:r w:rsidR="00B26A36">
            <w:t xml:space="preserve">markt van zakelijke dienstverleners die ondernemingen ondersteunen met het opstellen van een RI&amp;E, maar </w:t>
          </w:r>
          <w:r w:rsidR="00E27186">
            <w:t xml:space="preserve">faalt deze </w:t>
          </w:r>
          <w:r w:rsidR="00B26A36">
            <w:t>markt</w:t>
          </w:r>
          <w:r w:rsidR="00A26FAA">
            <w:t xml:space="preserve"> </w:t>
          </w:r>
          <w:r w:rsidR="00455202">
            <w:t>voor kleine en middelgrote ondernemingen</w:t>
          </w:r>
          <w:r w:rsidR="00301825">
            <w:t>.</w:t>
          </w:r>
          <w:r w:rsidR="004B52F0">
            <w:t xml:space="preserve"> </w:t>
          </w:r>
          <w:r w:rsidR="009132FE">
            <w:t>D</w:t>
          </w:r>
          <w:r w:rsidR="00145607">
            <w:t>e</w:t>
          </w:r>
          <w:r w:rsidR="004D5C8C">
            <w:t xml:space="preserve"> </w:t>
          </w:r>
          <w:r w:rsidR="00FD4D55">
            <w:t>activiteiten van het Steunpunt</w:t>
          </w:r>
          <w:r w:rsidR="009132FE">
            <w:t xml:space="preserve"> zijn</w:t>
          </w:r>
          <w:r w:rsidR="00FD4D55">
            <w:t xml:space="preserve"> </w:t>
          </w:r>
          <w:r w:rsidR="004A7396">
            <w:t>vooral</w:t>
          </w:r>
          <w:r w:rsidR="00AF6CB0">
            <w:t xml:space="preserve"> </w:t>
          </w:r>
          <w:r w:rsidR="0089161B">
            <w:t>gericht</w:t>
          </w:r>
          <w:r w:rsidR="00434654">
            <w:t xml:space="preserve"> op </w:t>
          </w:r>
          <w:r w:rsidR="000A19E2">
            <w:t>deze</w:t>
          </w:r>
          <w:r w:rsidR="00434654">
            <w:t xml:space="preserve"> ondernemingen</w:t>
          </w:r>
          <w:r w:rsidR="00E2313E">
            <w:t xml:space="preserve">, </w:t>
          </w:r>
          <w:r w:rsidR="009132FE">
            <w:t>wat maakt dat</w:t>
          </w:r>
          <w:r w:rsidR="004F1FAE">
            <w:t xml:space="preserve"> een subsidie aan de SER </w:t>
          </w:r>
          <w:r w:rsidR="009132FE">
            <w:t xml:space="preserve">kan </w:t>
          </w:r>
          <w:r w:rsidR="004F1FAE">
            <w:t xml:space="preserve">leiden tot </w:t>
          </w:r>
          <w:r w:rsidR="00676E9A">
            <w:t xml:space="preserve">een indirect </w:t>
          </w:r>
          <w:r w:rsidR="00E2313E">
            <w:t>economisch voordeel</w:t>
          </w:r>
          <w:r w:rsidR="00676E9A">
            <w:t xml:space="preserve"> voor </w:t>
          </w:r>
          <w:r w:rsidR="00145607">
            <w:t>d</w:t>
          </w:r>
          <w:r w:rsidR="000A19E2">
            <w:t xml:space="preserve">ie </w:t>
          </w:r>
          <w:r w:rsidR="003F1F94">
            <w:t xml:space="preserve">groep </w:t>
          </w:r>
          <w:r w:rsidR="000A19E2">
            <w:t>ondernemingen</w:t>
          </w:r>
          <w:r w:rsidR="004F1FAE">
            <w:t xml:space="preserve">. </w:t>
          </w:r>
          <w:r w:rsidR="00B72F7A">
            <w:t>Dit</w:t>
          </w:r>
          <w:r w:rsidR="004F1FAE">
            <w:t xml:space="preserve"> roept de vraag op of de conclusie gerechtvaardigd is dat geen sprake is van staat</w:t>
          </w:r>
          <w:r w:rsidR="00456200">
            <w:t>s</w:t>
          </w:r>
          <w:r w:rsidR="004F1FAE">
            <w:t>steun.</w:t>
          </w:r>
        </w:p>
        <w:p w:rsidR="002A7C5C" w:rsidP="009376A3" w:rsidRDefault="002A7C5C" w14:paraId="0185CBB2" w14:textId="77777777"/>
        <w:p w:rsidR="00EA77D1" w:rsidP="009376A3" w:rsidRDefault="00C752CC" w14:paraId="217A2621" w14:textId="28B8AEE2">
          <w:r>
            <w:t>Tenzij voor de</w:t>
          </w:r>
          <w:r w:rsidR="00B72F7A">
            <w:t>ze</w:t>
          </w:r>
          <w:r>
            <w:t xml:space="preserve"> conclusie een </w:t>
          </w:r>
          <w:proofErr w:type="spellStart"/>
          <w:r w:rsidR="00C80354">
            <w:t>dragende</w:t>
          </w:r>
          <w:r w:rsidR="00D0128B">
            <w:t>r</w:t>
          </w:r>
          <w:proofErr w:type="spellEnd"/>
          <w:r w:rsidR="00C80354">
            <w:t xml:space="preserve"> </w:t>
          </w:r>
          <w:r>
            <w:t xml:space="preserve">motivering kan worden gegeven, adviseert </w:t>
          </w:r>
          <w:r w:rsidR="00C076A5">
            <w:t xml:space="preserve">de Afdeling </w:t>
          </w:r>
          <w:r w:rsidR="00B72F7A">
            <w:t>de</w:t>
          </w:r>
          <w:r w:rsidR="00C076A5">
            <w:t xml:space="preserve"> subsidie </w:t>
          </w:r>
          <w:r w:rsidR="00456200">
            <w:t>robuuster vorm te geven</w:t>
          </w:r>
          <w:r w:rsidR="00C9090C">
            <w:t xml:space="preserve">. Zij wijst </w:t>
          </w:r>
          <w:r w:rsidR="00C076A5">
            <w:t>op de mogelijkheid</w:t>
          </w:r>
          <w:r w:rsidR="00C9090C">
            <w:t xml:space="preserve"> </w:t>
          </w:r>
          <w:r w:rsidR="00AB6CB2">
            <w:t xml:space="preserve">om </w:t>
          </w:r>
          <w:r w:rsidR="002305AC">
            <w:t xml:space="preserve">de </w:t>
          </w:r>
          <w:r w:rsidR="00C86056">
            <w:t xml:space="preserve">taak die aan de SER wordt toebedeeld, vorm te geven als een dienst van algemeen economisch belang (DAEB). </w:t>
          </w:r>
          <w:r w:rsidR="0064287A">
            <w:t xml:space="preserve">In dat geval kan gebruik worden gemaakt </w:t>
          </w:r>
          <w:r w:rsidR="00FA70D4">
            <w:t xml:space="preserve">van </w:t>
          </w:r>
          <w:r w:rsidR="00B72F7A">
            <w:t xml:space="preserve">een van de vrijstellingsmogelijkheden voor </w:t>
          </w:r>
          <w:r w:rsidR="00FA70D4">
            <w:t xml:space="preserve">DAEB-steun. </w:t>
          </w:r>
          <w:r w:rsidR="00996C2E">
            <w:t>Daarvoor is</w:t>
          </w:r>
          <w:r w:rsidR="009309EA">
            <w:t xml:space="preserve"> </w:t>
          </w:r>
          <w:r w:rsidR="00996C2E">
            <w:t xml:space="preserve">nodig dat </w:t>
          </w:r>
          <w:r w:rsidR="004048C1">
            <w:t>de ministeriële regeling waarbij de taak aan de SER wordt verleend en de financiering daarvoor wordt verstrekt, a</w:t>
          </w:r>
          <w:r w:rsidR="000A3E28">
            <w:t>fgestemd</w:t>
          </w:r>
          <w:r w:rsidR="004B4CFC">
            <w:t xml:space="preserve"> wordt </w:t>
          </w:r>
          <w:r w:rsidR="000A3E28">
            <w:t xml:space="preserve">op de </w:t>
          </w:r>
          <w:r w:rsidR="00B72F7A">
            <w:t xml:space="preserve">dan </w:t>
          </w:r>
          <w:r w:rsidR="00B72F7A">
            <w:lastRenderedPageBreak/>
            <w:t xml:space="preserve">geldende </w:t>
          </w:r>
          <w:r w:rsidR="00555B58">
            <w:t>vrijstellings</w:t>
          </w:r>
          <w:r w:rsidR="00F412DD">
            <w:t xml:space="preserve">voorwaarden </w:t>
          </w:r>
          <w:r w:rsidR="00555B58">
            <w:t>voor</w:t>
          </w:r>
          <w:r w:rsidR="00B72F7A">
            <w:t xml:space="preserve"> steun aan</w:t>
          </w:r>
          <w:r w:rsidR="00555B58">
            <w:t xml:space="preserve"> een DAEB.</w:t>
          </w:r>
          <w:r w:rsidR="00555B58">
            <w:rPr>
              <w:rStyle w:val="Voetnootmarkering"/>
            </w:rPr>
            <w:footnoteReference w:id="30"/>
          </w:r>
          <w:r w:rsidR="00555B58">
            <w:t xml:space="preserve"> De Afdeling adviseert</w:t>
          </w:r>
          <w:r w:rsidR="00B72F7A">
            <w:t xml:space="preserve"> om</w:t>
          </w:r>
          <w:r w:rsidR="00555B58">
            <w:t xml:space="preserve"> hier in de </w:t>
          </w:r>
          <w:r w:rsidR="00973248">
            <w:t xml:space="preserve">toelichting nader op in te gaan. </w:t>
          </w:r>
        </w:p>
        <w:p w:rsidR="00145E0F" w:rsidP="0068530E" w:rsidRDefault="00145E0F" w14:paraId="140C5E49" w14:textId="77777777"/>
        <w:p w:rsidR="0036019A" w:rsidRDefault="00145E0F" w14:paraId="39FFF374" w14:textId="77777777">
          <w:r>
            <w:t xml:space="preserve">De Afdeling adviseert in de toelichting </w:t>
          </w:r>
          <w:r w:rsidR="00F02479">
            <w:t xml:space="preserve">nader </w:t>
          </w:r>
          <w:r>
            <w:t>te motiveren</w:t>
          </w:r>
          <w:r w:rsidR="006F413E">
            <w:t xml:space="preserve"> </w:t>
          </w:r>
          <w:r w:rsidR="00D32CBB">
            <w:t xml:space="preserve">waarom </w:t>
          </w:r>
          <w:r w:rsidR="001D0EA7">
            <w:t>de subsidie</w:t>
          </w:r>
          <w:r w:rsidR="00423B40">
            <w:t xml:space="preserve"> </w:t>
          </w:r>
          <w:r w:rsidR="006F413E">
            <w:t xml:space="preserve">aan het samenwerkingsverband </w:t>
          </w:r>
          <w:r w:rsidR="00423B40">
            <w:t xml:space="preserve">niet leidt tot staatssteun. </w:t>
          </w:r>
          <w:r w:rsidR="006F413E">
            <w:t xml:space="preserve">Daarnaast adviseert zij </w:t>
          </w:r>
          <w:r w:rsidR="00CC12EF">
            <w:t xml:space="preserve">de taak die bij ministeriële regeling wordt toegekend aan de </w:t>
          </w:r>
          <w:proofErr w:type="gramStart"/>
          <w:r w:rsidR="00CC12EF">
            <w:t>SER vorm</w:t>
          </w:r>
          <w:proofErr w:type="gramEnd"/>
          <w:r w:rsidR="00CC12EF">
            <w:t xml:space="preserve"> te geven als een DAEB en de </w:t>
          </w:r>
          <w:r w:rsidR="002909D6">
            <w:t>subsidie</w:t>
          </w:r>
          <w:r w:rsidR="001D0EA7">
            <w:t>verstrekking</w:t>
          </w:r>
          <w:r w:rsidR="00A06DDB">
            <w:t xml:space="preserve"> </w:t>
          </w:r>
          <w:r w:rsidR="004C6B03">
            <w:t xml:space="preserve">aan de SER </w:t>
          </w:r>
          <w:r w:rsidR="00C7678C">
            <w:t>daarop af te stemmen</w:t>
          </w:r>
          <w:r w:rsidR="001D0EA7">
            <w:t>.</w:t>
          </w:r>
        </w:p>
      </w:sdtContent>
    </w:sdt>
    <w:p w:rsidR="0036019A" w:rsidRDefault="0036019A" w14:paraId="66F28F5A" w14:textId="1DFACFBB">
      <w:r>
        <w:br w:type="page"/>
      </w:r>
    </w:p>
    <w:sdt>
      <w:sdtPr>
        <w:tag w:val="bmDictum"/>
        <w:id w:val="-23711316"/>
        <w:lock w:val="sdtLocked"/>
        <w:placeholder>
          <w:docPart w:val="DefaultPlaceholder_-1854013440"/>
        </w:placeholder>
      </w:sdtPr>
      <w:sdtEndPr/>
      <w:sdtContent>
        <w:p w:rsidR="00021990" w:rsidP="0068530E" w:rsidRDefault="00021990" w14:paraId="1BA2FBE3" w14:textId="67B0D580">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ectPr w:rsidR="00021990" w:rsidSect="00C740E4">
      <w:headerReference w:type="even" r:id="rId13"/>
      <w:headerReference w:type="default" r:id="rId14"/>
      <w:footerReference w:type="even" r:id="rId15"/>
      <w:footerReference w:type="default" r:id="rId16"/>
      <w:headerReference w:type="first" r:id="rId17"/>
      <w:footerReference w:type="first" r:id="rId18"/>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382C9" w14:textId="77777777" w:rsidR="00A767DB" w:rsidRPr="004A4633" w:rsidRDefault="00A767DB">
      <w:r w:rsidRPr="004A4633">
        <w:separator/>
      </w:r>
    </w:p>
  </w:endnote>
  <w:endnote w:type="continuationSeparator" w:id="0">
    <w:p w14:paraId="5642F5DA" w14:textId="77777777" w:rsidR="00A767DB" w:rsidRPr="004A4633" w:rsidRDefault="00A767DB">
      <w:r w:rsidRPr="004A4633">
        <w:continuationSeparator/>
      </w:r>
    </w:p>
  </w:endnote>
  <w:endnote w:type="continuationNotice" w:id="1">
    <w:p w14:paraId="2FC62495" w14:textId="77777777" w:rsidR="00A767DB" w:rsidRPr="004A4633" w:rsidRDefault="00A767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783B" w14:textId="77777777" w:rsidR="00631ADE" w:rsidRPr="004A4633"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5F1704" w:rsidRPr="004A4633" w14:paraId="0287783E" w14:textId="77777777" w:rsidTr="00D90098">
      <w:tc>
        <w:tcPr>
          <w:tcW w:w="4815" w:type="dxa"/>
        </w:tcPr>
        <w:p w14:paraId="0287783C" w14:textId="77777777" w:rsidR="00D90098" w:rsidRPr="004A4633" w:rsidRDefault="00D90098" w:rsidP="00D90098">
          <w:pPr>
            <w:pStyle w:val="Voettekst"/>
          </w:pPr>
        </w:p>
      </w:tc>
      <w:tc>
        <w:tcPr>
          <w:tcW w:w="4247" w:type="dxa"/>
        </w:tcPr>
        <w:p w14:paraId="0287783D" w14:textId="77777777" w:rsidR="00D90098" w:rsidRPr="004A4633" w:rsidRDefault="00D90098" w:rsidP="00D90098">
          <w:pPr>
            <w:pStyle w:val="Voettekst"/>
            <w:jc w:val="right"/>
          </w:pPr>
        </w:p>
      </w:tc>
    </w:tr>
  </w:tbl>
  <w:p w14:paraId="0287783F" w14:textId="77777777" w:rsidR="00D90098" w:rsidRPr="004A4633"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66566" w14:textId="2BBCFA2C" w:rsidR="00C740E4" w:rsidRPr="00C740E4" w:rsidRDefault="00C740E4">
    <w:pPr>
      <w:pStyle w:val="Voettekst"/>
      <w:rPr>
        <w:rFonts w:ascii="Bembo" w:hAnsi="Bembo"/>
        <w:sz w:val="32"/>
      </w:rPr>
    </w:pPr>
    <w:r w:rsidRPr="00C740E4">
      <w:rPr>
        <w:rFonts w:ascii="Bembo" w:hAnsi="Bembo"/>
        <w:sz w:val="32"/>
      </w:rPr>
      <w:t>AAN DE KONING</w:t>
    </w:r>
  </w:p>
  <w:p w14:paraId="3E901ADD" w14:textId="77777777" w:rsidR="00C740E4" w:rsidRPr="004A4633" w:rsidRDefault="00C740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3D79D" w14:textId="77777777" w:rsidR="00A767DB" w:rsidRPr="004A4633" w:rsidRDefault="00A767DB">
      <w:r w:rsidRPr="004A4633">
        <w:separator/>
      </w:r>
    </w:p>
  </w:footnote>
  <w:footnote w:type="continuationSeparator" w:id="0">
    <w:p w14:paraId="275E9EED" w14:textId="77777777" w:rsidR="00A767DB" w:rsidRPr="004A4633" w:rsidRDefault="00A767DB">
      <w:r w:rsidRPr="004A4633">
        <w:continuationSeparator/>
      </w:r>
    </w:p>
  </w:footnote>
  <w:footnote w:type="continuationNotice" w:id="1">
    <w:p w14:paraId="4B47D07C" w14:textId="77777777" w:rsidR="00A767DB" w:rsidRPr="004A4633" w:rsidRDefault="00A767DB"/>
  </w:footnote>
  <w:footnote w:id="2">
    <w:p w14:paraId="03787C50" w14:textId="5035CC7B" w:rsidR="00897676" w:rsidRPr="004A4633" w:rsidRDefault="00573320" w:rsidP="00AC19DC">
      <w:pPr>
        <w:pStyle w:val="Voetnoottekst"/>
      </w:pPr>
      <w:r w:rsidRPr="004A4633">
        <w:rPr>
          <w:rStyle w:val="Voetnootmarkering"/>
        </w:rPr>
        <w:footnoteRef/>
      </w:r>
      <w:r w:rsidRPr="004A4633">
        <w:t xml:space="preserve"> </w:t>
      </w:r>
      <w:r w:rsidR="005F3192">
        <w:t>Memorie van toelichting, paragraaf 1.1</w:t>
      </w:r>
      <w:r w:rsidR="002609D8">
        <w:t xml:space="preserve"> en 5</w:t>
      </w:r>
      <w:r w:rsidR="00897676" w:rsidRPr="004A4633">
        <w:t xml:space="preserve">. </w:t>
      </w:r>
      <w:r w:rsidR="00AC19DC">
        <w:t xml:space="preserve">Het gaat om de Regeling tegemoetkoming stoffengerelateerde beroepsziekten en de Regeling tegemoetkoming asbestslachtoffers 2014. </w:t>
      </w:r>
    </w:p>
  </w:footnote>
  <w:footnote w:id="3">
    <w:p w14:paraId="380D0BAA" w14:textId="77777777" w:rsidR="009E609E" w:rsidRPr="004A4633" w:rsidRDefault="009E609E" w:rsidP="009E609E">
      <w:pPr>
        <w:pStyle w:val="Voetnoottekst"/>
      </w:pPr>
      <w:r w:rsidRPr="004A4633">
        <w:rPr>
          <w:rStyle w:val="Voetnootmarkering"/>
        </w:rPr>
        <w:footnoteRef/>
      </w:r>
      <w:r w:rsidRPr="004A4633">
        <w:t xml:space="preserve"> Zie artikel 4.13 van het Arbeidsomstandighedenbesluit.</w:t>
      </w:r>
    </w:p>
  </w:footnote>
  <w:footnote w:id="4">
    <w:p w14:paraId="5FD717CD" w14:textId="78877592" w:rsidR="00DF3B65" w:rsidRDefault="00DF3B65" w:rsidP="00DF3B65">
      <w:pPr>
        <w:pStyle w:val="Voetnoottekst"/>
      </w:pPr>
      <w:r>
        <w:rPr>
          <w:rStyle w:val="Voetnootmarkering"/>
        </w:rPr>
        <w:footnoteRef/>
      </w:r>
      <w:r>
        <w:t xml:space="preserve"> Zie voorgesteld artikel 1, derde lid, </w:t>
      </w:r>
      <w:r w:rsidR="00F73EBB">
        <w:t xml:space="preserve">van de </w:t>
      </w:r>
      <w:r>
        <w:t xml:space="preserve">Arbeidsomstandighedenwet. </w:t>
      </w:r>
    </w:p>
  </w:footnote>
  <w:footnote w:id="5">
    <w:p w14:paraId="67853CA4" w14:textId="52B63D6F" w:rsidR="009E609E" w:rsidRPr="004A4633" w:rsidRDefault="009E609E" w:rsidP="009E609E">
      <w:pPr>
        <w:pStyle w:val="Voetnoottekst"/>
      </w:pPr>
      <w:r w:rsidRPr="004A4633">
        <w:rPr>
          <w:rStyle w:val="Voetnootmarkering"/>
        </w:rPr>
        <w:footnoteRef/>
      </w:r>
      <w:r w:rsidRPr="004A4633">
        <w:t xml:space="preserve"> </w:t>
      </w:r>
      <w:r w:rsidR="0013100C">
        <w:t>Memorie van</w:t>
      </w:r>
      <w:r w:rsidR="00D130C0" w:rsidRPr="004A4633">
        <w:t xml:space="preserve"> toelichting</w:t>
      </w:r>
      <w:r w:rsidR="0013100C">
        <w:t>, paragraaf 1.2.</w:t>
      </w:r>
    </w:p>
  </w:footnote>
  <w:footnote w:id="6">
    <w:p w14:paraId="17998D6D" w14:textId="58D1D2DD" w:rsidR="00911ED2" w:rsidRDefault="00911ED2" w:rsidP="00911ED2">
      <w:pPr>
        <w:pStyle w:val="Voetnoottekst"/>
      </w:pPr>
      <w:r>
        <w:rPr>
          <w:rStyle w:val="Voetnootmarkering"/>
        </w:rPr>
        <w:footnoteRef/>
      </w:r>
      <w:r>
        <w:t xml:space="preserve"> </w:t>
      </w:r>
      <w:r w:rsidR="00B82187">
        <w:t>I</w:t>
      </w:r>
      <w:r>
        <w:t>nkomensverlies wordt voor werknemers deels gedekt door de loon</w:t>
      </w:r>
      <w:r w:rsidR="00787AFF">
        <w:t>door</w:t>
      </w:r>
      <w:r>
        <w:t>betaling bij ziekte</w:t>
      </w:r>
      <w:r w:rsidR="00A765C6">
        <w:t xml:space="preserve"> en</w:t>
      </w:r>
      <w:r>
        <w:t xml:space="preserve"> d</w:t>
      </w:r>
      <w:r w:rsidR="00C00B52">
        <w:t xml:space="preserve">oor uitkeringen op grond van </w:t>
      </w:r>
      <w:r>
        <w:t>de Wet WIA</w:t>
      </w:r>
      <w:r w:rsidR="00C00B52">
        <w:t xml:space="preserve">. </w:t>
      </w:r>
      <w:r w:rsidR="0076201A">
        <w:t>Z</w:t>
      </w:r>
      <w:r>
        <w:t xml:space="preserve">iektekosten </w:t>
      </w:r>
      <w:r w:rsidR="00C00B52">
        <w:t xml:space="preserve">worden </w:t>
      </w:r>
      <w:r w:rsidR="00A765C6">
        <w:t xml:space="preserve">voor alle inwoners </w:t>
      </w:r>
      <w:r w:rsidR="005533E5">
        <w:t xml:space="preserve">grotendeels </w:t>
      </w:r>
      <w:r w:rsidR="00C00B52">
        <w:t xml:space="preserve">gedekt </w:t>
      </w:r>
      <w:r>
        <w:t>door de Z</w:t>
      </w:r>
      <w:r w:rsidR="00586987">
        <w:t>org</w:t>
      </w:r>
      <w:r>
        <w:t>v</w:t>
      </w:r>
      <w:r w:rsidR="00586987">
        <w:t>erzekeringswet</w:t>
      </w:r>
      <w:r>
        <w:t xml:space="preserve"> en </w:t>
      </w:r>
      <w:r w:rsidR="0076201A">
        <w:t xml:space="preserve">de </w:t>
      </w:r>
      <w:r>
        <w:t>W</w:t>
      </w:r>
      <w:r w:rsidR="00586987">
        <w:t xml:space="preserve">et </w:t>
      </w:r>
      <w:r>
        <w:t>l</w:t>
      </w:r>
      <w:r w:rsidR="00586987">
        <w:t xml:space="preserve">angdurige </w:t>
      </w:r>
      <w:r>
        <w:t>z</w:t>
      </w:r>
      <w:r w:rsidR="00586987">
        <w:t>org</w:t>
      </w:r>
      <w:r>
        <w:t>.</w:t>
      </w:r>
    </w:p>
  </w:footnote>
  <w:footnote w:id="7">
    <w:p w14:paraId="7D744F25" w14:textId="7433FDA1" w:rsidR="009E609E" w:rsidRPr="004A4633" w:rsidRDefault="009E609E" w:rsidP="009E609E">
      <w:pPr>
        <w:pStyle w:val="Voetnoottekst"/>
      </w:pPr>
      <w:r w:rsidRPr="004A4633">
        <w:rPr>
          <w:rStyle w:val="Voetnootmarkering"/>
        </w:rPr>
        <w:footnoteRef/>
      </w:r>
      <w:r w:rsidRPr="004A4633">
        <w:t xml:space="preserve"> </w:t>
      </w:r>
      <w:r w:rsidR="003C0DD7">
        <w:t>Memorie van</w:t>
      </w:r>
      <w:r w:rsidR="00D130C0" w:rsidRPr="004A4633">
        <w:t xml:space="preserve"> toelichting</w:t>
      </w:r>
      <w:r w:rsidR="003C0DD7">
        <w:t>, paragraaf 2.</w:t>
      </w:r>
    </w:p>
  </w:footnote>
  <w:footnote w:id="8">
    <w:p w14:paraId="720D2A09" w14:textId="2854C5D0" w:rsidR="009E609E" w:rsidRPr="004A4633" w:rsidRDefault="009E609E" w:rsidP="009E609E">
      <w:pPr>
        <w:pStyle w:val="Voetnoottekst"/>
      </w:pPr>
      <w:r w:rsidRPr="004A4633">
        <w:rPr>
          <w:rStyle w:val="Voetnootmarkering"/>
        </w:rPr>
        <w:footnoteRef/>
      </w:r>
      <w:r w:rsidRPr="004A4633">
        <w:t xml:space="preserve"> </w:t>
      </w:r>
      <w:r w:rsidR="008F727E" w:rsidRPr="008F727E">
        <w:t xml:space="preserve">Commissie </w:t>
      </w:r>
      <w:r w:rsidR="008F727E">
        <w:t>V</w:t>
      </w:r>
      <w:r w:rsidR="008F727E" w:rsidRPr="008F727E">
        <w:t xml:space="preserve">ergemakkelijking </w:t>
      </w:r>
      <w:r w:rsidR="008F727E">
        <w:t>S</w:t>
      </w:r>
      <w:r w:rsidR="008F727E" w:rsidRPr="008F727E">
        <w:t xml:space="preserve">chadeafhandeling </w:t>
      </w:r>
      <w:r w:rsidR="008F727E">
        <w:t>B</w:t>
      </w:r>
      <w:r w:rsidR="008F727E" w:rsidRPr="008F727E">
        <w:t>eroepsziekten</w:t>
      </w:r>
      <w:r w:rsidR="008F727E">
        <w:t>, ‘Stof tot nadenken</w:t>
      </w:r>
      <w:r w:rsidR="00794A3C">
        <w:t>’, m</w:t>
      </w:r>
      <w:r w:rsidR="000578D3">
        <w:t>aart 2020</w:t>
      </w:r>
      <w:r w:rsidR="00417F88">
        <w:t>, p.</w:t>
      </w:r>
      <w:r w:rsidR="00153983">
        <w:t xml:space="preserve"> </w:t>
      </w:r>
      <w:r w:rsidR="00D02F9B">
        <w:t>9, 26-27</w:t>
      </w:r>
      <w:r w:rsidR="000149B2">
        <w:t xml:space="preserve"> (b</w:t>
      </w:r>
      <w:r w:rsidR="00794A3C">
        <w:t xml:space="preserve">ijlage bij Kamerstukken </w:t>
      </w:r>
      <w:r w:rsidR="000149B2">
        <w:t>II 2019/20, 25883, nr. 385).</w:t>
      </w:r>
    </w:p>
  </w:footnote>
  <w:footnote w:id="9">
    <w:p w14:paraId="41FCF125" w14:textId="19D418BD" w:rsidR="00101E51" w:rsidRDefault="00101E51">
      <w:pPr>
        <w:pStyle w:val="Voetnoottekst"/>
      </w:pPr>
      <w:r>
        <w:rPr>
          <w:rStyle w:val="Voetnootmarkering"/>
        </w:rPr>
        <w:footnoteRef/>
      </w:r>
      <w:r>
        <w:t xml:space="preserve"> Regeling T</w:t>
      </w:r>
      <w:r w:rsidR="00DF273C">
        <w:t xml:space="preserve">egemoetkoming </w:t>
      </w:r>
      <w:r w:rsidR="006135AB">
        <w:t>stoffengerelateerde beroepsziekten</w:t>
      </w:r>
      <w:r w:rsidR="00322006">
        <w:t xml:space="preserve"> (Stcrt</w:t>
      </w:r>
      <w:r w:rsidR="006135AB">
        <w:t>.</w:t>
      </w:r>
      <w:r w:rsidR="00322006">
        <w:t xml:space="preserve"> </w:t>
      </w:r>
      <w:r w:rsidR="00322006" w:rsidRPr="00322006">
        <w:t>2022, 31978</w:t>
      </w:r>
      <w:r w:rsidR="00322006">
        <w:t>).</w:t>
      </w:r>
      <w:r>
        <w:t xml:space="preserve"> </w:t>
      </w:r>
    </w:p>
  </w:footnote>
  <w:footnote w:id="10">
    <w:p w14:paraId="7E12952D" w14:textId="544D335C" w:rsidR="009E609E" w:rsidRPr="004A4633" w:rsidRDefault="009E609E" w:rsidP="009E609E">
      <w:pPr>
        <w:pStyle w:val="Voetnoottekst"/>
      </w:pPr>
      <w:r w:rsidRPr="004A4633">
        <w:rPr>
          <w:rStyle w:val="Voetnootmarkering"/>
        </w:rPr>
        <w:footnoteRef/>
      </w:r>
      <w:r w:rsidRPr="004A4633">
        <w:t xml:space="preserve"> </w:t>
      </w:r>
      <w:r w:rsidR="005B0FE2">
        <w:t>Memorie van</w:t>
      </w:r>
      <w:r w:rsidR="00D130C0" w:rsidRPr="004A4633">
        <w:t xml:space="preserve"> toelichting</w:t>
      </w:r>
      <w:r w:rsidR="005B0FE2">
        <w:t>, paragraaf 3.</w:t>
      </w:r>
    </w:p>
  </w:footnote>
  <w:footnote w:id="11">
    <w:p w14:paraId="29F1CD92" w14:textId="3D166694" w:rsidR="009E609E" w:rsidRPr="004A4633" w:rsidRDefault="009E609E" w:rsidP="009E609E">
      <w:pPr>
        <w:pStyle w:val="Voetnoottekst"/>
      </w:pPr>
      <w:r w:rsidRPr="004A4633">
        <w:rPr>
          <w:rStyle w:val="Voetnootmarkering"/>
        </w:rPr>
        <w:footnoteRef/>
      </w:r>
      <w:r w:rsidRPr="004A4633">
        <w:t xml:space="preserve"> </w:t>
      </w:r>
      <w:r w:rsidR="005E48B7">
        <w:t xml:space="preserve">Kamerstukken II 2020/21, 25883, nr. 417. </w:t>
      </w:r>
    </w:p>
  </w:footnote>
  <w:footnote w:id="12">
    <w:p w14:paraId="3C681502" w14:textId="338F9937" w:rsidR="009E609E" w:rsidRPr="004A4633" w:rsidRDefault="009E609E" w:rsidP="009E609E">
      <w:pPr>
        <w:pStyle w:val="Voetnoottekst"/>
      </w:pPr>
      <w:r w:rsidRPr="004A4633">
        <w:rPr>
          <w:rStyle w:val="Voetnootmarkering"/>
        </w:rPr>
        <w:footnoteRef/>
      </w:r>
      <w:r w:rsidRPr="004A4633">
        <w:t xml:space="preserve"> </w:t>
      </w:r>
      <w:r w:rsidR="005B0FE2">
        <w:t>Memorie van</w:t>
      </w:r>
      <w:r w:rsidRPr="004A4633">
        <w:t xml:space="preserve"> </w:t>
      </w:r>
      <w:r w:rsidR="00533C93" w:rsidRPr="004A4633">
        <w:t>toelichting</w:t>
      </w:r>
      <w:r w:rsidR="005B0FE2">
        <w:t>,</w:t>
      </w:r>
      <w:r w:rsidR="00533C93" w:rsidRPr="004A4633">
        <w:t xml:space="preserve"> par</w:t>
      </w:r>
      <w:r w:rsidR="005B0FE2">
        <w:t>agraaf</w:t>
      </w:r>
      <w:r w:rsidR="00533C93" w:rsidRPr="004A4633">
        <w:t xml:space="preserve"> </w:t>
      </w:r>
      <w:r w:rsidRPr="004A4633">
        <w:t>1.2</w:t>
      </w:r>
      <w:r w:rsidR="005B0FE2">
        <w:t>.</w:t>
      </w:r>
      <w:r w:rsidRPr="004A4633">
        <w:t xml:space="preserve"> </w:t>
      </w:r>
    </w:p>
  </w:footnote>
  <w:footnote w:id="13">
    <w:p w14:paraId="0DAABE38" w14:textId="498252D5" w:rsidR="00D25450" w:rsidRDefault="00D25450">
      <w:pPr>
        <w:pStyle w:val="Voetnoottekst"/>
      </w:pPr>
      <w:r>
        <w:rPr>
          <w:rStyle w:val="Voetnootmarkering"/>
        </w:rPr>
        <w:footnoteRef/>
      </w:r>
      <w:r>
        <w:t xml:space="preserve"> Memorie van toelichting, paragraaf </w:t>
      </w:r>
      <w:r w:rsidR="003A232C">
        <w:t>16.2.</w:t>
      </w:r>
    </w:p>
  </w:footnote>
  <w:footnote w:id="14">
    <w:p w14:paraId="7FFAC5B0" w14:textId="635AEF6D" w:rsidR="009E609E" w:rsidRPr="004A4633" w:rsidRDefault="009E609E" w:rsidP="009E609E">
      <w:pPr>
        <w:pStyle w:val="Voetnoottekst"/>
      </w:pPr>
      <w:r w:rsidRPr="004A4633">
        <w:rPr>
          <w:rStyle w:val="Voetnootmarkering"/>
        </w:rPr>
        <w:footnoteRef/>
      </w:r>
      <w:r w:rsidRPr="004A4633">
        <w:t xml:space="preserve"> Commissie VSAB,</w:t>
      </w:r>
      <w:r w:rsidR="003E1EA5">
        <w:t xml:space="preserve"> ‘Stof tot nadenken’, </w:t>
      </w:r>
      <w:r w:rsidRPr="004A4633">
        <w:t>p. 71.</w:t>
      </w:r>
    </w:p>
  </w:footnote>
  <w:footnote w:id="15">
    <w:p w14:paraId="527EFA94" w14:textId="719332C0" w:rsidR="009E609E" w:rsidRPr="004A4633" w:rsidRDefault="009E609E" w:rsidP="009E609E">
      <w:pPr>
        <w:pStyle w:val="Voetnoottekst"/>
      </w:pPr>
      <w:r w:rsidRPr="004A4633">
        <w:rPr>
          <w:rStyle w:val="Voetnootmarkering"/>
        </w:rPr>
        <w:footnoteRef/>
      </w:r>
      <w:r w:rsidRPr="004A4633">
        <w:t xml:space="preserve"> Zie </w:t>
      </w:r>
      <w:r w:rsidR="00630A55">
        <w:t xml:space="preserve">hiervoor </w:t>
      </w:r>
      <w:r w:rsidR="00F85FE1">
        <w:t>‘Tegemoetkom</w:t>
      </w:r>
      <w:r w:rsidR="00B16D41">
        <w:t>en</w:t>
      </w:r>
      <w:r w:rsidR="00F85FE1">
        <w:t xml:space="preserve"> doe je niet zomaar. Een </w:t>
      </w:r>
      <w:r w:rsidRPr="004A4633">
        <w:t>afwegingskader</w:t>
      </w:r>
      <w:r w:rsidR="00F85FE1">
        <w:t xml:space="preserve"> voor onverplicht handelen van de overheid bij klemmende situaties</w:t>
      </w:r>
      <w:r w:rsidR="00B16D41">
        <w:t>’</w:t>
      </w:r>
      <w:r w:rsidR="00630A55">
        <w:t xml:space="preserve"> (advies van de Afdeling advisering van de Raad van State van 7 mei 2025, W01.25.00121/I, www.raadvanstate.nl). </w:t>
      </w:r>
    </w:p>
  </w:footnote>
  <w:footnote w:id="16">
    <w:p w14:paraId="6C5FF387" w14:textId="5DC80450" w:rsidR="009E609E" w:rsidRPr="004A4633" w:rsidRDefault="009E609E" w:rsidP="00A3568E">
      <w:pPr>
        <w:pStyle w:val="Voetnoottekst"/>
      </w:pPr>
      <w:r w:rsidRPr="004A4633">
        <w:rPr>
          <w:rStyle w:val="Voetnootmarkering"/>
        </w:rPr>
        <w:footnoteRef/>
      </w:r>
      <w:r w:rsidRPr="004A4633">
        <w:t xml:space="preserve"> </w:t>
      </w:r>
      <w:r w:rsidR="004F548D">
        <w:t>A.M. Overheul, ‘</w:t>
      </w:r>
      <w:r w:rsidR="00A3568E">
        <w:t>Compensatieregelingen voor beroepsziekten. Een empirisch-juridisch onderzoek naar ervaren rechtvaardigheid en de relatie met het aansprakelijkheidsrecht’</w:t>
      </w:r>
      <w:r w:rsidR="00C70092">
        <w:t xml:space="preserve"> (diss. UU), Den Haag: Boom juridisch 2025, </w:t>
      </w:r>
      <w:r w:rsidRPr="004A4633">
        <w:t>par. 7.3.2.</w:t>
      </w:r>
    </w:p>
  </w:footnote>
  <w:footnote w:id="17">
    <w:p w14:paraId="5C9679C0" w14:textId="22F8D6DF" w:rsidR="00CD1193" w:rsidRPr="004A4633" w:rsidRDefault="00CD1193">
      <w:pPr>
        <w:pStyle w:val="Voetnoottekst"/>
      </w:pPr>
      <w:r w:rsidRPr="004A4633">
        <w:rPr>
          <w:rStyle w:val="Voetnootmarkering"/>
        </w:rPr>
        <w:footnoteRef/>
      </w:r>
      <w:r w:rsidRPr="004A4633">
        <w:t xml:space="preserve"> Zie </w:t>
      </w:r>
      <w:r w:rsidR="004F43F6">
        <w:t xml:space="preserve">ook </w:t>
      </w:r>
      <w:r w:rsidR="00BB02AD">
        <w:t>a</w:t>
      </w:r>
      <w:r w:rsidRPr="004A4633">
        <w:t>fweging 7</w:t>
      </w:r>
      <w:r w:rsidR="00BB02AD">
        <w:t xml:space="preserve"> van het afwegingskader ‘Tegemoetkomen doe je nie</w:t>
      </w:r>
      <w:r w:rsidR="00935EEB">
        <w:t>t</w:t>
      </w:r>
      <w:r w:rsidR="00BB02AD">
        <w:t xml:space="preserve"> zomaar’</w:t>
      </w:r>
      <w:r w:rsidR="00860D22">
        <w:t>.</w:t>
      </w:r>
    </w:p>
  </w:footnote>
  <w:footnote w:id="18">
    <w:p w14:paraId="7C6D1109" w14:textId="2BEE53D6" w:rsidR="00705404" w:rsidRPr="004A4633" w:rsidRDefault="00705404">
      <w:pPr>
        <w:pStyle w:val="Voetnoottekst"/>
      </w:pPr>
      <w:r w:rsidRPr="004A4633">
        <w:rPr>
          <w:rStyle w:val="Voetnootmarkering"/>
        </w:rPr>
        <w:footnoteRef/>
      </w:r>
      <w:r w:rsidRPr="004A4633">
        <w:t xml:space="preserve"> </w:t>
      </w:r>
      <w:r w:rsidR="00860D22">
        <w:t xml:space="preserve">Zie </w:t>
      </w:r>
      <w:r w:rsidR="00935EEB">
        <w:t>a</w:t>
      </w:r>
      <w:r w:rsidR="00860D22">
        <w:t xml:space="preserve">anwijzing </w:t>
      </w:r>
      <w:r w:rsidR="00A2648D">
        <w:t>2.25</w:t>
      </w:r>
      <w:r w:rsidR="00860D22">
        <w:t xml:space="preserve"> van de Aanwijzingen voor de regelgeving. Het is in dit verband evenmin a</w:t>
      </w:r>
      <w:r w:rsidRPr="004A4633">
        <w:t xml:space="preserve">annemelijk dat het gaat om voorschriften die dikwijls wijziging behoeven of waarvan te voorzien is dat zij mogelijk met grote spoed moeten worden vastgesteld. </w:t>
      </w:r>
    </w:p>
  </w:footnote>
  <w:footnote w:id="19">
    <w:p w14:paraId="2C39497B" w14:textId="01DC4081" w:rsidR="00532117" w:rsidRPr="004A4633" w:rsidRDefault="00532117" w:rsidP="00532117">
      <w:pPr>
        <w:pStyle w:val="Voetnoottekst"/>
      </w:pPr>
      <w:r w:rsidRPr="004A4633">
        <w:rPr>
          <w:rStyle w:val="Voetnootmarkering"/>
        </w:rPr>
        <w:footnoteRef/>
      </w:r>
      <w:r w:rsidRPr="004A4633">
        <w:t xml:space="preserve"> </w:t>
      </w:r>
      <w:r w:rsidR="00CF1C91">
        <w:t>A.M. Overheul, ‘Compensatieregelingen voor beroepsziekten’, par</w:t>
      </w:r>
      <w:r w:rsidR="00A518B9">
        <w:t>agraaf</w:t>
      </w:r>
      <w:r w:rsidRPr="004A4633">
        <w:t xml:space="preserve"> 7.2.1.</w:t>
      </w:r>
    </w:p>
  </w:footnote>
  <w:footnote w:id="20">
    <w:p w14:paraId="2F9E1703" w14:textId="76175C0D" w:rsidR="00F91353" w:rsidRDefault="00F91353" w:rsidP="00F91353">
      <w:pPr>
        <w:pStyle w:val="Voetnoottekst"/>
      </w:pPr>
      <w:r>
        <w:rPr>
          <w:rStyle w:val="Voetnootmarkering"/>
        </w:rPr>
        <w:footnoteRef/>
      </w:r>
      <w:r>
        <w:t xml:space="preserve"> In algemene zin geldt dat een financiële tegemoetkoming bij voorkeur een vast bedrag is, dat relatief beperkt is maar betekenisvol. In de Regeling tegemoetkoming stoffengerelateerde beroepsziekten wordt een bedrag van ongeveer € 25.000 gehanteerd. Verder is een </w:t>
      </w:r>
      <w:r w:rsidRPr="004A4633">
        <w:t>laagdrempelig</w:t>
      </w:r>
      <w:r>
        <w:t>e aanvraagprocedure en de betrokkenheid van medische experts bij de uitvoering van de tegemoetkomingsregeling van groot belang.</w:t>
      </w:r>
    </w:p>
  </w:footnote>
  <w:footnote w:id="21">
    <w:p w14:paraId="671EB9AC" w14:textId="61D88CA7" w:rsidR="00180F2A" w:rsidRDefault="00180F2A">
      <w:pPr>
        <w:pStyle w:val="Voetnoottekst"/>
      </w:pPr>
      <w:r>
        <w:rPr>
          <w:rStyle w:val="Voetnootmarkering"/>
        </w:rPr>
        <w:footnoteRef/>
      </w:r>
      <w:r>
        <w:t xml:space="preserve"> Memorie van toelichting, paragraaf 16.2</w:t>
      </w:r>
      <w:r w:rsidR="00C21F45">
        <w:t>.</w:t>
      </w:r>
    </w:p>
  </w:footnote>
  <w:footnote w:id="22">
    <w:p w14:paraId="15E36E53" w14:textId="77777777" w:rsidR="009D556B" w:rsidRPr="004A4633" w:rsidRDefault="009D556B" w:rsidP="009D556B">
      <w:pPr>
        <w:pStyle w:val="Voetnoottekst"/>
      </w:pPr>
      <w:r w:rsidRPr="004A4633">
        <w:rPr>
          <w:rStyle w:val="Voetnootmarkering"/>
        </w:rPr>
        <w:footnoteRef/>
      </w:r>
      <w:r w:rsidRPr="004A4633">
        <w:t xml:space="preserve"> </w:t>
      </w:r>
      <w:r>
        <w:t xml:space="preserve">Commissie VSAB, ‘Stof tot nadenken’, </w:t>
      </w:r>
      <w:r w:rsidRPr="004A4633">
        <w:t>p. 78</w:t>
      </w:r>
      <w:r>
        <w:t xml:space="preserve">. </w:t>
      </w:r>
    </w:p>
  </w:footnote>
  <w:footnote w:id="23">
    <w:p w14:paraId="6B71B3F2" w14:textId="54AD5976" w:rsidR="00622AC1" w:rsidRDefault="00622AC1">
      <w:pPr>
        <w:pStyle w:val="Voetnoottekst"/>
      </w:pPr>
      <w:r>
        <w:rPr>
          <w:rStyle w:val="Voetnootmarkering"/>
        </w:rPr>
        <w:footnoteRef/>
      </w:r>
      <w:r>
        <w:t xml:space="preserve"> Dit mede gelet op de financiering van de Regeling tegemoetkoming stoffengerelateerde beroepsziekten</w:t>
      </w:r>
      <w:r w:rsidR="00077BAA">
        <w:t>, waaraan werkgevers bijdragen via een licht verhoogde Aof-premie</w:t>
      </w:r>
      <w:r>
        <w:t>.</w:t>
      </w:r>
    </w:p>
  </w:footnote>
  <w:footnote w:id="24">
    <w:p w14:paraId="2998C2F9" w14:textId="6DA40C6A" w:rsidR="00067F6D" w:rsidRDefault="00067F6D">
      <w:pPr>
        <w:pStyle w:val="Voetnoottekst"/>
      </w:pPr>
      <w:r w:rsidRPr="004A4633">
        <w:rPr>
          <w:rStyle w:val="Voetnootmarkering"/>
        </w:rPr>
        <w:footnoteRef/>
      </w:r>
      <w:r w:rsidRPr="004A4633">
        <w:t xml:space="preserve"> </w:t>
      </w:r>
      <w:r w:rsidR="002B48C2" w:rsidRPr="004A4633">
        <w:t>Zie voorgesteld artikel 1</w:t>
      </w:r>
      <w:r w:rsidR="002A7D8E" w:rsidRPr="004A4633">
        <w:t xml:space="preserve">, derde lid, </w:t>
      </w:r>
      <w:r w:rsidR="00840501">
        <w:t xml:space="preserve">van de </w:t>
      </w:r>
      <w:r w:rsidR="002A7D8E" w:rsidRPr="004A4633">
        <w:t xml:space="preserve">Arbeidsomstandighedenwet. </w:t>
      </w:r>
    </w:p>
  </w:footnote>
  <w:footnote w:id="25">
    <w:p w14:paraId="44704A70" w14:textId="219D14B1" w:rsidR="009B1DB1" w:rsidRDefault="009B1DB1">
      <w:pPr>
        <w:pStyle w:val="Voetnoottekst"/>
      </w:pPr>
      <w:r>
        <w:rPr>
          <w:rStyle w:val="Voetnootmarkering"/>
        </w:rPr>
        <w:footnoteRef/>
      </w:r>
      <w:r>
        <w:t xml:space="preserve"> Zie artikel 9, derde lid,</w:t>
      </w:r>
      <w:r w:rsidR="00840501">
        <w:t xml:space="preserve"> van de</w:t>
      </w:r>
      <w:r>
        <w:t xml:space="preserve"> Arbeidsomstandighedenwet jo. </w:t>
      </w:r>
      <w:r>
        <w:t xml:space="preserve">artikel </w:t>
      </w:r>
      <w:r w:rsidR="004E58B0">
        <w:t xml:space="preserve">1.11 </w:t>
      </w:r>
      <w:r w:rsidR="00840501">
        <w:t xml:space="preserve">van het </w:t>
      </w:r>
      <w:r w:rsidR="004E58B0">
        <w:t>Arbeidsomstandighedenregeling.</w:t>
      </w:r>
    </w:p>
  </w:footnote>
  <w:footnote w:id="26">
    <w:p w14:paraId="20C302C8" w14:textId="1A704051" w:rsidR="00A24DD9" w:rsidRDefault="00A24DD9" w:rsidP="00A24DD9">
      <w:pPr>
        <w:pStyle w:val="Voetnoottekst"/>
      </w:pPr>
      <w:r>
        <w:rPr>
          <w:rStyle w:val="Voetnootmarkering"/>
        </w:rPr>
        <w:footnoteRef/>
      </w:r>
      <w:r>
        <w:t xml:space="preserve"> Artikel 1 </w:t>
      </w:r>
      <w:r w:rsidR="00840501">
        <w:t xml:space="preserve">van de </w:t>
      </w:r>
      <w:r>
        <w:t xml:space="preserve">Regeling tegemoetkoming stoffengerelateerde beroepsziekten. </w:t>
      </w:r>
    </w:p>
  </w:footnote>
  <w:footnote w:id="27">
    <w:p w14:paraId="3C8FA154" w14:textId="0A7390EB" w:rsidR="00BE6CC2" w:rsidRDefault="00BE6CC2">
      <w:pPr>
        <w:pStyle w:val="Voetnoottekst"/>
      </w:pPr>
      <w:r>
        <w:rPr>
          <w:rStyle w:val="Voetnootmarkering"/>
        </w:rPr>
        <w:footnoteRef/>
      </w:r>
      <w:r>
        <w:t xml:space="preserve"> </w:t>
      </w:r>
      <w:r w:rsidR="00B1119E">
        <w:t>Zie a</w:t>
      </w:r>
      <w:r>
        <w:t xml:space="preserve">rtikel 4, eerste lid, </w:t>
      </w:r>
      <w:r w:rsidR="00B1119E">
        <w:t xml:space="preserve">sub a, onder 2, </w:t>
      </w:r>
      <w:r w:rsidR="00840501">
        <w:t xml:space="preserve">van de </w:t>
      </w:r>
      <w:r w:rsidR="00B1119E">
        <w:t xml:space="preserve">Regeling tegemoetkoming stoffengerelateerde beroepsziekten. </w:t>
      </w:r>
    </w:p>
  </w:footnote>
  <w:footnote w:id="28">
    <w:p w14:paraId="111A7887" w14:textId="2E3A0480" w:rsidR="00E52BC4" w:rsidRDefault="00E52BC4">
      <w:pPr>
        <w:pStyle w:val="Voetnoottekst"/>
      </w:pPr>
      <w:r>
        <w:rPr>
          <w:rStyle w:val="Voetnootmarkering"/>
        </w:rPr>
        <w:footnoteRef/>
      </w:r>
      <w:r>
        <w:t xml:space="preserve"> Zie memorie van toelichting, paragraaf </w:t>
      </w:r>
      <w:r w:rsidR="00B21982">
        <w:t>9.5 en 9.6.</w:t>
      </w:r>
    </w:p>
  </w:footnote>
  <w:footnote w:id="29">
    <w:p w14:paraId="3D7F5BBD" w14:textId="67DD03A9" w:rsidR="00706C33" w:rsidRDefault="006F4B7F" w:rsidP="00706C33">
      <w:pPr>
        <w:pStyle w:val="Voetnoottekst"/>
      </w:pPr>
      <w:r>
        <w:rPr>
          <w:rStyle w:val="Voetnootmarkering"/>
        </w:rPr>
        <w:footnoteRef/>
      </w:r>
      <w:r>
        <w:t xml:space="preserve"> </w:t>
      </w:r>
      <w:r w:rsidR="001120B7">
        <w:t xml:space="preserve">Vergelijk </w:t>
      </w:r>
      <w:r w:rsidR="00706C33">
        <w:t xml:space="preserve">de Mededeling van de Commissie </w:t>
      </w:r>
      <w:r w:rsidR="00706C33">
        <w:t xml:space="preserve">betreffende het begrip „staatssteun” in de zin van artikel 107, lid 1, van het Verdrag betreffende de werking van de Europese Unie </w:t>
      </w:r>
    </w:p>
    <w:p w14:paraId="64B41B88" w14:textId="52D434AB" w:rsidR="006F4B7F" w:rsidRDefault="00706C33" w:rsidP="00706C33">
      <w:pPr>
        <w:pStyle w:val="Voetnoottekst"/>
      </w:pPr>
      <w:r>
        <w:t xml:space="preserve">(2016/C 262/01), </w:t>
      </w:r>
      <w:r w:rsidR="009F5AC9">
        <w:t xml:space="preserve">paragraaf 2.5, </w:t>
      </w:r>
      <w:r w:rsidR="00C02DF5">
        <w:t xml:space="preserve">nr. 31 en 32. </w:t>
      </w:r>
    </w:p>
  </w:footnote>
  <w:footnote w:id="30">
    <w:p w14:paraId="6ECF15B0" w14:textId="49EA7951" w:rsidR="00555B58" w:rsidRDefault="00555B58">
      <w:pPr>
        <w:pStyle w:val="Voetnoottekst"/>
      </w:pPr>
      <w:r>
        <w:rPr>
          <w:rStyle w:val="Voetnootmarkering"/>
        </w:rPr>
        <w:footnoteRef/>
      </w:r>
      <w:r w:rsidR="00841A3A">
        <w:t xml:space="preserve"> </w:t>
      </w:r>
      <w:r w:rsidR="00803C50">
        <w:t xml:space="preserve">Zie het Besluit (EU) </w:t>
      </w:r>
      <w:r w:rsidR="00841A3A">
        <w:t>2025/2630</w:t>
      </w:r>
      <w:r w:rsidR="00803C50">
        <w:t xml:space="preserve"> van de Commissie van 16 december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7839" w14:textId="77777777" w:rsidR="00631ADE" w:rsidRPr="004A4633"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783A" w14:textId="77777777" w:rsidR="00FA7BCD" w:rsidRPr="004A4633" w:rsidRDefault="0028347D" w:rsidP="006819B8">
    <w:pPr>
      <w:pStyle w:val="Koptekst"/>
      <w:jc w:val="center"/>
    </w:pPr>
    <w:r w:rsidRPr="004A4633">
      <w:rPr>
        <w:rStyle w:val="Paginanummer"/>
      </w:rPr>
      <w:fldChar w:fldCharType="begin"/>
    </w:r>
    <w:r w:rsidRPr="004A4633">
      <w:rPr>
        <w:rStyle w:val="Paginanummer"/>
      </w:rPr>
      <w:instrText xml:space="preserve"> PAGE </w:instrText>
    </w:r>
    <w:r w:rsidRPr="004A4633">
      <w:rPr>
        <w:rStyle w:val="Paginanummer"/>
      </w:rPr>
      <w:fldChar w:fldCharType="separate"/>
    </w:r>
    <w:r w:rsidRPr="004A4633">
      <w:rPr>
        <w:rStyle w:val="Paginanummer"/>
      </w:rPr>
      <w:t>2</w:t>
    </w:r>
    <w:r w:rsidRPr="004A4633">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7840" w14:textId="77777777" w:rsidR="00DA0CDA" w:rsidRPr="004A4633" w:rsidRDefault="0028347D" w:rsidP="00DA0CDA">
    <w:pPr>
      <w:framePr w:w="8414" w:h="284" w:hRule="exact" w:wrap="around" w:vAnchor="page" w:hAnchor="page" w:x="1940" w:y="1623" w:anchorLock="1"/>
      <w:rPr>
        <w:rFonts w:ascii="Arial" w:hAnsi="Arial"/>
      </w:rPr>
    </w:pPr>
    <w:r w:rsidRPr="004A4633">
      <w:rPr>
        <w:rFonts w:ascii="Times New Roman" w:hAnsi="Times New Roman"/>
        <w:spacing w:val="20"/>
        <w:sz w:val="16"/>
      </w:rPr>
      <w:t>...........................................................................................................................................</w:t>
    </w:r>
  </w:p>
  <w:p w14:paraId="02877841" w14:textId="77777777" w:rsidR="00993C75" w:rsidRPr="004A4633" w:rsidRDefault="0028347D">
    <w:pPr>
      <w:pStyle w:val="Koptekst"/>
    </w:pPr>
    <w:r w:rsidRPr="004A4633">
      <w:rPr>
        <w:noProof/>
      </w:rPr>
      <w:drawing>
        <wp:anchor distT="0" distB="0" distL="114300" distR="114300" simplePos="0" relativeHeight="251658240" behindDoc="1" locked="0" layoutInCell="1" allowOverlap="1" wp14:anchorId="0287784C" wp14:editId="0287784D">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24C0E"/>
    <w:multiLevelType w:val="hybridMultilevel"/>
    <w:tmpl w:val="A7DE8FF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B6E6656"/>
    <w:multiLevelType w:val="hybridMultilevel"/>
    <w:tmpl w:val="6E1A7A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3137338">
    <w:abstractNumId w:val="1"/>
  </w:num>
  <w:num w:numId="2" w16cid:durableId="58603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704"/>
    <w:rsid w:val="000021D0"/>
    <w:rsid w:val="000024A1"/>
    <w:rsid w:val="0000277C"/>
    <w:rsid w:val="00003547"/>
    <w:rsid w:val="000036AD"/>
    <w:rsid w:val="0000451D"/>
    <w:rsid w:val="000045B6"/>
    <w:rsid w:val="00005937"/>
    <w:rsid w:val="000069AD"/>
    <w:rsid w:val="00007DAB"/>
    <w:rsid w:val="00010A44"/>
    <w:rsid w:val="00010A59"/>
    <w:rsid w:val="00011BC1"/>
    <w:rsid w:val="000149B2"/>
    <w:rsid w:val="00014E97"/>
    <w:rsid w:val="00016D27"/>
    <w:rsid w:val="00017C54"/>
    <w:rsid w:val="00020D87"/>
    <w:rsid w:val="00021990"/>
    <w:rsid w:val="00022456"/>
    <w:rsid w:val="00025405"/>
    <w:rsid w:val="0002600E"/>
    <w:rsid w:val="00027162"/>
    <w:rsid w:val="00027951"/>
    <w:rsid w:val="00030D46"/>
    <w:rsid w:val="00035C9B"/>
    <w:rsid w:val="000366CC"/>
    <w:rsid w:val="00036F71"/>
    <w:rsid w:val="00037247"/>
    <w:rsid w:val="00037F01"/>
    <w:rsid w:val="00044325"/>
    <w:rsid w:val="00044379"/>
    <w:rsid w:val="000445EA"/>
    <w:rsid w:val="00045138"/>
    <w:rsid w:val="000467CB"/>
    <w:rsid w:val="00047077"/>
    <w:rsid w:val="00047690"/>
    <w:rsid w:val="00050633"/>
    <w:rsid w:val="00051B7F"/>
    <w:rsid w:val="00052FA3"/>
    <w:rsid w:val="0005584D"/>
    <w:rsid w:val="000562B6"/>
    <w:rsid w:val="000570F6"/>
    <w:rsid w:val="000578D3"/>
    <w:rsid w:val="0006016A"/>
    <w:rsid w:val="000617EE"/>
    <w:rsid w:val="00061ADB"/>
    <w:rsid w:val="00063A2C"/>
    <w:rsid w:val="00064666"/>
    <w:rsid w:val="0006556F"/>
    <w:rsid w:val="00066197"/>
    <w:rsid w:val="000669C6"/>
    <w:rsid w:val="00067F6D"/>
    <w:rsid w:val="00070480"/>
    <w:rsid w:val="000726AD"/>
    <w:rsid w:val="00072C9A"/>
    <w:rsid w:val="00073CBB"/>
    <w:rsid w:val="000744BD"/>
    <w:rsid w:val="0007455D"/>
    <w:rsid w:val="000759F0"/>
    <w:rsid w:val="00076DFD"/>
    <w:rsid w:val="00077BAA"/>
    <w:rsid w:val="000806C1"/>
    <w:rsid w:val="00080B68"/>
    <w:rsid w:val="00080C23"/>
    <w:rsid w:val="00081E75"/>
    <w:rsid w:val="000830CD"/>
    <w:rsid w:val="00083423"/>
    <w:rsid w:val="0008372C"/>
    <w:rsid w:val="000839A6"/>
    <w:rsid w:val="0008416C"/>
    <w:rsid w:val="00085DDA"/>
    <w:rsid w:val="0008692A"/>
    <w:rsid w:val="00086A6D"/>
    <w:rsid w:val="00086B9C"/>
    <w:rsid w:val="00087AE1"/>
    <w:rsid w:val="00087BA9"/>
    <w:rsid w:val="00087CCA"/>
    <w:rsid w:val="00090BF0"/>
    <w:rsid w:val="000920E4"/>
    <w:rsid w:val="000926A8"/>
    <w:rsid w:val="000951E0"/>
    <w:rsid w:val="0009576F"/>
    <w:rsid w:val="00096D1E"/>
    <w:rsid w:val="00097EFA"/>
    <w:rsid w:val="000A019E"/>
    <w:rsid w:val="000A05B9"/>
    <w:rsid w:val="000A1481"/>
    <w:rsid w:val="000A19E2"/>
    <w:rsid w:val="000A3E28"/>
    <w:rsid w:val="000A4716"/>
    <w:rsid w:val="000A6D55"/>
    <w:rsid w:val="000A7FC7"/>
    <w:rsid w:val="000B03F3"/>
    <w:rsid w:val="000B0975"/>
    <w:rsid w:val="000B17CF"/>
    <w:rsid w:val="000B2CC1"/>
    <w:rsid w:val="000B326D"/>
    <w:rsid w:val="000B3A23"/>
    <w:rsid w:val="000B3B19"/>
    <w:rsid w:val="000B51E1"/>
    <w:rsid w:val="000B7AAC"/>
    <w:rsid w:val="000C1287"/>
    <w:rsid w:val="000C1758"/>
    <w:rsid w:val="000C1DB2"/>
    <w:rsid w:val="000C235B"/>
    <w:rsid w:val="000C3486"/>
    <w:rsid w:val="000C44E0"/>
    <w:rsid w:val="000C5E52"/>
    <w:rsid w:val="000C79AC"/>
    <w:rsid w:val="000D2196"/>
    <w:rsid w:val="000D3AF6"/>
    <w:rsid w:val="000D4313"/>
    <w:rsid w:val="000D4344"/>
    <w:rsid w:val="000D4DBB"/>
    <w:rsid w:val="000D530C"/>
    <w:rsid w:val="000D5316"/>
    <w:rsid w:val="000E06B3"/>
    <w:rsid w:val="000E14C6"/>
    <w:rsid w:val="000E1624"/>
    <w:rsid w:val="000E2BF8"/>
    <w:rsid w:val="000E2F1E"/>
    <w:rsid w:val="000E30C5"/>
    <w:rsid w:val="000E3C6E"/>
    <w:rsid w:val="000E3FDC"/>
    <w:rsid w:val="000E5B59"/>
    <w:rsid w:val="000E6816"/>
    <w:rsid w:val="000E6B63"/>
    <w:rsid w:val="000E719E"/>
    <w:rsid w:val="000F06CB"/>
    <w:rsid w:val="000F12FE"/>
    <w:rsid w:val="000F498A"/>
    <w:rsid w:val="000F4AFF"/>
    <w:rsid w:val="000F4FA4"/>
    <w:rsid w:val="000F6304"/>
    <w:rsid w:val="000F63AB"/>
    <w:rsid w:val="000F7322"/>
    <w:rsid w:val="00101CC3"/>
    <w:rsid w:val="00101E51"/>
    <w:rsid w:val="001029FD"/>
    <w:rsid w:val="00102C65"/>
    <w:rsid w:val="001054A3"/>
    <w:rsid w:val="00105680"/>
    <w:rsid w:val="00105F2A"/>
    <w:rsid w:val="00106813"/>
    <w:rsid w:val="00107EBF"/>
    <w:rsid w:val="001116BB"/>
    <w:rsid w:val="00111DFF"/>
    <w:rsid w:val="001120B7"/>
    <w:rsid w:val="001125DC"/>
    <w:rsid w:val="00112D12"/>
    <w:rsid w:val="00114022"/>
    <w:rsid w:val="00114AE1"/>
    <w:rsid w:val="00114F42"/>
    <w:rsid w:val="00115249"/>
    <w:rsid w:val="00116838"/>
    <w:rsid w:val="001179A4"/>
    <w:rsid w:val="00117A2A"/>
    <w:rsid w:val="00121BE5"/>
    <w:rsid w:val="00122515"/>
    <w:rsid w:val="00122AC9"/>
    <w:rsid w:val="0012502D"/>
    <w:rsid w:val="0013038B"/>
    <w:rsid w:val="0013100C"/>
    <w:rsid w:val="00131240"/>
    <w:rsid w:val="00132A04"/>
    <w:rsid w:val="00133D03"/>
    <w:rsid w:val="00133E72"/>
    <w:rsid w:val="001344A3"/>
    <w:rsid w:val="001347D7"/>
    <w:rsid w:val="00134EB8"/>
    <w:rsid w:val="0013768C"/>
    <w:rsid w:val="001427B5"/>
    <w:rsid w:val="00142FC1"/>
    <w:rsid w:val="001442EC"/>
    <w:rsid w:val="001448F9"/>
    <w:rsid w:val="0014557E"/>
    <w:rsid w:val="00145607"/>
    <w:rsid w:val="00145E0F"/>
    <w:rsid w:val="0014634E"/>
    <w:rsid w:val="0015062A"/>
    <w:rsid w:val="00150CD1"/>
    <w:rsid w:val="0015152B"/>
    <w:rsid w:val="001520C7"/>
    <w:rsid w:val="001536EA"/>
    <w:rsid w:val="00153983"/>
    <w:rsid w:val="001541FB"/>
    <w:rsid w:val="00154433"/>
    <w:rsid w:val="00154548"/>
    <w:rsid w:val="001553DC"/>
    <w:rsid w:val="00156EF2"/>
    <w:rsid w:val="00157066"/>
    <w:rsid w:val="0016271D"/>
    <w:rsid w:val="00162C3F"/>
    <w:rsid w:val="00162FBA"/>
    <w:rsid w:val="001634FA"/>
    <w:rsid w:val="00163500"/>
    <w:rsid w:val="00163B92"/>
    <w:rsid w:val="00164922"/>
    <w:rsid w:val="00164B7A"/>
    <w:rsid w:val="0016607A"/>
    <w:rsid w:val="0016668A"/>
    <w:rsid w:val="00166DED"/>
    <w:rsid w:val="00167121"/>
    <w:rsid w:val="0016719F"/>
    <w:rsid w:val="001700EF"/>
    <w:rsid w:val="0017190A"/>
    <w:rsid w:val="00172636"/>
    <w:rsid w:val="00173474"/>
    <w:rsid w:val="001736EE"/>
    <w:rsid w:val="00173CFD"/>
    <w:rsid w:val="00174A6F"/>
    <w:rsid w:val="00175BA3"/>
    <w:rsid w:val="00177BAA"/>
    <w:rsid w:val="00180B8E"/>
    <w:rsid w:val="00180BCD"/>
    <w:rsid w:val="00180F2A"/>
    <w:rsid w:val="00180F99"/>
    <w:rsid w:val="001814C7"/>
    <w:rsid w:val="001836A1"/>
    <w:rsid w:val="00183F05"/>
    <w:rsid w:val="00183FFA"/>
    <w:rsid w:val="00184696"/>
    <w:rsid w:val="00184B17"/>
    <w:rsid w:val="0018617A"/>
    <w:rsid w:val="001867FC"/>
    <w:rsid w:val="00190F45"/>
    <w:rsid w:val="0019156E"/>
    <w:rsid w:val="001935CF"/>
    <w:rsid w:val="0019491B"/>
    <w:rsid w:val="00195FB8"/>
    <w:rsid w:val="00196007"/>
    <w:rsid w:val="0019725B"/>
    <w:rsid w:val="001978DD"/>
    <w:rsid w:val="001A0828"/>
    <w:rsid w:val="001A1DBD"/>
    <w:rsid w:val="001A3CD4"/>
    <w:rsid w:val="001A4BFB"/>
    <w:rsid w:val="001A4F6C"/>
    <w:rsid w:val="001A53D8"/>
    <w:rsid w:val="001A5F96"/>
    <w:rsid w:val="001A6313"/>
    <w:rsid w:val="001A6CA6"/>
    <w:rsid w:val="001B09F3"/>
    <w:rsid w:val="001B0BD9"/>
    <w:rsid w:val="001B1256"/>
    <w:rsid w:val="001B2292"/>
    <w:rsid w:val="001B29F1"/>
    <w:rsid w:val="001B2DA2"/>
    <w:rsid w:val="001B49D4"/>
    <w:rsid w:val="001B4CE5"/>
    <w:rsid w:val="001B4F86"/>
    <w:rsid w:val="001B548A"/>
    <w:rsid w:val="001B6ADB"/>
    <w:rsid w:val="001B7CAA"/>
    <w:rsid w:val="001B7FAE"/>
    <w:rsid w:val="001C0AFA"/>
    <w:rsid w:val="001C0E89"/>
    <w:rsid w:val="001C1F61"/>
    <w:rsid w:val="001C24A8"/>
    <w:rsid w:val="001C2F5E"/>
    <w:rsid w:val="001C3302"/>
    <w:rsid w:val="001C4052"/>
    <w:rsid w:val="001C5F4E"/>
    <w:rsid w:val="001D0D66"/>
    <w:rsid w:val="001D0E30"/>
    <w:rsid w:val="001D0EA7"/>
    <w:rsid w:val="001D3409"/>
    <w:rsid w:val="001D3592"/>
    <w:rsid w:val="001D44CC"/>
    <w:rsid w:val="001D53EE"/>
    <w:rsid w:val="001D5B96"/>
    <w:rsid w:val="001E1C55"/>
    <w:rsid w:val="001E278B"/>
    <w:rsid w:val="001E3B0F"/>
    <w:rsid w:val="001E50DF"/>
    <w:rsid w:val="001E5C08"/>
    <w:rsid w:val="001E7035"/>
    <w:rsid w:val="001F39D3"/>
    <w:rsid w:val="001F4D0C"/>
    <w:rsid w:val="001F5240"/>
    <w:rsid w:val="002002A5"/>
    <w:rsid w:val="002014E9"/>
    <w:rsid w:val="002018DE"/>
    <w:rsid w:val="002040DF"/>
    <w:rsid w:val="00206048"/>
    <w:rsid w:val="00206190"/>
    <w:rsid w:val="0020681D"/>
    <w:rsid w:val="00206AEE"/>
    <w:rsid w:val="00206FE9"/>
    <w:rsid w:val="00214D4D"/>
    <w:rsid w:val="00215038"/>
    <w:rsid w:val="00215834"/>
    <w:rsid w:val="00215CF4"/>
    <w:rsid w:val="0021674C"/>
    <w:rsid w:val="00216FF7"/>
    <w:rsid w:val="0022041B"/>
    <w:rsid w:val="00220696"/>
    <w:rsid w:val="002216C2"/>
    <w:rsid w:val="002237FD"/>
    <w:rsid w:val="00224689"/>
    <w:rsid w:val="002246A3"/>
    <w:rsid w:val="00224BD0"/>
    <w:rsid w:val="002251D2"/>
    <w:rsid w:val="002305AC"/>
    <w:rsid w:val="00231038"/>
    <w:rsid w:val="00231205"/>
    <w:rsid w:val="00231353"/>
    <w:rsid w:val="00233E97"/>
    <w:rsid w:val="00234117"/>
    <w:rsid w:val="002351CA"/>
    <w:rsid w:val="00240171"/>
    <w:rsid w:val="0024023C"/>
    <w:rsid w:val="00242450"/>
    <w:rsid w:val="00243DA1"/>
    <w:rsid w:val="00244BBD"/>
    <w:rsid w:val="00246A61"/>
    <w:rsid w:val="00251E84"/>
    <w:rsid w:val="0025406E"/>
    <w:rsid w:val="00255C09"/>
    <w:rsid w:val="00255D0E"/>
    <w:rsid w:val="002609D8"/>
    <w:rsid w:val="0026150B"/>
    <w:rsid w:val="002619DF"/>
    <w:rsid w:val="002621F4"/>
    <w:rsid w:val="00264D03"/>
    <w:rsid w:val="002663E8"/>
    <w:rsid w:val="002701EA"/>
    <w:rsid w:val="00270445"/>
    <w:rsid w:val="00270F87"/>
    <w:rsid w:val="00271C03"/>
    <w:rsid w:val="00272D33"/>
    <w:rsid w:val="00273AB6"/>
    <w:rsid w:val="00274A30"/>
    <w:rsid w:val="00275127"/>
    <w:rsid w:val="00276A2B"/>
    <w:rsid w:val="00276A79"/>
    <w:rsid w:val="00277216"/>
    <w:rsid w:val="0028047C"/>
    <w:rsid w:val="00280D7E"/>
    <w:rsid w:val="0028133B"/>
    <w:rsid w:val="00282290"/>
    <w:rsid w:val="0028347D"/>
    <w:rsid w:val="00284105"/>
    <w:rsid w:val="00284F91"/>
    <w:rsid w:val="00285689"/>
    <w:rsid w:val="00285728"/>
    <w:rsid w:val="002862EA"/>
    <w:rsid w:val="00286D0C"/>
    <w:rsid w:val="002909D6"/>
    <w:rsid w:val="00292376"/>
    <w:rsid w:val="00292B00"/>
    <w:rsid w:val="002931A8"/>
    <w:rsid w:val="0029423E"/>
    <w:rsid w:val="0029641E"/>
    <w:rsid w:val="00296826"/>
    <w:rsid w:val="002A0DC7"/>
    <w:rsid w:val="002A1417"/>
    <w:rsid w:val="002A279E"/>
    <w:rsid w:val="002A4ED3"/>
    <w:rsid w:val="002A6417"/>
    <w:rsid w:val="002A67A2"/>
    <w:rsid w:val="002A7C5C"/>
    <w:rsid w:val="002A7D87"/>
    <w:rsid w:val="002A7D8E"/>
    <w:rsid w:val="002B0053"/>
    <w:rsid w:val="002B17C9"/>
    <w:rsid w:val="002B1A0A"/>
    <w:rsid w:val="002B3298"/>
    <w:rsid w:val="002B396A"/>
    <w:rsid w:val="002B4367"/>
    <w:rsid w:val="002B4878"/>
    <w:rsid w:val="002B48C2"/>
    <w:rsid w:val="002B5A41"/>
    <w:rsid w:val="002B72A4"/>
    <w:rsid w:val="002C0CFE"/>
    <w:rsid w:val="002C141D"/>
    <w:rsid w:val="002C2E23"/>
    <w:rsid w:val="002C340E"/>
    <w:rsid w:val="002C420B"/>
    <w:rsid w:val="002C4BEE"/>
    <w:rsid w:val="002C4ECA"/>
    <w:rsid w:val="002C529A"/>
    <w:rsid w:val="002C6867"/>
    <w:rsid w:val="002C7708"/>
    <w:rsid w:val="002C7D30"/>
    <w:rsid w:val="002D11B2"/>
    <w:rsid w:val="002D12F7"/>
    <w:rsid w:val="002D1E39"/>
    <w:rsid w:val="002D267F"/>
    <w:rsid w:val="002D4635"/>
    <w:rsid w:val="002D5147"/>
    <w:rsid w:val="002D5C61"/>
    <w:rsid w:val="002D7E23"/>
    <w:rsid w:val="002E02CA"/>
    <w:rsid w:val="002E03D8"/>
    <w:rsid w:val="002E20F5"/>
    <w:rsid w:val="002E3304"/>
    <w:rsid w:val="002E3A64"/>
    <w:rsid w:val="002E4123"/>
    <w:rsid w:val="002E4EC4"/>
    <w:rsid w:val="002E53DD"/>
    <w:rsid w:val="002E74E4"/>
    <w:rsid w:val="002E7B90"/>
    <w:rsid w:val="002F06F1"/>
    <w:rsid w:val="002F0CAD"/>
    <w:rsid w:val="002F102B"/>
    <w:rsid w:val="002F1B29"/>
    <w:rsid w:val="002F2285"/>
    <w:rsid w:val="002F2312"/>
    <w:rsid w:val="002F30B8"/>
    <w:rsid w:val="002F3FB1"/>
    <w:rsid w:val="002F5E42"/>
    <w:rsid w:val="002F5F13"/>
    <w:rsid w:val="002F6441"/>
    <w:rsid w:val="002F6CBF"/>
    <w:rsid w:val="002F6FCE"/>
    <w:rsid w:val="002F7475"/>
    <w:rsid w:val="002F7479"/>
    <w:rsid w:val="0030022D"/>
    <w:rsid w:val="00301216"/>
    <w:rsid w:val="00301825"/>
    <w:rsid w:val="00301BEC"/>
    <w:rsid w:val="00302C8B"/>
    <w:rsid w:val="00305BC0"/>
    <w:rsid w:val="00305F4F"/>
    <w:rsid w:val="003061AE"/>
    <w:rsid w:val="00306822"/>
    <w:rsid w:val="003073BF"/>
    <w:rsid w:val="003123F1"/>
    <w:rsid w:val="00312603"/>
    <w:rsid w:val="00312F3E"/>
    <w:rsid w:val="00312F7B"/>
    <w:rsid w:val="0031334C"/>
    <w:rsid w:val="00313AC9"/>
    <w:rsid w:val="0031584A"/>
    <w:rsid w:val="003169B1"/>
    <w:rsid w:val="003171E7"/>
    <w:rsid w:val="00317D50"/>
    <w:rsid w:val="0032074D"/>
    <w:rsid w:val="00320860"/>
    <w:rsid w:val="00322006"/>
    <w:rsid w:val="00324E81"/>
    <w:rsid w:val="00326429"/>
    <w:rsid w:val="00326CBB"/>
    <w:rsid w:val="003279E6"/>
    <w:rsid w:val="00330D36"/>
    <w:rsid w:val="003312AD"/>
    <w:rsid w:val="00332444"/>
    <w:rsid w:val="00332723"/>
    <w:rsid w:val="00332934"/>
    <w:rsid w:val="00334116"/>
    <w:rsid w:val="00336FDE"/>
    <w:rsid w:val="00340702"/>
    <w:rsid w:val="00341753"/>
    <w:rsid w:val="00341D62"/>
    <w:rsid w:val="00342D1F"/>
    <w:rsid w:val="00342F76"/>
    <w:rsid w:val="003432F8"/>
    <w:rsid w:val="003451EE"/>
    <w:rsid w:val="00345C32"/>
    <w:rsid w:val="00345FEB"/>
    <w:rsid w:val="0034608A"/>
    <w:rsid w:val="00346822"/>
    <w:rsid w:val="00346964"/>
    <w:rsid w:val="0034720E"/>
    <w:rsid w:val="00350CA2"/>
    <w:rsid w:val="0035406C"/>
    <w:rsid w:val="00354D39"/>
    <w:rsid w:val="00356185"/>
    <w:rsid w:val="00357DA3"/>
    <w:rsid w:val="0036019A"/>
    <w:rsid w:val="003611E9"/>
    <w:rsid w:val="0036155F"/>
    <w:rsid w:val="00361E61"/>
    <w:rsid w:val="00362DE8"/>
    <w:rsid w:val="00363322"/>
    <w:rsid w:val="00363FD2"/>
    <w:rsid w:val="00364261"/>
    <w:rsid w:val="00364DA4"/>
    <w:rsid w:val="00364E8E"/>
    <w:rsid w:val="00365583"/>
    <w:rsid w:val="003658B1"/>
    <w:rsid w:val="003665E5"/>
    <w:rsid w:val="00370932"/>
    <w:rsid w:val="00370F4D"/>
    <w:rsid w:val="00371932"/>
    <w:rsid w:val="00371E9B"/>
    <w:rsid w:val="00372BDF"/>
    <w:rsid w:val="00372C51"/>
    <w:rsid w:val="00373BAE"/>
    <w:rsid w:val="003749F1"/>
    <w:rsid w:val="00374A0C"/>
    <w:rsid w:val="0037543F"/>
    <w:rsid w:val="00375E5E"/>
    <w:rsid w:val="003761D4"/>
    <w:rsid w:val="003778FD"/>
    <w:rsid w:val="003800D5"/>
    <w:rsid w:val="00380343"/>
    <w:rsid w:val="003816D4"/>
    <w:rsid w:val="00383074"/>
    <w:rsid w:val="003833E4"/>
    <w:rsid w:val="003834A7"/>
    <w:rsid w:val="00383AB9"/>
    <w:rsid w:val="00385BED"/>
    <w:rsid w:val="003873C2"/>
    <w:rsid w:val="00390D3D"/>
    <w:rsid w:val="00390D77"/>
    <w:rsid w:val="00391953"/>
    <w:rsid w:val="00392235"/>
    <w:rsid w:val="0039282D"/>
    <w:rsid w:val="003929FC"/>
    <w:rsid w:val="00395891"/>
    <w:rsid w:val="00395FC1"/>
    <w:rsid w:val="00396C80"/>
    <w:rsid w:val="0039729E"/>
    <w:rsid w:val="003A0C97"/>
    <w:rsid w:val="003A133F"/>
    <w:rsid w:val="003A232C"/>
    <w:rsid w:val="003A43FB"/>
    <w:rsid w:val="003A48D9"/>
    <w:rsid w:val="003A4927"/>
    <w:rsid w:val="003A5045"/>
    <w:rsid w:val="003A5B41"/>
    <w:rsid w:val="003A78A9"/>
    <w:rsid w:val="003B0349"/>
    <w:rsid w:val="003B0711"/>
    <w:rsid w:val="003B0C6D"/>
    <w:rsid w:val="003B104D"/>
    <w:rsid w:val="003B235C"/>
    <w:rsid w:val="003B3226"/>
    <w:rsid w:val="003B41F8"/>
    <w:rsid w:val="003B6F0B"/>
    <w:rsid w:val="003B7C68"/>
    <w:rsid w:val="003C00D0"/>
    <w:rsid w:val="003C0DD7"/>
    <w:rsid w:val="003C29A6"/>
    <w:rsid w:val="003C3EE3"/>
    <w:rsid w:val="003C5DE3"/>
    <w:rsid w:val="003C74DB"/>
    <w:rsid w:val="003C7AF1"/>
    <w:rsid w:val="003C7B01"/>
    <w:rsid w:val="003D059B"/>
    <w:rsid w:val="003D0BD8"/>
    <w:rsid w:val="003D1007"/>
    <w:rsid w:val="003D17D4"/>
    <w:rsid w:val="003D24C2"/>
    <w:rsid w:val="003D544E"/>
    <w:rsid w:val="003D6991"/>
    <w:rsid w:val="003D7DCA"/>
    <w:rsid w:val="003D7F19"/>
    <w:rsid w:val="003E1EA5"/>
    <w:rsid w:val="003E29E1"/>
    <w:rsid w:val="003E6524"/>
    <w:rsid w:val="003E6546"/>
    <w:rsid w:val="003E6C20"/>
    <w:rsid w:val="003E7435"/>
    <w:rsid w:val="003E7541"/>
    <w:rsid w:val="003E7A58"/>
    <w:rsid w:val="003F0772"/>
    <w:rsid w:val="003F1F94"/>
    <w:rsid w:val="003F24CB"/>
    <w:rsid w:val="003F2D8B"/>
    <w:rsid w:val="003F6552"/>
    <w:rsid w:val="0040325B"/>
    <w:rsid w:val="004048C1"/>
    <w:rsid w:val="0040588D"/>
    <w:rsid w:val="00405F3E"/>
    <w:rsid w:val="0040607D"/>
    <w:rsid w:val="00407786"/>
    <w:rsid w:val="00407CFC"/>
    <w:rsid w:val="00407E50"/>
    <w:rsid w:val="004108AC"/>
    <w:rsid w:val="004115B6"/>
    <w:rsid w:val="00413C04"/>
    <w:rsid w:val="004152D0"/>
    <w:rsid w:val="00415441"/>
    <w:rsid w:val="00415F4B"/>
    <w:rsid w:val="00417F88"/>
    <w:rsid w:val="00417FA6"/>
    <w:rsid w:val="0042318E"/>
    <w:rsid w:val="00423B40"/>
    <w:rsid w:val="00423F53"/>
    <w:rsid w:val="00424855"/>
    <w:rsid w:val="00424859"/>
    <w:rsid w:val="004251A9"/>
    <w:rsid w:val="004252B1"/>
    <w:rsid w:val="004255C1"/>
    <w:rsid w:val="00425B84"/>
    <w:rsid w:val="00430B34"/>
    <w:rsid w:val="0043134E"/>
    <w:rsid w:val="00431D00"/>
    <w:rsid w:val="00433F6D"/>
    <w:rsid w:val="00434654"/>
    <w:rsid w:val="0043523A"/>
    <w:rsid w:val="00435AFA"/>
    <w:rsid w:val="004406C1"/>
    <w:rsid w:val="0044172A"/>
    <w:rsid w:val="00441950"/>
    <w:rsid w:val="004424F1"/>
    <w:rsid w:val="004445ED"/>
    <w:rsid w:val="00444FF8"/>
    <w:rsid w:val="004450CE"/>
    <w:rsid w:val="00446465"/>
    <w:rsid w:val="00451DDD"/>
    <w:rsid w:val="00453ABE"/>
    <w:rsid w:val="004545A5"/>
    <w:rsid w:val="004549BD"/>
    <w:rsid w:val="00455202"/>
    <w:rsid w:val="0045549E"/>
    <w:rsid w:val="00456200"/>
    <w:rsid w:val="0045656D"/>
    <w:rsid w:val="00456D19"/>
    <w:rsid w:val="00456D29"/>
    <w:rsid w:val="00457F30"/>
    <w:rsid w:val="0046089A"/>
    <w:rsid w:val="0046154F"/>
    <w:rsid w:val="00462B9E"/>
    <w:rsid w:val="00462EF0"/>
    <w:rsid w:val="0046313A"/>
    <w:rsid w:val="00463B2D"/>
    <w:rsid w:val="00463F0A"/>
    <w:rsid w:val="004661D1"/>
    <w:rsid w:val="004671E2"/>
    <w:rsid w:val="004675AE"/>
    <w:rsid w:val="00467AA1"/>
    <w:rsid w:val="004709DD"/>
    <w:rsid w:val="00471171"/>
    <w:rsid w:val="00471F31"/>
    <w:rsid w:val="004728A3"/>
    <w:rsid w:val="00473C51"/>
    <w:rsid w:val="00474594"/>
    <w:rsid w:val="00474ADB"/>
    <w:rsid w:val="004825CE"/>
    <w:rsid w:val="0048510A"/>
    <w:rsid w:val="00486449"/>
    <w:rsid w:val="004877D4"/>
    <w:rsid w:val="0048799A"/>
    <w:rsid w:val="00487F25"/>
    <w:rsid w:val="00493441"/>
    <w:rsid w:val="004934E2"/>
    <w:rsid w:val="004947FF"/>
    <w:rsid w:val="00495AE2"/>
    <w:rsid w:val="004961ED"/>
    <w:rsid w:val="004968DC"/>
    <w:rsid w:val="00496F02"/>
    <w:rsid w:val="004A01F6"/>
    <w:rsid w:val="004A0505"/>
    <w:rsid w:val="004A0703"/>
    <w:rsid w:val="004A1E4F"/>
    <w:rsid w:val="004A2971"/>
    <w:rsid w:val="004A3CF9"/>
    <w:rsid w:val="004A4633"/>
    <w:rsid w:val="004A4DE4"/>
    <w:rsid w:val="004A7396"/>
    <w:rsid w:val="004A7547"/>
    <w:rsid w:val="004B144A"/>
    <w:rsid w:val="004B147F"/>
    <w:rsid w:val="004B3F74"/>
    <w:rsid w:val="004B49C3"/>
    <w:rsid w:val="004B4CFC"/>
    <w:rsid w:val="004B4EB2"/>
    <w:rsid w:val="004B52F0"/>
    <w:rsid w:val="004B5671"/>
    <w:rsid w:val="004B5C87"/>
    <w:rsid w:val="004B6BC2"/>
    <w:rsid w:val="004B70D5"/>
    <w:rsid w:val="004B739A"/>
    <w:rsid w:val="004C01CE"/>
    <w:rsid w:val="004C14A5"/>
    <w:rsid w:val="004C14CE"/>
    <w:rsid w:val="004C1756"/>
    <w:rsid w:val="004C1B48"/>
    <w:rsid w:val="004C1C78"/>
    <w:rsid w:val="004C24C0"/>
    <w:rsid w:val="004C256C"/>
    <w:rsid w:val="004C2A4C"/>
    <w:rsid w:val="004C45F9"/>
    <w:rsid w:val="004C5441"/>
    <w:rsid w:val="004C6157"/>
    <w:rsid w:val="004C6B03"/>
    <w:rsid w:val="004D005C"/>
    <w:rsid w:val="004D07B6"/>
    <w:rsid w:val="004D14BF"/>
    <w:rsid w:val="004D2B80"/>
    <w:rsid w:val="004D5475"/>
    <w:rsid w:val="004D582F"/>
    <w:rsid w:val="004D5C8C"/>
    <w:rsid w:val="004D6B98"/>
    <w:rsid w:val="004D6F3F"/>
    <w:rsid w:val="004D7FF5"/>
    <w:rsid w:val="004E05EC"/>
    <w:rsid w:val="004E0905"/>
    <w:rsid w:val="004E0BED"/>
    <w:rsid w:val="004E0E2C"/>
    <w:rsid w:val="004E4E4F"/>
    <w:rsid w:val="004E58B0"/>
    <w:rsid w:val="004E7A7B"/>
    <w:rsid w:val="004F0214"/>
    <w:rsid w:val="004F1FAE"/>
    <w:rsid w:val="004F2AFE"/>
    <w:rsid w:val="004F3C12"/>
    <w:rsid w:val="004F43F6"/>
    <w:rsid w:val="004F548D"/>
    <w:rsid w:val="004F64F9"/>
    <w:rsid w:val="004F689D"/>
    <w:rsid w:val="004F6F9F"/>
    <w:rsid w:val="004F7D5E"/>
    <w:rsid w:val="00501306"/>
    <w:rsid w:val="005016A8"/>
    <w:rsid w:val="00502454"/>
    <w:rsid w:val="00502939"/>
    <w:rsid w:val="0050473A"/>
    <w:rsid w:val="00505230"/>
    <w:rsid w:val="0050785C"/>
    <w:rsid w:val="00507FE2"/>
    <w:rsid w:val="00511E70"/>
    <w:rsid w:val="00512549"/>
    <w:rsid w:val="005129D5"/>
    <w:rsid w:val="00512B13"/>
    <w:rsid w:val="00512C5C"/>
    <w:rsid w:val="00514AE0"/>
    <w:rsid w:val="005155DA"/>
    <w:rsid w:val="00515FF8"/>
    <w:rsid w:val="0051606C"/>
    <w:rsid w:val="005163B2"/>
    <w:rsid w:val="00516AB0"/>
    <w:rsid w:val="00516B79"/>
    <w:rsid w:val="005175E3"/>
    <w:rsid w:val="00522670"/>
    <w:rsid w:val="00522F95"/>
    <w:rsid w:val="005238DF"/>
    <w:rsid w:val="005250F4"/>
    <w:rsid w:val="00526199"/>
    <w:rsid w:val="00526673"/>
    <w:rsid w:val="005267F0"/>
    <w:rsid w:val="005272D7"/>
    <w:rsid w:val="00527748"/>
    <w:rsid w:val="00527DBD"/>
    <w:rsid w:val="00530304"/>
    <w:rsid w:val="0053193C"/>
    <w:rsid w:val="00532117"/>
    <w:rsid w:val="00532776"/>
    <w:rsid w:val="00533120"/>
    <w:rsid w:val="00533C93"/>
    <w:rsid w:val="00535A8F"/>
    <w:rsid w:val="00536C6C"/>
    <w:rsid w:val="00536F73"/>
    <w:rsid w:val="005370F7"/>
    <w:rsid w:val="005375A0"/>
    <w:rsid w:val="005377ED"/>
    <w:rsid w:val="0054205A"/>
    <w:rsid w:val="0054359D"/>
    <w:rsid w:val="0054396C"/>
    <w:rsid w:val="00544083"/>
    <w:rsid w:val="00544BFB"/>
    <w:rsid w:val="005451F1"/>
    <w:rsid w:val="00546037"/>
    <w:rsid w:val="00546572"/>
    <w:rsid w:val="005468E7"/>
    <w:rsid w:val="00547557"/>
    <w:rsid w:val="00547C90"/>
    <w:rsid w:val="005514E1"/>
    <w:rsid w:val="00552C55"/>
    <w:rsid w:val="00553341"/>
    <w:rsid w:val="005533E5"/>
    <w:rsid w:val="00553B31"/>
    <w:rsid w:val="0055407A"/>
    <w:rsid w:val="0055422A"/>
    <w:rsid w:val="005548FA"/>
    <w:rsid w:val="005553F7"/>
    <w:rsid w:val="005557C9"/>
    <w:rsid w:val="00555B58"/>
    <w:rsid w:val="0056062A"/>
    <w:rsid w:val="00563300"/>
    <w:rsid w:val="00565CC3"/>
    <w:rsid w:val="00566A6D"/>
    <w:rsid w:val="00570F48"/>
    <w:rsid w:val="00571426"/>
    <w:rsid w:val="00573320"/>
    <w:rsid w:val="0057509D"/>
    <w:rsid w:val="005757A9"/>
    <w:rsid w:val="00583875"/>
    <w:rsid w:val="005855C9"/>
    <w:rsid w:val="00586987"/>
    <w:rsid w:val="00590E52"/>
    <w:rsid w:val="005916B5"/>
    <w:rsid w:val="00591BCF"/>
    <w:rsid w:val="0059248F"/>
    <w:rsid w:val="00592B56"/>
    <w:rsid w:val="005935A4"/>
    <w:rsid w:val="00593B4C"/>
    <w:rsid w:val="005945CC"/>
    <w:rsid w:val="005948E5"/>
    <w:rsid w:val="00594AA4"/>
    <w:rsid w:val="00594B82"/>
    <w:rsid w:val="005959C6"/>
    <w:rsid w:val="005959EF"/>
    <w:rsid w:val="00595EA5"/>
    <w:rsid w:val="0059660F"/>
    <w:rsid w:val="00596947"/>
    <w:rsid w:val="00596EC8"/>
    <w:rsid w:val="00597CC6"/>
    <w:rsid w:val="005A057A"/>
    <w:rsid w:val="005A3EE2"/>
    <w:rsid w:val="005A4472"/>
    <w:rsid w:val="005A461A"/>
    <w:rsid w:val="005A51F8"/>
    <w:rsid w:val="005A66BB"/>
    <w:rsid w:val="005A76F6"/>
    <w:rsid w:val="005A7ED8"/>
    <w:rsid w:val="005B0BE8"/>
    <w:rsid w:val="005B0FE2"/>
    <w:rsid w:val="005B3730"/>
    <w:rsid w:val="005B47F5"/>
    <w:rsid w:val="005B5770"/>
    <w:rsid w:val="005B79CF"/>
    <w:rsid w:val="005C15A2"/>
    <w:rsid w:val="005C2530"/>
    <w:rsid w:val="005C361A"/>
    <w:rsid w:val="005C4028"/>
    <w:rsid w:val="005C4CCE"/>
    <w:rsid w:val="005C4D0A"/>
    <w:rsid w:val="005D093A"/>
    <w:rsid w:val="005D6628"/>
    <w:rsid w:val="005D6AA6"/>
    <w:rsid w:val="005D6F51"/>
    <w:rsid w:val="005D78F2"/>
    <w:rsid w:val="005D7F02"/>
    <w:rsid w:val="005E0CD3"/>
    <w:rsid w:val="005E0D22"/>
    <w:rsid w:val="005E1C8D"/>
    <w:rsid w:val="005E2269"/>
    <w:rsid w:val="005E384D"/>
    <w:rsid w:val="005E465F"/>
    <w:rsid w:val="005E48B7"/>
    <w:rsid w:val="005E566C"/>
    <w:rsid w:val="005E6116"/>
    <w:rsid w:val="005E6C55"/>
    <w:rsid w:val="005E6C61"/>
    <w:rsid w:val="005F1704"/>
    <w:rsid w:val="005F1A95"/>
    <w:rsid w:val="005F2D09"/>
    <w:rsid w:val="005F3192"/>
    <w:rsid w:val="005F5618"/>
    <w:rsid w:val="005F61D6"/>
    <w:rsid w:val="005F628C"/>
    <w:rsid w:val="005F649D"/>
    <w:rsid w:val="005F6711"/>
    <w:rsid w:val="005F71F9"/>
    <w:rsid w:val="005F742E"/>
    <w:rsid w:val="005F78A4"/>
    <w:rsid w:val="00602365"/>
    <w:rsid w:val="006047C9"/>
    <w:rsid w:val="0060568D"/>
    <w:rsid w:val="00605DE5"/>
    <w:rsid w:val="00605EC6"/>
    <w:rsid w:val="00607208"/>
    <w:rsid w:val="0060743D"/>
    <w:rsid w:val="006108F6"/>
    <w:rsid w:val="00611864"/>
    <w:rsid w:val="006122E8"/>
    <w:rsid w:val="00612463"/>
    <w:rsid w:val="006135AB"/>
    <w:rsid w:val="00613638"/>
    <w:rsid w:val="00614BDC"/>
    <w:rsid w:val="006160C4"/>
    <w:rsid w:val="00617930"/>
    <w:rsid w:val="006179E2"/>
    <w:rsid w:val="0062050A"/>
    <w:rsid w:val="006211CE"/>
    <w:rsid w:val="00622AC1"/>
    <w:rsid w:val="00623106"/>
    <w:rsid w:val="00623853"/>
    <w:rsid w:val="00623E1F"/>
    <w:rsid w:val="00625080"/>
    <w:rsid w:val="00625183"/>
    <w:rsid w:val="0062600A"/>
    <w:rsid w:val="00626620"/>
    <w:rsid w:val="00627929"/>
    <w:rsid w:val="00630826"/>
    <w:rsid w:val="00630A55"/>
    <w:rsid w:val="00631ADE"/>
    <w:rsid w:val="006320DC"/>
    <w:rsid w:val="006329C1"/>
    <w:rsid w:val="006341C3"/>
    <w:rsid w:val="006342C1"/>
    <w:rsid w:val="0063463F"/>
    <w:rsid w:val="00634CAE"/>
    <w:rsid w:val="00634DA4"/>
    <w:rsid w:val="00635664"/>
    <w:rsid w:val="00635B3D"/>
    <w:rsid w:val="0064019A"/>
    <w:rsid w:val="00641601"/>
    <w:rsid w:val="00641682"/>
    <w:rsid w:val="0064236C"/>
    <w:rsid w:val="006426C1"/>
    <w:rsid w:val="0064282F"/>
    <w:rsid w:val="0064287A"/>
    <w:rsid w:val="006438FA"/>
    <w:rsid w:val="00643B70"/>
    <w:rsid w:val="00643E57"/>
    <w:rsid w:val="00644201"/>
    <w:rsid w:val="006446AE"/>
    <w:rsid w:val="006455B2"/>
    <w:rsid w:val="00645AD8"/>
    <w:rsid w:val="00646072"/>
    <w:rsid w:val="00646220"/>
    <w:rsid w:val="00646601"/>
    <w:rsid w:val="00646DF9"/>
    <w:rsid w:val="00647B92"/>
    <w:rsid w:val="00647BA5"/>
    <w:rsid w:val="0065103A"/>
    <w:rsid w:val="006523BB"/>
    <w:rsid w:val="0065287F"/>
    <w:rsid w:val="00652E5E"/>
    <w:rsid w:val="006547E0"/>
    <w:rsid w:val="006571C0"/>
    <w:rsid w:val="00657F3D"/>
    <w:rsid w:val="006604F3"/>
    <w:rsid w:val="00660B32"/>
    <w:rsid w:val="00662B27"/>
    <w:rsid w:val="0066416A"/>
    <w:rsid w:val="006642F2"/>
    <w:rsid w:val="006645FF"/>
    <w:rsid w:val="00664CDC"/>
    <w:rsid w:val="00664CE2"/>
    <w:rsid w:val="00665000"/>
    <w:rsid w:val="0067155D"/>
    <w:rsid w:val="0067259E"/>
    <w:rsid w:val="006729A8"/>
    <w:rsid w:val="00676E9A"/>
    <w:rsid w:val="00681012"/>
    <w:rsid w:val="006819B8"/>
    <w:rsid w:val="0068249B"/>
    <w:rsid w:val="006826BA"/>
    <w:rsid w:val="00683065"/>
    <w:rsid w:val="0068494B"/>
    <w:rsid w:val="0068530E"/>
    <w:rsid w:val="006901D1"/>
    <w:rsid w:val="00691A7E"/>
    <w:rsid w:val="00691BF3"/>
    <w:rsid w:val="006932FF"/>
    <w:rsid w:val="006941B9"/>
    <w:rsid w:val="006949F7"/>
    <w:rsid w:val="00695027"/>
    <w:rsid w:val="00696A94"/>
    <w:rsid w:val="00697E3B"/>
    <w:rsid w:val="006A1628"/>
    <w:rsid w:val="006A37D0"/>
    <w:rsid w:val="006A584B"/>
    <w:rsid w:val="006A7EA4"/>
    <w:rsid w:val="006B0EC2"/>
    <w:rsid w:val="006B175A"/>
    <w:rsid w:val="006B31F1"/>
    <w:rsid w:val="006B49B9"/>
    <w:rsid w:val="006B5968"/>
    <w:rsid w:val="006B7E65"/>
    <w:rsid w:val="006C01FA"/>
    <w:rsid w:val="006C07F8"/>
    <w:rsid w:val="006C2151"/>
    <w:rsid w:val="006C2581"/>
    <w:rsid w:val="006C7622"/>
    <w:rsid w:val="006C7EE4"/>
    <w:rsid w:val="006D0F13"/>
    <w:rsid w:val="006D1860"/>
    <w:rsid w:val="006D1D1E"/>
    <w:rsid w:val="006D386E"/>
    <w:rsid w:val="006D3CD5"/>
    <w:rsid w:val="006D4F18"/>
    <w:rsid w:val="006D5050"/>
    <w:rsid w:val="006D684A"/>
    <w:rsid w:val="006D6F1B"/>
    <w:rsid w:val="006E0B87"/>
    <w:rsid w:val="006E14D0"/>
    <w:rsid w:val="006E1CAF"/>
    <w:rsid w:val="006E1E77"/>
    <w:rsid w:val="006E2DCD"/>
    <w:rsid w:val="006E4225"/>
    <w:rsid w:val="006E5893"/>
    <w:rsid w:val="006E6803"/>
    <w:rsid w:val="006E6BF2"/>
    <w:rsid w:val="006E6C3A"/>
    <w:rsid w:val="006E7F2B"/>
    <w:rsid w:val="006F1069"/>
    <w:rsid w:val="006F13B8"/>
    <w:rsid w:val="006F1797"/>
    <w:rsid w:val="006F197A"/>
    <w:rsid w:val="006F1A15"/>
    <w:rsid w:val="006F1B1C"/>
    <w:rsid w:val="006F2735"/>
    <w:rsid w:val="006F33FB"/>
    <w:rsid w:val="006F413E"/>
    <w:rsid w:val="006F4B7F"/>
    <w:rsid w:val="006F57C2"/>
    <w:rsid w:val="006F5EEB"/>
    <w:rsid w:val="006F6D6C"/>
    <w:rsid w:val="006F6E44"/>
    <w:rsid w:val="006F7CED"/>
    <w:rsid w:val="00700FDD"/>
    <w:rsid w:val="0070100A"/>
    <w:rsid w:val="0070170D"/>
    <w:rsid w:val="00701DFB"/>
    <w:rsid w:val="007042DB"/>
    <w:rsid w:val="007047B2"/>
    <w:rsid w:val="007052AA"/>
    <w:rsid w:val="00705404"/>
    <w:rsid w:val="007055F4"/>
    <w:rsid w:val="00706799"/>
    <w:rsid w:val="00706C33"/>
    <w:rsid w:val="007079EF"/>
    <w:rsid w:val="007111F5"/>
    <w:rsid w:val="00713D51"/>
    <w:rsid w:val="007146B9"/>
    <w:rsid w:val="00714927"/>
    <w:rsid w:val="00715960"/>
    <w:rsid w:val="00717D8D"/>
    <w:rsid w:val="007204C8"/>
    <w:rsid w:val="00720BE1"/>
    <w:rsid w:val="00720F0E"/>
    <w:rsid w:val="007213CB"/>
    <w:rsid w:val="0072351A"/>
    <w:rsid w:val="00725204"/>
    <w:rsid w:val="00726AF5"/>
    <w:rsid w:val="007304E9"/>
    <w:rsid w:val="007306DD"/>
    <w:rsid w:val="0073136F"/>
    <w:rsid w:val="00731A30"/>
    <w:rsid w:val="0073244A"/>
    <w:rsid w:val="0073269D"/>
    <w:rsid w:val="00732BD2"/>
    <w:rsid w:val="00733120"/>
    <w:rsid w:val="007333A3"/>
    <w:rsid w:val="007333A6"/>
    <w:rsid w:val="00733DE6"/>
    <w:rsid w:val="00733E21"/>
    <w:rsid w:val="00735EA5"/>
    <w:rsid w:val="0073601F"/>
    <w:rsid w:val="007361AE"/>
    <w:rsid w:val="007375E6"/>
    <w:rsid w:val="0073776E"/>
    <w:rsid w:val="00743948"/>
    <w:rsid w:val="00744D9B"/>
    <w:rsid w:val="007463B8"/>
    <w:rsid w:val="007466C2"/>
    <w:rsid w:val="007467AB"/>
    <w:rsid w:val="0074709F"/>
    <w:rsid w:val="00747C2B"/>
    <w:rsid w:val="00747CED"/>
    <w:rsid w:val="007538F8"/>
    <w:rsid w:val="00756546"/>
    <w:rsid w:val="007571DE"/>
    <w:rsid w:val="0075739F"/>
    <w:rsid w:val="00760E4F"/>
    <w:rsid w:val="00761C7A"/>
    <w:rsid w:val="0076201A"/>
    <w:rsid w:val="007626AD"/>
    <w:rsid w:val="007628C0"/>
    <w:rsid w:val="007631BB"/>
    <w:rsid w:val="007637BC"/>
    <w:rsid w:val="00763FF2"/>
    <w:rsid w:val="00763FF4"/>
    <w:rsid w:val="00764844"/>
    <w:rsid w:val="007651BC"/>
    <w:rsid w:val="0076790B"/>
    <w:rsid w:val="00767BD9"/>
    <w:rsid w:val="00770910"/>
    <w:rsid w:val="007714D2"/>
    <w:rsid w:val="00771D87"/>
    <w:rsid w:val="00772AAE"/>
    <w:rsid w:val="00773801"/>
    <w:rsid w:val="007758B4"/>
    <w:rsid w:val="00776BCF"/>
    <w:rsid w:val="007776A6"/>
    <w:rsid w:val="00777AD0"/>
    <w:rsid w:val="00777F46"/>
    <w:rsid w:val="00777F75"/>
    <w:rsid w:val="007801A5"/>
    <w:rsid w:val="00780ECB"/>
    <w:rsid w:val="00781423"/>
    <w:rsid w:val="00781ABC"/>
    <w:rsid w:val="0078201F"/>
    <w:rsid w:val="00782074"/>
    <w:rsid w:val="007835F0"/>
    <w:rsid w:val="00783C50"/>
    <w:rsid w:val="007854CB"/>
    <w:rsid w:val="007870E4"/>
    <w:rsid w:val="00787AFF"/>
    <w:rsid w:val="00790BEF"/>
    <w:rsid w:val="00791DB6"/>
    <w:rsid w:val="00791F27"/>
    <w:rsid w:val="007921C2"/>
    <w:rsid w:val="0079375D"/>
    <w:rsid w:val="007943C3"/>
    <w:rsid w:val="00794A3C"/>
    <w:rsid w:val="00794B81"/>
    <w:rsid w:val="00794C64"/>
    <w:rsid w:val="00794F0E"/>
    <w:rsid w:val="007961C4"/>
    <w:rsid w:val="00796F94"/>
    <w:rsid w:val="007975C9"/>
    <w:rsid w:val="0079789B"/>
    <w:rsid w:val="00797BE0"/>
    <w:rsid w:val="007A00F5"/>
    <w:rsid w:val="007A0EDD"/>
    <w:rsid w:val="007A1565"/>
    <w:rsid w:val="007A2DE4"/>
    <w:rsid w:val="007A34D4"/>
    <w:rsid w:val="007A45B1"/>
    <w:rsid w:val="007A6272"/>
    <w:rsid w:val="007B109B"/>
    <w:rsid w:val="007B25BA"/>
    <w:rsid w:val="007B2B29"/>
    <w:rsid w:val="007B3EB0"/>
    <w:rsid w:val="007B5374"/>
    <w:rsid w:val="007B5950"/>
    <w:rsid w:val="007B5EFB"/>
    <w:rsid w:val="007B709A"/>
    <w:rsid w:val="007B7DBC"/>
    <w:rsid w:val="007C07B0"/>
    <w:rsid w:val="007C0F10"/>
    <w:rsid w:val="007C1DD4"/>
    <w:rsid w:val="007C23C5"/>
    <w:rsid w:val="007C317A"/>
    <w:rsid w:val="007C6457"/>
    <w:rsid w:val="007C6C54"/>
    <w:rsid w:val="007C6F42"/>
    <w:rsid w:val="007C7684"/>
    <w:rsid w:val="007D029F"/>
    <w:rsid w:val="007D0754"/>
    <w:rsid w:val="007D280C"/>
    <w:rsid w:val="007D33B5"/>
    <w:rsid w:val="007D3C55"/>
    <w:rsid w:val="007D475D"/>
    <w:rsid w:val="007D55D4"/>
    <w:rsid w:val="007D63E5"/>
    <w:rsid w:val="007D6C14"/>
    <w:rsid w:val="007D785E"/>
    <w:rsid w:val="007D7FEE"/>
    <w:rsid w:val="007E22B2"/>
    <w:rsid w:val="007E233E"/>
    <w:rsid w:val="007E399A"/>
    <w:rsid w:val="007E5205"/>
    <w:rsid w:val="007E58D5"/>
    <w:rsid w:val="007E621E"/>
    <w:rsid w:val="007E7571"/>
    <w:rsid w:val="007E7C48"/>
    <w:rsid w:val="007E7C4E"/>
    <w:rsid w:val="007E7FE9"/>
    <w:rsid w:val="007F0DD3"/>
    <w:rsid w:val="007F10EE"/>
    <w:rsid w:val="007F29D4"/>
    <w:rsid w:val="007F392F"/>
    <w:rsid w:val="007F41BD"/>
    <w:rsid w:val="007F42C5"/>
    <w:rsid w:val="007F48FE"/>
    <w:rsid w:val="007F4C2C"/>
    <w:rsid w:val="007F4C4F"/>
    <w:rsid w:val="007F4CCA"/>
    <w:rsid w:val="007F5396"/>
    <w:rsid w:val="007F5B62"/>
    <w:rsid w:val="007F622D"/>
    <w:rsid w:val="007F65FF"/>
    <w:rsid w:val="007F6DC4"/>
    <w:rsid w:val="008002BC"/>
    <w:rsid w:val="00800573"/>
    <w:rsid w:val="008005CC"/>
    <w:rsid w:val="00800F22"/>
    <w:rsid w:val="008017CA"/>
    <w:rsid w:val="00803C50"/>
    <w:rsid w:val="00804639"/>
    <w:rsid w:val="00804AE0"/>
    <w:rsid w:val="008055D6"/>
    <w:rsid w:val="00807275"/>
    <w:rsid w:val="008076C9"/>
    <w:rsid w:val="0081191F"/>
    <w:rsid w:val="00811967"/>
    <w:rsid w:val="008127DA"/>
    <w:rsid w:val="0081459B"/>
    <w:rsid w:val="00814670"/>
    <w:rsid w:val="00814692"/>
    <w:rsid w:val="00814D5C"/>
    <w:rsid w:val="008152FA"/>
    <w:rsid w:val="00816695"/>
    <w:rsid w:val="00820390"/>
    <w:rsid w:val="008209DE"/>
    <w:rsid w:val="008209FB"/>
    <w:rsid w:val="00820A3A"/>
    <w:rsid w:val="00820E96"/>
    <w:rsid w:val="0082151E"/>
    <w:rsid w:val="0082239E"/>
    <w:rsid w:val="00824C4F"/>
    <w:rsid w:val="008254CB"/>
    <w:rsid w:val="0082647E"/>
    <w:rsid w:val="00826C0F"/>
    <w:rsid w:val="00826CFF"/>
    <w:rsid w:val="008276B1"/>
    <w:rsid w:val="008339EF"/>
    <w:rsid w:val="00833BC1"/>
    <w:rsid w:val="00834840"/>
    <w:rsid w:val="00834A47"/>
    <w:rsid w:val="00834DCF"/>
    <w:rsid w:val="008360FB"/>
    <w:rsid w:val="00837371"/>
    <w:rsid w:val="00837ED7"/>
    <w:rsid w:val="00840501"/>
    <w:rsid w:val="0084052F"/>
    <w:rsid w:val="00840BAE"/>
    <w:rsid w:val="00841A3A"/>
    <w:rsid w:val="00841DD2"/>
    <w:rsid w:val="0084332B"/>
    <w:rsid w:val="008434BD"/>
    <w:rsid w:val="008446A1"/>
    <w:rsid w:val="00844B44"/>
    <w:rsid w:val="00844B82"/>
    <w:rsid w:val="00844CD1"/>
    <w:rsid w:val="00844FCB"/>
    <w:rsid w:val="008455EA"/>
    <w:rsid w:val="008457B1"/>
    <w:rsid w:val="008520F6"/>
    <w:rsid w:val="00852C77"/>
    <w:rsid w:val="008561C0"/>
    <w:rsid w:val="00856FD9"/>
    <w:rsid w:val="00860D22"/>
    <w:rsid w:val="00861071"/>
    <w:rsid w:val="008620DF"/>
    <w:rsid w:val="008628E0"/>
    <w:rsid w:val="00863563"/>
    <w:rsid w:val="00864443"/>
    <w:rsid w:val="008668DA"/>
    <w:rsid w:val="00867198"/>
    <w:rsid w:val="00867ADB"/>
    <w:rsid w:val="008706B8"/>
    <w:rsid w:val="008710E0"/>
    <w:rsid w:val="00871CC6"/>
    <w:rsid w:val="00872820"/>
    <w:rsid w:val="00872950"/>
    <w:rsid w:val="008742A1"/>
    <w:rsid w:val="008744EA"/>
    <w:rsid w:val="00875776"/>
    <w:rsid w:val="0087596C"/>
    <w:rsid w:val="00875F7D"/>
    <w:rsid w:val="00876321"/>
    <w:rsid w:val="00876975"/>
    <w:rsid w:val="00877564"/>
    <w:rsid w:val="00881535"/>
    <w:rsid w:val="00882FFD"/>
    <w:rsid w:val="0088394F"/>
    <w:rsid w:val="00883AF1"/>
    <w:rsid w:val="00883D8C"/>
    <w:rsid w:val="008845A3"/>
    <w:rsid w:val="00884690"/>
    <w:rsid w:val="00885430"/>
    <w:rsid w:val="0088670E"/>
    <w:rsid w:val="0089078A"/>
    <w:rsid w:val="0089161B"/>
    <w:rsid w:val="008918F0"/>
    <w:rsid w:val="00891942"/>
    <w:rsid w:val="008928AF"/>
    <w:rsid w:val="00894601"/>
    <w:rsid w:val="00894B63"/>
    <w:rsid w:val="00895411"/>
    <w:rsid w:val="008959E8"/>
    <w:rsid w:val="00896678"/>
    <w:rsid w:val="00897676"/>
    <w:rsid w:val="008A005F"/>
    <w:rsid w:val="008A04D7"/>
    <w:rsid w:val="008A1379"/>
    <w:rsid w:val="008A2564"/>
    <w:rsid w:val="008A522F"/>
    <w:rsid w:val="008A69FF"/>
    <w:rsid w:val="008B0A16"/>
    <w:rsid w:val="008B12B5"/>
    <w:rsid w:val="008B3591"/>
    <w:rsid w:val="008B4005"/>
    <w:rsid w:val="008B4C32"/>
    <w:rsid w:val="008B4DF3"/>
    <w:rsid w:val="008B72C5"/>
    <w:rsid w:val="008B77EE"/>
    <w:rsid w:val="008C1F62"/>
    <w:rsid w:val="008C39C4"/>
    <w:rsid w:val="008C669B"/>
    <w:rsid w:val="008C6893"/>
    <w:rsid w:val="008C6B3F"/>
    <w:rsid w:val="008C735A"/>
    <w:rsid w:val="008C74D1"/>
    <w:rsid w:val="008D3664"/>
    <w:rsid w:val="008D37C2"/>
    <w:rsid w:val="008D4358"/>
    <w:rsid w:val="008D55E3"/>
    <w:rsid w:val="008D670F"/>
    <w:rsid w:val="008D7B28"/>
    <w:rsid w:val="008E1FD5"/>
    <w:rsid w:val="008E5D31"/>
    <w:rsid w:val="008E629E"/>
    <w:rsid w:val="008E7D7D"/>
    <w:rsid w:val="008F0367"/>
    <w:rsid w:val="008F0F8C"/>
    <w:rsid w:val="008F24A0"/>
    <w:rsid w:val="008F272E"/>
    <w:rsid w:val="008F37AB"/>
    <w:rsid w:val="008F6AE5"/>
    <w:rsid w:val="008F727E"/>
    <w:rsid w:val="0090108C"/>
    <w:rsid w:val="00901AE7"/>
    <w:rsid w:val="009028AD"/>
    <w:rsid w:val="00902C4C"/>
    <w:rsid w:val="00902D94"/>
    <w:rsid w:val="0090344E"/>
    <w:rsid w:val="00904939"/>
    <w:rsid w:val="00904DD8"/>
    <w:rsid w:val="009054C2"/>
    <w:rsid w:val="009057E6"/>
    <w:rsid w:val="00905830"/>
    <w:rsid w:val="00907786"/>
    <w:rsid w:val="0091002C"/>
    <w:rsid w:val="00910311"/>
    <w:rsid w:val="00910540"/>
    <w:rsid w:val="00910F9D"/>
    <w:rsid w:val="009119E0"/>
    <w:rsid w:val="00911ED2"/>
    <w:rsid w:val="009132FE"/>
    <w:rsid w:val="009139A5"/>
    <w:rsid w:val="00913E16"/>
    <w:rsid w:val="00913F6D"/>
    <w:rsid w:val="00914343"/>
    <w:rsid w:val="00914A5B"/>
    <w:rsid w:val="00915566"/>
    <w:rsid w:val="009159F7"/>
    <w:rsid w:val="00916E81"/>
    <w:rsid w:val="009179D1"/>
    <w:rsid w:val="009230FE"/>
    <w:rsid w:val="00923651"/>
    <w:rsid w:val="00923BFF"/>
    <w:rsid w:val="009247C9"/>
    <w:rsid w:val="0092486D"/>
    <w:rsid w:val="009269FD"/>
    <w:rsid w:val="00927EF1"/>
    <w:rsid w:val="009309EA"/>
    <w:rsid w:val="009314ED"/>
    <w:rsid w:val="009319BD"/>
    <w:rsid w:val="00932168"/>
    <w:rsid w:val="00933AB0"/>
    <w:rsid w:val="00935EEB"/>
    <w:rsid w:val="009376A3"/>
    <w:rsid w:val="009407A7"/>
    <w:rsid w:val="0094119C"/>
    <w:rsid w:val="00941375"/>
    <w:rsid w:val="0094145F"/>
    <w:rsid w:val="0094219A"/>
    <w:rsid w:val="00943886"/>
    <w:rsid w:val="00945137"/>
    <w:rsid w:val="00946004"/>
    <w:rsid w:val="00947C90"/>
    <w:rsid w:val="00947F95"/>
    <w:rsid w:val="00951291"/>
    <w:rsid w:val="00951AB5"/>
    <w:rsid w:val="00955138"/>
    <w:rsid w:val="0095687C"/>
    <w:rsid w:val="009572F1"/>
    <w:rsid w:val="009600D6"/>
    <w:rsid w:val="009600E7"/>
    <w:rsid w:val="009613DC"/>
    <w:rsid w:val="0096371A"/>
    <w:rsid w:val="009648F3"/>
    <w:rsid w:val="00964DA7"/>
    <w:rsid w:val="009660CB"/>
    <w:rsid w:val="0096682A"/>
    <w:rsid w:val="00970118"/>
    <w:rsid w:val="009706F9"/>
    <w:rsid w:val="009719B4"/>
    <w:rsid w:val="00973248"/>
    <w:rsid w:val="009732C5"/>
    <w:rsid w:val="0097455E"/>
    <w:rsid w:val="009749D7"/>
    <w:rsid w:val="00975464"/>
    <w:rsid w:val="009755E5"/>
    <w:rsid w:val="00975920"/>
    <w:rsid w:val="00975F81"/>
    <w:rsid w:val="0097624A"/>
    <w:rsid w:val="00976714"/>
    <w:rsid w:val="0097721C"/>
    <w:rsid w:val="009773D0"/>
    <w:rsid w:val="009777A6"/>
    <w:rsid w:val="00981B2E"/>
    <w:rsid w:val="009822E0"/>
    <w:rsid w:val="00984837"/>
    <w:rsid w:val="00985013"/>
    <w:rsid w:val="0098683A"/>
    <w:rsid w:val="0098767F"/>
    <w:rsid w:val="00987D4D"/>
    <w:rsid w:val="00991660"/>
    <w:rsid w:val="00993C75"/>
    <w:rsid w:val="00994B67"/>
    <w:rsid w:val="00995274"/>
    <w:rsid w:val="0099570D"/>
    <w:rsid w:val="00996C2E"/>
    <w:rsid w:val="00997574"/>
    <w:rsid w:val="009975A8"/>
    <w:rsid w:val="00997F3A"/>
    <w:rsid w:val="009A07E8"/>
    <w:rsid w:val="009A13C9"/>
    <w:rsid w:val="009A1EAA"/>
    <w:rsid w:val="009A22E3"/>
    <w:rsid w:val="009A246D"/>
    <w:rsid w:val="009A2C60"/>
    <w:rsid w:val="009A47D6"/>
    <w:rsid w:val="009A4866"/>
    <w:rsid w:val="009A4D29"/>
    <w:rsid w:val="009A5EC1"/>
    <w:rsid w:val="009A696B"/>
    <w:rsid w:val="009A73EB"/>
    <w:rsid w:val="009B1674"/>
    <w:rsid w:val="009B1DB1"/>
    <w:rsid w:val="009B1FDB"/>
    <w:rsid w:val="009B2198"/>
    <w:rsid w:val="009B2D45"/>
    <w:rsid w:val="009B407F"/>
    <w:rsid w:val="009B607B"/>
    <w:rsid w:val="009B656A"/>
    <w:rsid w:val="009C06CB"/>
    <w:rsid w:val="009C0F53"/>
    <w:rsid w:val="009C13BE"/>
    <w:rsid w:val="009C1582"/>
    <w:rsid w:val="009C1888"/>
    <w:rsid w:val="009C4F59"/>
    <w:rsid w:val="009C507E"/>
    <w:rsid w:val="009C5870"/>
    <w:rsid w:val="009C6745"/>
    <w:rsid w:val="009C6DF9"/>
    <w:rsid w:val="009D0925"/>
    <w:rsid w:val="009D556B"/>
    <w:rsid w:val="009D57AB"/>
    <w:rsid w:val="009D5E42"/>
    <w:rsid w:val="009D6260"/>
    <w:rsid w:val="009D6B02"/>
    <w:rsid w:val="009D7704"/>
    <w:rsid w:val="009D7ED2"/>
    <w:rsid w:val="009E16B6"/>
    <w:rsid w:val="009E1B91"/>
    <w:rsid w:val="009E278D"/>
    <w:rsid w:val="009E49AC"/>
    <w:rsid w:val="009E5286"/>
    <w:rsid w:val="009E530B"/>
    <w:rsid w:val="009E5CAA"/>
    <w:rsid w:val="009E609E"/>
    <w:rsid w:val="009E73A7"/>
    <w:rsid w:val="009F3226"/>
    <w:rsid w:val="009F3354"/>
    <w:rsid w:val="009F3471"/>
    <w:rsid w:val="009F3B95"/>
    <w:rsid w:val="009F511B"/>
    <w:rsid w:val="009F5AC9"/>
    <w:rsid w:val="009F61F5"/>
    <w:rsid w:val="009F6691"/>
    <w:rsid w:val="00A012E8"/>
    <w:rsid w:val="00A037EB"/>
    <w:rsid w:val="00A04E26"/>
    <w:rsid w:val="00A06280"/>
    <w:rsid w:val="00A06985"/>
    <w:rsid w:val="00A06DDB"/>
    <w:rsid w:val="00A06EC9"/>
    <w:rsid w:val="00A071F1"/>
    <w:rsid w:val="00A0741E"/>
    <w:rsid w:val="00A1167D"/>
    <w:rsid w:val="00A13525"/>
    <w:rsid w:val="00A144F2"/>
    <w:rsid w:val="00A1640A"/>
    <w:rsid w:val="00A21E1E"/>
    <w:rsid w:val="00A22119"/>
    <w:rsid w:val="00A22BBB"/>
    <w:rsid w:val="00A23243"/>
    <w:rsid w:val="00A23453"/>
    <w:rsid w:val="00A24DCE"/>
    <w:rsid w:val="00A24DD9"/>
    <w:rsid w:val="00A2648D"/>
    <w:rsid w:val="00A26FAA"/>
    <w:rsid w:val="00A27039"/>
    <w:rsid w:val="00A277DB"/>
    <w:rsid w:val="00A30EF1"/>
    <w:rsid w:val="00A31B66"/>
    <w:rsid w:val="00A31D14"/>
    <w:rsid w:val="00A32F74"/>
    <w:rsid w:val="00A347CF"/>
    <w:rsid w:val="00A3568E"/>
    <w:rsid w:val="00A3672E"/>
    <w:rsid w:val="00A37BE7"/>
    <w:rsid w:val="00A41718"/>
    <w:rsid w:val="00A4192B"/>
    <w:rsid w:val="00A4222C"/>
    <w:rsid w:val="00A427B7"/>
    <w:rsid w:val="00A44C6A"/>
    <w:rsid w:val="00A452EE"/>
    <w:rsid w:val="00A454E7"/>
    <w:rsid w:val="00A4556E"/>
    <w:rsid w:val="00A467CA"/>
    <w:rsid w:val="00A479AB"/>
    <w:rsid w:val="00A507B5"/>
    <w:rsid w:val="00A518B9"/>
    <w:rsid w:val="00A52362"/>
    <w:rsid w:val="00A528E3"/>
    <w:rsid w:val="00A5306B"/>
    <w:rsid w:val="00A55B4E"/>
    <w:rsid w:val="00A567B1"/>
    <w:rsid w:val="00A5759B"/>
    <w:rsid w:val="00A57BEC"/>
    <w:rsid w:val="00A57E81"/>
    <w:rsid w:val="00A623A9"/>
    <w:rsid w:val="00A6315A"/>
    <w:rsid w:val="00A64C45"/>
    <w:rsid w:val="00A66BFA"/>
    <w:rsid w:val="00A67B2A"/>
    <w:rsid w:val="00A71BAE"/>
    <w:rsid w:val="00A71C25"/>
    <w:rsid w:val="00A71D7C"/>
    <w:rsid w:val="00A73305"/>
    <w:rsid w:val="00A73B74"/>
    <w:rsid w:val="00A73F34"/>
    <w:rsid w:val="00A74818"/>
    <w:rsid w:val="00A74F03"/>
    <w:rsid w:val="00A765C6"/>
    <w:rsid w:val="00A767DB"/>
    <w:rsid w:val="00A76B7E"/>
    <w:rsid w:val="00A821B7"/>
    <w:rsid w:val="00A82B0A"/>
    <w:rsid w:val="00A83DB5"/>
    <w:rsid w:val="00A87319"/>
    <w:rsid w:val="00A87A05"/>
    <w:rsid w:val="00A87B9F"/>
    <w:rsid w:val="00A90B55"/>
    <w:rsid w:val="00A922D8"/>
    <w:rsid w:val="00A92532"/>
    <w:rsid w:val="00A94C80"/>
    <w:rsid w:val="00A958AA"/>
    <w:rsid w:val="00A96131"/>
    <w:rsid w:val="00A96344"/>
    <w:rsid w:val="00A971D3"/>
    <w:rsid w:val="00AA0FF7"/>
    <w:rsid w:val="00AA100D"/>
    <w:rsid w:val="00AA1016"/>
    <w:rsid w:val="00AA151A"/>
    <w:rsid w:val="00AA2B89"/>
    <w:rsid w:val="00AA538D"/>
    <w:rsid w:val="00AA542F"/>
    <w:rsid w:val="00AA5C18"/>
    <w:rsid w:val="00AA65ED"/>
    <w:rsid w:val="00AA755A"/>
    <w:rsid w:val="00AA7B61"/>
    <w:rsid w:val="00AA7CCF"/>
    <w:rsid w:val="00AA7F29"/>
    <w:rsid w:val="00AB21E7"/>
    <w:rsid w:val="00AB312B"/>
    <w:rsid w:val="00AB3FD4"/>
    <w:rsid w:val="00AB45B6"/>
    <w:rsid w:val="00AB4EEF"/>
    <w:rsid w:val="00AB5291"/>
    <w:rsid w:val="00AB6CB2"/>
    <w:rsid w:val="00AB79A9"/>
    <w:rsid w:val="00AC0417"/>
    <w:rsid w:val="00AC05A8"/>
    <w:rsid w:val="00AC19DC"/>
    <w:rsid w:val="00AC2416"/>
    <w:rsid w:val="00AC2971"/>
    <w:rsid w:val="00AC2A87"/>
    <w:rsid w:val="00AC2D28"/>
    <w:rsid w:val="00AC37BD"/>
    <w:rsid w:val="00AC4EEE"/>
    <w:rsid w:val="00AC4FB6"/>
    <w:rsid w:val="00AC5658"/>
    <w:rsid w:val="00AC5F1C"/>
    <w:rsid w:val="00AC7A14"/>
    <w:rsid w:val="00AD0B55"/>
    <w:rsid w:val="00AD265D"/>
    <w:rsid w:val="00AD2E65"/>
    <w:rsid w:val="00AD443B"/>
    <w:rsid w:val="00AD63A9"/>
    <w:rsid w:val="00AE0864"/>
    <w:rsid w:val="00AE116D"/>
    <w:rsid w:val="00AE15A5"/>
    <w:rsid w:val="00AE20D6"/>
    <w:rsid w:val="00AE372D"/>
    <w:rsid w:val="00AE4737"/>
    <w:rsid w:val="00AE6AE9"/>
    <w:rsid w:val="00AE6D81"/>
    <w:rsid w:val="00AE7337"/>
    <w:rsid w:val="00AF28EF"/>
    <w:rsid w:val="00AF2983"/>
    <w:rsid w:val="00AF3FB2"/>
    <w:rsid w:val="00AF40A0"/>
    <w:rsid w:val="00AF4AC3"/>
    <w:rsid w:val="00AF592D"/>
    <w:rsid w:val="00AF6C1D"/>
    <w:rsid w:val="00AF6CB0"/>
    <w:rsid w:val="00AF70CE"/>
    <w:rsid w:val="00AF7166"/>
    <w:rsid w:val="00AF766E"/>
    <w:rsid w:val="00AF79B6"/>
    <w:rsid w:val="00AF7B44"/>
    <w:rsid w:val="00B01CA1"/>
    <w:rsid w:val="00B01F29"/>
    <w:rsid w:val="00B01F4E"/>
    <w:rsid w:val="00B040D0"/>
    <w:rsid w:val="00B05766"/>
    <w:rsid w:val="00B06FE4"/>
    <w:rsid w:val="00B1018C"/>
    <w:rsid w:val="00B10565"/>
    <w:rsid w:val="00B10B51"/>
    <w:rsid w:val="00B1119E"/>
    <w:rsid w:val="00B11BEF"/>
    <w:rsid w:val="00B1283F"/>
    <w:rsid w:val="00B12B89"/>
    <w:rsid w:val="00B13A58"/>
    <w:rsid w:val="00B14C03"/>
    <w:rsid w:val="00B16292"/>
    <w:rsid w:val="00B16D41"/>
    <w:rsid w:val="00B217B5"/>
    <w:rsid w:val="00B21982"/>
    <w:rsid w:val="00B22263"/>
    <w:rsid w:val="00B22F02"/>
    <w:rsid w:val="00B241E6"/>
    <w:rsid w:val="00B26A36"/>
    <w:rsid w:val="00B26E59"/>
    <w:rsid w:val="00B30946"/>
    <w:rsid w:val="00B3522F"/>
    <w:rsid w:val="00B35BD0"/>
    <w:rsid w:val="00B37183"/>
    <w:rsid w:val="00B37378"/>
    <w:rsid w:val="00B37CB0"/>
    <w:rsid w:val="00B440DC"/>
    <w:rsid w:val="00B4494E"/>
    <w:rsid w:val="00B45278"/>
    <w:rsid w:val="00B4639D"/>
    <w:rsid w:val="00B50B7C"/>
    <w:rsid w:val="00B50EAA"/>
    <w:rsid w:val="00B511E1"/>
    <w:rsid w:val="00B51401"/>
    <w:rsid w:val="00B5184F"/>
    <w:rsid w:val="00B52323"/>
    <w:rsid w:val="00B52982"/>
    <w:rsid w:val="00B5405E"/>
    <w:rsid w:val="00B54576"/>
    <w:rsid w:val="00B554CE"/>
    <w:rsid w:val="00B602A9"/>
    <w:rsid w:val="00B61311"/>
    <w:rsid w:val="00B626E8"/>
    <w:rsid w:val="00B62CF8"/>
    <w:rsid w:val="00B634A3"/>
    <w:rsid w:val="00B6400C"/>
    <w:rsid w:val="00B6471C"/>
    <w:rsid w:val="00B677EC"/>
    <w:rsid w:val="00B72F7A"/>
    <w:rsid w:val="00B7377C"/>
    <w:rsid w:val="00B74586"/>
    <w:rsid w:val="00B754B7"/>
    <w:rsid w:val="00B77032"/>
    <w:rsid w:val="00B77301"/>
    <w:rsid w:val="00B80028"/>
    <w:rsid w:val="00B811C0"/>
    <w:rsid w:val="00B81B96"/>
    <w:rsid w:val="00B82187"/>
    <w:rsid w:val="00B821E3"/>
    <w:rsid w:val="00B826B4"/>
    <w:rsid w:val="00B84701"/>
    <w:rsid w:val="00B84F4A"/>
    <w:rsid w:val="00B85632"/>
    <w:rsid w:val="00B867B6"/>
    <w:rsid w:val="00B87EA8"/>
    <w:rsid w:val="00B903B6"/>
    <w:rsid w:val="00B91062"/>
    <w:rsid w:val="00B91BF6"/>
    <w:rsid w:val="00B91EAF"/>
    <w:rsid w:val="00B922DB"/>
    <w:rsid w:val="00B92D9F"/>
    <w:rsid w:val="00B93D52"/>
    <w:rsid w:val="00B94644"/>
    <w:rsid w:val="00B947AB"/>
    <w:rsid w:val="00B9501F"/>
    <w:rsid w:val="00B95E22"/>
    <w:rsid w:val="00B96D94"/>
    <w:rsid w:val="00B97F8B"/>
    <w:rsid w:val="00BA4E85"/>
    <w:rsid w:val="00BA6A5D"/>
    <w:rsid w:val="00BA6E49"/>
    <w:rsid w:val="00BA78F7"/>
    <w:rsid w:val="00BB02AD"/>
    <w:rsid w:val="00BB1959"/>
    <w:rsid w:val="00BB2118"/>
    <w:rsid w:val="00BB5212"/>
    <w:rsid w:val="00BB5E7F"/>
    <w:rsid w:val="00BB6663"/>
    <w:rsid w:val="00BB6752"/>
    <w:rsid w:val="00BB7568"/>
    <w:rsid w:val="00BC11A6"/>
    <w:rsid w:val="00BC1275"/>
    <w:rsid w:val="00BC17F1"/>
    <w:rsid w:val="00BC29D7"/>
    <w:rsid w:val="00BC3845"/>
    <w:rsid w:val="00BC5A14"/>
    <w:rsid w:val="00BC5BA4"/>
    <w:rsid w:val="00BC67B9"/>
    <w:rsid w:val="00BC6A5F"/>
    <w:rsid w:val="00BC7B1A"/>
    <w:rsid w:val="00BC7BB3"/>
    <w:rsid w:val="00BD08F5"/>
    <w:rsid w:val="00BD0D21"/>
    <w:rsid w:val="00BD2617"/>
    <w:rsid w:val="00BD2F3B"/>
    <w:rsid w:val="00BD3413"/>
    <w:rsid w:val="00BD3784"/>
    <w:rsid w:val="00BD3E2A"/>
    <w:rsid w:val="00BD5913"/>
    <w:rsid w:val="00BD5D38"/>
    <w:rsid w:val="00BD6D60"/>
    <w:rsid w:val="00BD74D7"/>
    <w:rsid w:val="00BD7ECA"/>
    <w:rsid w:val="00BE2308"/>
    <w:rsid w:val="00BE241A"/>
    <w:rsid w:val="00BE38E4"/>
    <w:rsid w:val="00BE53D9"/>
    <w:rsid w:val="00BE5614"/>
    <w:rsid w:val="00BE6534"/>
    <w:rsid w:val="00BE6CC2"/>
    <w:rsid w:val="00BE72E2"/>
    <w:rsid w:val="00BF0002"/>
    <w:rsid w:val="00BF0F64"/>
    <w:rsid w:val="00BF2D7D"/>
    <w:rsid w:val="00BF3F35"/>
    <w:rsid w:val="00BF57BE"/>
    <w:rsid w:val="00BF5CE7"/>
    <w:rsid w:val="00BF7513"/>
    <w:rsid w:val="00C00160"/>
    <w:rsid w:val="00C005CB"/>
    <w:rsid w:val="00C00B52"/>
    <w:rsid w:val="00C00C22"/>
    <w:rsid w:val="00C00F54"/>
    <w:rsid w:val="00C0100D"/>
    <w:rsid w:val="00C01254"/>
    <w:rsid w:val="00C024C9"/>
    <w:rsid w:val="00C0274C"/>
    <w:rsid w:val="00C02D60"/>
    <w:rsid w:val="00C02DF5"/>
    <w:rsid w:val="00C035E6"/>
    <w:rsid w:val="00C05841"/>
    <w:rsid w:val="00C076A5"/>
    <w:rsid w:val="00C1182E"/>
    <w:rsid w:val="00C11D6A"/>
    <w:rsid w:val="00C1280A"/>
    <w:rsid w:val="00C12E9D"/>
    <w:rsid w:val="00C1454D"/>
    <w:rsid w:val="00C15727"/>
    <w:rsid w:val="00C15C5E"/>
    <w:rsid w:val="00C1660C"/>
    <w:rsid w:val="00C16B66"/>
    <w:rsid w:val="00C20403"/>
    <w:rsid w:val="00C211F2"/>
    <w:rsid w:val="00C21F45"/>
    <w:rsid w:val="00C224C4"/>
    <w:rsid w:val="00C24666"/>
    <w:rsid w:val="00C30B96"/>
    <w:rsid w:val="00C310C3"/>
    <w:rsid w:val="00C3330D"/>
    <w:rsid w:val="00C3520A"/>
    <w:rsid w:val="00C354B7"/>
    <w:rsid w:val="00C36729"/>
    <w:rsid w:val="00C368AB"/>
    <w:rsid w:val="00C37EA5"/>
    <w:rsid w:val="00C40B76"/>
    <w:rsid w:val="00C42030"/>
    <w:rsid w:val="00C44E77"/>
    <w:rsid w:val="00C45679"/>
    <w:rsid w:val="00C45E51"/>
    <w:rsid w:val="00C4610D"/>
    <w:rsid w:val="00C473D6"/>
    <w:rsid w:val="00C500D4"/>
    <w:rsid w:val="00C50210"/>
    <w:rsid w:val="00C50A41"/>
    <w:rsid w:val="00C51207"/>
    <w:rsid w:val="00C5195F"/>
    <w:rsid w:val="00C519FF"/>
    <w:rsid w:val="00C51A5A"/>
    <w:rsid w:val="00C5235F"/>
    <w:rsid w:val="00C5247F"/>
    <w:rsid w:val="00C526A9"/>
    <w:rsid w:val="00C52843"/>
    <w:rsid w:val="00C53B3E"/>
    <w:rsid w:val="00C54106"/>
    <w:rsid w:val="00C54300"/>
    <w:rsid w:val="00C5559D"/>
    <w:rsid w:val="00C557EA"/>
    <w:rsid w:val="00C55D48"/>
    <w:rsid w:val="00C569F9"/>
    <w:rsid w:val="00C5738F"/>
    <w:rsid w:val="00C5766D"/>
    <w:rsid w:val="00C606B8"/>
    <w:rsid w:val="00C61A33"/>
    <w:rsid w:val="00C62217"/>
    <w:rsid w:val="00C62B88"/>
    <w:rsid w:val="00C62E68"/>
    <w:rsid w:val="00C638DC"/>
    <w:rsid w:val="00C653C5"/>
    <w:rsid w:val="00C653D6"/>
    <w:rsid w:val="00C65842"/>
    <w:rsid w:val="00C70092"/>
    <w:rsid w:val="00C72BC7"/>
    <w:rsid w:val="00C740E4"/>
    <w:rsid w:val="00C752CC"/>
    <w:rsid w:val="00C75F32"/>
    <w:rsid w:val="00C7648B"/>
    <w:rsid w:val="00C7678C"/>
    <w:rsid w:val="00C767B9"/>
    <w:rsid w:val="00C77F45"/>
    <w:rsid w:val="00C80354"/>
    <w:rsid w:val="00C80EAF"/>
    <w:rsid w:val="00C82364"/>
    <w:rsid w:val="00C83214"/>
    <w:rsid w:val="00C834FB"/>
    <w:rsid w:val="00C84805"/>
    <w:rsid w:val="00C85617"/>
    <w:rsid w:val="00C86056"/>
    <w:rsid w:val="00C86A71"/>
    <w:rsid w:val="00C87290"/>
    <w:rsid w:val="00C87F6A"/>
    <w:rsid w:val="00C90634"/>
    <w:rsid w:val="00C9090C"/>
    <w:rsid w:val="00C90E3B"/>
    <w:rsid w:val="00C918A0"/>
    <w:rsid w:val="00C94FE6"/>
    <w:rsid w:val="00C9501B"/>
    <w:rsid w:val="00C954FD"/>
    <w:rsid w:val="00C96519"/>
    <w:rsid w:val="00C97B33"/>
    <w:rsid w:val="00C97C7C"/>
    <w:rsid w:val="00CA032D"/>
    <w:rsid w:val="00CA182B"/>
    <w:rsid w:val="00CA2266"/>
    <w:rsid w:val="00CA3E09"/>
    <w:rsid w:val="00CA4F2A"/>
    <w:rsid w:val="00CA6025"/>
    <w:rsid w:val="00CA6305"/>
    <w:rsid w:val="00CA6877"/>
    <w:rsid w:val="00CA77E9"/>
    <w:rsid w:val="00CA77EB"/>
    <w:rsid w:val="00CB076A"/>
    <w:rsid w:val="00CB0FE5"/>
    <w:rsid w:val="00CB1B45"/>
    <w:rsid w:val="00CB48A6"/>
    <w:rsid w:val="00CB5521"/>
    <w:rsid w:val="00CB6BA7"/>
    <w:rsid w:val="00CB7561"/>
    <w:rsid w:val="00CC12EF"/>
    <w:rsid w:val="00CC2B61"/>
    <w:rsid w:val="00CC3715"/>
    <w:rsid w:val="00CC45CD"/>
    <w:rsid w:val="00CC53A5"/>
    <w:rsid w:val="00CC5AF0"/>
    <w:rsid w:val="00CC5E7C"/>
    <w:rsid w:val="00CC6234"/>
    <w:rsid w:val="00CC6D54"/>
    <w:rsid w:val="00CC79A2"/>
    <w:rsid w:val="00CD1193"/>
    <w:rsid w:val="00CD162C"/>
    <w:rsid w:val="00CD1756"/>
    <w:rsid w:val="00CD1899"/>
    <w:rsid w:val="00CD21C1"/>
    <w:rsid w:val="00CD24FB"/>
    <w:rsid w:val="00CD2A5D"/>
    <w:rsid w:val="00CD2D2F"/>
    <w:rsid w:val="00CD30FE"/>
    <w:rsid w:val="00CD36E9"/>
    <w:rsid w:val="00CD3A58"/>
    <w:rsid w:val="00CD4FCE"/>
    <w:rsid w:val="00CD5C1C"/>
    <w:rsid w:val="00CD6B4F"/>
    <w:rsid w:val="00CE12FE"/>
    <w:rsid w:val="00CE5BD5"/>
    <w:rsid w:val="00CE6552"/>
    <w:rsid w:val="00CE6B6C"/>
    <w:rsid w:val="00CF1761"/>
    <w:rsid w:val="00CF1A36"/>
    <w:rsid w:val="00CF1C91"/>
    <w:rsid w:val="00CF208A"/>
    <w:rsid w:val="00CF2909"/>
    <w:rsid w:val="00CF34DC"/>
    <w:rsid w:val="00CF75AD"/>
    <w:rsid w:val="00D00245"/>
    <w:rsid w:val="00D00420"/>
    <w:rsid w:val="00D0128B"/>
    <w:rsid w:val="00D0266D"/>
    <w:rsid w:val="00D02F9B"/>
    <w:rsid w:val="00D034DE"/>
    <w:rsid w:val="00D03AD5"/>
    <w:rsid w:val="00D048B3"/>
    <w:rsid w:val="00D04A69"/>
    <w:rsid w:val="00D07193"/>
    <w:rsid w:val="00D115D8"/>
    <w:rsid w:val="00D128D3"/>
    <w:rsid w:val="00D12A49"/>
    <w:rsid w:val="00D12F6A"/>
    <w:rsid w:val="00D130C0"/>
    <w:rsid w:val="00D14685"/>
    <w:rsid w:val="00D154B0"/>
    <w:rsid w:val="00D15D4C"/>
    <w:rsid w:val="00D16967"/>
    <w:rsid w:val="00D169EE"/>
    <w:rsid w:val="00D1706B"/>
    <w:rsid w:val="00D208AC"/>
    <w:rsid w:val="00D215BD"/>
    <w:rsid w:val="00D22820"/>
    <w:rsid w:val="00D230EE"/>
    <w:rsid w:val="00D240E7"/>
    <w:rsid w:val="00D25450"/>
    <w:rsid w:val="00D25730"/>
    <w:rsid w:val="00D30C71"/>
    <w:rsid w:val="00D3161B"/>
    <w:rsid w:val="00D32CBB"/>
    <w:rsid w:val="00D336EB"/>
    <w:rsid w:val="00D34320"/>
    <w:rsid w:val="00D3522B"/>
    <w:rsid w:val="00D3524E"/>
    <w:rsid w:val="00D36005"/>
    <w:rsid w:val="00D375AE"/>
    <w:rsid w:val="00D375F7"/>
    <w:rsid w:val="00D37A9E"/>
    <w:rsid w:val="00D37E60"/>
    <w:rsid w:val="00D401A8"/>
    <w:rsid w:val="00D41780"/>
    <w:rsid w:val="00D43222"/>
    <w:rsid w:val="00D43334"/>
    <w:rsid w:val="00D4440D"/>
    <w:rsid w:val="00D45D9E"/>
    <w:rsid w:val="00D46C39"/>
    <w:rsid w:val="00D46DA4"/>
    <w:rsid w:val="00D4721F"/>
    <w:rsid w:val="00D473E5"/>
    <w:rsid w:val="00D47DCB"/>
    <w:rsid w:val="00D5042A"/>
    <w:rsid w:val="00D52E84"/>
    <w:rsid w:val="00D536CA"/>
    <w:rsid w:val="00D572E5"/>
    <w:rsid w:val="00D57962"/>
    <w:rsid w:val="00D60E6F"/>
    <w:rsid w:val="00D613F6"/>
    <w:rsid w:val="00D6402D"/>
    <w:rsid w:val="00D64503"/>
    <w:rsid w:val="00D6462C"/>
    <w:rsid w:val="00D65CF5"/>
    <w:rsid w:val="00D66576"/>
    <w:rsid w:val="00D67235"/>
    <w:rsid w:val="00D704B5"/>
    <w:rsid w:val="00D70C6D"/>
    <w:rsid w:val="00D72D9D"/>
    <w:rsid w:val="00D745BE"/>
    <w:rsid w:val="00D765E3"/>
    <w:rsid w:val="00D76B7F"/>
    <w:rsid w:val="00D77D24"/>
    <w:rsid w:val="00D841FA"/>
    <w:rsid w:val="00D8617B"/>
    <w:rsid w:val="00D86DBD"/>
    <w:rsid w:val="00D87268"/>
    <w:rsid w:val="00D90098"/>
    <w:rsid w:val="00D91F2D"/>
    <w:rsid w:val="00D928C6"/>
    <w:rsid w:val="00D93063"/>
    <w:rsid w:val="00D931FC"/>
    <w:rsid w:val="00D9426C"/>
    <w:rsid w:val="00D957F7"/>
    <w:rsid w:val="00D9644E"/>
    <w:rsid w:val="00D97A50"/>
    <w:rsid w:val="00DA0CDA"/>
    <w:rsid w:val="00DA1DE3"/>
    <w:rsid w:val="00DA1FE1"/>
    <w:rsid w:val="00DA2914"/>
    <w:rsid w:val="00DA3DFC"/>
    <w:rsid w:val="00DA4AF0"/>
    <w:rsid w:val="00DA7001"/>
    <w:rsid w:val="00DA707B"/>
    <w:rsid w:val="00DB1736"/>
    <w:rsid w:val="00DB1B3B"/>
    <w:rsid w:val="00DB1B4D"/>
    <w:rsid w:val="00DC03DD"/>
    <w:rsid w:val="00DC1D88"/>
    <w:rsid w:val="00DC28D8"/>
    <w:rsid w:val="00DC2E49"/>
    <w:rsid w:val="00DC33A4"/>
    <w:rsid w:val="00DC4456"/>
    <w:rsid w:val="00DC4583"/>
    <w:rsid w:val="00DC5668"/>
    <w:rsid w:val="00DC680D"/>
    <w:rsid w:val="00DC727C"/>
    <w:rsid w:val="00DD0E7E"/>
    <w:rsid w:val="00DD27F4"/>
    <w:rsid w:val="00DD4ACE"/>
    <w:rsid w:val="00DD5314"/>
    <w:rsid w:val="00DD6210"/>
    <w:rsid w:val="00DD6962"/>
    <w:rsid w:val="00DD7956"/>
    <w:rsid w:val="00DE33A9"/>
    <w:rsid w:val="00DE3A03"/>
    <w:rsid w:val="00DE4096"/>
    <w:rsid w:val="00DE560A"/>
    <w:rsid w:val="00DE7262"/>
    <w:rsid w:val="00DE7341"/>
    <w:rsid w:val="00DF1A8B"/>
    <w:rsid w:val="00DF273C"/>
    <w:rsid w:val="00DF3B65"/>
    <w:rsid w:val="00DF3F5D"/>
    <w:rsid w:val="00DF4FDD"/>
    <w:rsid w:val="00DF648F"/>
    <w:rsid w:val="00DF7976"/>
    <w:rsid w:val="00E00622"/>
    <w:rsid w:val="00E00C12"/>
    <w:rsid w:val="00E021A1"/>
    <w:rsid w:val="00E0305E"/>
    <w:rsid w:val="00E05413"/>
    <w:rsid w:val="00E05EC1"/>
    <w:rsid w:val="00E06DF9"/>
    <w:rsid w:val="00E07AA1"/>
    <w:rsid w:val="00E07FF0"/>
    <w:rsid w:val="00E10696"/>
    <w:rsid w:val="00E10F3A"/>
    <w:rsid w:val="00E11B88"/>
    <w:rsid w:val="00E124C9"/>
    <w:rsid w:val="00E126D7"/>
    <w:rsid w:val="00E138BE"/>
    <w:rsid w:val="00E138FC"/>
    <w:rsid w:val="00E15760"/>
    <w:rsid w:val="00E16269"/>
    <w:rsid w:val="00E16BBD"/>
    <w:rsid w:val="00E21078"/>
    <w:rsid w:val="00E21C37"/>
    <w:rsid w:val="00E2205F"/>
    <w:rsid w:val="00E2313E"/>
    <w:rsid w:val="00E23E89"/>
    <w:rsid w:val="00E26D53"/>
    <w:rsid w:val="00E27186"/>
    <w:rsid w:val="00E30923"/>
    <w:rsid w:val="00E3099B"/>
    <w:rsid w:val="00E30E3C"/>
    <w:rsid w:val="00E318B3"/>
    <w:rsid w:val="00E31D94"/>
    <w:rsid w:val="00E354DE"/>
    <w:rsid w:val="00E35E7C"/>
    <w:rsid w:val="00E37C62"/>
    <w:rsid w:val="00E37EF2"/>
    <w:rsid w:val="00E37F8E"/>
    <w:rsid w:val="00E40F0D"/>
    <w:rsid w:val="00E422CB"/>
    <w:rsid w:val="00E44F03"/>
    <w:rsid w:val="00E4576F"/>
    <w:rsid w:val="00E45B0C"/>
    <w:rsid w:val="00E4622D"/>
    <w:rsid w:val="00E479B2"/>
    <w:rsid w:val="00E50DCD"/>
    <w:rsid w:val="00E51D2F"/>
    <w:rsid w:val="00E52BC4"/>
    <w:rsid w:val="00E55E6D"/>
    <w:rsid w:val="00E56541"/>
    <w:rsid w:val="00E60EF0"/>
    <w:rsid w:val="00E61414"/>
    <w:rsid w:val="00E62844"/>
    <w:rsid w:val="00E659A4"/>
    <w:rsid w:val="00E662E8"/>
    <w:rsid w:val="00E66BEA"/>
    <w:rsid w:val="00E7139F"/>
    <w:rsid w:val="00E714C7"/>
    <w:rsid w:val="00E7211B"/>
    <w:rsid w:val="00E72863"/>
    <w:rsid w:val="00E72931"/>
    <w:rsid w:val="00E7360D"/>
    <w:rsid w:val="00E74D3C"/>
    <w:rsid w:val="00E75FC8"/>
    <w:rsid w:val="00E77D17"/>
    <w:rsid w:val="00E80459"/>
    <w:rsid w:val="00E810F3"/>
    <w:rsid w:val="00E81F44"/>
    <w:rsid w:val="00E83C87"/>
    <w:rsid w:val="00E85847"/>
    <w:rsid w:val="00E87811"/>
    <w:rsid w:val="00E92C6D"/>
    <w:rsid w:val="00E92CE5"/>
    <w:rsid w:val="00E92DFB"/>
    <w:rsid w:val="00E93D6A"/>
    <w:rsid w:val="00E94DE0"/>
    <w:rsid w:val="00E955EF"/>
    <w:rsid w:val="00E95AEA"/>
    <w:rsid w:val="00E96112"/>
    <w:rsid w:val="00E96451"/>
    <w:rsid w:val="00EA0FCC"/>
    <w:rsid w:val="00EA4103"/>
    <w:rsid w:val="00EA467E"/>
    <w:rsid w:val="00EA77D1"/>
    <w:rsid w:val="00EB03ED"/>
    <w:rsid w:val="00EB2213"/>
    <w:rsid w:val="00EB4CA7"/>
    <w:rsid w:val="00EB512B"/>
    <w:rsid w:val="00EB562C"/>
    <w:rsid w:val="00EB5E1E"/>
    <w:rsid w:val="00EB6A9A"/>
    <w:rsid w:val="00EB7683"/>
    <w:rsid w:val="00EB7D59"/>
    <w:rsid w:val="00EB7DE7"/>
    <w:rsid w:val="00EC143A"/>
    <w:rsid w:val="00EC1671"/>
    <w:rsid w:val="00EC1D39"/>
    <w:rsid w:val="00EC3685"/>
    <w:rsid w:val="00EC3D81"/>
    <w:rsid w:val="00EC63EA"/>
    <w:rsid w:val="00EC6D33"/>
    <w:rsid w:val="00ED07FA"/>
    <w:rsid w:val="00ED2B9D"/>
    <w:rsid w:val="00ED4435"/>
    <w:rsid w:val="00ED57D4"/>
    <w:rsid w:val="00ED6D74"/>
    <w:rsid w:val="00ED7086"/>
    <w:rsid w:val="00ED7258"/>
    <w:rsid w:val="00EE21E5"/>
    <w:rsid w:val="00EE2B6D"/>
    <w:rsid w:val="00EE3F04"/>
    <w:rsid w:val="00EE4CA3"/>
    <w:rsid w:val="00EE6C40"/>
    <w:rsid w:val="00EE7631"/>
    <w:rsid w:val="00EE77DE"/>
    <w:rsid w:val="00EE794F"/>
    <w:rsid w:val="00EF12AC"/>
    <w:rsid w:val="00EF167C"/>
    <w:rsid w:val="00EF25B7"/>
    <w:rsid w:val="00EF42EC"/>
    <w:rsid w:val="00EF4935"/>
    <w:rsid w:val="00EF64CD"/>
    <w:rsid w:val="00EF6EBE"/>
    <w:rsid w:val="00EF70FB"/>
    <w:rsid w:val="00EF7494"/>
    <w:rsid w:val="00EF74B7"/>
    <w:rsid w:val="00EF7AAA"/>
    <w:rsid w:val="00F012EE"/>
    <w:rsid w:val="00F0138E"/>
    <w:rsid w:val="00F02479"/>
    <w:rsid w:val="00F02FA0"/>
    <w:rsid w:val="00F03352"/>
    <w:rsid w:val="00F0494B"/>
    <w:rsid w:val="00F0531D"/>
    <w:rsid w:val="00F055B4"/>
    <w:rsid w:val="00F05A93"/>
    <w:rsid w:val="00F05E67"/>
    <w:rsid w:val="00F119A4"/>
    <w:rsid w:val="00F1214E"/>
    <w:rsid w:val="00F12D3D"/>
    <w:rsid w:val="00F13F13"/>
    <w:rsid w:val="00F14B36"/>
    <w:rsid w:val="00F17CDD"/>
    <w:rsid w:val="00F2080B"/>
    <w:rsid w:val="00F2197B"/>
    <w:rsid w:val="00F2243D"/>
    <w:rsid w:val="00F22A12"/>
    <w:rsid w:val="00F23816"/>
    <w:rsid w:val="00F23A63"/>
    <w:rsid w:val="00F23FFF"/>
    <w:rsid w:val="00F249DA"/>
    <w:rsid w:val="00F2561A"/>
    <w:rsid w:val="00F25F65"/>
    <w:rsid w:val="00F269D6"/>
    <w:rsid w:val="00F306F9"/>
    <w:rsid w:val="00F31474"/>
    <w:rsid w:val="00F31E66"/>
    <w:rsid w:val="00F35BB8"/>
    <w:rsid w:val="00F36A02"/>
    <w:rsid w:val="00F37E47"/>
    <w:rsid w:val="00F40B5F"/>
    <w:rsid w:val="00F412DD"/>
    <w:rsid w:val="00F4249A"/>
    <w:rsid w:val="00F43C0E"/>
    <w:rsid w:val="00F447E5"/>
    <w:rsid w:val="00F459CB"/>
    <w:rsid w:val="00F4784F"/>
    <w:rsid w:val="00F5115C"/>
    <w:rsid w:val="00F5195D"/>
    <w:rsid w:val="00F52DB6"/>
    <w:rsid w:val="00F55E0B"/>
    <w:rsid w:val="00F566C1"/>
    <w:rsid w:val="00F61473"/>
    <w:rsid w:val="00F61AD5"/>
    <w:rsid w:val="00F623D8"/>
    <w:rsid w:val="00F625F1"/>
    <w:rsid w:val="00F67AE1"/>
    <w:rsid w:val="00F67DE4"/>
    <w:rsid w:val="00F702CD"/>
    <w:rsid w:val="00F7093F"/>
    <w:rsid w:val="00F70C32"/>
    <w:rsid w:val="00F72C1C"/>
    <w:rsid w:val="00F732A1"/>
    <w:rsid w:val="00F73309"/>
    <w:rsid w:val="00F73D76"/>
    <w:rsid w:val="00F73EBB"/>
    <w:rsid w:val="00F75CC9"/>
    <w:rsid w:val="00F76ED2"/>
    <w:rsid w:val="00F822CD"/>
    <w:rsid w:val="00F82D93"/>
    <w:rsid w:val="00F82DCE"/>
    <w:rsid w:val="00F8421F"/>
    <w:rsid w:val="00F8555E"/>
    <w:rsid w:val="00F85E45"/>
    <w:rsid w:val="00F85FE1"/>
    <w:rsid w:val="00F906EE"/>
    <w:rsid w:val="00F91353"/>
    <w:rsid w:val="00F91DA1"/>
    <w:rsid w:val="00F9213A"/>
    <w:rsid w:val="00F941F6"/>
    <w:rsid w:val="00F947B8"/>
    <w:rsid w:val="00F96F72"/>
    <w:rsid w:val="00F979F1"/>
    <w:rsid w:val="00FA1118"/>
    <w:rsid w:val="00FA145F"/>
    <w:rsid w:val="00FA1C61"/>
    <w:rsid w:val="00FA1FFB"/>
    <w:rsid w:val="00FA26AD"/>
    <w:rsid w:val="00FA32A3"/>
    <w:rsid w:val="00FA5E71"/>
    <w:rsid w:val="00FA70D4"/>
    <w:rsid w:val="00FA7BCD"/>
    <w:rsid w:val="00FB00E7"/>
    <w:rsid w:val="00FB07F9"/>
    <w:rsid w:val="00FB12F8"/>
    <w:rsid w:val="00FB1332"/>
    <w:rsid w:val="00FB1EE8"/>
    <w:rsid w:val="00FB243B"/>
    <w:rsid w:val="00FB2C98"/>
    <w:rsid w:val="00FB6DA9"/>
    <w:rsid w:val="00FB6ECF"/>
    <w:rsid w:val="00FB7657"/>
    <w:rsid w:val="00FC0145"/>
    <w:rsid w:val="00FC049B"/>
    <w:rsid w:val="00FC2D48"/>
    <w:rsid w:val="00FC2E59"/>
    <w:rsid w:val="00FC2E62"/>
    <w:rsid w:val="00FC34AD"/>
    <w:rsid w:val="00FC5774"/>
    <w:rsid w:val="00FC704B"/>
    <w:rsid w:val="00FC7269"/>
    <w:rsid w:val="00FD20F5"/>
    <w:rsid w:val="00FD32AB"/>
    <w:rsid w:val="00FD35E9"/>
    <w:rsid w:val="00FD3C4B"/>
    <w:rsid w:val="00FD4D55"/>
    <w:rsid w:val="00FD53A7"/>
    <w:rsid w:val="00FD6A65"/>
    <w:rsid w:val="00FD6CFC"/>
    <w:rsid w:val="00FD785E"/>
    <w:rsid w:val="00FD7D08"/>
    <w:rsid w:val="00FE025B"/>
    <w:rsid w:val="00FE1303"/>
    <w:rsid w:val="00FE4F5E"/>
    <w:rsid w:val="00FE5224"/>
    <w:rsid w:val="00FE66C5"/>
    <w:rsid w:val="00FE6A25"/>
    <w:rsid w:val="00FE77C9"/>
    <w:rsid w:val="00FE7D17"/>
    <w:rsid w:val="00FF01E7"/>
    <w:rsid w:val="00FF2E90"/>
    <w:rsid w:val="00FF3268"/>
    <w:rsid w:val="00FF395C"/>
    <w:rsid w:val="00FF50C2"/>
    <w:rsid w:val="00FF5407"/>
    <w:rsid w:val="00FF61FE"/>
    <w:rsid w:val="00FF645D"/>
    <w:rsid w:val="00FF73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77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5959C6"/>
    <w:rPr>
      <w:color w:val="666666"/>
    </w:rPr>
  </w:style>
  <w:style w:type="paragraph" w:styleId="Revisie">
    <w:name w:val="Revision"/>
    <w:hidden/>
    <w:uiPriority w:val="99"/>
    <w:semiHidden/>
    <w:rsid w:val="0013038B"/>
    <w:rPr>
      <w:rFonts w:ascii="Univers" w:hAnsi="Univers"/>
      <w:sz w:val="22"/>
      <w:szCs w:val="24"/>
    </w:rPr>
  </w:style>
  <w:style w:type="paragraph" w:styleId="Voetnoottekst">
    <w:name w:val="footnote text"/>
    <w:basedOn w:val="Standaard"/>
    <w:link w:val="VoetnoottekstChar"/>
    <w:uiPriority w:val="99"/>
    <w:semiHidden/>
    <w:unhideWhenUsed/>
    <w:rsid w:val="009E609E"/>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9E609E"/>
    <w:rPr>
      <w:rFonts w:ascii="Univers" w:hAnsi="Univers"/>
      <w:kern w:val="2"/>
      <w14:ligatures w14:val="standardContextual"/>
    </w:rPr>
  </w:style>
  <w:style w:type="character" w:styleId="Voetnootmarkering">
    <w:name w:val="footnote reference"/>
    <w:basedOn w:val="Standaardalinea-lettertype"/>
    <w:uiPriority w:val="99"/>
    <w:semiHidden/>
    <w:unhideWhenUsed/>
    <w:rsid w:val="009E609E"/>
    <w:rPr>
      <w:vertAlign w:val="superscript"/>
    </w:rPr>
  </w:style>
  <w:style w:type="character" w:styleId="Hyperlink">
    <w:name w:val="Hyperlink"/>
    <w:basedOn w:val="Standaardalinea-lettertype"/>
    <w:uiPriority w:val="99"/>
    <w:unhideWhenUsed/>
    <w:rsid w:val="009E609E"/>
    <w:rPr>
      <w:color w:val="0000FF" w:themeColor="hyperlink"/>
      <w:u w:val="single"/>
    </w:rPr>
  </w:style>
  <w:style w:type="paragraph" w:styleId="Lijstalinea">
    <w:name w:val="List Paragraph"/>
    <w:basedOn w:val="Standaard"/>
    <w:uiPriority w:val="34"/>
    <w:qFormat/>
    <w:rsid w:val="009E609E"/>
    <w:pPr>
      <w:ind w:left="720"/>
      <w:contextualSpacing/>
    </w:pPr>
  </w:style>
  <w:style w:type="character" w:styleId="GevolgdeHyperlink">
    <w:name w:val="FollowedHyperlink"/>
    <w:basedOn w:val="Standaardalinea-lettertype"/>
    <w:uiPriority w:val="99"/>
    <w:semiHidden/>
    <w:unhideWhenUsed/>
    <w:rsid w:val="00E66BEA"/>
    <w:rPr>
      <w:color w:val="800080" w:themeColor="followedHyperlink"/>
      <w:u w:val="single"/>
    </w:rPr>
  </w:style>
  <w:style w:type="character" w:styleId="Verwijzingopmerking">
    <w:name w:val="annotation reference"/>
    <w:basedOn w:val="Standaardalinea-lettertype"/>
    <w:uiPriority w:val="99"/>
    <w:semiHidden/>
    <w:unhideWhenUsed/>
    <w:rsid w:val="00A74818"/>
    <w:rPr>
      <w:sz w:val="16"/>
      <w:szCs w:val="16"/>
    </w:rPr>
  </w:style>
  <w:style w:type="paragraph" w:styleId="Tekstopmerking">
    <w:name w:val="annotation text"/>
    <w:basedOn w:val="Standaard"/>
    <w:link w:val="TekstopmerkingChar"/>
    <w:uiPriority w:val="99"/>
    <w:unhideWhenUsed/>
    <w:rsid w:val="00A74818"/>
    <w:rPr>
      <w:sz w:val="20"/>
      <w:szCs w:val="20"/>
    </w:rPr>
  </w:style>
  <w:style w:type="character" w:customStyle="1" w:styleId="TekstopmerkingChar">
    <w:name w:val="Tekst opmerking Char"/>
    <w:basedOn w:val="Standaardalinea-lettertype"/>
    <w:link w:val="Tekstopmerking"/>
    <w:uiPriority w:val="99"/>
    <w:rsid w:val="00A74818"/>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A74818"/>
    <w:rPr>
      <w:b/>
      <w:bCs/>
    </w:rPr>
  </w:style>
  <w:style w:type="character" w:customStyle="1" w:styleId="OnderwerpvanopmerkingChar">
    <w:name w:val="Onderwerp van opmerking Char"/>
    <w:basedOn w:val="TekstopmerkingChar"/>
    <w:link w:val="Onderwerpvanopmerking"/>
    <w:uiPriority w:val="99"/>
    <w:semiHidden/>
    <w:rsid w:val="00A74818"/>
    <w:rPr>
      <w:rFonts w:ascii="Univers" w:hAnsi="Univers"/>
      <w:b/>
      <w:bCs/>
    </w:rPr>
  </w:style>
  <w:style w:type="character" w:styleId="Onopgelostemelding">
    <w:name w:val="Unresolved Mention"/>
    <w:basedOn w:val="Standaardalinea-lettertype"/>
    <w:uiPriority w:val="99"/>
    <w:rsid w:val="00630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glossaryDocument" Target="glossary/document.xml" Id="rId20" /><Relationship Type="http://schemas.openxmlformats.org/officeDocument/2006/relationships/footer" Target="footer2.xml" Id="rId16"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BD47AD-F59E-4622-9EDF-E465DF3FFBED}"/>
      </w:docPartPr>
      <w:docPartBody>
        <w:p w:rsidR="001F3573" w:rsidRDefault="001F3573">
          <w:r w:rsidRPr="00B50068">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573"/>
    <w:rsid w:val="000021D0"/>
    <w:rsid w:val="00047690"/>
    <w:rsid w:val="00115249"/>
    <w:rsid w:val="001F3573"/>
    <w:rsid w:val="00206FE9"/>
    <w:rsid w:val="00230230"/>
    <w:rsid w:val="00255C09"/>
    <w:rsid w:val="00302C8B"/>
    <w:rsid w:val="003073BF"/>
    <w:rsid w:val="003C74DB"/>
    <w:rsid w:val="004A3CF9"/>
    <w:rsid w:val="004A7DFE"/>
    <w:rsid w:val="004C1756"/>
    <w:rsid w:val="006E5893"/>
    <w:rsid w:val="00702DE2"/>
    <w:rsid w:val="00717D8D"/>
    <w:rsid w:val="00733120"/>
    <w:rsid w:val="007A1565"/>
    <w:rsid w:val="008005CC"/>
    <w:rsid w:val="00814692"/>
    <w:rsid w:val="00882FFD"/>
    <w:rsid w:val="008B12B5"/>
    <w:rsid w:val="0097624A"/>
    <w:rsid w:val="00991660"/>
    <w:rsid w:val="009C5870"/>
    <w:rsid w:val="00A64C45"/>
    <w:rsid w:val="00B3522F"/>
    <w:rsid w:val="00BA6A5D"/>
    <w:rsid w:val="00C84805"/>
    <w:rsid w:val="00CD3A58"/>
    <w:rsid w:val="00D61E8A"/>
    <w:rsid w:val="00D841FA"/>
    <w:rsid w:val="00DB1B4D"/>
    <w:rsid w:val="00DD27F4"/>
    <w:rsid w:val="00F2197B"/>
    <w:rsid w:val="00F22A12"/>
    <w:rsid w:val="00FB2C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F357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6d04e73b-e638-4815-b44d-087a6c9d2bfd" ContentTypeId="0x010100D3DA649AE4B0D248BD463BA7E77D2FA4" PreviousValue="false" LastSyncTimeStamp="2025-02-18T10:21:58.983Z"/>
</file>

<file path=customXml/itemProps2.xml><?xml version="1.0" encoding="utf-8"?>
<ds:datastoreItem xmlns:ds="http://schemas.openxmlformats.org/officeDocument/2006/customXml" ds:itemID="{0F44896E-E8C7-4A37-B556-E19734945A98}">
  <ds:schemaRefs>
    <ds:schemaRef ds:uri="http://schemas.microsoft.com/sharepoint/events"/>
  </ds:schemaRefs>
</ds:datastoreItem>
</file>

<file path=customXml/itemProps6.xml><?xml version="1.0" encoding="utf-8"?>
<ds:datastoreItem xmlns:ds="http://schemas.openxmlformats.org/officeDocument/2006/customXml" ds:itemID="{2159F3D7-FC02-4CA4-ABA2-ED0A9A619D92}">
  <ds:schemaRefs>
    <ds:schemaRef ds:uri="Microsoft.SharePoint.Taxonomy.ContentTypeSync"/>
  </ds:schemaRefs>
</ds:datastoreItem>
</file>

<file path=docProps/app.xml><?xml version="1.0" encoding="utf-8"?>
<ap:Properties xmlns:vt="http://schemas.openxmlformats.org/officeDocument/2006/docPropsVTypes" xmlns:ap="http://schemas.openxmlformats.org/officeDocument/2006/extended-properties">
  <ap:Pages>11</ap:Pages>
  <ap:Words>3169</ap:Words>
  <ap:Characters>19501</ap:Characters>
  <ap:DocSecurity>0</ap:DocSecurity>
  <ap:Lines>162</ap:Lines>
  <ap:Paragraphs>45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22625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2026-06-30T08:26:00.0000000Z</dcterms:created>
  <dcterms:modified xsi:type="dcterms:W3CDTF">2026-06-30T08:26:00.0000000Z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W12.25.00292/III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_dlc_DocIdItemGuid">
    <vt:lpwstr>ac5ccc4e-6c06-4258-8cec-e8b7404ac359</vt:lpwstr>
  </property>
  <property fmtid="{D5CDD505-2E9C-101B-9397-08002B2CF9AE}" pid="8" name="RedactioneleBijlage">
    <vt:lpwstr>Nee</vt:lpwstr>
  </property>
  <property fmtid="{D5CDD505-2E9C-101B-9397-08002B2CF9AE}" pid="9" name="rvsBestemming">
    <vt:lpwstr>1;#Corsa|a7721b99-8166-4953-a37e-7c8574fb4b8b</vt:lpwstr>
  </property>
  <property fmtid="{D5CDD505-2E9C-101B-9397-08002B2CF9AE}" pid="10" name="dictum">
    <vt:lpwstr>B</vt:lpwstr>
  </property>
  <property fmtid="{D5CDD505-2E9C-101B-9397-08002B2CF9AE}" pid="11" name="onderdeel">
    <vt:lpwstr>Advies</vt:lpwstr>
  </property>
  <property fmtid="{D5CDD505-2E9C-101B-9397-08002B2CF9AE}" pid="12" name="DocumentSetDescription">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Order">
    <vt:r8>3600</vt:r8>
  </property>
  <property fmtid="{D5CDD505-2E9C-101B-9397-08002B2CF9AE}" pid="20" name="processtap">
    <vt:lpwstr>Advies (ter ondertekening)</vt:lpwstr>
  </property>
</Properties>
</file>