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D0E" w:rsidP="00197D0E" w:rsidRDefault="00197D0E" w14:paraId="489C9187" w14:textId="656DFB91">
      <w:bookmarkStart w:name="_Hlk230261053" w:id="0"/>
      <w:r>
        <w:t>AH 2427</w:t>
      </w:r>
    </w:p>
    <w:p w:rsidR="00197D0E" w:rsidP="00197D0E" w:rsidRDefault="00197D0E" w14:paraId="36E6675F" w14:textId="63E5B849">
      <w:r>
        <w:t>2026Z10361</w:t>
      </w:r>
    </w:p>
    <w:p w:rsidRPr="00197D0E" w:rsidR="00197D0E" w:rsidP="00197D0E" w:rsidRDefault="00197D0E" w14:paraId="4B01B451" w14:textId="3454715F">
      <w:pPr>
        <w:rPr>
          <w:rFonts w:ascii="Times New Roman" w:hAnsi="Times New Roman"/>
          <w:sz w:val="24"/>
          <w:szCs w:val="24"/>
        </w:rPr>
      </w:pPr>
      <w:r w:rsidRPr="00D73ED1">
        <w:rPr>
          <w:color w:val="000000"/>
          <w:sz w:val="24"/>
          <w:szCs w:val="24"/>
        </w:rPr>
        <w:t>Antwoord van minister Boekholt-O’Sullivan (Volkshuisvesting en Ruimtelijke Ordening)</w:t>
      </w:r>
      <w:r>
        <w:rPr>
          <w:color w:val="000000"/>
          <w:sz w:val="24"/>
          <w:szCs w:val="24"/>
        </w:rPr>
        <w:t xml:space="preserve"> en de </w:t>
      </w:r>
      <w:r w:rsidRPr="00D80872">
        <w:rPr>
          <w:rFonts w:ascii="Times New Roman" w:hAnsi="Times New Roman"/>
          <w:sz w:val="24"/>
          <w:szCs w:val="24"/>
        </w:rPr>
        <w:t>minister van Sociale Zaken en Werkgelegenheid</w:t>
      </w:r>
      <w:r w:rsidRPr="00D73ED1">
        <w:rPr>
          <w:color w:val="000000"/>
          <w:sz w:val="24"/>
          <w:szCs w:val="24"/>
        </w:rPr>
        <w:t xml:space="preserve"> (ontvangen</w:t>
      </w:r>
      <w:r>
        <w:rPr>
          <w:color w:val="000000"/>
          <w:sz w:val="24"/>
          <w:szCs w:val="24"/>
        </w:rPr>
        <w:t xml:space="preserve">  30 juni 2026)</w:t>
      </w:r>
    </w:p>
    <w:p w:rsidR="00197D0E" w:rsidP="00197D0E" w:rsidRDefault="00197D0E" w14:paraId="0C9E94CF" w14:textId="23AD228E">
      <w:r w:rsidRPr="00D73ED1">
        <w:rPr>
          <w:color w:val="000000"/>
          <w:sz w:val="24"/>
          <w:szCs w:val="24"/>
        </w:rPr>
        <w:t>Zie ook Aanhangsel Handelingen, vergaderjaar 2025-2026, nr.</w:t>
      </w:r>
      <w:r>
        <w:rPr>
          <w:color w:val="000000"/>
          <w:sz w:val="24"/>
          <w:szCs w:val="24"/>
        </w:rPr>
        <w:t xml:space="preserve"> </w:t>
      </w:r>
      <w:r>
        <w:t>2243</w:t>
      </w:r>
    </w:p>
    <w:p w:rsidR="00197D0E" w:rsidP="00197D0E" w:rsidRDefault="00197D0E" w14:paraId="5E91F0DB" w14:textId="77777777"/>
    <w:p w:rsidR="00197D0E" w:rsidP="00197D0E" w:rsidRDefault="00197D0E" w14:paraId="3987C3CB" w14:textId="77777777">
      <w:pPr>
        <w:pStyle w:val="Lijstalinea"/>
        <w:numPr>
          <w:ilvl w:val="0"/>
          <w:numId w:val="1"/>
        </w:numPr>
        <w:tabs>
          <w:tab w:val="clear" w:pos="720"/>
        </w:tabs>
        <w:autoSpaceDN w:val="0"/>
        <w:spacing w:after="0" w:line="240" w:lineRule="atLeast"/>
        <w:ind w:left="360" w:hanging="360"/>
        <w:textAlignment w:val="baseline"/>
      </w:pPr>
      <w:r w:rsidRPr="00576B88">
        <w:t>Zou u willen reflecteren op de belangrijkste bevindingen in het artikel over de situatie in Carnisse en de signalen dat woonfraude, uitbuiting en illegale huisvesting van arbeidsmigranten structureel voortduren ondanks nieuwe wetgeving?</w:t>
      </w:r>
      <w:r w:rsidRPr="001D2C3B">
        <w:rPr>
          <w:b/>
          <w:bCs/>
        </w:rPr>
        <w:br/>
      </w:r>
      <w:r w:rsidRPr="001D2C3B">
        <w:rPr>
          <w:b/>
          <w:bCs/>
        </w:rPr>
        <w:br/>
      </w:r>
      <w:r w:rsidRPr="00576B88">
        <w:t>Antwoord:</w:t>
      </w:r>
      <w:r w:rsidRPr="001D2C3B">
        <w:rPr>
          <w:b/>
          <w:bCs/>
        </w:rPr>
        <w:br/>
      </w:r>
      <w:r w:rsidRPr="00576B88">
        <w:t xml:space="preserve">Het artikel beschrijft een schrijnende situatie, waarin duidelijk wordt dat de situatie van </w:t>
      </w:r>
      <w:r>
        <w:t xml:space="preserve">sommige </w:t>
      </w:r>
      <w:r w:rsidRPr="00576B88">
        <w:t xml:space="preserve">arbeidsmigranten in Nederland bijzonder kwetsbaar kan zijn vanwege onzekerheid over huisvesting en </w:t>
      </w:r>
      <w:r>
        <w:t>inkomen</w:t>
      </w:r>
      <w:r w:rsidRPr="00576B88">
        <w:t>. Arbeidsmigranten verdienen een veilige woonplek, net als iedereen die in Nederland woont.</w:t>
      </w:r>
      <w:r>
        <w:t xml:space="preserve"> </w:t>
      </w:r>
      <w:r>
        <w:br/>
      </w:r>
      <w:r>
        <w:br/>
        <w:t xml:space="preserve">Het kabinetsbeleid is erop gericht </w:t>
      </w:r>
      <w:r w:rsidRPr="00576B88">
        <w:t>om misstanden aan te pakken en de positie van arbeidsmigranten te versterken</w:t>
      </w:r>
      <w:r>
        <w:t xml:space="preserve">. Daarvoor wordt werk gemaakt van </w:t>
      </w:r>
      <w:r w:rsidRPr="00576B88">
        <w:t>de aanbevelingen van het Aanjaagteam bescherming arbeidsmigranten</w:t>
      </w:r>
      <w:r>
        <w:t xml:space="preserve"> en de maatregelen van het SER-advies 'arbeidsmigratie naar waarde'. Het artikel laat zien hoe belangrijk het is om verder te gaan met de uitvoering van deze maatregelen, waaronder het verbeteren van de huurbescherming van arbeidsmigranten en de uitvoering van de </w:t>
      </w:r>
      <w:r w:rsidRPr="00576B88">
        <w:t>Wet terbeschikkingstelling van arbeidskrachten</w:t>
      </w:r>
      <w:r>
        <w:t>.</w:t>
      </w:r>
    </w:p>
    <w:p w:rsidR="00197D0E" w:rsidP="00197D0E" w:rsidRDefault="00197D0E" w14:paraId="286F1984" w14:textId="77777777">
      <w:pPr>
        <w:pStyle w:val="Lijstalinea"/>
        <w:ind w:left="360"/>
      </w:pPr>
    </w:p>
    <w:p w:rsidR="00197D0E" w:rsidP="00197D0E" w:rsidRDefault="00197D0E" w14:paraId="49329D77" w14:textId="77777777">
      <w:pPr>
        <w:pStyle w:val="Lijstalinea"/>
        <w:ind w:left="360"/>
      </w:pPr>
      <w:r>
        <w:t>Het artikel laat zien dat een goede lokale uitvoering en handhaving essentieel zijn, maar ook dat de praktijk complex is. Dit benadrukt het belang van maatregelen in de hele keten, van beleid tot handhaving, om de positie van arbeidsmigranten te verbeteren. Uw Kamer is over de voortgang van de maatregelen in november jl. geïnformeerd.</w:t>
      </w:r>
      <w:r>
        <w:rPr>
          <w:rStyle w:val="Voetnootmarkering"/>
        </w:rPr>
        <w:footnoteReference w:id="1"/>
      </w:r>
      <w:r>
        <w:t xml:space="preserve"> Aan het eind van dit jaar wordt uw Kamer opnieuw over de voortgang geïnformeerd. </w:t>
      </w:r>
    </w:p>
    <w:p w:rsidR="00197D0E" w:rsidP="00197D0E" w:rsidRDefault="00197D0E" w14:paraId="35CFC722" w14:textId="77777777">
      <w:pPr>
        <w:pStyle w:val="Lijstalinea"/>
        <w:ind w:left="360"/>
      </w:pPr>
    </w:p>
    <w:bookmarkEnd w:id="0"/>
    <w:p w:rsidRPr="00576B88" w:rsidR="00197D0E" w:rsidP="00197D0E" w:rsidRDefault="00197D0E" w14:paraId="7F172236" w14:textId="77777777">
      <w:pPr>
        <w:numPr>
          <w:ilvl w:val="0"/>
          <w:numId w:val="1"/>
        </w:numPr>
        <w:tabs>
          <w:tab w:val="clear" w:pos="720"/>
        </w:tabs>
        <w:spacing w:after="0" w:line="240" w:lineRule="auto"/>
        <w:ind w:left="360" w:hanging="360"/>
      </w:pPr>
      <w:r w:rsidRPr="00576B88">
        <w:t>Hoe beoordeelt u het feit dat, ondanks de invoering van de Wet goed verhuurderschap en andere maatregelen, misstanden in wijken zoals Carnisse onverminderd doorgaan? </w:t>
      </w:r>
      <w:r w:rsidRPr="00576B88">
        <w:br/>
      </w:r>
      <w:r w:rsidRPr="00576B88">
        <w:br/>
        <w:t xml:space="preserve">Antwoord: </w:t>
      </w:r>
    </w:p>
    <w:p w:rsidR="00197D0E" w:rsidP="00197D0E" w:rsidRDefault="00197D0E" w14:paraId="35888108" w14:textId="77777777">
      <w:pPr>
        <w:ind w:left="360"/>
      </w:pPr>
      <w:r w:rsidRPr="00576B88">
        <w:lastRenderedPageBreak/>
        <w:t xml:space="preserve">In het artikel van </w:t>
      </w:r>
      <w:r>
        <w:t>de</w:t>
      </w:r>
      <w:r w:rsidRPr="00576B88">
        <w:t xml:space="preserve"> NRC worden ernstige misstanden beschreven rondom de woonsituatie van arbeidsmigranten in de Rotterdamse wijk Carnisse. </w:t>
      </w:r>
      <w:r>
        <w:t xml:space="preserve">Vooropgesteld: deze situaties zijn onacceptabel. </w:t>
      </w:r>
      <w:r w:rsidRPr="00576B88">
        <w:t xml:space="preserve">De inzet van het kabinet is </w:t>
      </w:r>
      <w:r>
        <w:t>om meer grip te krijgen op</w:t>
      </w:r>
      <w:r w:rsidRPr="00576B88">
        <w:t xml:space="preserve"> arbeidsmigratie en</w:t>
      </w:r>
      <w:r>
        <w:t xml:space="preserve"> daarnaast</w:t>
      </w:r>
      <w:r w:rsidRPr="00576B88">
        <w:t xml:space="preserve"> van de positie van arbeidsmigranten</w:t>
      </w:r>
      <w:r>
        <w:t xml:space="preserve"> te</w:t>
      </w:r>
      <w:r w:rsidRPr="00576B88">
        <w:t xml:space="preserve"> verbeteren</w:t>
      </w:r>
      <w:r>
        <w:t>.</w:t>
      </w:r>
      <w:r w:rsidRPr="00576B88">
        <w:t xml:space="preserve"> </w:t>
      </w:r>
    </w:p>
    <w:p w:rsidR="00197D0E" w:rsidP="00197D0E" w:rsidRDefault="00197D0E" w14:paraId="50CADCDB" w14:textId="77777777">
      <w:pPr>
        <w:ind w:left="360"/>
      </w:pPr>
    </w:p>
    <w:p w:rsidR="00197D0E" w:rsidP="00197D0E" w:rsidRDefault="00197D0E" w14:paraId="1187AC4E" w14:textId="77777777">
      <w:pPr>
        <w:ind w:left="360"/>
      </w:pPr>
      <w:r w:rsidRPr="00576B88">
        <w:t>De afgelopen jaren</w:t>
      </w:r>
      <w:r>
        <w:t xml:space="preserve"> hebben gemeenten meer instrumentarium in handen gekregen om op overtredingen gerelateerd aan de woonsituatie te handhaven, waaronder via de Wet goed verhuurderschap. </w:t>
      </w:r>
      <w:r w:rsidRPr="007C1B08">
        <w:t>Als gevolg hiervan kunnen gemeenten beter optreden tegen misstanden als bijvoorbeeld intimidatie en hoge huren, is de informatiepositie van arbeidsmigranten versterkt en moet elke gemeente een meldpunt hebben, waar klachten over ongewenst verhuurgedrag – zo nodig anoniem – kunnen worden gemeld. Een en ander in aanvulling op wettelijke instrumenten die al voor die tijd bestonden, en waarmee bijvoorbeeld al kon worden opgetreden tegen overbewoning</w:t>
      </w:r>
      <w:r>
        <w:t>. Zoals ook toegelicht in het antwoord op vraag 14 en 16, werkt het kabinet daarom aan aanvullende maatregelen om misstanden, zoals in Carnisse, tegen te gaan.</w:t>
      </w:r>
    </w:p>
    <w:p w:rsidR="00197D0E" w:rsidP="00197D0E" w:rsidRDefault="00197D0E" w14:paraId="1CE9F1A6" w14:textId="77777777">
      <w:pPr>
        <w:ind w:left="360"/>
      </w:pPr>
    </w:p>
    <w:p w:rsidRPr="00576B88" w:rsidR="00197D0E" w:rsidP="00197D0E" w:rsidRDefault="00197D0E" w14:paraId="55E82174" w14:textId="77777777">
      <w:pPr>
        <w:ind w:left="360"/>
      </w:pPr>
      <w:r>
        <w:t>Effectief beleid valt of staat echter met een goede uitvoering op lokaal niveau. Gemeenten hebben</w:t>
      </w:r>
      <w:r w:rsidRPr="00576B88">
        <w:t xml:space="preserve"> bij</w:t>
      </w:r>
      <w:r>
        <w:t xml:space="preserve"> de invulling</w:t>
      </w:r>
      <w:r w:rsidRPr="00576B88">
        <w:t xml:space="preserve"> </w:t>
      </w:r>
      <w:r>
        <w:t xml:space="preserve">van </w:t>
      </w:r>
      <w:r w:rsidRPr="00576B88">
        <w:t xml:space="preserve">toezicht en handhaving een </w:t>
      </w:r>
      <w:r>
        <w:t>mate van vrijheid</w:t>
      </w:r>
      <w:r w:rsidRPr="00576B88">
        <w:t>. Hoewel zij in beginsel behoren op te treden tegen overtredingen, is het aan de gemeente om de prioriteit en aanpak te bepalen op basis van ernst, maatschappelijke impact, beschikbare capaciteit en beleidsdoelen</w:t>
      </w:r>
      <w:r>
        <w:t xml:space="preserve">. Dit signaal uit het NRC artikel laat de knelpunten zien in de uitvoering en handhaving lokaal. Naar aanleiding hiervan wordt </w:t>
      </w:r>
      <w:r w:rsidRPr="00576B88">
        <w:t>het gesprek met</w:t>
      </w:r>
      <w:r>
        <w:t xml:space="preserve"> de betreffende gemeente </w:t>
      </w:r>
      <w:r w:rsidRPr="00576B88">
        <w:t xml:space="preserve">en andere betrokken partijen </w:t>
      </w:r>
      <w:r>
        <w:t>gevoerd</w:t>
      </w:r>
      <w:r w:rsidRPr="00576B88">
        <w:t xml:space="preserve">. </w:t>
      </w:r>
      <w:r>
        <w:br/>
      </w:r>
    </w:p>
    <w:p w:rsidRPr="00576B88" w:rsidR="00197D0E" w:rsidP="00197D0E" w:rsidRDefault="00197D0E" w14:paraId="4558492A" w14:textId="77777777">
      <w:pPr>
        <w:numPr>
          <w:ilvl w:val="0"/>
          <w:numId w:val="1"/>
        </w:numPr>
        <w:tabs>
          <w:tab w:val="clear" w:pos="720"/>
        </w:tabs>
        <w:spacing w:after="0" w:line="240" w:lineRule="auto"/>
        <w:ind w:left="360" w:hanging="360"/>
      </w:pPr>
      <w:r w:rsidRPr="00576B88">
        <w:t>Kunt u aangeven in hoeverre de doelen van de Wet goed verhuurderschap tot op heden zijn gerealiseerd, specifiek voor de bescherming van arbeidsmigranten? </w:t>
      </w:r>
      <w:r w:rsidRPr="00576B88">
        <w:br/>
      </w:r>
      <w:r w:rsidRPr="00576B88">
        <w:br/>
        <w:t xml:space="preserve">Antwoord: </w:t>
      </w:r>
    </w:p>
    <w:p w:rsidRPr="00576B88" w:rsidR="00197D0E" w:rsidP="00197D0E" w:rsidRDefault="00197D0E" w14:paraId="66FBAAEB" w14:textId="77777777">
      <w:pPr>
        <w:ind w:left="360"/>
      </w:pPr>
      <w:r>
        <w:t xml:space="preserve">Het is belangrijk om te zien hoe de Wet goed verhuurderschap (Wgv) in de praktijk functioneert. </w:t>
      </w:r>
      <w:bookmarkStart w:name="_Hlk232542145" w:id="1"/>
      <w:r>
        <w:t>De</w:t>
      </w:r>
      <w:r w:rsidRPr="00576B88">
        <w:t xml:space="preserve"> doeltreffendheid en praktijkwerking van de </w:t>
      </w:r>
      <w:r>
        <w:t xml:space="preserve">Wgv </w:t>
      </w:r>
      <w:r w:rsidRPr="00576B88">
        <w:t xml:space="preserve">worden momenteel geëvalueerd. Na de zomer, als het onderzoek is afgerond, informeert de minister van VRO uw Kamer over de uitkomsten hiervan.  </w:t>
      </w:r>
      <w:bookmarkEnd w:id="1"/>
    </w:p>
    <w:p w:rsidRPr="00576B88" w:rsidR="00197D0E" w:rsidP="00197D0E" w:rsidRDefault="00197D0E" w14:paraId="5FD8F154" w14:textId="77777777">
      <w:pPr>
        <w:ind w:left="360"/>
      </w:pPr>
    </w:p>
    <w:p w:rsidR="00197D0E" w:rsidP="00197D0E" w:rsidRDefault="00197D0E" w14:paraId="20AF1C4D" w14:textId="77777777">
      <w:pPr>
        <w:pStyle w:val="Lijstalinea"/>
        <w:numPr>
          <w:ilvl w:val="0"/>
          <w:numId w:val="1"/>
        </w:numPr>
        <w:autoSpaceDN w:val="0"/>
        <w:spacing w:after="0" w:line="240" w:lineRule="atLeast"/>
        <w:ind w:left="360"/>
        <w:textAlignment w:val="baseline"/>
      </w:pPr>
      <w:r w:rsidRPr="00576B88">
        <w:t xml:space="preserve">Hoe verklaart u dat gemeenten, ondanks uitgebreid dossiermateriaal en herhaalde constateringen van overtredingen, in de praktijk beperkt overgaan tot handhaving? </w:t>
      </w:r>
      <w:r w:rsidRPr="00576B88">
        <w:br/>
      </w:r>
      <w:r w:rsidRPr="00576B88">
        <w:lastRenderedPageBreak/>
        <w:br/>
        <w:t>Antwoord:</w:t>
      </w:r>
      <w:r w:rsidRPr="00576B88">
        <w:br/>
      </w:r>
      <w:r>
        <w:t>Zoals aangegeven in het antwoord op vraag 2, hebben g</w:t>
      </w:r>
      <w:r w:rsidRPr="00576B88">
        <w:t>emeenten</w:t>
      </w:r>
      <w:bookmarkStart w:name="_Hlk232542264" w:id="2"/>
      <w:r w:rsidRPr="00576B88">
        <w:t xml:space="preserve"> bij</w:t>
      </w:r>
      <w:r>
        <w:t xml:space="preserve"> de invulling</w:t>
      </w:r>
      <w:r w:rsidRPr="00576B88">
        <w:t xml:space="preserve"> </w:t>
      </w:r>
      <w:r>
        <w:t xml:space="preserve">van </w:t>
      </w:r>
      <w:r w:rsidRPr="00576B88">
        <w:t xml:space="preserve">toezicht en handhaving een </w:t>
      </w:r>
      <w:r>
        <w:t>mate van vrijheid</w:t>
      </w:r>
      <w:r w:rsidRPr="00576B88">
        <w:t xml:space="preserve">. </w:t>
      </w:r>
      <w:bookmarkEnd w:id="2"/>
      <w:r>
        <w:br/>
      </w:r>
      <w:r>
        <w:br/>
      </w:r>
      <w:r w:rsidRPr="00576B88">
        <w:t xml:space="preserve">De VNG bevestigt dat de beschikbare bevoegdheden om te handhaven bestaan, maar dat daarmee de feitelijke handhaafbaarheid en effectiviteit niet is gegarandeerd. </w:t>
      </w:r>
      <w:r>
        <w:t>De VNG signaleert dat bij complexe casussen handhaving niet altijd goed verloopt. Ook geeft de VNG</w:t>
      </w:r>
      <w:r w:rsidRPr="00A63C03">
        <w:t xml:space="preserve"> </w:t>
      </w:r>
      <w:r>
        <w:t>ten aanzien van de integrale aanpak van misstanden aan dat in veel gevallen regionale samenwerking tussen gemeenten nodig is, maar dat die samenwerking niet in alle gevallen goed verloopt. Het artikel en de signalen van VNG geven, zoals ook aangegeven in het antwoord op vraag 2, aanleiding om hierover in gesprek te gaan met de betrokken partijen.</w:t>
      </w:r>
    </w:p>
    <w:p w:rsidRPr="00576B88" w:rsidR="00197D0E" w:rsidP="00197D0E" w:rsidRDefault="00197D0E" w14:paraId="78DD8851" w14:textId="77777777">
      <w:r>
        <w:t xml:space="preserve"> </w:t>
      </w:r>
    </w:p>
    <w:p w:rsidRPr="00576B88" w:rsidR="00197D0E" w:rsidP="00197D0E" w:rsidRDefault="00197D0E" w14:paraId="65C37D2A" w14:textId="77777777">
      <w:pPr>
        <w:numPr>
          <w:ilvl w:val="0"/>
          <w:numId w:val="1"/>
        </w:numPr>
        <w:tabs>
          <w:tab w:val="clear" w:pos="720"/>
        </w:tabs>
        <w:spacing w:after="0" w:line="240" w:lineRule="auto"/>
        <w:ind w:left="360" w:hanging="360"/>
      </w:pPr>
      <w:r w:rsidRPr="00576B88">
        <w:t>In hoeverre is het huidige instrumentarium tot handhaving toereikend, maar in de praktijk onvoldoende effectief? Zo ja, waar zit volgens u de kern van dit probleem? </w:t>
      </w:r>
      <w:r w:rsidRPr="00576B88">
        <w:br/>
      </w:r>
      <w:r w:rsidRPr="00576B88">
        <w:br/>
        <w:t>Antwoord:</w:t>
      </w:r>
      <w:r w:rsidRPr="00576B88">
        <w:br/>
        <w:t xml:space="preserve">Zie het antwoord op vraag 3 en 4.  </w:t>
      </w:r>
    </w:p>
    <w:p w:rsidRPr="00576B88" w:rsidR="00197D0E" w:rsidP="00197D0E" w:rsidRDefault="00197D0E" w14:paraId="17A5AA46" w14:textId="77777777">
      <w:pPr>
        <w:ind w:left="1440"/>
      </w:pPr>
    </w:p>
    <w:p w:rsidRPr="00576B88" w:rsidR="00197D0E" w:rsidP="00197D0E" w:rsidRDefault="00197D0E" w14:paraId="4981F621" w14:textId="77777777">
      <w:pPr>
        <w:numPr>
          <w:ilvl w:val="0"/>
          <w:numId w:val="1"/>
        </w:numPr>
        <w:tabs>
          <w:tab w:val="clear" w:pos="720"/>
        </w:tabs>
        <w:spacing w:after="0" w:line="240" w:lineRule="auto"/>
        <w:ind w:left="360" w:hanging="360"/>
      </w:pPr>
      <w:r w:rsidRPr="00576B88">
        <w:t xml:space="preserve">Zou u, gegeven het feit dat de problematiek samenhangt met de verdeling van verantwoordelijkheden en eventuele gaten hierin, helder in kaart willen brengen </w:t>
      </w:r>
      <w:r w:rsidRPr="00576B88">
        <w:rPr>
          <w:b/>
          <w:bCs/>
        </w:rPr>
        <w:t>welk bestuursniveau</w:t>
      </w:r>
      <w:r w:rsidRPr="00576B88">
        <w:t xml:space="preserve"> (Rijk, gemeente, inspectiediensten) verantwoordelijk is voor:</w:t>
      </w:r>
      <w:r w:rsidRPr="00576B88">
        <w:br/>
        <w:t>a) toezicht op verhuurders</w:t>
      </w:r>
      <w:r w:rsidRPr="00576B88">
        <w:br/>
        <w:t>b) handhaving bij illegale bewoning</w:t>
      </w:r>
      <w:r w:rsidRPr="00576B88">
        <w:br/>
        <w:t>c) aanpak van arbeidsuitbuiting en mensenhandel</w:t>
      </w:r>
      <w:r w:rsidRPr="00576B88">
        <w:br/>
        <w:t>d) inschrijving in de Basisregistratie Personen (BRP)?</w:t>
      </w:r>
      <w:r w:rsidRPr="00576B88">
        <w:br/>
      </w:r>
    </w:p>
    <w:p w:rsidRPr="00576B88" w:rsidR="00197D0E" w:rsidP="00197D0E" w:rsidRDefault="00197D0E" w14:paraId="19CC1A65" w14:textId="77777777">
      <w:pPr>
        <w:numPr>
          <w:ilvl w:val="0"/>
          <w:numId w:val="1"/>
        </w:numPr>
        <w:tabs>
          <w:tab w:val="clear" w:pos="720"/>
        </w:tabs>
        <w:spacing w:after="0" w:line="240" w:lineRule="auto"/>
        <w:ind w:left="360" w:hanging="360"/>
      </w:pPr>
      <w:r w:rsidRPr="00576B88">
        <w:t>Zou u willen reflecteren op de vraag of deze verantwoordelijkheden in de praktijk voldoende op elkaar zijn afgestemd? </w:t>
      </w:r>
      <w:r>
        <w:br/>
      </w:r>
      <w:r w:rsidRPr="00576B88">
        <w:br/>
        <w:t>Antwoord op vraag 6 en 7:</w:t>
      </w:r>
      <w:r>
        <w:br/>
      </w:r>
      <w:r w:rsidRPr="002D4849">
        <w:rPr>
          <w:i/>
          <w:iCs/>
        </w:rPr>
        <w:t>Verantwoordelijkheid voor toezicht op verhuurders, handhaving bij illegale bewoning en inschrijving in de BRP</w:t>
      </w:r>
      <w:r w:rsidRPr="00576B88">
        <w:br/>
        <w:t>Gemeenten houden in beginsel toezicht op a) verhuurders</w:t>
      </w:r>
      <w:r>
        <w:t xml:space="preserve">, </w:t>
      </w:r>
      <w:r w:rsidRPr="00576B88">
        <w:t>voor zover het handelingen betreft die vallen onder andere de W</w:t>
      </w:r>
      <w:r>
        <w:t xml:space="preserve">et </w:t>
      </w:r>
      <w:r w:rsidRPr="00576B88">
        <w:t>g</w:t>
      </w:r>
      <w:r>
        <w:t xml:space="preserve">oed </w:t>
      </w:r>
      <w:r w:rsidRPr="00576B88">
        <w:t>v</w:t>
      </w:r>
      <w:r>
        <w:t>erhuurderschap (Wgv)</w:t>
      </w:r>
      <w:r w:rsidRPr="00576B88">
        <w:t xml:space="preserve"> en de W</w:t>
      </w:r>
      <w:r>
        <w:t>et betaalbare huur (Wbh) en het Besluit bouwwerken leefomgeving (Bbl) met betrekking tot kwaliteit en gevaarlijke bouwkundige situaties</w:t>
      </w:r>
      <w:r w:rsidRPr="00576B88">
        <w:t xml:space="preserve">, b) handhaving bij illegale bewoning (op basis van de Huisvestingswet 2014 en Omgevingswet) en d) inschrijving in de Basisregistratie Personen (Wet basisregistratie personen). </w:t>
      </w:r>
      <w:r>
        <w:t>Hiermee worden de verantwoordelijkheden op elkaar afgestemd op een manier die past bij de lokale situatie.</w:t>
      </w:r>
      <w:r w:rsidRPr="00576B88">
        <w:t xml:space="preserve"> </w:t>
      </w:r>
      <w:r w:rsidRPr="00576B88">
        <w:br/>
      </w:r>
      <w:r>
        <w:br/>
      </w:r>
      <w:r w:rsidRPr="2ADD781B">
        <w:rPr>
          <w:i/>
          <w:iCs/>
        </w:rPr>
        <w:lastRenderedPageBreak/>
        <w:t>Verantwoordelijkheid voor aanpak arbeidsuitbuiting en mensenhandel</w:t>
      </w:r>
      <w:r w:rsidRPr="00576B88">
        <w:br/>
        <w:t xml:space="preserve">Als het gaat om de aanpak tegen mensenhandel is </w:t>
      </w:r>
      <w:r>
        <w:t>de</w:t>
      </w:r>
      <w:r w:rsidRPr="00576B88">
        <w:t xml:space="preserve"> </w:t>
      </w:r>
      <w:r>
        <w:t>m</w:t>
      </w:r>
      <w:r w:rsidRPr="00576B88">
        <w:t xml:space="preserve">inister van Justitie en Veiligheid verantwoordelijk voor de </w:t>
      </w:r>
      <w:r>
        <w:t>r</w:t>
      </w:r>
      <w:r w:rsidRPr="00576B88">
        <w:t xml:space="preserve">ijksbrede coördinatie van de aanpak van mensenhandel en </w:t>
      </w:r>
      <w:r>
        <w:t>de</w:t>
      </w:r>
      <w:r w:rsidRPr="00576B88">
        <w:t xml:space="preserve"> </w:t>
      </w:r>
      <w:r>
        <w:t>m</w:t>
      </w:r>
      <w:r w:rsidRPr="00576B88">
        <w:t>inisterie van Sociale Zaken en Werkgelegenheid voor de aanpak van arbeidsuitbuiting. Hierin wordt gezamenlijk opgetrokken in onder meer het Actieplan Programma ‘Samen tegen Mensenhandel’</w:t>
      </w:r>
      <w:r w:rsidRPr="002D4849">
        <w:rPr>
          <w:rFonts w:eastAsia="Verdana"/>
        </w:rPr>
        <w:t xml:space="preserve"> met o.a.</w:t>
      </w:r>
      <w:r>
        <w:rPr>
          <w:rFonts w:eastAsia="Verdana"/>
        </w:rPr>
        <w:t xml:space="preserve"> </w:t>
      </w:r>
      <w:r w:rsidRPr="002D4849">
        <w:rPr>
          <w:rFonts w:eastAsia="Verdana"/>
        </w:rPr>
        <w:t>de Nederlandse Arbeidsinspectie, politie, K</w:t>
      </w:r>
      <w:r>
        <w:rPr>
          <w:rFonts w:eastAsia="Verdana"/>
        </w:rPr>
        <w:t>oninklijke M</w:t>
      </w:r>
      <w:r w:rsidRPr="002D4849">
        <w:rPr>
          <w:rFonts w:eastAsia="Verdana"/>
        </w:rPr>
        <w:t>ar</w:t>
      </w:r>
      <w:r>
        <w:rPr>
          <w:rFonts w:eastAsia="Verdana"/>
        </w:rPr>
        <w:t>echaussee</w:t>
      </w:r>
      <w:r w:rsidRPr="002D4849">
        <w:rPr>
          <w:rFonts w:eastAsia="Verdana"/>
        </w:rPr>
        <w:t>, VNG en maatschappelijke organisaties zoals Comensha. In het Actieplan wordt in verschillende actielijnen ingezet op onder meer het creëren van brede bewustwording, vergroten van meldingsbereidheid en het verbeteren van de bescherming van slachtoffers.</w:t>
      </w:r>
      <w:r>
        <w:rPr>
          <w:rFonts w:eastAsia="Verdana"/>
        </w:rPr>
        <w:br/>
      </w:r>
      <w:r w:rsidRPr="00576B88">
        <w:br/>
        <w:t>De Nederlandse Arbeidsinspectie is o</w:t>
      </w:r>
      <w:r>
        <w:t>nder andere</w:t>
      </w:r>
      <w:r w:rsidRPr="00576B88">
        <w:t xml:space="preserve"> verantwoordelijk voor de opsporing van c) arbeidsuitbuiting als vorm van mensenhandel en, zodra de Wet modernisering en uitbreiding strafbaarstelling mensenhandel in werking treedt, ook voor de opsporing van het delict ernstige benadeling. Ondermaatse huisvesting kan een indicatie zijn van ernstige benadeling of arbeidsuitbuiting.</w:t>
      </w:r>
      <w:r w:rsidRPr="00576B88">
        <w:br/>
      </w:r>
      <w:r w:rsidRPr="00576B88">
        <w:br/>
      </w:r>
      <w:r>
        <w:t>Ook g</w:t>
      </w:r>
      <w:r w:rsidRPr="00576B88">
        <w:t>emeenten spelen een belangrijke rol bij de aanpak van mensenhandel in de vorm van arbeidsuitbuiting en ernstige benadeling</w:t>
      </w:r>
      <w:r>
        <w:t>,</w:t>
      </w:r>
      <w:r w:rsidRPr="00576B88">
        <w:t xml:space="preserve"> door in te zetten op preventie, signalering en handhaving – in het kader van toezichthoudende taken – en hulpverlening, waarbij de gemeente integraal samenwerkt met onder andere de politie en bestuurlijk handhaaft op de naleving van huisvestingsnormen.</w:t>
      </w:r>
      <w:r w:rsidRPr="00576B88">
        <w:br/>
      </w:r>
      <w:r w:rsidRPr="00576B88">
        <w:br/>
      </w:r>
      <w:r>
        <w:t xml:space="preserve">Zoals in het antwoord op vraag 2 is aangegeven, worden vanuit het Rijk de kaders geschept om arbeidsmigratie in goede banen te leiden en om arbeidsmigranten beter te beschermen. Bestaand en voorgenomen beleid op rijksniveau gerelateerd aan de genoemde gebieden wordt toegelicht in het antwoord op vraag 14. </w:t>
      </w:r>
      <w:bookmarkStart w:name="_Hlk232542804" w:id="3"/>
      <w:r>
        <w:t xml:space="preserve">Effectief beleid valt of staat echter met een goede uitvoering op lokaal niveau. Gemeenten zijn, zoals hierboven beschreven, in veel gevallen verantwoordelijk voor het toezicht en de handhaving. </w:t>
      </w:r>
      <w:r w:rsidRPr="00576B88">
        <w:t xml:space="preserve">Er bestaat een </w:t>
      </w:r>
      <w:r>
        <w:t>integrale</w:t>
      </w:r>
      <w:r w:rsidRPr="00576B88">
        <w:t xml:space="preserve"> samenwerking tussen gemeente</w:t>
      </w:r>
      <w:r>
        <w:t>(n)</w:t>
      </w:r>
      <w:r w:rsidRPr="00576B88">
        <w:t xml:space="preserve">, </w:t>
      </w:r>
      <w:r>
        <w:t>de Nederlandse A</w:t>
      </w:r>
      <w:r w:rsidRPr="00576B88">
        <w:t xml:space="preserve">rbeidsinspectie en politie. Dit is nader toegelicht in het antwoord op vraag 19. </w:t>
      </w:r>
      <w:r>
        <w:t xml:space="preserve">De VNG geeft ten aanzien van de integrale aanpak van misstanden aan dat in veel gevallen regionale samenwerking tussen gemeenten nodig is. Dat verloopt niet in alle gevallen goed. Het artikel en de signalen van VNG geven, zoals aangegeven in het antwoord op vraag 2, aanleiding om hierover in gesprek te gaan met de betrokken partijen. </w:t>
      </w:r>
      <w:bookmarkEnd w:id="3"/>
      <w:r w:rsidRPr="00576B88">
        <w:br/>
      </w:r>
    </w:p>
    <w:p w:rsidRPr="00576B88" w:rsidR="00197D0E" w:rsidP="00197D0E" w:rsidRDefault="00197D0E" w14:paraId="461D5654" w14:textId="77777777">
      <w:pPr>
        <w:numPr>
          <w:ilvl w:val="0"/>
          <w:numId w:val="1"/>
        </w:numPr>
        <w:tabs>
          <w:tab w:val="clear" w:pos="720"/>
        </w:tabs>
        <w:spacing w:after="0" w:line="240" w:lineRule="auto"/>
        <w:ind w:left="360" w:hanging="360"/>
      </w:pPr>
      <w:r w:rsidRPr="00576B88">
        <w:t>Welke bevoegdheden of instrumenten hebben gemeenten in uw ogen nodig om effectief te kunnen optreden wanneer bewoners de deur niet openen, sprake is van intimidatie, of sprake is van snel wisselende bewoners, de zogenaamde carrouselconstructies?</w:t>
      </w:r>
      <w:r w:rsidRPr="00576B88">
        <w:br/>
      </w:r>
      <w:r w:rsidRPr="00576B88">
        <w:br/>
        <w:t>Antwoord:</w:t>
      </w:r>
      <w:r w:rsidRPr="00576B88">
        <w:br/>
      </w:r>
      <w:r>
        <w:t>Gemeenten beschikken reeds over diverse</w:t>
      </w:r>
      <w:r w:rsidRPr="00576B88">
        <w:t xml:space="preserve"> mogelijkheden om op te treden</w:t>
      </w:r>
      <w:r>
        <w:t xml:space="preserve"> </w:t>
      </w:r>
      <w:r>
        <w:lastRenderedPageBreak/>
        <w:t xml:space="preserve">wanneer bewoners de deur niet openen, er sprake is </w:t>
      </w:r>
      <w:r w:rsidRPr="00576B88">
        <w:t xml:space="preserve">van </w:t>
      </w:r>
      <w:r>
        <w:t>intimidatie</w:t>
      </w:r>
      <w:r w:rsidRPr="00576B88">
        <w:t xml:space="preserve"> en</w:t>
      </w:r>
      <w:r>
        <w:t>/of snel wisselende bewoners</w:t>
      </w:r>
      <w:r w:rsidRPr="0C125464">
        <w:t xml:space="preserve">. </w:t>
      </w:r>
      <w:r>
        <w:br/>
      </w:r>
      <w:r w:rsidRPr="00576B88">
        <w:br/>
      </w:r>
      <w:r>
        <w:t>Indien de bewoners de deur niet openen</w:t>
      </w:r>
      <w:r w:rsidRPr="00576B88">
        <w:t xml:space="preserve"> geldt dat toezichthouders de bevoegdheid </w:t>
      </w:r>
      <w:r>
        <w:t>hebben</w:t>
      </w:r>
      <w:r>
        <w:rPr>
          <w:rStyle w:val="Voetnootmarkering"/>
        </w:rPr>
        <w:footnoteReference w:id="2"/>
      </w:r>
      <w:r w:rsidRPr="0C125464">
        <w:t xml:space="preserve"> </w:t>
      </w:r>
      <w:r w:rsidRPr="00576B88">
        <w:t xml:space="preserve">om </w:t>
      </w:r>
      <w:r>
        <w:t>in bepaalde gevallen</w:t>
      </w:r>
      <w:r w:rsidRPr="00576B88">
        <w:t xml:space="preserve"> een woning binnen te treden zonder toestemming van de bewoner. In die gevallen is de Algemene wet op het binnentreden van toepassing. Kort gezegd volgt uit deze wet dat bij binnentreden voor andere doeleinden dan strafvordering een machtiging tot binnentreden moet worden afgegeven. Een uitzondering op deze situatie is het bestaan van een noodsituatie (zoals bijvoorbeeld een brand). </w:t>
      </w:r>
    </w:p>
    <w:p w:rsidRPr="00576B88" w:rsidR="00197D0E" w:rsidP="00197D0E" w:rsidRDefault="00197D0E" w14:paraId="6E85B2D9" w14:textId="77777777">
      <w:pPr>
        <w:ind w:left="360"/>
      </w:pPr>
    </w:p>
    <w:p w:rsidRPr="00576B88" w:rsidR="00197D0E" w:rsidP="00197D0E" w:rsidRDefault="00197D0E" w14:paraId="1A2B22F9" w14:textId="77777777">
      <w:pPr>
        <w:ind w:left="360"/>
      </w:pPr>
      <w:r>
        <w:t>Ook wanneer</w:t>
      </w:r>
      <w:r w:rsidRPr="00576B88">
        <w:t xml:space="preserve"> er sprake is van intimidatie </w:t>
      </w:r>
      <w:r>
        <w:t xml:space="preserve">geldt dat </w:t>
      </w:r>
      <w:r w:rsidRPr="00576B88">
        <w:t xml:space="preserve">toezichthouders van de gemeente </w:t>
      </w:r>
      <w:r>
        <w:t>reeds actie kunnen ondernemen. In</w:t>
      </w:r>
      <w:r w:rsidRPr="00576B88">
        <w:t xml:space="preserve"> de Wet goed verhuurderschap (Wgv) </w:t>
      </w:r>
      <w:r>
        <w:t>is namelijk bepaald dat een verhuurder niet mag intimideren. Doet de verhuurder dit wel, dan dient de gemeente hierop te handhaven.</w:t>
      </w:r>
      <w:r w:rsidRPr="00576B88">
        <w:t xml:space="preserve"> </w:t>
      </w:r>
      <w:r>
        <w:t>Dat kan door een waarschuwing te geven, een last onder dwangsom op te leggen, of een bestuurlijke boete. Handhaving</w:t>
      </w:r>
      <w:r w:rsidRPr="00576B88">
        <w:t xml:space="preserve"> kan bijvoorbeeld naar aanleiding van een (anonieme) melding bij het gemeentelijke meldpunt voor ongewenst verhuurgedrag</w:t>
      </w:r>
      <w:r>
        <w:t>, maar de</w:t>
      </w:r>
      <w:r w:rsidRPr="00576B88">
        <w:t xml:space="preserve"> gemeente kan daarnaast ook zonder voorafgaande melding optreden tegen intimidatie</w:t>
      </w:r>
      <w:r>
        <w:t xml:space="preserve"> als dit wordt vastgesteld</w:t>
      </w:r>
      <w:r w:rsidRPr="00576B88">
        <w:t xml:space="preserve">. </w:t>
      </w:r>
    </w:p>
    <w:p w:rsidRPr="00576B88" w:rsidR="00197D0E" w:rsidP="00197D0E" w:rsidRDefault="00197D0E" w14:paraId="03E972EB" w14:textId="77777777">
      <w:pPr>
        <w:ind w:left="360"/>
      </w:pPr>
    </w:p>
    <w:p w:rsidRPr="00576B88" w:rsidR="00197D0E" w:rsidP="00197D0E" w:rsidRDefault="00197D0E" w14:paraId="2DEA4749" w14:textId="77777777">
      <w:pPr>
        <w:ind w:left="360"/>
      </w:pPr>
      <w:r w:rsidRPr="00576B88">
        <w:t xml:space="preserve">Ten aanzien van de zogenaamde “carrouselconstructies” </w:t>
      </w:r>
      <w:r>
        <w:t>geldt</w:t>
      </w:r>
      <w:r w:rsidRPr="00576B88">
        <w:t xml:space="preserve"> dat het voor de handhaving op overtredingen van zowel de Wgv of de W</w:t>
      </w:r>
      <w:r>
        <w:t>et betaalbare huur (W</w:t>
      </w:r>
      <w:r w:rsidRPr="00576B88">
        <w:t>bh</w:t>
      </w:r>
      <w:r>
        <w:t>)</w:t>
      </w:r>
      <w:r w:rsidRPr="00576B88">
        <w:t xml:space="preserve"> niet uitmaakt of er inmiddels een andere huurder in de woning woont. </w:t>
      </w:r>
      <w:r>
        <w:t xml:space="preserve">Voor wat betreft handhaving van </w:t>
      </w:r>
      <w:r w:rsidRPr="00576B88">
        <w:t xml:space="preserve">de Wgv </w:t>
      </w:r>
      <w:r>
        <w:t xml:space="preserve">en de Wbh geldt </w:t>
      </w:r>
      <w:r w:rsidRPr="00576B88">
        <w:t xml:space="preserve">namelijk </w:t>
      </w:r>
      <w:r>
        <w:t xml:space="preserve">dat het gaat </w:t>
      </w:r>
      <w:r w:rsidRPr="00576B88">
        <w:t>om de overtreding die is begaan</w:t>
      </w:r>
      <w:r>
        <w:t>. Daarbij</w:t>
      </w:r>
      <w:r w:rsidRPr="00576B88">
        <w:t xml:space="preserve"> is niet relevant jegens welke huurder</w:t>
      </w:r>
      <w:r>
        <w:t>(s)</w:t>
      </w:r>
      <w:r w:rsidRPr="00576B88">
        <w:t xml:space="preserve"> dat is geweest. </w:t>
      </w:r>
      <w:r>
        <w:t xml:space="preserve">Gemeenten kunnen op grond van deze wetten bovendien zwaardere sancties opleggen in het geval van recidive.  </w:t>
      </w:r>
      <w:r w:rsidRPr="00576B88">
        <w:br/>
      </w:r>
    </w:p>
    <w:p w:rsidRPr="00576B88" w:rsidR="00197D0E" w:rsidP="00197D0E" w:rsidRDefault="00197D0E" w14:paraId="0FBD91EA" w14:textId="77777777">
      <w:pPr>
        <w:numPr>
          <w:ilvl w:val="0"/>
          <w:numId w:val="1"/>
        </w:numPr>
        <w:tabs>
          <w:tab w:val="clear" w:pos="720"/>
        </w:tabs>
        <w:spacing w:after="0" w:line="240" w:lineRule="auto"/>
        <w:ind w:left="360" w:hanging="360"/>
      </w:pPr>
      <w:r w:rsidRPr="00576B88">
        <w:t>Welke mogelijkheden zijn er tot binnentreden of bestuursrechtelijk ingrijpen bij ernstige signalen van uitbuiting en overbewoning? </w:t>
      </w:r>
      <w:r w:rsidRPr="00576B88">
        <w:br/>
      </w:r>
      <w:r w:rsidRPr="00576B88">
        <w:br/>
        <w:t>Antwoord:</w:t>
      </w:r>
      <w:r w:rsidRPr="00576B88">
        <w:br/>
        <w:t xml:space="preserve">Voor binnentreding bij handhaving op overbewoning geldt het algemene wettelijke kader beschreven in </w:t>
      </w:r>
      <w:r>
        <w:t>de</w:t>
      </w:r>
      <w:r w:rsidRPr="00576B88">
        <w:t xml:space="preserve"> antwoord</w:t>
      </w:r>
      <w:r>
        <w:t>en</w:t>
      </w:r>
      <w:r w:rsidRPr="00576B88">
        <w:t xml:space="preserve"> op vraag 7</w:t>
      </w:r>
      <w:r>
        <w:t xml:space="preserve"> en 8. Specifiek voor de Arbeidsinspectie geldt dat de Wet arbeid vreemdelingen en het Wetboek van Strafvordering mogelijkheden bieden voor binnentreden zonder toestemming van de bewoner(s). </w:t>
      </w:r>
      <w:r>
        <w:br/>
      </w:r>
    </w:p>
    <w:p w:rsidRPr="001F675B" w:rsidR="00197D0E" w:rsidP="00197D0E" w:rsidRDefault="00197D0E" w14:paraId="7693820A" w14:textId="77777777">
      <w:pPr>
        <w:numPr>
          <w:ilvl w:val="0"/>
          <w:numId w:val="1"/>
        </w:numPr>
        <w:tabs>
          <w:tab w:val="clear" w:pos="720"/>
        </w:tabs>
        <w:spacing w:after="0" w:line="240" w:lineRule="auto"/>
        <w:ind w:left="360" w:hanging="360"/>
        <w:rPr>
          <w:rFonts w:eastAsiaTheme="minorEastAsia"/>
        </w:rPr>
      </w:pPr>
      <w:r w:rsidRPr="00576B88">
        <w:lastRenderedPageBreak/>
        <w:t>Zou u samen met de VNG in kaart willen brengen hoeveel capaciteit gemeenten nodig hebben om een stevige aanpak van deze problematiek neer te zetten, gezien het voorbeeld dat een grote stad als Rotterdam slechts enkele inspecteurs beschikbaar heeft voor toezicht op naleving?</w:t>
      </w:r>
      <w:r w:rsidRPr="00576B88">
        <w:br/>
      </w:r>
      <w:r w:rsidRPr="00576B88">
        <w:br/>
        <w:t>Antwoord:</w:t>
      </w:r>
      <w:r w:rsidRPr="00576B88">
        <w:br/>
      </w:r>
      <w:r w:rsidRPr="000E1A04">
        <w:rPr>
          <w:rFonts w:eastAsiaTheme="minorEastAsia"/>
        </w:rPr>
        <w:t xml:space="preserve">Zoals opgemerkt in </w:t>
      </w:r>
      <w:r>
        <w:rPr>
          <w:rFonts w:eastAsiaTheme="minorEastAsia"/>
        </w:rPr>
        <w:t>eerdere antwoorden</w:t>
      </w:r>
      <w:r w:rsidRPr="000E1A04">
        <w:rPr>
          <w:rFonts w:eastAsiaTheme="minorEastAsia"/>
        </w:rPr>
        <w:t xml:space="preserve"> wordt in gesprek gegaan met gemeenten </w:t>
      </w:r>
      <w:r>
        <w:rPr>
          <w:rFonts w:eastAsiaTheme="minorEastAsia"/>
        </w:rPr>
        <w:t xml:space="preserve">en de VNG </w:t>
      </w:r>
      <w:r w:rsidRPr="000E1A04">
        <w:rPr>
          <w:rFonts w:eastAsiaTheme="minorEastAsia"/>
        </w:rPr>
        <w:t xml:space="preserve">over de beschikbare bevoegdheden om te handhaven en te bezien wat mogelijke knelpunten zijn. </w:t>
      </w:r>
      <w:r>
        <w:br/>
      </w:r>
      <w:r>
        <w:br/>
      </w:r>
      <w:r w:rsidRPr="00576B88">
        <w:t>In het geval van de W</w:t>
      </w:r>
      <w:r>
        <w:t>et goed verhuurderschap (Wg</w:t>
      </w:r>
      <w:r w:rsidRPr="00576B88">
        <w:t>v</w:t>
      </w:r>
      <w:r>
        <w:t>)</w:t>
      </w:r>
      <w:r w:rsidRPr="00576B88">
        <w:t>, W</w:t>
      </w:r>
      <w:r>
        <w:t xml:space="preserve">et </w:t>
      </w:r>
      <w:r w:rsidRPr="00576B88">
        <w:t>b</w:t>
      </w:r>
      <w:r>
        <w:t>etaalbare huur (Wbh)</w:t>
      </w:r>
      <w:r w:rsidRPr="00576B88">
        <w:t xml:space="preserve"> en Wet maximering huurprijsverhogingen geliberaliseerde huurovereenkomsten geldt </w:t>
      </w:r>
      <w:r>
        <w:t xml:space="preserve">overigens </w:t>
      </w:r>
      <w:r w:rsidRPr="00576B88">
        <w:t xml:space="preserve">dat in 2025, op verzoek van de VNG, een evaluatie heeft plaatsgevonden van de financiële middelen die gemeenten van het Rijk ontvangen voor de implementatie en uitvoering van de genoemde wetten. </w:t>
      </w:r>
      <w:r w:rsidRPr="008C3337">
        <w:rPr>
          <w:rFonts w:eastAsiaTheme="minorEastAsia"/>
        </w:rPr>
        <w:t>Uit dit onderzoek, waarin ook individuele gemeenten zijn geïnterviewd, blijkt dat de financiële middelen voor gemeenten voor het uitvoeren van de wettelijke taken die voortvloeien uit deze drie wetten en het handhaven daarop vooralsnog afdoende zijn.</w:t>
      </w:r>
      <w:r>
        <w:rPr>
          <w:rFonts w:eastAsiaTheme="minorEastAsia"/>
        </w:rPr>
        <w:t xml:space="preserve"> Tegelijk laat dit signaal zien dat het wettelijk instrumentarium alleen niet voldoende is, en dat capaciteit nodig is om lokaal toezicht en handhaving uit te oefenen. Daarom is het gesprek hierover met gemeenten van belang om te horen waar het nu knelt.</w:t>
      </w:r>
      <w:r w:rsidRPr="001F675B">
        <w:br/>
      </w:r>
    </w:p>
    <w:p w:rsidRPr="00576B88" w:rsidR="00197D0E" w:rsidP="00197D0E" w:rsidRDefault="00197D0E" w14:paraId="13F0B724" w14:textId="77777777">
      <w:pPr>
        <w:numPr>
          <w:ilvl w:val="0"/>
          <w:numId w:val="1"/>
        </w:numPr>
        <w:tabs>
          <w:tab w:val="clear" w:pos="720"/>
        </w:tabs>
        <w:spacing w:after="0" w:line="240" w:lineRule="auto"/>
        <w:ind w:left="360" w:hanging="360"/>
      </w:pPr>
      <w:r w:rsidRPr="00576B88">
        <w:t>Herkent u het beeld dat dossiers blijven liggen, handhaving uitblijft en overtreders feitelijk wegkomen met illegale praktijken? </w:t>
      </w:r>
      <w:r w:rsidRPr="00576B88">
        <w:br/>
      </w:r>
    </w:p>
    <w:p w:rsidR="00197D0E" w:rsidP="00197D0E" w:rsidRDefault="00197D0E" w14:paraId="14AE9D26" w14:textId="77777777">
      <w:pPr>
        <w:numPr>
          <w:ilvl w:val="0"/>
          <w:numId w:val="1"/>
        </w:numPr>
        <w:tabs>
          <w:tab w:val="clear" w:pos="720"/>
        </w:tabs>
        <w:spacing w:after="0" w:line="240" w:lineRule="auto"/>
        <w:ind w:left="360" w:hanging="360"/>
      </w:pPr>
      <w:r w:rsidRPr="00576B88">
        <w:t>Welke concrete maatregelen neemt u om te zorgen dat constateringen van overtredingen sneller en daadwerkelijk leiden tot sancties? </w:t>
      </w:r>
      <w:r w:rsidRPr="00576B88">
        <w:br/>
      </w:r>
      <w:r w:rsidRPr="00576B88">
        <w:br/>
        <w:t>Antwoord op vraag 1</w:t>
      </w:r>
      <w:r>
        <w:t>1</w:t>
      </w:r>
      <w:r w:rsidRPr="00576B88">
        <w:t xml:space="preserve"> en 1</w:t>
      </w:r>
      <w:r>
        <w:t>2</w:t>
      </w:r>
      <w:r w:rsidRPr="00576B88">
        <w:t xml:space="preserve">: </w:t>
      </w:r>
      <w:r w:rsidRPr="00576B88">
        <w:br/>
        <w:t xml:space="preserve">Zoals aangegeven in mijn antwoord op vraag 4, 5, 6 en 7 zijn gemeenten verantwoordelijk voor de handhaving op misstanden in hun gemeente en de wijze waarop zij dat binnen de kaders van de wet vormgeven. </w:t>
      </w:r>
      <w:r>
        <w:t xml:space="preserve">Ook heeft de minister van VRO in 2025 </w:t>
      </w:r>
      <w:r w:rsidRPr="00D0488D">
        <w:t>de opstart van een opleiding voor bouw- en woningtoezicht</w:t>
      </w:r>
      <w:r>
        <w:t xml:space="preserve"> gesteund</w:t>
      </w:r>
      <w:r w:rsidRPr="00D0488D">
        <w:t>. Deze opleiding moet bijdragen aan professionalisering en kwaliteitsverbetering van woontoezichthouders en bouwtoezichthouders.</w:t>
      </w:r>
      <w:r>
        <w:t xml:space="preserve"> Zoals eerder aangegeven wordt met gemeenten in gesprek gegaan over signalen dat de handhaving in de praktijk niet altijd goed verloopt. </w:t>
      </w:r>
      <w:r>
        <w:br/>
      </w:r>
    </w:p>
    <w:p w:rsidRPr="00576B88" w:rsidR="00197D0E" w:rsidP="00197D0E" w:rsidRDefault="00197D0E" w14:paraId="09CF6FB5" w14:textId="77777777">
      <w:pPr>
        <w:pStyle w:val="Lijstalinea"/>
        <w:numPr>
          <w:ilvl w:val="0"/>
          <w:numId w:val="1"/>
        </w:numPr>
        <w:tabs>
          <w:tab w:val="clear" w:pos="720"/>
        </w:tabs>
        <w:autoSpaceDN w:val="0"/>
        <w:spacing w:after="0" w:line="240" w:lineRule="atLeast"/>
        <w:ind w:left="360" w:hanging="360"/>
        <w:textAlignment w:val="baseline"/>
      </w:pPr>
      <w:r w:rsidRPr="00576B88">
        <w:t>Hoe beoordeelt u de kwetsbare positie van arbeidsmigranten die geen huurcontract hebben, afhankelijk zijn van hun werkgever voor huisvesting en uit angst voor verlies van werk of woning geen melding durven doen? </w:t>
      </w:r>
      <w:r>
        <w:br/>
      </w:r>
      <w:r>
        <w:br/>
      </w:r>
      <w:r w:rsidRPr="00576B88">
        <w:t>Antwoord:</w:t>
      </w:r>
      <w:r w:rsidRPr="00576B88">
        <w:br/>
        <w:t>Situaties waarin arbeidsmigranten geen schriftelijk huurcontract hebben, een te grote afhankelijkheid van hun werkgever voor huisvesting</w:t>
      </w:r>
      <w:r>
        <w:t xml:space="preserve"> hebben</w:t>
      </w:r>
      <w:r w:rsidRPr="00576B88">
        <w:t xml:space="preserve">, </w:t>
      </w:r>
      <w:r>
        <w:t>of waarbij zij</w:t>
      </w:r>
      <w:r w:rsidRPr="00576B88">
        <w:t xml:space="preserve"> uit angst voor verlies van werk of woning geen melding durven te doen van </w:t>
      </w:r>
      <w:r w:rsidRPr="00576B88">
        <w:lastRenderedPageBreak/>
        <w:t>misstanden, keurt het kabinet af.</w:t>
      </w:r>
      <w:r>
        <w:t xml:space="preserve"> </w:t>
      </w:r>
      <w:r>
        <w:br/>
      </w:r>
      <w:r>
        <w:br/>
      </w:r>
      <w:r w:rsidRPr="00576B88">
        <w:t>Daarbij moet opgemerkt worden dat</w:t>
      </w:r>
      <w:r>
        <w:t>,</w:t>
      </w:r>
      <w:r w:rsidRPr="00576B88">
        <w:t xml:space="preserve"> voor het </w:t>
      </w:r>
      <w:r>
        <w:t>verkrijgen</w:t>
      </w:r>
      <w:r w:rsidRPr="00576B88">
        <w:t xml:space="preserve"> van de huurbescherming of huurprijsbescherming, </w:t>
      </w:r>
      <w:r>
        <w:t>het</w:t>
      </w:r>
      <w:r w:rsidRPr="00576B88">
        <w:t xml:space="preserve"> juridisch gezien niet uitmaakt of mensen een schriftelijk huurcontract hebben. Een huurovereenkomst kan ook een (impliciete) mondelinge afspraak zijn. Om discussies over het bestaan van een huurrelatie te voorkomen, is in de W</w:t>
      </w:r>
      <w:r>
        <w:t xml:space="preserve">et </w:t>
      </w:r>
      <w:r w:rsidRPr="00576B88">
        <w:t>g</w:t>
      </w:r>
      <w:r>
        <w:t xml:space="preserve">oed </w:t>
      </w:r>
      <w:r w:rsidRPr="00576B88">
        <w:t>v</w:t>
      </w:r>
      <w:r>
        <w:t>erhuurderschap (Wgv)</w:t>
      </w:r>
      <w:r w:rsidRPr="00576B88">
        <w:t xml:space="preserve"> </w:t>
      </w:r>
      <w:r>
        <w:t>bovendien</w:t>
      </w:r>
      <w:r w:rsidRPr="00576B88">
        <w:t xml:space="preserve"> een verplichting aan verhuurders opgelegd om een (mondelinge) huurovereenkomst schriftelijk vast te leggen. Daarnaast geldt dat verhuurders </w:t>
      </w:r>
      <w:r>
        <w:t xml:space="preserve">– in het geval van verhuur aan arbeidsmigranten – </w:t>
      </w:r>
      <w:r w:rsidRPr="00576B88">
        <w:t xml:space="preserve">op grond van de Wgv verplicht zijn om de huurovereenkomst los van de arbeidsovereenkomst vast te leggen om ‘baan en bed’ van elkaar te scheiden. </w:t>
      </w:r>
      <w:r>
        <w:br/>
      </w:r>
      <w:r>
        <w:br/>
      </w:r>
      <w:r w:rsidRPr="00576B88">
        <w:t>De huur</w:t>
      </w:r>
      <w:r>
        <w:t>(prijs)</w:t>
      </w:r>
      <w:r w:rsidRPr="00576B88">
        <w:t>bescherming van arbeidsmigranten is vaak echter nog onvoldoende, omdat gebruik wordt gemaakt van ‘aard naar korte duur’-contracten. Om de huur</w:t>
      </w:r>
      <w:r>
        <w:t>(prijs)</w:t>
      </w:r>
      <w:r w:rsidRPr="00576B88">
        <w:t xml:space="preserve">bescherming te verbeteren is een wetsvoorstel in voorbereiding, zie hiervoor het antwoord op vraag 14. </w:t>
      </w:r>
      <w:r>
        <w:br/>
      </w:r>
    </w:p>
    <w:p w:rsidR="00197D0E" w:rsidP="00197D0E" w:rsidRDefault="00197D0E" w14:paraId="75FD2F5E" w14:textId="77777777">
      <w:pPr>
        <w:numPr>
          <w:ilvl w:val="0"/>
          <w:numId w:val="1"/>
        </w:numPr>
        <w:tabs>
          <w:tab w:val="clear" w:pos="720"/>
        </w:tabs>
        <w:spacing w:after="0" w:line="240" w:lineRule="auto"/>
        <w:ind w:left="360" w:hanging="360"/>
      </w:pPr>
      <w:r w:rsidRPr="00576B88">
        <w:t>Zou u in kaart willen brengen welke mogelijkheden er zijn om deze groep beter te beschermen, op het gebied van fatsoenlijke huisvesting, het tegengaan van misstanden en afbouwen van onwenselijke afhankelijkheidsrelaties? </w:t>
      </w:r>
      <w:r>
        <w:br/>
      </w:r>
      <w:r>
        <w:br/>
      </w:r>
      <w:r w:rsidRPr="00576B88">
        <w:t xml:space="preserve">Antwoord: </w:t>
      </w:r>
      <w:r>
        <w:rPr>
          <w:b/>
          <w:bCs/>
          <w:color w:val="70AD47" w:themeColor="accent6"/>
        </w:rPr>
        <w:br/>
      </w:r>
      <w:r>
        <w:t xml:space="preserve">Voor wat betreft de maatregelen aangaande huisvesting verloopt dit </w:t>
      </w:r>
      <w:r w:rsidRPr="00576B88">
        <w:t xml:space="preserve">onder andere via </w:t>
      </w:r>
      <w:r>
        <w:t xml:space="preserve">het instrumentarium dat is beschreven in het antwoord op de vragen 6 en 7. </w:t>
      </w:r>
    </w:p>
    <w:p w:rsidR="00197D0E" w:rsidP="00197D0E" w:rsidRDefault="00197D0E" w14:paraId="0D0F2755" w14:textId="77777777">
      <w:pPr>
        <w:spacing w:line="240" w:lineRule="auto"/>
        <w:ind w:left="360"/>
      </w:pPr>
    </w:p>
    <w:p w:rsidRPr="00576B88" w:rsidR="00197D0E" w:rsidP="00197D0E" w:rsidRDefault="00197D0E" w14:paraId="196496DD" w14:textId="77777777">
      <w:pPr>
        <w:spacing w:line="240" w:lineRule="auto"/>
        <w:ind w:left="360"/>
      </w:pPr>
      <w:r>
        <w:t>Naast het reeds beschikbare instrumentarium (zie antwoord vraag 6 en 7)</w:t>
      </w:r>
      <w:r w:rsidRPr="00576B88">
        <w:t xml:space="preserve"> is er een wetsvoorstel in voorbereiding om de huurbescherming van arbeidsmigranten te verbeteren.</w:t>
      </w:r>
      <w:r>
        <w:rPr>
          <w:rStyle w:val="Voetnootmarkering"/>
        </w:rPr>
        <w:footnoteReference w:id="3"/>
      </w:r>
      <w:r w:rsidRPr="00576B88">
        <w:t xml:space="preserve"> Op dit moment worden verschillende groepen huurders, waaronder arbeidsmigranten, gehuisvest op basis van zogenaamde ‘short stay’- of logiescontracten. Het huurrecht kent het begrip ‘short stay’-contracten echter niet. Waar in de sector wordt gesproken over huisvesting op basis van ‘short stay’ wordt binnen het huurrecht een beroep gedaan op de uitzondering in artikel 7:232, tweede lid, van het Burgerlijk Wetboek. Deze uitzondering betekent kort gezegd dat de huur(prijs)bescherming niet van toepassing is op deze vorm van huur. De uitzondering in het huurrecht voor huur ‘naar aard van korte duur’ is bedoeld om kenbaar te maken dat er bijvoorbeeld bij het huren van een vakantiehuisje geen huurbescherming is. Het substantiële gebruik van de uitzondering is oneigenlijk. Beleidsinzet is er dan ook opgericht om de wet aan te passen en huur ‘naar aard van korte duur’ wettelijk te begrenzen tot een maximale duur van 30 nachten. Op het moment dat dezelfde </w:t>
      </w:r>
      <w:r w:rsidRPr="00576B88">
        <w:lastRenderedPageBreak/>
        <w:t xml:space="preserve">woonruimte langer dan 30 nachten aan dezelfde huurder wordt verhuurd, </w:t>
      </w:r>
      <w:r>
        <w:t>is er</w:t>
      </w:r>
      <w:r w:rsidRPr="00576B88">
        <w:t xml:space="preserve"> dan per definitie sprake van huur(prijs)bescherming. </w:t>
      </w:r>
    </w:p>
    <w:p w:rsidRPr="00576B88" w:rsidR="00197D0E" w:rsidP="00197D0E" w:rsidRDefault="00197D0E" w14:paraId="42FC4B7D" w14:textId="77777777">
      <w:pPr>
        <w:ind w:left="360"/>
      </w:pPr>
    </w:p>
    <w:p w:rsidRPr="00576B88" w:rsidR="00197D0E" w:rsidP="00197D0E" w:rsidRDefault="00197D0E" w14:paraId="63E8E4E2" w14:textId="77777777">
      <w:pPr>
        <w:ind w:left="360"/>
      </w:pPr>
      <w:r w:rsidRPr="00576B88">
        <w:t>Ten tweede werkt de minister van VRO aan een huurregister</w:t>
      </w:r>
      <w:r>
        <w:rPr>
          <w:rStyle w:val="Voetnootmarkering"/>
        </w:rPr>
        <w:footnoteReference w:id="4"/>
      </w:r>
      <w:r w:rsidRPr="00576B88">
        <w:t xml:space="preserve">. Een huurregister heeft als inzet dat alle verhuurders die woonruimte langer dan 30 nachten verhuren of willen verhuren, zich moeten registreren in een landelijk register. Dat geldt dus dan ook voor alle huisvesting die aan arbeidsmigranten wordt verhuurd. Hiermee wordt het houden van toezicht op de verhuurder gefaciliteerd. </w:t>
      </w:r>
      <w:r>
        <w:br/>
      </w:r>
      <w:r>
        <w:br/>
      </w:r>
      <w:r w:rsidRPr="0C125464">
        <w:rPr>
          <w:i/>
          <w:iCs/>
        </w:rPr>
        <w:t>Overige maatregelen en mogelijkheden daartoe voor het beschermen van arbeidsmigranten</w:t>
      </w:r>
      <w:r>
        <w:br/>
        <w:t xml:space="preserve">Zoals bij vraag 1 benoemd voert het </w:t>
      </w:r>
      <w:r w:rsidRPr="00576B88">
        <w:t xml:space="preserve">kabinet de aanbevelingen van het Aanjaagteam bescherming arbeidsmigranten uit. Dit gebeurt in interdepartementaal verband met de ministeries van SZW, BZK, VWS, EZ, LVVN, JenV en de Nederlandse Arbeidsinspectie. Daarbij werkt het kabinet samen met uitvoerings- en handhavingsorganisaties, sociale partners, medeoverheden en andere stakeholders. </w:t>
      </w:r>
      <w:r>
        <w:br/>
      </w:r>
      <w:r w:rsidRPr="00576B88">
        <w:br/>
      </w:r>
      <w:r>
        <w:t>Omdat</w:t>
      </w:r>
      <w:r w:rsidRPr="00576B88">
        <w:t xml:space="preserve"> veel arbeidsmigranten in Nederland werken via een uitzendbureau is een belangrijke aanbeveling van het Aanjaagteam het opzetten van een toelatingsstelsel voor uitleners. De Wet terbeschikkingstelling van arbeidskrachten (Wtta) is op 15 april 2025 aangenomen in de Tweede Kamer en op 11 november 2025 aangenomen in de Eerste Kamer. Een belangrijke mijlpaal. De voorbereidingen voor de invoering van het toelatingsstelsel zijn in volle gang, met in het bijzonder de oprichting van een nieuwe uitvoeringsorganisatie: de Nederlandse Autoriteit Uitleenmarkt (NAU). De invoeringsdatum voor het toelatingsstelsel is 1 januari 2027. Vanaf 1 januari 2028 gaat de Arbeidsinspectie handhaven op de toelatingsplicht. Daar heeft de Arbeidsinspectie ook extra capaciteit voor gekregen. Door de Wtta kunnen we uitleners die zich niet aan de regels houden van de uitleenmarkt weren. Hiermee beschermen we kwetsbare arbeidskrachten, onder wie arbeidsmigranten. Ook stimuleren </w:t>
      </w:r>
      <w:r>
        <w:t xml:space="preserve">we </w:t>
      </w:r>
      <w:r w:rsidRPr="00576B88">
        <w:t>goed werkgeverschap in de uitzendbranche.</w:t>
      </w:r>
      <w:r>
        <w:br/>
      </w:r>
    </w:p>
    <w:p w:rsidRPr="00576B88" w:rsidR="00197D0E" w:rsidP="00197D0E" w:rsidRDefault="00197D0E" w14:paraId="78A19035" w14:textId="77777777">
      <w:pPr>
        <w:ind w:left="360"/>
      </w:pPr>
      <w:r w:rsidRPr="00576B88">
        <w:t xml:space="preserve">Naast goede wet- en regelgeving moeten arbeidsmigranten beter op de hoogte zijn van hun rechten en moet hen meer (juridische) hulp worden geboden. Dat kan ook hulp zijn bij problemen met huisvesting. Daarom heeft dit kabinet met het project Work in NL (WIN) fysieke en mobiele informatiepunten door heel het land geopend. Dit jaar wordt de website workinnl.nl vernieuwd en geeft </w:t>
      </w:r>
      <w:r>
        <w:t xml:space="preserve">het </w:t>
      </w:r>
      <w:r w:rsidRPr="00576B88">
        <w:t xml:space="preserve">de </w:t>
      </w:r>
      <w:r w:rsidRPr="00576B88">
        <w:lastRenderedPageBreak/>
        <w:t>mogelijkheid om ook regionale informatie te plaatsen. Daarnaast wordt verder gewerkt aan concrete actie binnen de Alliantie Work in NL, waarin werkgevers en huisvesters ondersteuning bieden aan arbeidsmigranten en zetten we verdere stappen om informatie in landen van thuiskomst te versterken.</w:t>
      </w:r>
      <w:r>
        <w:br/>
      </w:r>
      <w:r>
        <w:br/>
        <w:t>Daarnaast</w:t>
      </w:r>
      <w:r w:rsidRPr="00576B88">
        <w:t xml:space="preserve"> ligt op dit moment de </w:t>
      </w:r>
      <w:r>
        <w:t>W</w:t>
      </w:r>
      <w:r w:rsidRPr="00576B88">
        <w:t>et modernisering en uitbreiding strafbaarstelling mensenhandel ter behandeling in de Eerste Kamer.</w:t>
      </w:r>
      <w:r>
        <w:rPr>
          <w:rStyle w:val="Voetnootmarkering"/>
        </w:rPr>
        <w:footnoteReference w:id="5"/>
      </w:r>
      <w:r w:rsidRPr="00576B88">
        <w:t xml:space="preserve"> De modernisering heeft als centrale doelstelling het effectiever maken van de strafrechtelijke aanpak van mensenhandel, waardoor de vervolging van daders en de bescherming van slachtoffers wordt verbeterd. </w:t>
      </w:r>
      <w:r>
        <w:br/>
      </w:r>
      <w:r>
        <w:br/>
      </w:r>
      <w:r w:rsidRPr="00576B88">
        <w:t xml:space="preserve">Kortom, het kabinet zet tal van maatregelen door om de situatie van arbeidsmigranten te verbeteren. </w:t>
      </w:r>
      <w:r w:rsidRPr="00576B88">
        <w:br/>
      </w:r>
    </w:p>
    <w:p w:rsidRPr="00576B88" w:rsidR="00197D0E" w:rsidP="00197D0E" w:rsidRDefault="00197D0E" w14:paraId="692646D9" w14:textId="77777777">
      <w:pPr>
        <w:numPr>
          <w:ilvl w:val="0"/>
          <w:numId w:val="1"/>
        </w:numPr>
        <w:tabs>
          <w:tab w:val="clear" w:pos="720"/>
        </w:tabs>
        <w:spacing w:after="0" w:line="240" w:lineRule="auto"/>
        <w:ind w:left="360" w:hanging="360"/>
      </w:pPr>
      <w:r w:rsidRPr="00576B88">
        <w:t>Bent u bekend met signalen dat uitzendbureaus en huisvesters arbeidsmigranten ontmoedigen of zelfs intimideren om zich in te schrijven bij gemeenten? Deelt u de opvatting dat dit volstrekt onacceptabel is?</w:t>
      </w:r>
    </w:p>
    <w:p w:rsidRPr="00576B88" w:rsidR="00197D0E" w:rsidP="00197D0E" w:rsidRDefault="00197D0E" w14:paraId="7C78EDF0" w14:textId="77777777"/>
    <w:p w:rsidRPr="00576B88" w:rsidR="00197D0E" w:rsidP="00197D0E" w:rsidRDefault="00197D0E" w14:paraId="464CFABC" w14:textId="77777777">
      <w:pPr>
        <w:numPr>
          <w:ilvl w:val="0"/>
          <w:numId w:val="1"/>
        </w:numPr>
        <w:tabs>
          <w:tab w:val="clear" w:pos="720"/>
        </w:tabs>
        <w:spacing w:after="0" w:line="240" w:lineRule="auto"/>
        <w:ind w:left="360" w:hanging="360"/>
      </w:pPr>
      <w:r w:rsidRPr="00576B88">
        <w:t>Welke acties onderneemt u tegen uitzendbureaus of huisvesters die arbeidsmigranten ontmoedigen of intimideren om zich in te schrijven in de BRP? </w:t>
      </w:r>
      <w:r w:rsidRPr="00576B88">
        <w:br/>
      </w:r>
    </w:p>
    <w:p w:rsidRPr="00576B88" w:rsidR="00197D0E" w:rsidP="00197D0E" w:rsidRDefault="00197D0E" w14:paraId="123BE387" w14:textId="77777777">
      <w:pPr>
        <w:ind w:left="360"/>
      </w:pPr>
      <w:r w:rsidRPr="00576B88">
        <w:t>Antwoord op vraag 15 en 16:</w:t>
      </w:r>
    </w:p>
    <w:p w:rsidRPr="00576B88" w:rsidR="00197D0E" w:rsidP="00197D0E" w:rsidRDefault="00197D0E" w14:paraId="1E9474BB" w14:textId="77777777">
      <w:pPr>
        <w:ind w:left="360"/>
      </w:pPr>
      <w:r w:rsidRPr="00576B88">
        <w:t>Het is ontoelaatbaar dat sommige uitzendbureaus of huisvesters de inschrijving van arbeidsmigranten in de BRP dwarsbomen. Dit kabinet zet in op een breed pakket aan maatregelen om de registratie van arbeidsmigranten in de BRP te verbeteren. Een van de belangrijkste maatregelen is om uitzenders een verantwoordelijkheid te geven in de correcte registratie van arbeidsmigranten</w:t>
      </w:r>
      <w:r>
        <w:t>.</w:t>
      </w:r>
      <w:r w:rsidRPr="00576B88">
        <w:t xml:space="preserve"> </w:t>
      </w:r>
      <w:r>
        <w:t>D</w:t>
      </w:r>
      <w:r w:rsidRPr="00576B88">
        <w:t xml:space="preserve">aarom </w:t>
      </w:r>
      <w:r>
        <w:t>streven we naar inwerkingtreding van de zorgplicht voor uitleners per</w:t>
      </w:r>
      <w:r w:rsidRPr="00576B88">
        <w:t xml:space="preserve"> 1 januari 2027.</w:t>
      </w:r>
      <w:r>
        <w:br/>
      </w:r>
    </w:p>
    <w:p w:rsidR="00197D0E" w:rsidP="00197D0E" w:rsidRDefault="00197D0E" w14:paraId="404EF6BC" w14:textId="77777777">
      <w:pPr>
        <w:ind w:left="360"/>
      </w:pPr>
      <w:r w:rsidRPr="00576B88">
        <w:t xml:space="preserve">Op verzoek van uw Kamer is met de </w:t>
      </w:r>
      <w:r w:rsidRPr="00EB2078">
        <w:t>Wet toelating terbeschikkingstelling van arbeidskrachten</w:t>
      </w:r>
      <w:r>
        <w:t xml:space="preserve"> (</w:t>
      </w:r>
      <w:r w:rsidRPr="00576B88">
        <w:t>Wtta</w:t>
      </w:r>
      <w:r>
        <w:t>)</w:t>
      </w:r>
      <w:r w:rsidRPr="00576B88">
        <w:t xml:space="preserve"> een wettelijke basis geïntroduceerd voor de zorgplicht van uitzenders in de Wet allocatie arbeidskrachten door intermediairs (Waadi). Dit betekent dat uitzenders een rol krijgen in de correcte registratie van hun werknemers. Dit zal in beginsel gaan om een bevorderings- en vergewisplicht. De uitzender moet bevorderen dat zijn werknemer goed is ingeschreven en vergewissen dat deze werknemer na 6 maanden ook ingeschreven staat bij de gemeente. Momenteel werkt de minister van SZW de bevordering-, vergewis in lagere regelgeving uit. Optioneel is het in de toekomst ook mogelijk dat er een </w:t>
      </w:r>
      <w:r w:rsidRPr="00576B88">
        <w:lastRenderedPageBreak/>
        <w:t xml:space="preserve">meldplicht komt, waarmee uitzenders verplicht worden om melding te doen als een werknemer niet goed ingeschreven staat bij de gemeente. De uitwerking van lagere regelgeving gebeurt onder meer in nauwe samenwerking met uitleners, vakbonden en uitvoeringsorganisaties. </w:t>
      </w:r>
      <w:r>
        <w:br/>
      </w:r>
    </w:p>
    <w:p w:rsidRPr="00576B88" w:rsidR="00197D0E" w:rsidP="00197D0E" w:rsidRDefault="00197D0E" w14:paraId="305C6B1B" w14:textId="77777777">
      <w:pPr>
        <w:ind w:left="360"/>
      </w:pPr>
      <w:r w:rsidRPr="00576B88">
        <w:t xml:space="preserve">Op termijn zullen in het normenkader van de Wtta eisen worden opgenomen ten aanzien van de naleving van de zorgplicht. Deze norm zal worden toegevoegd nadat het toelatingsstelsel volledig is ingericht en de capaciteit van inspectie-instellingen voldoende is. </w:t>
      </w:r>
    </w:p>
    <w:p w:rsidRPr="00576B88" w:rsidR="00197D0E" w:rsidP="00197D0E" w:rsidRDefault="00197D0E" w14:paraId="6485B85C" w14:textId="77777777">
      <w:pPr>
        <w:ind w:left="360"/>
      </w:pPr>
    </w:p>
    <w:p w:rsidRPr="00576B88" w:rsidR="00197D0E" w:rsidP="00197D0E" w:rsidRDefault="00197D0E" w14:paraId="78FE7B2F" w14:textId="77777777">
      <w:pPr>
        <w:ind w:left="360"/>
      </w:pPr>
      <w:r w:rsidRPr="00576B88">
        <w:t xml:space="preserve">Daarnaast wordt er gewerkt aan andere maatregelen om in de breedte zicht op arbeidsmigranten te verbeteren. Zo gaat de Rijksdienst voor Identiteitsgegevens deze zomer e-mails sturen naar arbeidsmigranten die zich hebben ingeschreven in </w:t>
      </w:r>
      <w:r>
        <w:t>de registratie</w:t>
      </w:r>
      <w:r w:rsidRPr="00576B88">
        <w:t xml:space="preserve"> niet-ingezetenen om hen uitleg te geven over inschrijving in de BRP. Ook ziet het kabinet goede voorbeelden, zoals in de gemeente Meijerijstad, waar het WorkinNL-punt actief op pad gaat naar werk- en woonlocaties om daar mensen in te schrijven in de BRP. </w:t>
      </w:r>
    </w:p>
    <w:p w:rsidRPr="00576B88" w:rsidR="00197D0E" w:rsidP="00197D0E" w:rsidRDefault="00197D0E" w14:paraId="55C8AB24" w14:textId="77777777">
      <w:pPr>
        <w:ind w:left="360"/>
      </w:pPr>
    </w:p>
    <w:p w:rsidRPr="00576B88" w:rsidR="00197D0E" w:rsidP="00197D0E" w:rsidRDefault="00197D0E" w14:paraId="0E5A61AB" w14:textId="77777777">
      <w:pPr>
        <w:numPr>
          <w:ilvl w:val="0"/>
          <w:numId w:val="1"/>
        </w:numPr>
        <w:tabs>
          <w:tab w:val="clear" w:pos="720"/>
        </w:tabs>
        <w:spacing w:after="0" w:line="240" w:lineRule="auto"/>
        <w:ind w:left="360" w:hanging="360"/>
      </w:pPr>
      <w:r w:rsidRPr="00576B88">
        <w:t>Welke sancties staan momenteel op het belemmeren van inschrijving, en in hoeverre en hoeveel worden deze in de praktijk toegepast? </w:t>
      </w:r>
      <w:r w:rsidRPr="00576B88">
        <w:br/>
      </w:r>
      <w:r w:rsidRPr="00576B88">
        <w:br/>
        <w:t>Antwoord:</w:t>
      </w:r>
      <w:r w:rsidRPr="00576B88">
        <w:br/>
        <w:t xml:space="preserve">In de situatie zoals beschreven in </w:t>
      </w:r>
      <w:r>
        <w:t>het artikel</w:t>
      </w:r>
      <w:r w:rsidRPr="00576B88">
        <w:t xml:space="preserve"> vindt </w:t>
      </w:r>
      <w:r>
        <w:t xml:space="preserve">er </w:t>
      </w:r>
      <w:r w:rsidRPr="00576B88">
        <w:t xml:space="preserve">een combinatie van misstanden plaats </w:t>
      </w:r>
      <w:r>
        <w:t>waarop</w:t>
      </w:r>
      <w:r w:rsidRPr="00576B88">
        <w:t xml:space="preserve"> in gezamenlijkheid </w:t>
      </w:r>
      <w:r>
        <w:t>gehandhaafd</w:t>
      </w:r>
      <w:r w:rsidRPr="00576B88">
        <w:t xml:space="preserve"> moeten worden. We verwijzen daarom naar het antwoord op vraag </w:t>
      </w:r>
      <w:r>
        <w:t>8</w:t>
      </w:r>
      <w:r w:rsidRPr="00576B88">
        <w:t xml:space="preserve"> waarin beschreven wordt welke handvatten er voor gemeenten zijn om dit aan te pakken. Als het gaat om inschrijving is ervoor gekozen om nu sancties in te stellen voor de </w:t>
      </w:r>
      <w:r>
        <w:t>uitleners</w:t>
      </w:r>
      <w:r w:rsidRPr="00576B88">
        <w:t xml:space="preserve"> die hun zaken niet goed op orde hebben als het gaat om de registratie van werknemers. Zoals in de vorige vraag beschreven komt er per 1 januari 2027 een zorgplicht voor uitleners waarmee zij een verantwoordelijkheid krijgen in de correcte registratie van arbeidsmigranten. Op termijn wordt handhaving hiervoor ook ingeregeld via het toelatingsstelsel.</w:t>
      </w:r>
      <w:r w:rsidRPr="00576B88">
        <w:br/>
      </w:r>
    </w:p>
    <w:p w:rsidRPr="00576B88" w:rsidR="00197D0E" w:rsidP="00197D0E" w:rsidRDefault="00197D0E" w14:paraId="3C618B94" w14:textId="77777777">
      <w:pPr>
        <w:numPr>
          <w:ilvl w:val="0"/>
          <w:numId w:val="1"/>
        </w:numPr>
        <w:tabs>
          <w:tab w:val="clear" w:pos="720"/>
        </w:tabs>
        <w:spacing w:after="0" w:line="240" w:lineRule="auto"/>
        <w:ind w:left="360" w:hanging="360"/>
      </w:pPr>
      <w:r w:rsidRPr="00576B88">
        <w:t>Zou u inzicht willen geven in welke maatregelen er nog meer mogelijk zijn, zoals een meldplicht voor huisvesting van arbeidsmigranten, strengere vergunningseisen voor uitzendbureaus, of koppeling van huisvesting en registratiecontrole? </w:t>
      </w:r>
    </w:p>
    <w:p w:rsidRPr="00576B88" w:rsidR="00197D0E" w:rsidP="00197D0E" w:rsidRDefault="00197D0E" w14:paraId="053477EC" w14:textId="77777777">
      <w:pPr>
        <w:ind w:left="360"/>
      </w:pPr>
    </w:p>
    <w:p w:rsidRPr="00576B88" w:rsidR="00197D0E" w:rsidP="00197D0E" w:rsidRDefault="00197D0E" w14:paraId="48E95354" w14:textId="77777777">
      <w:pPr>
        <w:ind w:left="360"/>
      </w:pPr>
      <w:r w:rsidRPr="00576B88">
        <w:t>Antwoord:</w:t>
      </w:r>
      <w:r w:rsidRPr="00576B88">
        <w:br/>
        <w:t>Zoals in het antwoord op vraag 14 en 1</w:t>
      </w:r>
      <w:r>
        <w:t>6</w:t>
      </w:r>
      <w:r w:rsidRPr="00576B88">
        <w:t xml:space="preserve"> reeds is toegelicht zijn er verschillende bestaande en in ontwikkeling zijnde maatregelen om misstanden tegen te gaan</w:t>
      </w:r>
      <w:r>
        <w:t xml:space="preserve"> die zien op de in de vraag genoemde terreinen</w:t>
      </w:r>
      <w:r w:rsidRPr="00576B88">
        <w:t xml:space="preserve">. </w:t>
      </w:r>
    </w:p>
    <w:p w:rsidRPr="00576B88" w:rsidR="00197D0E" w:rsidP="00197D0E" w:rsidRDefault="00197D0E" w14:paraId="3A2E9901" w14:textId="77777777"/>
    <w:p w:rsidRPr="00576B88" w:rsidR="00197D0E" w:rsidP="00197D0E" w:rsidRDefault="00197D0E" w14:paraId="28B08CE3" w14:textId="77777777">
      <w:pPr>
        <w:numPr>
          <w:ilvl w:val="0"/>
          <w:numId w:val="1"/>
        </w:numPr>
        <w:tabs>
          <w:tab w:val="clear" w:pos="720"/>
        </w:tabs>
        <w:spacing w:after="0" w:line="240" w:lineRule="auto"/>
        <w:ind w:left="360" w:hanging="360"/>
      </w:pPr>
      <w:r w:rsidRPr="00576B88">
        <w:t>Hoe wordt de samenwerking tussen gemeenten, de Arbeidsinspectie, politie en andere instanties momenteel vormgegeven, en waar schiet deze tekort? </w:t>
      </w:r>
      <w:r w:rsidRPr="00576B88">
        <w:br/>
      </w:r>
      <w:r w:rsidRPr="00576B88">
        <w:br/>
        <w:t>Antwoord:</w:t>
      </w:r>
      <w:r w:rsidRPr="00576B88">
        <w:br/>
        <w:t>Het algemene beeld is dat de samenwerking in de meeste gevallen goed verloop</w:t>
      </w:r>
      <w:r>
        <w:t>t</w:t>
      </w:r>
      <w:r w:rsidRPr="00576B88">
        <w:t xml:space="preserve">. Wel </w:t>
      </w:r>
      <w:r>
        <w:t xml:space="preserve">zijn er signalen dat </w:t>
      </w:r>
      <w:r w:rsidRPr="00576B88">
        <w:t xml:space="preserve">in situaties van meervoudige problematiek, waarbij handhaving </w:t>
      </w:r>
      <w:r>
        <w:t xml:space="preserve">nodig is </w:t>
      </w:r>
      <w:r w:rsidRPr="00576B88">
        <w:t xml:space="preserve">op verschillende overtredingen die aan elkaar gerelateerd zijn en afstemming tussen meerdere instanties vereist, </w:t>
      </w:r>
      <w:r>
        <w:t>het nodige wordt gevraagd van de betrokken organisaties</w:t>
      </w:r>
      <w:r w:rsidRPr="00576B88">
        <w:t xml:space="preserve">. </w:t>
      </w:r>
      <w:r>
        <w:t>H</w:t>
      </w:r>
      <w:r w:rsidRPr="00576B88">
        <w:t xml:space="preserve">et kabinet </w:t>
      </w:r>
      <w:r>
        <w:t xml:space="preserve">gaat </w:t>
      </w:r>
      <w:r w:rsidRPr="00576B88">
        <w:t>daar</w:t>
      </w:r>
      <w:r>
        <w:t>over</w:t>
      </w:r>
      <w:r w:rsidRPr="00576B88">
        <w:t xml:space="preserve"> </w:t>
      </w:r>
      <w:r>
        <w:t xml:space="preserve">in </w:t>
      </w:r>
      <w:r w:rsidRPr="00576B88">
        <w:t xml:space="preserve">gesprek met onder andere </w:t>
      </w:r>
      <w:r>
        <w:t xml:space="preserve">gemeenten en </w:t>
      </w:r>
      <w:r w:rsidRPr="00576B88">
        <w:t xml:space="preserve">de VNG. </w:t>
      </w:r>
      <w:r w:rsidRPr="00576B88">
        <w:br/>
      </w:r>
      <w:r w:rsidRPr="00576B88">
        <w:br/>
        <w:t xml:space="preserve">Om een aantal voorbeelden te geven van waar de samenwerking goed gaat: </w:t>
      </w:r>
      <w:r>
        <w:t>g</w:t>
      </w:r>
      <w:r w:rsidRPr="00576B88">
        <w:t xml:space="preserve">emeenten en de Arbeidsinspectie werken samen bij het uitwisselen van meldingen, gezamenlijke controles en via meer structurele samenwerkingsverbanden (zoals via het Haags Economisch Interventie Team). Ook heeft de VNG in afstemming met onder meer de Arbeidsinspectie de handreiking opgesteld voor beter toezicht op huisvesting en registratie van EU-arbeidsmigranten. </w:t>
      </w:r>
      <w:r w:rsidRPr="00576B88">
        <w:br/>
      </w:r>
      <w:r w:rsidRPr="00576B88">
        <w:br/>
        <w:t xml:space="preserve">Politie en de Arbeidsinspectie werken onder meer samen tijdens controles, waar de politie geregeld meegaat ter bescherming van de arbeidsinspecteurs. Daarnaast haalt de politie waar nodig voertuigen van de openbare weg naar controlelocaties zodat arbeidsinspecteurs kunnen controleren op de naleving van arbeidswetten ten behoeve van onder andere vrachtwagenchauffeurs en maaltijdbezorgers. </w:t>
      </w:r>
      <w:r w:rsidRPr="00576B88">
        <w:br/>
      </w:r>
    </w:p>
    <w:p w:rsidR="00197D0E" w:rsidP="00197D0E" w:rsidRDefault="00197D0E" w14:paraId="1819ABEC" w14:textId="77777777">
      <w:pPr>
        <w:numPr>
          <w:ilvl w:val="0"/>
          <w:numId w:val="1"/>
        </w:numPr>
        <w:tabs>
          <w:tab w:val="clear" w:pos="720"/>
        </w:tabs>
        <w:spacing w:after="0" w:line="240" w:lineRule="auto"/>
        <w:ind w:left="360" w:hanging="360"/>
      </w:pPr>
      <w:r w:rsidRPr="00576B88">
        <w:t>Bent u bereid te komen tot een landelijke, integrale aanpak waarbij huisvesting, arbeid en migratiebeleid nadrukkelijker met elkaar worden verbonden? </w:t>
      </w:r>
      <w:r w:rsidRPr="00576B88">
        <w:br/>
      </w:r>
      <w:r w:rsidRPr="00576B88">
        <w:br/>
        <w:t>Antwoord:</w:t>
      </w:r>
      <w:r w:rsidRPr="00441D79">
        <w:rPr>
          <w:color w:val="70AD47" w:themeColor="accent6"/>
        </w:rPr>
        <w:br/>
      </w:r>
      <w:r w:rsidRPr="00576B88">
        <w:t xml:space="preserve">Het kabinet werkt </w:t>
      </w:r>
      <w:r>
        <w:t xml:space="preserve">onder coördinatie van de minister van SZW </w:t>
      </w:r>
      <w:r w:rsidRPr="00576B88">
        <w:t>aan een landelijke, integrale aanpak</w:t>
      </w:r>
      <w:r>
        <w:t>, zoals ook genoemd in het antwoord op vraag 14</w:t>
      </w:r>
      <w:r w:rsidRPr="00576B88">
        <w:t xml:space="preserve">. </w:t>
      </w:r>
    </w:p>
    <w:p w:rsidRPr="00576B88" w:rsidR="00197D0E" w:rsidP="00197D0E" w:rsidRDefault="00197D0E" w14:paraId="2BE52CD7" w14:textId="77777777">
      <w:pPr>
        <w:spacing w:line="240" w:lineRule="auto"/>
        <w:ind w:left="360"/>
      </w:pPr>
    </w:p>
    <w:p w:rsidRPr="00576B88" w:rsidR="00197D0E" w:rsidP="00197D0E" w:rsidRDefault="00197D0E" w14:paraId="11F5FF1D" w14:textId="77777777">
      <w:pPr>
        <w:numPr>
          <w:ilvl w:val="0"/>
          <w:numId w:val="1"/>
        </w:numPr>
        <w:tabs>
          <w:tab w:val="clear" w:pos="720"/>
        </w:tabs>
        <w:spacing w:after="0" w:line="240" w:lineRule="auto"/>
        <w:ind w:left="360" w:hanging="360"/>
      </w:pPr>
      <w:r w:rsidRPr="00576B88">
        <w:t>Welke concrete aanvullende maatregelen gaat u op korte termijn nemen om situaties zoals in Carnisse daadwerkelijk te beëindigen? </w:t>
      </w:r>
      <w:r w:rsidRPr="00576B88">
        <w:br/>
      </w:r>
      <w:r w:rsidRPr="00576B88">
        <w:br/>
        <w:t>Antwoord:</w:t>
      </w:r>
      <w:r w:rsidRPr="00576B88">
        <w:br/>
        <w:t xml:space="preserve">Zoals in </w:t>
      </w:r>
      <w:r>
        <w:t xml:space="preserve">het antwoord op </w:t>
      </w:r>
      <w:r w:rsidRPr="00576B88">
        <w:t>vraag 4 tot en met 8 aangegeven is het d</w:t>
      </w:r>
      <w:r>
        <w:t xml:space="preserve">oorgaans </w:t>
      </w:r>
      <w:r w:rsidRPr="00576B88">
        <w:t xml:space="preserve">de gemeente die </w:t>
      </w:r>
      <w:r>
        <w:t>verantwoordelijk is voor</w:t>
      </w:r>
      <w:r w:rsidRPr="00576B88">
        <w:t xml:space="preserve"> het directe toezicht en de handhaving </w:t>
      </w:r>
      <w:r>
        <w:t>op de misstanden die in het artikel staan beschreven</w:t>
      </w:r>
      <w:r w:rsidRPr="00576B88">
        <w:t xml:space="preserve">. </w:t>
      </w:r>
      <w:bookmarkStart w:name="_Hlk232541246" w:id="5"/>
      <w:r w:rsidRPr="00576B88">
        <w:t xml:space="preserve">Zoals terug te lezen is in het antwoord op vraag 14 </w:t>
      </w:r>
      <w:r>
        <w:t xml:space="preserve">en 16 </w:t>
      </w:r>
      <w:r w:rsidRPr="00576B88">
        <w:t xml:space="preserve">zet het kabinet verschillende </w:t>
      </w:r>
      <w:r>
        <w:t>maatregelen</w:t>
      </w:r>
      <w:r w:rsidRPr="00576B88">
        <w:t xml:space="preserve"> door om misstanden tegen te gaan. </w:t>
      </w:r>
      <w:bookmarkStart w:name="_Hlk232544423" w:id="6"/>
      <w:r w:rsidRPr="00576B88">
        <w:t>Ook bij evaluaties van bestaande wet</w:t>
      </w:r>
      <w:r>
        <w:t>ten</w:t>
      </w:r>
      <w:r w:rsidRPr="00576B88">
        <w:t>, zoals</w:t>
      </w:r>
      <w:r>
        <w:rPr>
          <w:vertAlign w:val="superscript"/>
        </w:rPr>
        <w:t xml:space="preserve"> </w:t>
      </w:r>
      <w:r>
        <w:t>de Wet goed verhuurderschap en de Wet betaalbare huur,</w:t>
      </w:r>
      <w:r w:rsidRPr="00576B88">
        <w:t xml:space="preserve"> zal er aandacht zijn voor de effectiviteit van de geëvalueerde wetten</w:t>
      </w:r>
      <w:r>
        <w:t>, en de praktijkwerking daarvan</w:t>
      </w:r>
      <w:r w:rsidRPr="00576B88">
        <w:t xml:space="preserve">. </w:t>
      </w:r>
      <w:r w:rsidRPr="00576B88">
        <w:br/>
      </w:r>
      <w:r w:rsidRPr="00576B88">
        <w:br/>
      </w:r>
      <w:r w:rsidRPr="00576B88">
        <w:lastRenderedPageBreak/>
        <w:t>Dit neemt niet weg dat de in het artikel beschreven situatie schrijnend is en dat de handhaving in sommige gemeenten te kort kan schieten. Het kabinet gaat hierover het gesprek met</w:t>
      </w:r>
      <w:r>
        <w:t xml:space="preserve"> gemeenten,</w:t>
      </w:r>
      <w:r w:rsidRPr="00576B88">
        <w:t xml:space="preserve"> VNG, de </w:t>
      </w:r>
      <w:r>
        <w:t>A</w:t>
      </w:r>
      <w:r w:rsidRPr="00576B88">
        <w:t xml:space="preserve">rbeidsinspectie en andere betrokken partijen graag aan. </w:t>
      </w:r>
      <w:bookmarkEnd w:id="5"/>
      <w:bookmarkEnd w:id="6"/>
      <w:r>
        <w:br/>
      </w:r>
    </w:p>
    <w:p w:rsidR="00197D0E" w:rsidP="00197D0E" w:rsidRDefault="00197D0E" w14:paraId="2548A832" w14:textId="77777777">
      <w:r w:rsidRPr="00576B88">
        <w:t>1) NRC, 15 mei 2026 (https://www.nrc.nl/nieuws/2026/05/15/in-de-rotterdamse-probleemwijk-carnisse-lachen-de-pandjesbazen-de-woningcontroleurs-vierkant-uit-a4925510)</w:t>
      </w:r>
    </w:p>
    <w:p w:rsidR="00571DDB" w:rsidRDefault="00571DDB" w14:paraId="6F694387" w14:textId="77777777"/>
    <w:sectPr w:rsidR="00571DDB" w:rsidSect="00197D0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D4B0" w14:textId="77777777" w:rsidR="00A831DF" w:rsidRDefault="00A831DF" w:rsidP="00197D0E">
      <w:pPr>
        <w:spacing w:after="0" w:line="240" w:lineRule="auto"/>
      </w:pPr>
      <w:r>
        <w:separator/>
      </w:r>
    </w:p>
  </w:endnote>
  <w:endnote w:type="continuationSeparator" w:id="0">
    <w:p w14:paraId="66DC92F8" w14:textId="77777777" w:rsidR="00A831DF" w:rsidRDefault="00A831DF" w:rsidP="0019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6753" w14:textId="77777777" w:rsidR="00A831DF" w:rsidRPr="00197D0E" w:rsidRDefault="00A831DF" w:rsidP="00197D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BC1E" w14:textId="77777777" w:rsidR="00A831DF" w:rsidRPr="00197D0E" w:rsidRDefault="00A831DF" w:rsidP="00197D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E90B" w14:textId="77777777" w:rsidR="00A831DF" w:rsidRPr="00197D0E" w:rsidRDefault="00A831DF" w:rsidP="00197D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50C4" w14:textId="77777777" w:rsidR="00A831DF" w:rsidRDefault="00A831DF" w:rsidP="00197D0E">
      <w:pPr>
        <w:spacing w:after="0" w:line="240" w:lineRule="auto"/>
      </w:pPr>
      <w:r>
        <w:separator/>
      </w:r>
    </w:p>
  </w:footnote>
  <w:footnote w:type="continuationSeparator" w:id="0">
    <w:p w14:paraId="224269BC" w14:textId="77777777" w:rsidR="00A831DF" w:rsidRDefault="00A831DF" w:rsidP="00197D0E">
      <w:pPr>
        <w:spacing w:after="0" w:line="240" w:lineRule="auto"/>
      </w:pPr>
      <w:r>
        <w:continuationSeparator/>
      </w:r>
    </w:p>
  </w:footnote>
  <w:footnote w:id="1">
    <w:p w14:paraId="7F2A20CC" w14:textId="77777777" w:rsidR="00197D0E" w:rsidRDefault="00197D0E" w:rsidP="00197D0E">
      <w:pPr>
        <w:pStyle w:val="Voetnoottekst"/>
      </w:pPr>
      <w:r w:rsidRPr="000E1A04">
        <w:rPr>
          <w:rStyle w:val="Voetnootmarkering"/>
        </w:rPr>
        <w:footnoteRef/>
      </w:r>
      <w:r>
        <w:t xml:space="preserve"> </w:t>
      </w:r>
      <w:hyperlink r:id="rId1">
        <w:r w:rsidRPr="006B7B8A">
          <w:rPr>
            <w:rStyle w:val="Hyperlink"/>
            <w:sz w:val="16"/>
            <w:szCs w:val="16"/>
          </w:rPr>
          <w:t>Voortgang uitvoering aanbevelingen Aanjaagteam bescherming arbeidsmigranten | Rijksoverheid.nl</w:t>
        </w:r>
      </w:hyperlink>
    </w:p>
  </w:footnote>
  <w:footnote w:id="2">
    <w:p w14:paraId="0E3938D5" w14:textId="77777777" w:rsidR="00197D0E" w:rsidRPr="002352AC" w:rsidRDefault="00197D0E" w:rsidP="00197D0E">
      <w:pPr>
        <w:pStyle w:val="Voetnoottekst"/>
        <w:rPr>
          <w:rFonts w:ascii="Times New Roman" w:hAnsi="Times New Roman" w:cs="Times New Roman"/>
          <w:sz w:val="22"/>
          <w:szCs w:val="22"/>
        </w:rPr>
      </w:pPr>
      <w:r w:rsidRPr="002352AC">
        <w:rPr>
          <w:rStyle w:val="Voetnootmarkering"/>
          <w:rFonts w:ascii="Times New Roman" w:hAnsi="Times New Roman" w:cs="Times New Roman"/>
          <w:sz w:val="22"/>
          <w:szCs w:val="22"/>
        </w:rPr>
        <w:footnoteRef/>
      </w:r>
      <w:r w:rsidRPr="002352AC">
        <w:rPr>
          <w:rFonts w:ascii="Times New Roman" w:hAnsi="Times New Roman" w:cs="Times New Roman"/>
          <w:sz w:val="22"/>
          <w:szCs w:val="22"/>
        </w:rPr>
        <w:t xml:space="preserve"> </w:t>
      </w:r>
      <w:r w:rsidRPr="006B7B8A">
        <w:rPr>
          <w:rFonts w:cs="Times New Roman"/>
          <w:sz w:val="16"/>
          <w:szCs w:val="16"/>
        </w:rPr>
        <w:t>Zie bijvoorbeeld artikel 34 van de Huisvestingswet 2014 en artikel 93, zesde lid, van de Woningwet.</w:t>
      </w:r>
    </w:p>
  </w:footnote>
  <w:footnote w:id="3">
    <w:p w14:paraId="44460DA2" w14:textId="77777777" w:rsidR="00197D0E" w:rsidRDefault="00197D0E" w:rsidP="00197D0E">
      <w:pPr>
        <w:pStyle w:val="Voetnoottekst"/>
      </w:pPr>
      <w:r>
        <w:rPr>
          <w:rStyle w:val="Voetnootmarkering"/>
        </w:rPr>
        <w:footnoteRef/>
      </w:r>
      <w:r>
        <w:t xml:space="preserve"> </w:t>
      </w:r>
      <w:r w:rsidRPr="00E16CB1">
        <w:rPr>
          <w:sz w:val="16"/>
          <w:szCs w:val="16"/>
        </w:rPr>
        <w:t>Brief van de Minister van Volkshuisvesting en Ruimtelijke Ordening van 14 november 2025 (Kamerstukken II 2025/26, 29 861, nr. 171).</w:t>
      </w:r>
    </w:p>
  </w:footnote>
  <w:footnote w:id="4">
    <w:p w14:paraId="4E85D9EA" w14:textId="77777777" w:rsidR="00197D0E" w:rsidRPr="002352AC" w:rsidRDefault="00197D0E" w:rsidP="00197D0E">
      <w:pPr>
        <w:pStyle w:val="Voetnoottekst"/>
        <w:rPr>
          <w:rFonts w:ascii="Times New Roman" w:hAnsi="Times New Roman" w:cs="Times New Roman"/>
          <w:sz w:val="22"/>
          <w:szCs w:val="22"/>
        </w:rPr>
      </w:pPr>
      <w:r w:rsidRPr="002352AC">
        <w:rPr>
          <w:rStyle w:val="Voetnootmarkering"/>
          <w:rFonts w:ascii="Times New Roman" w:hAnsi="Times New Roman" w:cs="Times New Roman"/>
          <w:sz w:val="22"/>
          <w:szCs w:val="22"/>
        </w:rPr>
        <w:footnoteRef/>
      </w:r>
      <w:r w:rsidRPr="002352AC">
        <w:rPr>
          <w:rFonts w:ascii="Times New Roman" w:hAnsi="Times New Roman" w:cs="Times New Roman"/>
          <w:sz w:val="22"/>
          <w:szCs w:val="22"/>
        </w:rPr>
        <w:t xml:space="preserve"> </w:t>
      </w:r>
      <w:bookmarkStart w:id="4" w:name="_Hlk232593715"/>
      <w:r>
        <w:fldChar w:fldCharType="begin"/>
      </w:r>
      <w:r>
        <w:instrText>HYPERLINK "https://www.rijksoverheid.nl/documenten/2026/04/16/voorstelhuurregister"</w:instrText>
      </w:r>
      <w:r>
        <w:fldChar w:fldCharType="separate"/>
      </w:r>
      <w:r w:rsidRPr="006B7B8A">
        <w:rPr>
          <w:rStyle w:val="Hyperlink"/>
          <w:rFonts w:cs="Times New Roman"/>
          <w:sz w:val="16"/>
          <w:szCs w:val="16"/>
        </w:rPr>
        <w:t>Voorstel Huurregister | Rijksoverheid.nl</w:t>
      </w:r>
      <w:r>
        <w:fldChar w:fldCharType="end"/>
      </w:r>
      <w:bookmarkEnd w:id="4"/>
    </w:p>
    <w:p w14:paraId="0005CC97" w14:textId="77777777" w:rsidR="00197D0E" w:rsidRPr="002352AC" w:rsidRDefault="00197D0E" w:rsidP="00197D0E">
      <w:pPr>
        <w:pStyle w:val="Voetnoottekst"/>
        <w:rPr>
          <w:rFonts w:ascii="Times New Roman" w:hAnsi="Times New Roman" w:cs="Times New Roman"/>
          <w:sz w:val="22"/>
          <w:szCs w:val="22"/>
        </w:rPr>
      </w:pPr>
    </w:p>
  </w:footnote>
  <w:footnote w:id="5">
    <w:p w14:paraId="79866384" w14:textId="77777777" w:rsidR="00197D0E" w:rsidRPr="002352AC" w:rsidRDefault="00197D0E" w:rsidP="00197D0E">
      <w:pPr>
        <w:pStyle w:val="Voetnoottekst"/>
        <w:rPr>
          <w:rFonts w:ascii="Times New Roman" w:hAnsi="Times New Roman" w:cs="Times New Roman"/>
          <w:sz w:val="22"/>
          <w:szCs w:val="22"/>
        </w:rPr>
      </w:pPr>
      <w:r w:rsidRPr="002352AC">
        <w:rPr>
          <w:rStyle w:val="Voetnootmarkering"/>
          <w:rFonts w:ascii="Times New Roman" w:hAnsi="Times New Roman" w:cs="Times New Roman"/>
          <w:sz w:val="22"/>
          <w:szCs w:val="22"/>
        </w:rPr>
        <w:footnoteRef/>
      </w:r>
      <w:r w:rsidRPr="002352AC">
        <w:rPr>
          <w:rFonts w:ascii="Times New Roman" w:hAnsi="Times New Roman" w:cs="Times New Roman"/>
          <w:sz w:val="22"/>
          <w:szCs w:val="22"/>
        </w:rPr>
        <w:t xml:space="preserve"> </w:t>
      </w:r>
      <w:r w:rsidRPr="006B7B8A">
        <w:rPr>
          <w:rFonts w:cs="Times New Roman"/>
          <w:sz w:val="16"/>
          <w:szCs w:val="16"/>
        </w:rPr>
        <w:t>Kamerstukken I 2024/25, 36 547, nr.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FA0D" w14:textId="77777777" w:rsidR="00A831DF" w:rsidRPr="00197D0E" w:rsidRDefault="00A831DF" w:rsidP="00197D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EA0C" w14:textId="77777777" w:rsidR="00A831DF" w:rsidRPr="00197D0E" w:rsidRDefault="00A831DF" w:rsidP="00197D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03FA" w14:textId="77777777" w:rsidR="00A831DF" w:rsidRPr="00197D0E" w:rsidRDefault="00A831DF" w:rsidP="00197D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1EE"/>
    <w:multiLevelType w:val="multilevel"/>
    <w:tmpl w:val="A1826E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446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0E"/>
    <w:rsid w:val="00197D0E"/>
    <w:rsid w:val="001D029C"/>
    <w:rsid w:val="00571DDB"/>
    <w:rsid w:val="00A83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C983"/>
  <w15:chartTrackingRefBased/>
  <w15:docId w15:val="{C5D5D713-D6A6-4609-8A62-A4A6919D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D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7D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7D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7D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7D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7D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D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D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D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D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7D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7D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7D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7D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7D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D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D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D0E"/>
    <w:rPr>
      <w:rFonts w:eastAsiaTheme="majorEastAsia" w:cstheme="majorBidi"/>
      <w:color w:val="272727" w:themeColor="text1" w:themeTint="D8"/>
    </w:rPr>
  </w:style>
  <w:style w:type="paragraph" w:styleId="Titel">
    <w:name w:val="Title"/>
    <w:basedOn w:val="Standaard"/>
    <w:next w:val="Standaard"/>
    <w:link w:val="TitelChar"/>
    <w:uiPriority w:val="10"/>
    <w:qFormat/>
    <w:rsid w:val="00197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D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D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D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D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D0E"/>
    <w:rPr>
      <w:i/>
      <w:iCs/>
      <w:color w:val="404040" w:themeColor="text1" w:themeTint="BF"/>
    </w:rPr>
  </w:style>
  <w:style w:type="paragraph" w:styleId="Lijstalinea">
    <w:name w:val="List Paragraph"/>
    <w:basedOn w:val="Standaard"/>
    <w:uiPriority w:val="34"/>
    <w:qFormat/>
    <w:rsid w:val="00197D0E"/>
    <w:pPr>
      <w:ind w:left="720"/>
      <w:contextualSpacing/>
    </w:pPr>
  </w:style>
  <w:style w:type="character" w:styleId="Intensievebenadrukking">
    <w:name w:val="Intense Emphasis"/>
    <w:basedOn w:val="Standaardalinea-lettertype"/>
    <w:uiPriority w:val="21"/>
    <w:qFormat/>
    <w:rsid w:val="00197D0E"/>
    <w:rPr>
      <w:i/>
      <w:iCs/>
      <w:color w:val="2F5496" w:themeColor="accent1" w:themeShade="BF"/>
    </w:rPr>
  </w:style>
  <w:style w:type="paragraph" w:styleId="Duidelijkcitaat">
    <w:name w:val="Intense Quote"/>
    <w:basedOn w:val="Standaard"/>
    <w:next w:val="Standaard"/>
    <w:link w:val="DuidelijkcitaatChar"/>
    <w:uiPriority w:val="30"/>
    <w:qFormat/>
    <w:rsid w:val="00197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7D0E"/>
    <w:rPr>
      <w:i/>
      <w:iCs/>
      <w:color w:val="2F5496" w:themeColor="accent1" w:themeShade="BF"/>
    </w:rPr>
  </w:style>
  <w:style w:type="character" w:styleId="Intensieveverwijzing">
    <w:name w:val="Intense Reference"/>
    <w:basedOn w:val="Standaardalinea-lettertype"/>
    <w:uiPriority w:val="32"/>
    <w:qFormat/>
    <w:rsid w:val="00197D0E"/>
    <w:rPr>
      <w:b/>
      <w:bCs/>
      <w:smallCaps/>
      <w:color w:val="2F5496" w:themeColor="accent1" w:themeShade="BF"/>
      <w:spacing w:val="5"/>
    </w:rPr>
  </w:style>
  <w:style w:type="character" w:styleId="Hyperlink">
    <w:name w:val="Hyperlink"/>
    <w:basedOn w:val="Standaardalinea-lettertype"/>
    <w:uiPriority w:val="99"/>
    <w:unhideWhenUsed/>
    <w:rsid w:val="00197D0E"/>
    <w:rPr>
      <w:color w:val="0563C1" w:themeColor="hyperlink"/>
      <w:u w:val="single"/>
    </w:rPr>
  </w:style>
  <w:style w:type="paragraph" w:customStyle="1" w:styleId="KixBarcode">
    <w:name w:val="Kix Barcode"/>
    <w:basedOn w:val="Standaard"/>
    <w:next w:val="Standaard"/>
    <w:rsid w:val="00197D0E"/>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197D0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97D0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97D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97D0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97D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7D0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7D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7D0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97D0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97D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97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2025/11/20/voortgang-uitvoering-aanbevelingen-aanjaagteam-bescherming-arbeidsmigra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4087</ap:Words>
  <ap:Characters>22479</ap:Characters>
  <ap:DocSecurity>0</ap:DocSecurity>
  <ap:Lines>187</ap:Lines>
  <ap:Paragraphs>53</ap:Paragraphs>
  <ap:ScaleCrop>false</ap:ScaleCrop>
  <ap:LinksUpToDate>false</ap:LinksUpToDate>
  <ap:CharactersWithSpaces>26513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2026-06-30T11:45:00.0000000Z</dcterms:created>
  <dcterms:modified xsi:type="dcterms:W3CDTF">2026-06-30T11:45:00.0000000Z</dcterms:modified>
  <version/>
  <category/>
</coreProperties>
</file>