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0C1628" w:rsidRDefault="00EE2A9D" w14:paraId="42285C76" w14:textId="77777777"/>
        <w:p w:rsidR="00241BB9" w:rsidP="000C1628" w:rsidRDefault="00000000" w14:paraId="216FE593" w14:textId="77777777">
          <w:pPr>
            <w:spacing w:line="240" w:lineRule="auto"/>
          </w:pPr>
        </w:p>
      </w:sdtContent>
    </w:sdt>
    <w:p w:rsidR="00CD5856" w:rsidP="000C1628" w:rsidRDefault="00CD5856" w14:paraId="5CC6EF8C" w14:textId="77777777">
      <w:pPr>
        <w:spacing w:line="240" w:lineRule="auto"/>
      </w:pPr>
    </w:p>
    <w:p w:rsidR="00CD5856" w:rsidP="000C1628" w:rsidRDefault="00CD5856" w14:paraId="56E0C212" w14:textId="77777777"/>
    <w:p w:rsidR="00CD5856" w:rsidP="000C1628" w:rsidRDefault="00CD5856" w14:paraId="0782222E" w14:textId="77777777"/>
    <w:p w:rsidR="00CD5856" w:rsidP="000C1628" w:rsidRDefault="00CD5856" w14:paraId="2665F8E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0C1628" w:rsidRDefault="00B71D60" w14:paraId="310BA179" w14:textId="77777777">
      <w:pPr>
        <w:pStyle w:val="Huisstijl-Aanhef"/>
      </w:pPr>
      <w:r>
        <w:t>Geachte voorzitter,</w:t>
      </w:r>
    </w:p>
    <w:p w:rsidR="00FC24AF" w:rsidP="000C1628" w:rsidRDefault="00B71D60" w14:paraId="263E5EB9" w14:textId="77777777">
      <w:r>
        <w:t xml:space="preserve">Met deze brief wordt u geïnformeerd over een aantal </w:t>
      </w:r>
      <w:r w:rsidRPr="007C7358">
        <w:t xml:space="preserve">moties en toezeggingen op het terrein van Jeugd. </w:t>
      </w:r>
      <w:r>
        <w:t>Ook worden enkele rapporten aangeboden</w:t>
      </w:r>
      <w:r w:rsidR="00AF2759">
        <w:t xml:space="preserve">, waaronder </w:t>
      </w:r>
      <w:r w:rsidRPr="006C4B7C" w:rsidR="00AF2759">
        <w:t>de voorlopige CBS-cijfers jeugdzorggebruik 202</w:t>
      </w:r>
      <w:r w:rsidR="00AF2759">
        <w:t>5.</w:t>
      </w:r>
    </w:p>
    <w:p w:rsidR="00FC24AF" w:rsidP="000C1628" w:rsidRDefault="00FC24AF" w14:paraId="41C4A8C9" w14:textId="77777777">
      <w:bookmarkStart w:name="_Hlk231910515" w:id="2"/>
    </w:p>
    <w:p w:rsidRPr="00F470CE" w:rsidR="00FC24AF" w:rsidP="000C1628" w:rsidRDefault="00B71D60" w14:paraId="308C0F19" w14:textId="77777777">
      <w:pPr>
        <w:rPr>
          <w:b/>
          <w:bCs/>
        </w:rPr>
      </w:pPr>
      <w:r>
        <w:t xml:space="preserve">Onderstaande moties komen aan de orde: </w:t>
      </w:r>
    </w:p>
    <w:p w:rsidRPr="00E00ADD" w:rsidR="00FC24AF" w:rsidP="000C1628" w:rsidRDefault="00B71D60" w14:paraId="082BF107" w14:textId="77777777">
      <w:pPr>
        <w:pStyle w:val="Lijstalinea"/>
        <w:numPr>
          <w:ilvl w:val="0"/>
          <w:numId w:val="3"/>
        </w:numPr>
        <w:suppressAutoHyphens/>
      </w:pPr>
      <w:r w:rsidRPr="00E00ADD">
        <w:t xml:space="preserve">Motie van de leden Ceder (CU) en </w:t>
      </w:r>
      <w:proofErr w:type="spellStart"/>
      <w:r w:rsidRPr="00E00ADD">
        <w:t>Bruyning</w:t>
      </w:r>
      <w:proofErr w:type="spellEnd"/>
      <w:r w:rsidRPr="00E00ADD">
        <w:t xml:space="preserve"> (NSC) over het verwerken van bewezen effectieve voorzieningen in de Hervormingsagenda</w:t>
      </w:r>
      <w:r>
        <w:t>.</w:t>
      </w:r>
    </w:p>
    <w:p w:rsidRPr="00E00ADD" w:rsidR="00FC24AF" w:rsidP="000C1628" w:rsidRDefault="00B71D60" w14:paraId="18CA3CD6" w14:textId="1431F6E0">
      <w:pPr>
        <w:pStyle w:val="Lijstalinea"/>
        <w:numPr>
          <w:ilvl w:val="0"/>
          <w:numId w:val="3"/>
        </w:numPr>
        <w:suppressAutoHyphens/>
      </w:pPr>
      <w:r w:rsidRPr="00E00ADD">
        <w:t xml:space="preserve">Motie van het lid </w:t>
      </w:r>
      <w:proofErr w:type="spellStart"/>
      <w:r w:rsidRPr="00E00ADD">
        <w:t>Mutluer</w:t>
      </w:r>
      <w:proofErr w:type="spellEnd"/>
      <w:r w:rsidRPr="00E00ADD">
        <w:t xml:space="preserve"> (</w:t>
      </w:r>
      <w:r w:rsidR="00331160">
        <w:t>PRO</w:t>
      </w:r>
      <w:r w:rsidRPr="00E00ADD">
        <w:t>) over een wetenschappelijk onderzoek naar de effectiviteit van de aanpak en behandeling van de gevolgen van georganiseerd en gewelddadig misbruik van minderjarigen</w:t>
      </w:r>
      <w:r>
        <w:t>.</w:t>
      </w:r>
    </w:p>
    <w:p w:rsidRPr="00E00ADD" w:rsidR="00FC24AF" w:rsidP="000C1628" w:rsidRDefault="00B71D60" w14:paraId="218CA66D" w14:textId="77777777">
      <w:pPr>
        <w:pStyle w:val="Lijstalinea"/>
        <w:numPr>
          <w:ilvl w:val="0"/>
          <w:numId w:val="3"/>
        </w:numPr>
        <w:suppressAutoHyphens/>
        <w:rPr>
          <w:rStyle w:val="Voetnootmarkering"/>
        </w:rPr>
      </w:pPr>
      <w:r w:rsidRPr="00E00ADD">
        <w:t>Motie van het lid Van der Werf (D66) over een onderzoek naar de meerwaarde van een periodieke check-up van minderjarige slachtoffers van seksueel misbruik</w:t>
      </w:r>
      <w:r>
        <w:t>.</w:t>
      </w:r>
    </w:p>
    <w:p w:rsidRPr="00E00ADD" w:rsidR="00FC24AF" w:rsidP="000C1628" w:rsidRDefault="00B71D60" w14:paraId="2BD95E6B" w14:textId="77777777">
      <w:pPr>
        <w:pStyle w:val="Lijstalinea"/>
        <w:numPr>
          <w:ilvl w:val="0"/>
          <w:numId w:val="3"/>
        </w:numPr>
        <w:suppressAutoHyphens/>
      </w:pPr>
      <w:r w:rsidRPr="00E00ADD">
        <w:t>Motie van het lid Ceder (CU) over met stakeholders in de gezinshuiszorg en gemeenten in gesprek gaan over aanvullende kwaliteitseisen</w:t>
      </w:r>
      <w:r>
        <w:t>.</w:t>
      </w:r>
    </w:p>
    <w:p w:rsidR="00FC24AF" w:rsidP="000C1628" w:rsidRDefault="00B71D60" w14:paraId="4D07F8E6" w14:textId="77777777">
      <w:pPr>
        <w:pStyle w:val="Lijstalinea"/>
        <w:numPr>
          <w:ilvl w:val="0"/>
          <w:numId w:val="3"/>
        </w:numPr>
        <w:suppressAutoHyphens/>
      </w:pPr>
      <w:r w:rsidRPr="00E00ADD">
        <w:t xml:space="preserve">Gewijzigde motie van de leden </w:t>
      </w:r>
      <w:proofErr w:type="spellStart"/>
      <w:r w:rsidRPr="00E00ADD">
        <w:t>Bruyning</w:t>
      </w:r>
      <w:proofErr w:type="spellEnd"/>
      <w:r w:rsidRPr="00E00ADD">
        <w:t xml:space="preserve"> (NSC) en Tielen (VVD) over onderzoek naar fraude met valse ervaringscertificaten binnen het SKJ-register (</w:t>
      </w:r>
      <w:proofErr w:type="spellStart"/>
      <w:r w:rsidRPr="00E00ADD">
        <w:t>t.v.v</w:t>
      </w:r>
      <w:proofErr w:type="spellEnd"/>
      <w:r w:rsidRPr="00E00ADD">
        <w:t>. 28828-151)</w:t>
      </w:r>
      <w:r>
        <w:t>.</w:t>
      </w:r>
    </w:p>
    <w:p w:rsidRPr="00E00ADD" w:rsidR="00FC24AF" w:rsidP="000C1628" w:rsidRDefault="00B71D60" w14:paraId="45E47B14" w14:textId="77777777">
      <w:pPr>
        <w:pStyle w:val="Lijstalinea"/>
        <w:numPr>
          <w:ilvl w:val="0"/>
          <w:numId w:val="3"/>
        </w:numPr>
        <w:suppressAutoHyphens/>
      </w:pPr>
      <w:r w:rsidRPr="00E00ADD">
        <w:t xml:space="preserve">Motie van het lid Moinat (Groep </w:t>
      </w:r>
      <w:proofErr w:type="spellStart"/>
      <w:r w:rsidRPr="00E00ADD">
        <w:t>Markuszower</w:t>
      </w:r>
      <w:proofErr w:type="spellEnd"/>
      <w:r w:rsidRPr="00E00ADD">
        <w:t>) c.s. over in beginsel jeugdigen voor jeugdhulp in Nederland plaatsen</w:t>
      </w:r>
      <w:r>
        <w:t>.</w:t>
      </w:r>
    </w:p>
    <w:p w:rsidR="00FC24AF" w:rsidP="000C1628" w:rsidRDefault="00B71D60" w14:paraId="69527AD7" w14:textId="77777777">
      <w:pPr>
        <w:pStyle w:val="Lijstalinea"/>
        <w:numPr>
          <w:ilvl w:val="0"/>
          <w:numId w:val="3"/>
        </w:numPr>
        <w:suppressAutoHyphens/>
      </w:pPr>
      <w:r w:rsidRPr="00E00ADD">
        <w:t>Motie van het lid Van der Plas (BBB) over de fysieke en mentale gezondheid van kinderen meewegen bij noodmaatregelen</w:t>
      </w:r>
      <w:r>
        <w:t>.</w:t>
      </w:r>
    </w:p>
    <w:p w:rsidR="00FC24AF" w:rsidP="000C1628" w:rsidRDefault="00B71D60" w14:paraId="1C3F7C60" w14:textId="77777777">
      <w:pPr>
        <w:pStyle w:val="Lijstalinea"/>
        <w:numPr>
          <w:ilvl w:val="0"/>
          <w:numId w:val="3"/>
        </w:numPr>
        <w:suppressAutoHyphens/>
      </w:pPr>
      <w:r w:rsidRPr="00E00ADD">
        <w:t xml:space="preserve">Motie Van den </w:t>
      </w:r>
      <w:proofErr w:type="spellStart"/>
      <w:r w:rsidRPr="00E00ADD">
        <w:t>Hil</w:t>
      </w:r>
      <w:proofErr w:type="spellEnd"/>
      <w:r w:rsidRPr="00E00ADD">
        <w:t xml:space="preserve"> (VVD) c.s. over het samen met gemeente en </w:t>
      </w:r>
      <w:proofErr w:type="spellStart"/>
      <w:r w:rsidRPr="00E00ADD">
        <w:t>Valente</w:t>
      </w:r>
      <w:proofErr w:type="spellEnd"/>
      <w:r w:rsidRPr="00E00ADD">
        <w:t xml:space="preserve"> verkennen welke knelpunten en oplossingen te formuleren zijn voor kinderen die met hun ouder in een opvanghuis verblijven en waar zich knelpunten voordoen in de financiering van jeugdzorg</w:t>
      </w:r>
      <w:r>
        <w:t>.</w:t>
      </w:r>
    </w:p>
    <w:p w:rsidR="00FC24AF" w:rsidP="000C1628" w:rsidRDefault="00B71D60" w14:paraId="4A93226D" w14:textId="77777777">
      <w:pPr>
        <w:pStyle w:val="Lijstalinea"/>
        <w:numPr>
          <w:ilvl w:val="0"/>
          <w:numId w:val="3"/>
        </w:numPr>
        <w:suppressAutoHyphens/>
      </w:pPr>
      <w:r w:rsidRPr="002272FE">
        <w:t xml:space="preserve">Motie van het lid </w:t>
      </w:r>
      <w:proofErr w:type="spellStart"/>
      <w:r w:rsidRPr="002272FE">
        <w:t>Lahlah</w:t>
      </w:r>
      <w:proofErr w:type="spellEnd"/>
      <w:r w:rsidRPr="002272FE">
        <w:t xml:space="preserve"> (P</w:t>
      </w:r>
      <w:r>
        <w:t>RO</w:t>
      </w:r>
      <w:r w:rsidRPr="002272FE">
        <w:t>) c.s. over indien een kosteloze betalingsherinnering niet doorgaat de middelen daarvoor wel inzetten voor mensen in financiële kwetsbaarheid</w:t>
      </w:r>
      <w:r>
        <w:t>.</w:t>
      </w:r>
    </w:p>
    <w:p w:rsidR="00FC24AF" w:rsidP="000C1628" w:rsidRDefault="00B71D60" w14:paraId="099C883E" w14:textId="77777777">
      <w:pPr>
        <w:pStyle w:val="Lijstalinea"/>
        <w:numPr>
          <w:ilvl w:val="0"/>
          <w:numId w:val="3"/>
        </w:numPr>
        <w:suppressAutoHyphens/>
      </w:pPr>
      <w:r>
        <w:lastRenderedPageBreak/>
        <w:t>M</w:t>
      </w:r>
      <w:r w:rsidRPr="00F33742">
        <w:t>otie Stoffer c.s.</w:t>
      </w:r>
      <w:r>
        <w:t xml:space="preserve"> </w:t>
      </w:r>
      <w:r w:rsidRPr="00F33742">
        <w:t>over een voorstel voor een samenhangende jeugd- en gezinsaanpa</w:t>
      </w:r>
      <w:r>
        <w:t xml:space="preserve">k. </w:t>
      </w:r>
    </w:p>
    <w:p w:rsidR="00FC24AF" w:rsidP="000C1628" w:rsidRDefault="00B71D60" w14:paraId="5523616D" w14:textId="77777777">
      <w:pPr>
        <w:pStyle w:val="Lijstalinea"/>
        <w:numPr>
          <w:ilvl w:val="0"/>
          <w:numId w:val="3"/>
        </w:numPr>
        <w:suppressAutoHyphens/>
      </w:pPr>
      <w:r>
        <w:t>Toezegging v</w:t>
      </w:r>
      <w:r w:rsidRPr="00BC57BC">
        <w:t>erkenning vergunningplicht voor jeugdhulpaanbieders</w:t>
      </w:r>
      <w:r>
        <w:t>.</w:t>
      </w:r>
    </w:p>
    <w:p w:rsidR="00FC24AF" w:rsidP="000C1628" w:rsidRDefault="00B71D60" w14:paraId="495D878F" w14:textId="77777777">
      <w:pPr>
        <w:pStyle w:val="Lijstalinea"/>
        <w:numPr>
          <w:ilvl w:val="0"/>
          <w:numId w:val="3"/>
        </w:numPr>
        <w:suppressAutoHyphens/>
      </w:pPr>
      <w:r>
        <w:t xml:space="preserve">Toezegging over een </w:t>
      </w:r>
      <w:r w:rsidRPr="00145D25">
        <w:t>kwalitatieve duiding</w:t>
      </w:r>
      <w:r w:rsidRPr="00A44EAA">
        <w:t xml:space="preserve"> </w:t>
      </w:r>
      <w:r>
        <w:t>H</w:t>
      </w:r>
      <w:r w:rsidRPr="00A44EAA">
        <w:t>ervormingsagenda</w:t>
      </w:r>
      <w:r>
        <w:t xml:space="preserve"> Jeugd met als doel gemeenten van elkaar te laten leren.</w:t>
      </w:r>
    </w:p>
    <w:p w:rsidR="00FC24AF" w:rsidP="000C1628" w:rsidRDefault="00FC24AF" w14:paraId="2426678C" w14:textId="77777777"/>
    <w:bookmarkEnd w:id="2"/>
    <w:p w:rsidR="00325D32" w:rsidP="000C1628" w:rsidRDefault="00325D32" w14:paraId="705F1D3B" w14:textId="77777777">
      <w:pPr>
        <w:rPr>
          <w:u w:val="single"/>
        </w:rPr>
      </w:pPr>
    </w:p>
    <w:p w:rsidRPr="006D2FFB" w:rsidR="00FC24AF" w:rsidP="000C1628" w:rsidRDefault="00B71D60" w14:paraId="0BF14331" w14:textId="77777777">
      <w:pPr>
        <w:rPr>
          <w:u w:val="single"/>
        </w:rPr>
      </w:pPr>
      <w:r w:rsidRPr="00B62DB5">
        <w:rPr>
          <w:u w:val="single"/>
        </w:rPr>
        <w:t>Motie van de leden Ceder</w:t>
      </w:r>
      <w:r>
        <w:rPr>
          <w:u w:val="single"/>
        </w:rPr>
        <w:t xml:space="preserve"> (CU)</w:t>
      </w:r>
      <w:r w:rsidRPr="00B62DB5">
        <w:rPr>
          <w:u w:val="single"/>
        </w:rPr>
        <w:t xml:space="preserve"> en </w:t>
      </w:r>
      <w:proofErr w:type="spellStart"/>
      <w:r w:rsidRPr="00B62DB5">
        <w:rPr>
          <w:u w:val="single"/>
        </w:rPr>
        <w:t>Bruyning</w:t>
      </w:r>
      <w:proofErr w:type="spellEnd"/>
      <w:r>
        <w:rPr>
          <w:u w:val="single"/>
        </w:rPr>
        <w:t xml:space="preserve"> (NSC)</w:t>
      </w:r>
      <w:r w:rsidRPr="00B62DB5">
        <w:rPr>
          <w:u w:val="single"/>
        </w:rPr>
        <w:t xml:space="preserve"> over het verwerken van bewezen effectieve voorzieningen in de Hervormingsagenda</w:t>
      </w:r>
      <w:r>
        <w:rPr>
          <w:rStyle w:val="Voetnootmarkering"/>
          <w:u w:val="single"/>
        </w:rPr>
        <w:footnoteReference w:id="1"/>
      </w:r>
    </w:p>
    <w:p w:rsidRPr="007B077D" w:rsidR="00FC24AF" w:rsidP="000C1628" w:rsidRDefault="00B71D60" w14:paraId="41AB71DD" w14:textId="77777777">
      <w:pPr>
        <w:rPr>
          <w:color w:val="262626" w:themeColor="text1" w:themeTint="D9"/>
        </w:rPr>
      </w:pPr>
      <w:r w:rsidRPr="007B077D">
        <w:rPr>
          <w:bCs/>
          <w:color w:val="262626" w:themeColor="text1" w:themeTint="D9"/>
        </w:rPr>
        <w:t xml:space="preserve">De motie van de leden Ceder en </w:t>
      </w:r>
      <w:proofErr w:type="spellStart"/>
      <w:r w:rsidRPr="007B077D">
        <w:rPr>
          <w:bCs/>
          <w:color w:val="262626" w:themeColor="text1" w:themeTint="D9"/>
        </w:rPr>
        <w:t>Bruyning</w:t>
      </w:r>
      <w:proofErr w:type="spellEnd"/>
      <w:r w:rsidRPr="007B077D">
        <w:rPr>
          <w:bCs/>
          <w:color w:val="262626" w:themeColor="text1" w:themeTint="D9"/>
        </w:rPr>
        <w:t xml:space="preserve"> </w:t>
      </w:r>
      <w:r w:rsidRPr="007B077D">
        <w:rPr>
          <w:color w:val="262626" w:themeColor="text1" w:themeTint="D9"/>
        </w:rPr>
        <w:t>verzoekt de regering nadrukkelijk te kijken naar bewezen effectieve voorzieningen zoals opvoedcursussen, begeleiding bij complexe echt- dan wel vechtscheidingen, relatietherapie en een doorlopende leerlijn rond opvoedondersteuning en deze aspecten expliciet te betrekken en te verwerken in de continuering van de Hervormingsagenda Jeugd.</w:t>
      </w:r>
    </w:p>
    <w:p w:rsidR="00FC24AF" w:rsidP="000C1628" w:rsidRDefault="00FC24AF" w14:paraId="693BF490" w14:textId="77777777">
      <w:pPr>
        <w:rPr>
          <w:color w:val="262626" w:themeColor="text1" w:themeTint="D9"/>
        </w:rPr>
      </w:pPr>
    </w:p>
    <w:p w:rsidRPr="00ED6971" w:rsidR="00FC24AF" w:rsidP="000C1628" w:rsidRDefault="00B71D60" w14:paraId="3C222AE1" w14:textId="77777777">
      <w:pPr>
        <w:rPr>
          <w:color w:val="262626" w:themeColor="text1" w:themeTint="D9"/>
        </w:rPr>
      </w:pPr>
      <w:r>
        <w:rPr>
          <w:color w:val="262626" w:themeColor="text1" w:themeTint="D9"/>
        </w:rPr>
        <w:t>Het is</w:t>
      </w:r>
      <w:r w:rsidRPr="00ED6971">
        <w:rPr>
          <w:color w:val="262626" w:themeColor="text1" w:themeTint="D9"/>
        </w:rPr>
        <w:t xml:space="preserve"> belangrijk dat gezinnen tijdig toegang hebben tot laagdrempelige ondersteuning bij opvoed- en scheidingsvraagstukken. </w:t>
      </w:r>
      <w:r>
        <w:rPr>
          <w:color w:val="262626" w:themeColor="text1" w:themeTint="D9"/>
        </w:rPr>
        <w:t xml:space="preserve">Belangrijk is dat </w:t>
      </w:r>
      <w:r w:rsidRPr="00ED6971">
        <w:rPr>
          <w:color w:val="262626" w:themeColor="text1" w:themeTint="D9"/>
        </w:rPr>
        <w:t>passend bij de hulpvraag, gebruik wordt gemaakt van bewezen effectieve (preventieve) interventies. Via de Hervormingsagenda Jeugd wordt ingezet op het benutten van bestaande kennis over effectieve interventies door beleidsmakers en professionals. Het Nederlands Jeugdinstituut en het Nederlands Centrum Jeugdgezondheid beschikken over databanken met beoordeelde interventies, waaronder interventies gericht op ondersteuning bij scheidingsproblematiek.</w:t>
      </w:r>
    </w:p>
    <w:p w:rsidR="00FC24AF" w:rsidP="000C1628" w:rsidRDefault="00FC24AF" w14:paraId="05D3C92B" w14:textId="77777777">
      <w:pPr>
        <w:rPr>
          <w:color w:val="262626" w:themeColor="text1" w:themeTint="D9"/>
        </w:rPr>
      </w:pPr>
    </w:p>
    <w:p w:rsidRPr="00ED6971" w:rsidR="00FC24AF" w:rsidP="000C1628" w:rsidRDefault="00B71D60" w14:paraId="28D9186A" w14:textId="77777777">
      <w:pPr>
        <w:rPr>
          <w:color w:val="262626" w:themeColor="text1" w:themeTint="D9"/>
        </w:rPr>
      </w:pPr>
      <w:r w:rsidRPr="00ED6971">
        <w:rPr>
          <w:color w:val="262626" w:themeColor="text1" w:themeTint="D9"/>
        </w:rPr>
        <w:t>Daarnaast wordt binnen de Hervormingsagenda Jeugd gewerkt aan het versterken van de pedagogische basis. Zo worden gemeenten in het voorgenomen wetsvoorstel Reikwijdte verplicht een visie op de pedagogische basis op te stellen.</w:t>
      </w:r>
    </w:p>
    <w:p w:rsidRPr="00ED6971" w:rsidR="00FC24AF" w:rsidP="000C1628" w:rsidRDefault="00B71D60" w14:paraId="2B8A7147" w14:textId="77777777">
      <w:pPr>
        <w:rPr>
          <w:color w:val="262626" w:themeColor="text1" w:themeTint="D9"/>
        </w:rPr>
      </w:pPr>
      <w:r>
        <w:rPr>
          <w:color w:val="262626" w:themeColor="text1" w:themeTint="D9"/>
        </w:rPr>
        <w:t xml:space="preserve">Op andere manieren is er ook aandacht voor effectieve interventies, waaronder Kansrijke Start dat inzet </w:t>
      </w:r>
      <w:r w:rsidRPr="00ED6971">
        <w:rPr>
          <w:color w:val="262626" w:themeColor="text1" w:themeTint="D9"/>
        </w:rPr>
        <w:t xml:space="preserve">op </w:t>
      </w:r>
      <w:proofErr w:type="spellStart"/>
      <w:r w:rsidRPr="00ED6971">
        <w:rPr>
          <w:color w:val="262626" w:themeColor="text1" w:themeTint="D9"/>
        </w:rPr>
        <w:t>vroegsignalering</w:t>
      </w:r>
      <w:proofErr w:type="spellEnd"/>
      <w:r w:rsidRPr="00ED6971">
        <w:rPr>
          <w:color w:val="262626" w:themeColor="text1" w:themeTint="D9"/>
        </w:rPr>
        <w:t xml:space="preserve"> en passende ondersteuning van gezinnen in de eerste 1.000 dagen. Dit gebeurt onder meer door de samenwerking tussen het medische, sociale en publieke domein te versterken en de inzet van erkende opvoedinterventies te stimuleren.</w:t>
      </w:r>
      <w:r>
        <w:rPr>
          <w:color w:val="262626" w:themeColor="text1" w:themeTint="D9"/>
        </w:rPr>
        <w:t xml:space="preserve"> Ook</w:t>
      </w:r>
      <w:r w:rsidRPr="00ED6971">
        <w:rPr>
          <w:color w:val="262626" w:themeColor="text1" w:themeTint="D9"/>
        </w:rPr>
        <w:t xml:space="preserve"> kunnen ouders met vragen over opvoeden en opgroeien laagdrempelig terecht bij de Jeugdgezondheidszorg. </w:t>
      </w:r>
    </w:p>
    <w:p w:rsidR="00FC24AF" w:rsidP="000C1628" w:rsidRDefault="00FC24AF" w14:paraId="7928714E" w14:textId="77777777">
      <w:pPr>
        <w:rPr>
          <w:color w:val="262626" w:themeColor="text1" w:themeTint="D9"/>
        </w:rPr>
      </w:pPr>
    </w:p>
    <w:p w:rsidR="00FC24AF" w:rsidP="000C1628" w:rsidRDefault="00B71D60" w14:paraId="1F8FA63D" w14:textId="77777777">
      <w:pPr>
        <w:rPr>
          <w:color w:val="262626" w:themeColor="text1" w:themeTint="D9"/>
        </w:rPr>
      </w:pPr>
      <w:r w:rsidRPr="007B077D">
        <w:rPr>
          <w:color w:val="262626" w:themeColor="text1" w:themeTint="D9"/>
        </w:rPr>
        <w:t xml:space="preserve">Samen met gemeenten en betrokken partners en het ministerie van Justitie en Veiligheid zal </w:t>
      </w:r>
      <w:r w:rsidR="00E26447">
        <w:rPr>
          <w:color w:val="262626" w:themeColor="text1" w:themeTint="D9"/>
        </w:rPr>
        <w:t>de minister van Langdurige Zorg, Jeugd en Sport</w:t>
      </w:r>
      <w:r w:rsidRPr="007B077D">
        <w:rPr>
          <w:color w:val="262626" w:themeColor="text1" w:themeTint="D9"/>
        </w:rPr>
        <w:t xml:space="preserve"> blijvend inzetten op verdere kennisdeling van werkwijzen en interventies met bewezen effectieve elementen bij relatie- en scheidingsproblematiek, zodat datgene wat werkt gedeeld wordt in het land. Dit voorjaar zijn regiobijeenkomsten over scheidingsproblematiek verspreid in het land georganiseerd waar professionals van gemeenten en wijkteams kennis hebben uitgewisseld.</w:t>
      </w:r>
      <w:r>
        <w:rPr>
          <w:rStyle w:val="Voetnootmarkering"/>
          <w:color w:val="262626" w:themeColor="text1" w:themeTint="D9"/>
        </w:rPr>
        <w:footnoteReference w:id="2"/>
      </w:r>
      <w:r w:rsidRPr="007B077D">
        <w:rPr>
          <w:color w:val="262626" w:themeColor="text1" w:themeTint="D9"/>
        </w:rPr>
        <w:t xml:space="preserve"> Ook gaat een vertegenwoordiging van het ministerie van VWS deze zomer in gesprek met de vertegenwoordigers van de Agenda voor het Hart </w:t>
      </w:r>
      <w:r>
        <w:rPr>
          <w:color w:val="262626" w:themeColor="text1" w:themeTint="D9"/>
        </w:rPr>
        <w:t>over</w:t>
      </w:r>
      <w:r w:rsidRPr="007B077D">
        <w:rPr>
          <w:color w:val="262626" w:themeColor="text1" w:themeTint="D9"/>
        </w:rPr>
        <w:t xml:space="preserve"> het rapport sterke partnerrelaties</w:t>
      </w:r>
      <w:r w:rsidR="00807A00">
        <w:rPr>
          <w:color w:val="262626" w:themeColor="text1" w:themeTint="D9"/>
        </w:rPr>
        <w:t>.</w:t>
      </w:r>
      <w:r>
        <w:rPr>
          <w:rStyle w:val="Voetnootmarkering"/>
          <w:color w:val="262626" w:themeColor="text1" w:themeTint="D9"/>
        </w:rPr>
        <w:footnoteReference w:id="3"/>
      </w:r>
    </w:p>
    <w:p w:rsidR="00807A00" w:rsidP="000C1628" w:rsidRDefault="00807A00" w14:paraId="64E93106" w14:textId="77777777">
      <w:pPr>
        <w:rPr>
          <w:color w:val="262626" w:themeColor="text1" w:themeTint="D9"/>
        </w:rPr>
      </w:pPr>
    </w:p>
    <w:p w:rsidRPr="00B1261B" w:rsidR="00807A00" w:rsidP="000C1628" w:rsidRDefault="00B71D60" w14:paraId="610A9C3A" w14:textId="77777777">
      <w:pPr>
        <w:rPr>
          <w:color w:val="262626" w:themeColor="text1" w:themeTint="D9"/>
        </w:rPr>
      </w:pPr>
      <w:r>
        <w:rPr>
          <w:color w:val="262626" w:themeColor="text1" w:themeTint="D9"/>
        </w:rPr>
        <w:t xml:space="preserve">De minister van Langdurige Zorg, Jeugd en Sport beschouwt de motie hiermee als afgedaan. </w:t>
      </w:r>
    </w:p>
    <w:p w:rsidR="00FC24AF" w:rsidP="000C1628" w:rsidRDefault="00FC24AF" w14:paraId="6F18503C" w14:textId="77777777">
      <w:pPr>
        <w:rPr>
          <w:u w:val="single"/>
        </w:rPr>
      </w:pPr>
    </w:p>
    <w:p w:rsidR="00FC24AF" w:rsidP="000C1628" w:rsidRDefault="00B71D60" w14:paraId="0E307DDD" w14:textId="77777777">
      <w:pPr>
        <w:rPr>
          <w:u w:val="single"/>
        </w:rPr>
      </w:pPr>
      <w:r w:rsidRPr="00BF364C">
        <w:rPr>
          <w:u w:val="single"/>
        </w:rPr>
        <w:lastRenderedPageBreak/>
        <w:t xml:space="preserve">Motie van het lid </w:t>
      </w:r>
      <w:proofErr w:type="spellStart"/>
      <w:r w:rsidRPr="00BF364C">
        <w:rPr>
          <w:u w:val="single"/>
        </w:rPr>
        <w:t>Mutluer</w:t>
      </w:r>
      <w:proofErr w:type="spellEnd"/>
      <w:r w:rsidRPr="00BF364C">
        <w:rPr>
          <w:u w:val="single"/>
        </w:rPr>
        <w:t xml:space="preserve"> </w:t>
      </w:r>
      <w:r>
        <w:rPr>
          <w:u w:val="single"/>
        </w:rPr>
        <w:t xml:space="preserve">(PRO) </w:t>
      </w:r>
      <w:r w:rsidRPr="00BF364C">
        <w:rPr>
          <w:u w:val="single"/>
        </w:rPr>
        <w:t>over een wetenschappelijk onderzoek naar de effectiviteit van de aanpak en behandeling van de gevolgen van georganiseerd en gewelddadig misbruik van minderjarigen</w:t>
      </w:r>
      <w:r>
        <w:rPr>
          <w:rStyle w:val="Voetnootmarkering"/>
          <w:u w:val="single"/>
        </w:rPr>
        <w:footnoteReference w:id="4"/>
      </w:r>
    </w:p>
    <w:p w:rsidR="00FC24AF" w:rsidP="000C1628" w:rsidRDefault="00FC24AF" w14:paraId="75593AAF" w14:textId="77777777">
      <w:pPr>
        <w:rPr>
          <w:u w:val="single"/>
        </w:rPr>
      </w:pPr>
    </w:p>
    <w:p w:rsidR="00FC24AF" w:rsidP="000C1628" w:rsidRDefault="00B71D60" w14:paraId="7B2D3CA3" w14:textId="77777777">
      <w:pPr>
        <w:rPr>
          <w:u w:val="single"/>
        </w:rPr>
      </w:pPr>
      <w:r w:rsidRPr="00BF364C">
        <w:rPr>
          <w:u w:val="single"/>
        </w:rPr>
        <w:t xml:space="preserve">Motie van het lid Van der Werf </w:t>
      </w:r>
      <w:r>
        <w:rPr>
          <w:u w:val="single"/>
        </w:rPr>
        <w:t xml:space="preserve">(D66) </w:t>
      </w:r>
      <w:r w:rsidRPr="00BF364C">
        <w:rPr>
          <w:u w:val="single"/>
        </w:rPr>
        <w:t>over een onderzoek naar de meerwaarde van een periodieke check-up van minderjarige slachtoffers van seksueel misbruik</w:t>
      </w:r>
      <w:r>
        <w:rPr>
          <w:rStyle w:val="Voetnootmarkering"/>
          <w:u w:val="single"/>
        </w:rPr>
        <w:footnoteReference w:id="5"/>
      </w:r>
    </w:p>
    <w:p w:rsidR="00FC24AF" w:rsidP="000C1628" w:rsidRDefault="00FC24AF" w14:paraId="117C3D2B" w14:textId="77777777"/>
    <w:p w:rsidR="00FC24AF" w:rsidP="000C1628" w:rsidRDefault="00B71D60" w14:paraId="66434926" w14:textId="77777777">
      <w:r w:rsidRPr="00BB3E46">
        <w:t>De motie van het l</w:t>
      </w:r>
      <w:r>
        <w:t xml:space="preserve">id </w:t>
      </w:r>
      <w:proofErr w:type="spellStart"/>
      <w:r>
        <w:t>Mutluer</w:t>
      </w:r>
      <w:proofErr w:type="spellEnd"/>
      <w:r>
        <w:t xml:space="preserve"> (PRO) verzoekt de regering een wetenschappelijk onderzoek in te stellen naar de effectiviteit van de aanpak en behandeling van de psychosociale en fysieke gevolgen van georganiseerd en gewelddadig misbruik van minderjarigen, en de Kamer daarover te informeren. De motie van het lid van der Werf (D66) verzoekt de regering te onderzoeken welke meerwaarde een periodieke check-up van minderjarige slachtoffers van seksueel misbruik kan hebben voor hun fysieke en mentale gezondheid op de lange termijn, te verkennen hoe die monitoring zou kunnen worden vormgegeven (eventueel in combinatie met longitudinaal onderzoek) en de Kamer daarover te informeren.</w:t>
      </w:r>
    </w:p>
    <w:p w:rsidR="00FC24AF" w:rsidP="000C1628" w:rsidRDefault="00FC24AF" w14:paraId="3E5A2F4A" w14:textId="77777777"/>
    <w:p w:rsidRPr="003033DE" w:rsidR="00FC24AF" w:rsidP="000C1628" w:rsidRDefault="00B71D60" w14:paraId="24D506B9" w14:textId="77777777">
      <w:pPr>
        <w:rPr>
          <w:i/>
          <w:iCs/>
        </w:rPr>
      </w:pPr>
      <w:r w:rsidRPr="003033DE">
        <w:rPr>
          <w:i/>
          <w:iCs/>
        </w:rPr>
        <w:t>Behandeling van gevolgen van georganiseerd en gewelddadig misbruik van minderjaren</w:t>
      </w:r>
    </w:p>
    <w:p w:rsidR="00FC24AF" w:rsidP="000C1628" w:rsidRDefault="00B71D60" w14:paraId="1B6F9CB5" w14:textId="77777777">
      <w:r>
        <w:t>In de bijlage van deze brief vindt u het onderzoek dat het Kenniscentrum Kinder- en Jeugdpsychiatrie (KJP) heeft uitgevoerd ter uitvoer</w:t>
      </w:r>
      <w:r w:rsidR="00C2495D">
        <w:t>ing</w:t>
      </w:r>
      <w:r>
        <w:t xml:space="preserve"> van de twee moties. De psychosociale en fysieke gevolgen van georganiseerd en gewelddadig (seksueel) misbruik zijn verstrekkend en van diverse aard. Veerkracht en steun zijn helpend bij herstel. Gezien de langdurige negatieve effecten die ondervonden kunnen worden is behandeling wenselijk. Door de diverse aard van de oorzaken en klachten vraagt het van professionals om behandeling af te stemmen op het individu. Het onderzoek van KJP geeft aan voor welke vormen van behandeling wetenschappelijke aanwijzingen zijn voor effectiviteit en in welke mate. Het is aan de behandelaar rekening te houden met de volgorde van behandeling, rekening houdend met de urgentie van klachten, veiligheid, belastbaarheid en voorkeuren van de hulpvrager. </w:t>
      </w:r>
      <w:r w:rsidR="00807A00">
        <w:rPr>
          <w:color w:val="262626" w:themeColor="text1" w:themeTint="D9"/>
        </w:rPr>
        <w:t xml:space="preserve">De minister van Langdurige Zorg, Jeugd en Sport beschouwt de motie hiermee als afgedaan. </w:t>
      </w:r>
    </w:p>
    <w:p w:rsidR="00FC24AF" w:rsidP="000C1628" w:rsidRDefault="00FC24AF" w14:paraId="23DB99C2" w14:textId="77777777"/>
    <w:p w:rsidRPr="008630B3" w:rsidR="00FC24AF" w:rsidP="000C1628" w:rsidRDefault="00B71D60" w14:paraId="3AA65E53" w14:textId="77777777">
      <w:pPr>
        <w:rPr>
          <w:i/>
          <w:iCs/>
        </w:rPr>
      </w:pPr>
      <w:r w:rsidRPr="008630B3">
        <w:rPr>
          <w:i/>
          <w:iCs/>
        </w:rPr>
        <w:t>De meerwaarde van periodieke check-ups na seksueel misbruik</w:t>
      </w:r>
    </w:p>
    <w:p w:rsidRPr="00807A00" w:rsidR="00807A00" w:rsidP="000C1628" w:rsidRDefault="00B71D60" w14:paraId="1B7D6E7F" w14:textId="77777777">
      <w:r>
        <w:t>Bijgevoegd onderzoek door het KJP geeft aan dat op dit moment niet wetenschappelijk kan worden aangetoond dat periodieke check-ups bij minderjarige slachtoffers van seksueel misbruik van meerwaarde zijn. In de gesprekken die KJP heeft gehouden in het kader van dit onderzoek is door professionals en ervaringsdeskundigen</w:t>
      </w:r>
      <w:r w:rsidR="00B302A8">
        <w:t xml:space="preserve"> wel</w:t>
      </w:r>
      <w:r>
        <w:t xml:space="preserve"> aangegeven dat zij verwachten dat periodieke check-ups een meerwaarde kunnen hebbe</w:t>
      </w:r>
      <w:r w:rsidR="00B302A8">
        <w:t xml:space="preserve">n </w:t>
      </w:r>
      <w:r w:rsidRPr="00510ACC">
        <w:t>in preventie, tijdswinst, erkenning, continuïteit</w:t>
      </w:r>
      <w:r>
        <w:t xml:space="preserve"> </w:t>
      </w:r>
      <w:r w:rsidRPr="00510ACC">
        <w:t>en houvast.</w:t>
      </w:r>
      <w:r>
        <w:t xml:space="preserve"> Het KJP zal de verzamelde kennis uit het onderzoek in het kader van de twee moties op hun website vrij toegankelijk beschikbaar stellen voor hulpverleners, beleidsmakers en andere belanghebbenden in de jeugd-ggz en brede jeugdhulp. De opgedane kennis zal worden geïntegreerd in de reeds bestaande praktijkstandaarden en kennisdossiers van het KJP. Publicatie op hun website wordt verwacht per eind juni 2026. </w:t>
      </w:r>
      <w:r>
        <w:rPr>
          <w:color w:val="262626" w:themeColor="text1" w:themeTint="D9"/>
        </w:rPr>
        <w:t xml:space="preserve">De minister van Langdurige Zorg, Jeugd en Sport beschouwt de motie hiermee als afgedaan. </w:t>
      </w:r>
    </w:p>
    <w:p w:rsidR="00807A00" w:rsidP="000C1628" w:rsidRDefault="00807A00" w14:paraId="3604B788" w14:textId="77777777"/>
    <w:p w:rsidR="00FC24AF" w:rsidP="000C1628" w:rsidRDefault="00FC24AF" w14:paraId="6E01BB7D" w14:textId="77777777"/>
    <w:p w:rsidRPr="006D2FFB" w:rsidR="00FC24AF" w:rsidP="000C1628" w:rsidRDefault="00B71D60" w14:paraId="53829781" w14:textId="77777777">
      <w:pPr>
        <w:rPr>
          <w:u w:val="single"/>
        </w:rPr>
      </w:pPr>
      <w:r w:rsidRPr="009D244B">
        <w:rPr>
          <w:u w:val="single"/>
        </w:rPr>
        <w:lastRenderedPageBreak/>
        <w:t xml:space="preserve">Motie van het lid Ceder </w:t>
      </w:r>
      <w:r>
        <w:rPr>
          <w:u w:val="single"/>
        </w:rPr>
        <w:t xml:space="preserve">(CU) </w:t>
      </w:r>
      <w:r w:rsidRPr="009D244B">
        <w:rPr>
          <w:u w:val="single"/>
        </w:rPr>
        <w:t>over met stakeholders in de gezinshuiszorg en gemeenten in gesprek gaan over aanvullende kwaliteitseisen</w:t>
      </w:r>
      <w:r>
        <w:rPr>
          <w:rStyle w:val="Voetnootmarkering"/>
          <w:u w:val="single"/>
        </w:rPr>
        <w:footnoteReference w:id="6"/>
      </w:r>
    </w:p>
    <w:p w:rsidR="00FC24AF" w:rsidP="000C1628" w:rsidRDefault="00B71D60" w14:paraId="53FB1BAF" w14:textId="77777777">
      <w:r>
        <w:t>Met de gezinshuissector span</w:t>
      </w:r>
      <w:r w:rsidR="00E913B1">
        <w:t xml:space="preserve">t de minister van Langdurige Zorg, Jeugd en Sport zich </w:t>
      </w:r>
      <w:r>
        <w:t>in voor veilige en kwalitatief goede zorg. Daartoe worden kwaliteitscriteria voor de gezinshuizen momenteel herzien, vanuit het netwerk Kwaliteit en Blijvend Leren (KBL). In deze herziening is het doel mede om de criteria in de praktijk beter toepasbaar, concreet en normerend te maken. Het verzoek van</w:t>
      </w:r>
      <w:r w:rsidR="008929BB">
        <w:t>uit</w:t>
      </w:r>
      <w:r>
        <w:t xml:space="preserve"> motie Ceder om met stakeholders in de gezinshuiszorg en gemeenten in gesprek te gaan over aanvullende kwaliteitseisen die gemeenten kunnen stellen bij </w:t>
      </w:r>
      <w:proofErr w:type="spellStart"/>
      <w:r>
        <w:t>contractering</w:t>
      </w:r>
      <w:proofErr w:type="spellEnd"/>
      <w:r>
        <w:t xml:space="preserve">, wordt in dit traject meegenomen. Eerste gesprekken hierover hebben reeds plaatsgevonden. </w:t>
      </w:r>
      <w:r w:rsidR="008929BB">
        <w:t>Daarmee wordt voldaan aan de genoemde motie. Ook</w:t>
      </w:r>
      <w:r>
        <w:t xml:space="preserve"> wordt</w:t>
      </w:r>
      <w:r w:rsidR="008929BB">
        <w:t xml:space="preserve"> </w:t>
      </w:r>
      <w:r>
        <w:t>goed de verbinding gelegd met de inzet vanuit de Hervormingsagenda Jeugd.</w:t>
      </w:r>
    </w:p>
    <w:p w:rsidR="00FC24AF" w:rsidP="000C1628" w:rsidRDefault="00FC24AF" w14:paraId="6361F106" w14:textId="77777777"/>
    <w:p w:rsidR="00FC24AF" w:rsidP="000C1628" w:rsidRDefault="00B71D60" w14:paraId="3F6854F6" w14:textId="77777777">
      <w:r>
        <w:t xml:space="preserve">In de Hervormingsagenda Jeugd is afgesproken dat de (hoog)specialistische jeugdzorg wordt gestandaardiseerd, van contract tot en met verantwoording. Het doel is op deze manier administratieve lasten te verminderen en tegelijkertijd het zicht op het zorglandschap te verbeteren doordat ook data beter landelijk kunnen worden vergeleken. Binnen dit programma loopt een versnelling op de gezinshuiszorg. Met een kernteam bestaande uit gezinshuiszorgaanbieders en gemeenten en de werkorganisatie Kwaliteit en Blijvend Leren, wordt uitgewerkt hoe de regionaal in te kopen gezinshuiszorg kan worden gestandaardiseerd. </w:t>
      </w:r>
    </w:p>
    <w:p w:rsidRPr="008D673A" w:rsidR="00FC24AF" w:rsidP="000C1628" w:rsidRDefault="00FC24AF" w14:paraId="58788F35" w14:textId="77777777">
      <w:pPr>
        <w:rPr>
          <w:rFonts w:asciiTheme="minorHAnsi" w:hAnsiTheme="minorHAnsi"/>
          <w:color w:val="262626" w:themeColor="text1" w:themeTint="D9"/>
        </w:rPr>
      </w:pPr>
    </w:p>
    <w:p w:rsidRPr="006D2FFB" w:rsidR="00FC24AF" w:rsidP="000C1628" w:rsidRDefault="00B71D60" w14:paraId="241ADA31" w14:textId="77777777">
      <w:pPr>
        <w:rPr>
          <w:color w:val="262626" w:themeColor="text1" w:themeTint="D9"/>
          <w:u w:val="single"/>
        </w:rPr>
      </w:pPr>
      <w:r w:rsidRPr="008D673A">
        <w:rPr>
          <w:color w:val="262626" w:themeColor="text1" w:themeTint="D9"/>
          <w:u w:val="single"/>
        </w:rPr>
        <w:t xml:space="preserve">Gewijzigde motie van de leden </w:t>
      </w:r>
      <w:proofErr w:type="spellStart"/>
      <w:r w:rsidRPr="008D673A">
        <w:rPr>
          <w:color w:val="262626" w:themeColor="text1" w:themeTint="D9"/>
          <w:u w:val="single"/>
        </w:rPr>
        <w:t>Bruyning</w:t>
      </w:r>
      <w:proofErr w:type="spellEnd"/>
      <w:r w:rsidRPr="008D673A">
        <w:rPr>
          <w:color w:val="262626" w:themeColor="text1" w:themeTint="D9"/>
          <w:u w:val="single"/>
        </w:rPr>
        <w:t xml:space="preserve"> </w:t>
      </w:r>
      <w:r>
        <w:rPr>
          <w:color w:val="262626" w:themeColor="text1" w:themeTint="D9"/>
          <w:u w:val="single"/>
        </w:rPr>
        <w:t xml:space="preserve">(NSC) </w:t>
      </w:r>
      <w:r w:rsidRPr="008D673A">
        <w:rPr>
          <w:color w:val="262626" w:themeColor="text1" w:themeTint="D9"/>
          <w:u w:val="single"/>
        </w:rPr>
        <w:t>en Tielen</w:t>
      </w:r>
      <w:r>
        <w:rPr>
          <w:color w:val="262626" w:themeColor="text1" w:themeTint="D9"/>
          <w:u w:val="single"/>
        </w:rPr>
        <w:t xml:space="preserve"> (VVD)</w:t>
      </w:r>
      <w:r w:rsidRPr="008D673A">
        <w:rPr>
          <w:color w:val="262626" w:themeColor="text1" w:themeTint="D9"/>
          <w:u w:val="single"/>
        </w:rPr>
        <w:t xml:space="preserve"> over onderzoek naar fraude met valse ervaringscertificaten binnen het SKJ-register (</w:t>
      </w:r>
      <w:proofErr w:type="spellStart"/>
      <w:r w:rsidRPr="008D673A">
        <w:rPr>
          <w:color w:val="262626" w:themeColor="text1" w:themeTint="D9"/>
          <w:u w:val="single"/>
        </w:rPr>
        <w:t>t.v.v</w:t>
      </w:r>
      <w:proofErr w:type="spellEnd"/>
      <w:r w:rsidRPr="008D673A">
        <w:rPr>
          <w:color w:val="262626" w:themeColor="text1" w:themeTint="D9"/>
          <w:u w:val="single"/>
        </w:rPr>
        <w:t>. 28828-151)</w:t>
      </w:r>
      <w:r>
        <w:rPr>
          <w:rStyle w:val="Voetnootmarkering"/>
          <w:color w:val="262626" w:themeColor="text1" w:themeTint="D9"/>
          <w:u w:val="single"/>
        </w:rPr>
        <w:footnoteReference w:id="7"/>
      </w:r>
    </w:p>
    <w:p w:rsidRPr="00C07BF9" w:rsidR="00FC24AF" w:rsidP="000C1628" w:rsidRDefault="00B71D60" w14:paraId="35315FE5" w14:textId="77777777">
      <w:pPr>
        <w:rPr>
          <w:color w:val="262626" w:themeColor="text1" w:themeTint="D9"/>
        </w:rPr>
      </w:pPr>
      <w:r w:rsidRPr="00C07BF9">
        <w:rPr>
          <w:color w:val="262626" w:themeColor="text1" w:themeTint="D9"/>
        </w:rPr>
        <w:t xml:space="preserve">In deze motie wordt de regering verzocht om grondig onderzoek te (laten) doen naar de oorzaken, aard en omvang van de fraude met valse ervaringscertificaten binnen het SKJ-register, om in samenwerking met relevante instanties maatregelen te treffen die de integriteit van het SKJ-register versterken en de Kamer te informeren over de bevindingen van het onderzoek en de getroffen maatregelen. </w:t>
      </w:r>
    </w:p>
    <w:p w:rsidR="00AF6A5E" w:rsidP="000C1628" w:rsidRDefault="00AF6A5E" w14:paraId="4238A2B7" w14:textId="77777777">
      <w:pPr>
        <w:rPr>
          <w:color w:val="262626" w:themeColor="text1" w:themeTint="D9"/>
        </w:rPr>
      </w:pPr>
    </w:p>
    <w:p w:rsidRPr="00C07BF9" w:rsidR="00FC24AF" w:rsidP="000C1628" w:rsidRDefault="00B71D60" w14:paraId="11C72E1C" w14:textId="77777777">
      <w:pPr>
        <w:rPr>
          <w:color w:val="262626" w:themeColor="text1" w:themeTint="D9"/>
        </w:rPr>
      </w:pPr>
      <w:r w:rsidRPr="00C07BF9">
        <w:rPr>
          <w:color w:val="262626" w:themeColor="text1" w:themeTint="D9"/>
        </w:rPr>
        <w:t xml:space="preserve">In januari van dit jaar is de EVC-standaard voor hbo vakbekwame jeugd- en gezinsprofessional ingetrokken door standaardeigenaren (branchepartijen). Daardoor mogen er geen nieuwe EVC-trajecten worden gestart. </w:t>
      </w:r>
    </w:p>
    <w:p w:rsidRPr="00C07BF9" w:rsidR="00FC24AF" w:rsidP="000C1628" w:rsidRDefault="00B71D60" w14:paraId="2140A3AB" w14:textId="77777777">
      <w:pPr>
        <w:rPr>
          <w:color w:val="262626" w:themeColor="text1" w:themeTint="D9"/>
        </w:rPr>
      </w:pPr>
      <w:r w:rsidRPr="00C07BF9">
        <w:rPr>
          <w:color w:val="262626" w:themeColor="text1" w:themeTint="D9"/>
        </w:rPr>
        <w:t xml:space="preserve">Daarnaast is de taskforce EVC bezig met onderzoek naar een aangepaste of alternatieve registratieroute. Hierbij is ook VWS betrokken. </w:t>
      </w:r>
    </w:p>
    <w:p w:rsidR="000914FE" w:rsidP="000C1628" w:rsidRDefault="00B71D60" w14:paraId="47D39323" w14:textId="77777777">
      <w:pPr>
        <w:rPr>
          <w:color w:val="262626" w:themeColor="text1" w:themeTint="D9"/>
        </w:rPr>
      </w:pPr>
      <w:r w:rsidRPr="00C07BF9">
        <w:rPr>
          <w:color w:val="262626" w:themeColor="text1" w:themeTint="D9"/>
        </w:rPr>
        <w:t xml:space="preserve">De SKJ geeft momenteel nog uitvoering aan haar onderzoek naar registraties op basis van EVC. In 2025 zijn door de toenmalige </w:t>
      </w:r>
      <w:r w:rsidR="00F42BEB">
        <w:rPr>
          <w:color w:val="262626" w:themeColor="text1" w:themeTint="D9"/>
        </w:rPr>
        <w:t>s</w:t>
      </w:r>
      <w:r w:rsidRPr="00C07BF9">
        <w:rPr>
          <w:color w:val="262626" w:themeColor="text1" w:themeTint="D9"/>
        </w:rPr>
        <w:t xml:space="preserve">taatssecretaris Jeugd, Preventie en Sport en </w:t>
      </w:r>
      <w:r w:rsidR="00F42BEB">
        <w:rPr>
          <w:color w:val="262626" w:themeColor="text1" w:themeTint="D9"/>
        </w:rPr>
        <w:t>s</w:t>
      </w:r>
      <w:r w:rsidRPr="00C07BF9">
        <w:rPr>
          <w:color w:val="262626" w:themeColor="text1" w:themeTint="D9"/>
        </w:rPr>
        <w:t>taatssecretaris van Justitie en Veiligheid hiervoor middelen aan SKJ verstrekt. Voor 2026 zijn de middelen voor het onderzoek binnen het Kwaliteitsregister, naast de</w:t>
      </w:r>
      <w:r w:rsidR="004B7139">
        <w:rPr>
          <w:color w:val="262626" w:themeColor="text1" w:themeTint="D9"/>
        </w:rPr>
        <w:t xml:space="preserve"> €</w:t>
      </w:r>
      <w:r w:rsidRPr="00C07BF9">
        <w:rPr>
          <w:color w:val="262626" w:themeColor="text1" w:themeTint="D9"/>
        </w:rPr>
        <w:t xml:space="preserve"> 200.000 via het amendement van </w:t>
      </w:r>
      <w:proofErr w:type="spellStart"/>
      <w:r w:rsidRPr="00C07BF9">
        <w:rPr>
          <w:color w:val="262626" w:themeColor="text1" w:themeTint="D9"/>
        </w:rPr>
        <w:t>Synhaeve</w:t>
      </w:r>
      <w:proofErr w:type="spellEnd"/>
      <w:r w:rsidRPr="00C07BF9">
        <w:rPr>
          <w:color w:val="262626" w:themeColor="text1" w:themeTint="D9"/>
        </w:rPr>
        <w:t xml:space="preserve"> en Wendel, door de </w:t>
      </w:r>
      <w:r w:rsidR="004B7139">
        <w:rPr>
          <w:color w:val="262626" w:themeColor="text1" w:themeTint="D9"/>
        </w:rPr>
        <w:t>m</w:t>
      </w:r>
      <w:r w:rsidRPr="00C07BF9">
        <w:rPr>
          <w:color w:val="262626" w:themeColor="text1" w:themeTint="D9"/>
        </w:rPr>
        <w:t xml:space="preserve">inister van Langdurige zorg, Jeugd en Sport en de </w:t>
      </w:r>
      <w:r w:rsidR="004B7139">
        <w:rPr>
          <w:color w:val="262626" w:themeColor="text1" w:themeTint="D9"/>
        </w:rPr>
        <w:t>s</w:t>
      </w:r>
      <w:r w:rsidRPr="00C07BF9">
        <w:rPr>
          <w:color w:val="262626" w:themeColor="text1" w:themeTint="D9"/>
        </w:rPr>
        <w:t xml:space="preserve">taatssecretaris van Justitie en Veiligheid opgehoogd tot </w:t>
      </w:r>
      <w:r w:rsidR="004B7139">
        <w:rPr>
          <w:color w:val="262626" w:themeColor="text1" w:themeTint="D9"/>
        </w:rPr>
        <w:t xml:space="preserve">€ </w:t>
      </w:r>
      <w:r w:rsidRPr="00C07BF9">
        <w:rPr>
          <w:color w:val="262626" w:themeColor="text1" w:themeTint="D9"/>
        </w:rPr>
        <w:t xml:space="preserve">2 miljoen. Daarmee kan SKJ fraude met valse ervaringscertificaten binnen het register nader onderzoeken. </w:t>
      </w:r>
    </w:p>
    <w:p w:rsidR="000914FE" w:rsidP="000C1628" w:rsidRDefault="000914FE" w14:paraId="1AC09283" w14:textId="77777777">
      <w:pPr>
        <w:rPr>
          <w:color w:val="262626" w:themeColor="text1" w:themeTint="D9"/>
        </w:rPr>
      </w:pPr>
    </w:p>
    <w:p w:rsidRPr="00E559AA" w:rsidR="00FC24AF" w:rsidP="000C1628" w:rsidRDefault="00B71D60" w14:paraId="68C17B89" w14:textId="77777777">
      <w:r>
        <w:rPr>
          <w:color w:val="262626" w:themeColor="text1" w:themeTint="D9"/>
        </w:rPr>
        <w:t xml:space="preserve">De minister van Langdurige Zorg, Jeugd en Sport beschouwt de motie hiermee als afgedaan. </w:t>
      </w:r>
    </w:p>
    <w:p w:rsidR="00FC24AF" w:rsidP="000C1628" w:rsidRDefault="00FC24AF" w14:paraId="61AD2FB4" w14:textId="77777777"/>
    <w:p w:rsidR="00FC24AF" w:rsidP="000C1628" w:rsidRDefault="00FC24AF" w14:paraId="4C0BECAC" w14:textId="77777777">
      <w:pPr>
        <w:rPr>
          <w:u w:val="single"/>
        </w:rPr>
      </w:pPr>
    </w:p>
    <w:p w:rsidRPr="006D2FFB" w:rsidR="00FC24AF" w:rsidP="000C1628" w:rsidRDefault="00B71D60" w14:paraId="00836BFD" w14:textId="77777777">
      <w:pPr>
        <w:rPr>
          <w:u w:val="single"/>
        </w:rPr>
      </w:pPr>
      <w:r w:rsidRPr="00906E53">
        <w:rPr>
          <w:u w:val="single"/>
        </w:rPr>
        <w:lastRenderedPageBreak/>
        <w:t xml:space="preserve">Motie van het lid Moinat </w:t>
      </w:r>
      <w:r>
        <w:rPr>
          <w:u w:val="single"/>
        </w:rPr>
        <w:t xml:space="preserve">(Groep </w:t>
      </w:r>
      <w:proofErr w:type="spellStart"/>
      <w:r>
        <w:rPr>
          <w:u w:val="single"/>
        </w:rPr>
        <w:t>Markuszower</w:t>
      </w:r>
      <w:proofErr w:type="spellEnd"/>
      <w:r>
        <w:rPr>
          <w:u w:val="single"/>
        </w:rPr>
        <w:t xml:space="preserve">) </w:t>
      </w:r>
      <w:r w:rsidRPr="00906E53">
        <w:rPr>
          <w:u w:val="single"/>
        </w:rPr>
        <w:t>c.s. over in beginsel jeugdigen voor jeugdhulp in Nederland plaatsen</w:t>
      </w:r>
      <w:r>
        <w:rPr>
          <w:rStyle w:val="Voetnootmarkering"/>
          <w:u w:val="single"/>
        </w:rPr>
        <w:footnoteReference w:id="8"/>
      </w:r>
    </w:p>
    <w:p w:rsidR="000914FE" w:rsidP="000C1628" w:rsidRDefault="00B71D60" w14:paraId="4CD272CB" w14:textId="77777777">
      <w:r w:rsidRPr="00292589">
        <w:t xml:space="preserve">Om uitvoering te geven aan de motie van het lid Moinat </w:t>
      </w:r>
      <w:r w:rsidR="006D3676">
        <w:t>is de minister van Langdurige Zorg, Jeugd en Sport</w:t>
      </w:r>
      <w:r w:rsidRPr="00292589">
        <w:t xml:space="preserve"> in overleg met de VNG, IGJ, Jeugdzorg Nederland, NJI en KBL om afspraken te maken om jeugdigen in beginsel in Nederland te plaatsen, tenzij plaatsing in het buitenland in het belang is van het kind, er geen passend alternatief in Nederland beschikbaar is en de plaatsingsprocedure verloopt via de regels van de Centrale Autoriteit Internationale Kinderaangelegenheden en het Afsprakenkader Buitenlands Zorgaanbod Jeugd. Daarbij </w:t>
      </w:r>
      <w:r w:rsidR="006D3676">
        <w:t>wordt verkend</w:t>
      </w:r>
      <w:r w:rsidRPr="00292589">
        <w:t xml:space="preserve"> of hiertoe regelgeving noodzakelijk is. </w:t>
      </w:r>
    </w:p>
    <w:p w:rsidR="000914FE" w:rsidP="000C1628" w:rsidRDefault="000914FE" w14:paraId="408AC431" w14:textId="77777777"/>
    <w:p w:rsidR="00FC24AF" w:rsidP="000C1628" w:rsidRDefault="00B71D60" w14:paraId="26956711" w14:textId="77777777">
      <w:r>
        <w:rPr>
          <w:color w:val="262626" w:themeColor="text1" w:themeTint="D9"/>
        </w:rPr>
        <w:t>De minister van Langdurige Zorg, Jeugd en Sport</w:t>
      </w:r>
      <w:r w:rsidRPr="00292589">
        <w:t xml:space="preserve"> zal u aan het einde van dit jaar nader over de voortgang informeren. </w:t>
      </w:r>
    </w:p>
    <w:p w:rsidR="00FC24AF" w:rsidP="000C1628" w:rsidRDefault="00FC24AF" w14:paraId="25C14A90" w14:textId="77777777"/>
    <w:p w:rsidRPr="006D2FFB" w:rsidR="00FC24AF" w:rsidP="000C1628" w:rsidRDefault="00B71D60" w14:paraId="03564BA9" w14:textId="77777777">
      <w:pPr>
        <w:rPr>
          <w:u w:val="single"/>
        </w:rPr>
      </w:pPr>
      <w:r>
        <w:rPr>
          <w:u w:val="single"/>
        </w:rPr>
        <w:t xml:space="preserve">Motie van het lid Van der Plas (BBB) </w:t>
      </w:r>
      <w:r w:rsidRPr="001D6796">
        <w:rPr>
          <w:u w:val="single"/>
        </w:rPr>
        <w:t>over de fysieke en mentale gezondheid van kinderen meewegen bij noodmaatregelen</w:t>
      </w:r>
      <w:r>
        <w:rPr>
          <w:rStyle w:val="Voetnootmarkering"/>
          <w:u w:val="single"/>
        </w:rPr>
        <w:footnoteReference w:id="9"/>
      </w:r>
    </w:p>
    <w:p w:rsidR="00FC24AF" w:rsidP="000C1628" w:rsidRDefault="00B71D60" w14:paraId="20A1419A" w14:textId="77777777">
      <w:r>
        <w:t xml:space="preserve">De gevolgen van de pandemie op het gebied van mentale gezondheid zijn nog steeds zichtbaar. </w:t>
      </w:r>
      <w:r w:rsidR="006D3676">
        <w:t>De minister van Langdurige Zorg, Jeugd en Sport</w:t>
      </w:r>
      <w:r>
        <w:t xml:space="preserve"> onderschrijf</w:t>
      </w:r>
      <w:r w:rsidR="006D3676">
        <w:t>t</w:t>
      </w:r>
      <w:r>
        <w:t xml:space="preserve"> dat het belangrijk is om oog te hebben voor de mentale gezondheid van jongeren tijdens de inzet van noodmaatregelen. Het belang hiervan laten ook de geleerde lessen uit de </w:t>
      </w:r>
      <w:r w:rsidRPr="00C6192F">
        <w:t>Integrale Gezondheidsmonitor COVID-19</w:t>
      </w:r>
      <w:r>
        <w:rPr>
          <w:rStyle w:val="Voetnootmarkering"/>
        </w:rPr>
        <w:footnoteReference w:id="10"/>
      </w:r>
      <w:r>
        <w:t xml:space="preserve"> van </w:t>
      </w:r>
      <w:r w:rsidRPr="00C6192F">
        <w:t>het Netwerk Gezondheidsonderzoek bij Rampen (GOR</w:t>
      </w:r>
      <w:r>
        <w:t xml:space="preserve">) zien. </w:t>
      </w:r>
    </w:p>
    <w:p w:rsidR="00FC24AF" w:rsidP="000C1628" w:rsidRDefault="00FC24AF" w14:paraId="655E750E" w14:textId="77777777"/>
    <w:p w:rsidR="00FC24AF" w:rsidP="000C1628" w:rsidRDefault="00B71D60" w14:paraId="73BD7831" w14:textId="77777777">
      <w:r w:rsidRPr="00F65826">
        <w:t xml:space="preserve">Werken aan een mentaal gezondere samenleving begint met oog hebben voor je eigen mentale gezondheid én die van anderen. Daarbij is het goed om te weten wat je kunt doen om mentaal gezond te zijn en te blijven, </w:t>
      </w:r>
      <w:r>
        <w:t xml:space="preserve">bijvoorbeeld </w:t>
      </w:r>
      <w:r w:rsidRPr="00F65826">
        <w:t xml:space="preserve">tijdens belangrijke levensgebeurtenissen of overgangen in het leven. Het is belangrijk dat </w:t>
      </w:r>
      <w:r>
        <w:t>jongeren</w:t>
      </w:r>
      <w:r w:rsidRPr="00F65826">
        <w:t xml:space="preserve"> de mogelijkheden kunnen vinden om veerkrachtig te kunnen zijn.</w:t>
      </w:r>
      <w:r>
        <w:t xml:space="preserve"> Daar wordt op ingezet via de acties binnen thema 1 van de Versterkingsagenda mentale gezondheid: versterken mentale veerkracht.</w:t>
      </w:r>
      <w:r>
        <w:rPr>
          <w:rStyle w:val="Voetnootmarkering"/>
        </w:rPr>
        <w:footnoteReference w:id="11"/>
      </w:r>
      <w:r>
        <w:t xml:space="preserve"> </w:t>
      </w:r>
    </w:p>
    <w:p w:rsidR="00FC24AF" w:rsidP="000C1628" w:rsidRDefault="00FC24AF" w14:paraId="46B8F566" w14:textId="77777777"/>
    <w:p w:rsidR="00FC24AF" w:rsidP="000C1628" w:rsidRDefault="00B71D60" w14:paraId="40AB1ECD" w14:textId="77777777">
      <w:r>
        <w:t xml:space="preserve">Met het oog op mogelijke toekomstige crisissen mogen we jongeren niet vergeten. </w:t>
      </w:r>
      <w:r w:rsidRPr="00B408D8">
        <w:t>Tijdens pandemieën adviseert het Maatschappelijk Impact Team (MIT)</w:t>
      </w:r>
      <w:r>
        <w:t>, gehuisvest bij het SCP,</w:t>
      </w:r>
      <w:r w:rsidRPr="00B408D8">
        <w:t xml:space="preserve"> over de sociaal-maatschappelijke en economische gevolgen van de pandemie en de bijbehorende maatregelen, waaronder de impact op mentale gezondheid. Het MIT bestaat uit wetenschappers en praktijkdeskundigen zoals economen, sociologen en gedragsdeskundigen. Het SCP is gestart met het opbouwen van een kennisbasis voor maatschappelijke weerbaarheid, onder meer om het MIT te kunnen voeden met actuele kennis en inzichten. In deze kennisbasis wordt ook de mentale gezondheid meegenomen. Mede hiermee wordt geborgd dat lessen uit de coronapandemie niet verloren gaan. </w:t>
      </w:r>
    </w:p>
    <w:p w:rsidR="00FC24AF" w:rsidP="000C1628" w:rsidRDefault="00B71D60" w14:paraId="7FC962A7" w14:textId="77777777">
      <w:r>
        <w:t xml:space="preserve">Binnen de </w:t>
      </w:r>
      <w:proofErr w:type="spellStart"/>
      <w:r>
        <w:t>Rijksbrede</w:t>
      </w:r>
      <w:proofErr w:type="spellEnd"/>
      <w:r>
        <w:t xml:space="preserve"> weerbaarheidsaanpak is oog voor verschillende doelgroepen, inclusief jongeren. </w:t>
      </w:r>
      <w:r w:rsidRPr="001D6796">
        <w:t xml:space="preserve">Als onderdeel daarvan brengt VWS in 2026 in kaart of aanvullend </w:t>
      </w:r>
      <w:r w:rsidR="00D436D3">
        <w:t>op</w:t>
      </w:r>
      <w:r w:rsidRPr="001D6796">
        <w:t xml:space="preserve"> lopende initiatieven additionele inzet nodig is</w:t>
      </w:r>
      <w:r w:rsidR="00D436D3">
        <w:t xml:space="preserve"> in het kader van</w:t>
      </w:r>
      <w:r w:rsidRPr="001D6796">
        <w:t xml:space="preserve"> zelf- en samenredzaamheid, waaronder die van jongeren</w:t>
      </w:r>
      <w:r>
        <w:t xml:space="preserve">. </w:t>
      </w:r>
    </w:p>
    <w:p w:rsidR="000914FE" w:rsidP="000C1628" w:rsidRDefault="000914FE" w14:paraId="6BDAAC1B" w14:textId="77777777">
      <w:pPr>
        <w:rPr>
          <w:color w:val="262626" w:themeColor="text1" w:themeTint="D9"/>
        </w:rPr>
      </w:pPr>
    </w:p>
    <w:p w:rsidR="00FC24AF" w:rsidP="000C1628" w:rsidRDefault="00B71D60" w14:paraId="3F09895C" w14:textId="77777777">
      <w:pPr>
        <w:rPr>
          <w:color w:val="262626" w:themeColor="text1" w:themeTint="D9"/>
        </w:rPr>
      </w:pPr>
      <w:r>
        <w:rPr>
          <w:color w:val="262626" w:themeColor="text1" w:themeTint="D9"/>
        </w:rPr>
        <w:t>De minister van Langdurige Zorg, Jeugd en Sport beschouwt de motie hiermee als afgedaan.</w:t>
      </w:r>
    </w:p>
    <w:p w:rsidR="00E81F38" w:rsidP="000C1628" w:rsidRDefault="00E81F38" w14:paraId="6BE76A82" w14:textId="77777777">
      <w:pPr>
        <w:rPr>
          <w:color w:val="262626" w:themeColor="text1" w:themeTint="D9"/>
        </w:rPr>
      </w:pPr>
    </w:p>
    <w:p w:rsidRPr="005370AF" w:rsidR="00FC24AF" w:rsidP="000C1628" w:rsidRDefault="00B71D60" w14:paraId="6BBC4932" w14:textId="77777777">
      <w:pPr>
        <w:rPr>
          <w:u w:val="single"/>
        </w:rPr>
      </w:pPr>
      <w:r w:rsidRPr="005370AF">
        <w:rPr>
          <w:u w:val="single"/>
        </w:rPr>
        <w:lastRenderedPageBreak/>
        <w:t xml:space="preserve">Motie Van den </w:t>
      </w:r>
      <w:proofErr w:type="spellStart"/>
      <w:r w:rsidRPr="005370AF">
        <w:rPr>
          <w:u w:val="single"/>
        </w:rPr>
        <w:t>Hil</w:t>
      </w:r>
      <w:proofErr w:type="spellEnd"/>
      <w:r w:rsidRPr="005370AF">
        <w:rPr>
          <w:u w:val="single"/>
        </w:rPr>
        <w:t xml:space="preserve"> (VVD) c.s. over het samen met gemeente en </w:t>
      </w:r>
      <w:proofErr w:type="spellStart"/>
      <w:r w:rsidRPr="005370AF">
        <w:rPr>
          <w:u w:val="single"/>
        </w:rPr>
        <w:t>Valente</w:t>
      </w:r>
      <w:proofErr w:type="spellEnd"/>
      <w:r w:rsidRPr="005370AF">
        <w:rPr>
          <w:u w:val="single"/>
        </w:rPr>
        <w:t xml:space="preserve"> verkennen welke knelpunten en oplossingen te formuleren zijn voor kinderen die met hun ouder in een opvanghuis verblijven en waar zich knelpunten voordoen in de financiering van jeugdzorg</w:t>
      </w:r>
      <w:r>
        <w:rPr>
          <w:rStyle w:val="Voetnootmarkering"/>
          <w:u w:val="single"/>
        </w:rPr>
        <w:footnoteReference w:id="12"/>
      </w:r>
      <w:r w:rsidRPr="005370AF">
        <w:rPr>
          <w:u w:val="single"/>
        </w:rPr>
        <w:t xml:space="preserve"> </w:t>
      </w:r>
    </w:p>
    <w:p w:rsidR="000914FE" w:rsidP="000C1628" w:rsidRDefault="00B71D60" w14:paraId="315102FE" w14:textId="77777777">
      <w:r w:rsidRPr="005554F1">
        <w:t xml:space="preserve">Deze motie verzoekt de regering om samen met de gemeenten en </w:t>
      </w:r>
      <w:proofErr w:type="spellStart"/>
      <w:r w:rsidRPr="005554F1">
        <w:t>Valente</w:t>
      </w:r>
      <w:proofErr w:type="spellEnd"/>
      <w:r w:rsidRPr="005554F1">
        <w:t xml:space="preserve"> te verkennen welke knelpunten en oplossingen te formuleren zijn voor kinderen die met hun ouder in een opvanghuis verblijven en waar zich knelpunten voordoen in de financiering van jeugdzorg. Eerder</w:t>
      </w:r>
      <w:r w:rsidR="00851BE6">
        <w:t xml:space="preserve"> bent </w:t>
      </w:r>
      <w:r w:rsidRPr="005554F1">
        <w:t xml:space="preserve">u geïnformeerd dat </w:t>
      </w:r>
      <w:r w:rsidR="00851BE6">
        <w:t>er</w:t>
      </w:r>
      <w:r w:rsidRPr="005554F1">
        <w:t xml:space="preserve"> met betrokken partijen (waaronder VNG, </w:t>
      </w:r>
      <w:proofErr w:type="spellStart"/>
      <w:r w:rsidRPr="005554F1">
        <w:t>Valente</w:t>
      </w:r>
      <w:proofErr w:type="spellEnd"/>
      <w:r w:rsidRPr="005554F1">
        <w:t xml:space="preserve"> en Jeugdzorg Nederland) een</w:t>
      </w:r>
      <w:r w:rsidR="00851BE6">
        <w:t xml:space="preserve"> verkenning werd gedaan</w:t>
      </w:r>
      <w:r w:rsidRPr="005554F1">
        <w:t xml:space="preserve"> om de knelpunten en oorzaken scherper in beeld te krijgen.</w:t>
      </w:r>
      <w:r>
        <w:rPr>
          <w:rStyle w:val="Voetnootmarkering"/>
        </w:rPr>
        <w:footnoteReference w:id="13"/>
      </w:r>
      <w:r w:rsidRPr="005554F1">
        <w:t xml:space="preserve"> Het beeld dat hieruit naar voren komt is dat de knelpunten zich voordoen op de intergemeentelijke samenwerking. </w:t>
      </w:r>
      <w:r w:rsidR="00851BE6">
        <w:t>M</w:t>
      </w:r>
      <w:r w:rsidRPr="005554F1">
        <w:t xml:space="preserve">et de VNG </w:t>
      </w:r>
      <w:r w:rsidR="00851BE6">
        <w:t xml:space="preserve">is </w:t>
      </w:r>
      <w:r w:rsidRPr="005554F1">
        <w:t xml:space="preserve">gekeken op welke manier goede werkafspraken tussen gemeenten </w:t>
      </w:r>
      <w:r w:rsidR="00851BE6">
        <w:t xml:space="preserve">gefaciliteerd kunnen worden </w:t>
      </w:r>
      <w:r w:rsidRPr="005554F1">
        <w:t xml:space="preserve">om knelpunten in de samenwerking te voorkomen. Hieruit is naar voren gekomen dat goede mandaatafspraken tussen gemeenten een oplossing kunnen bieden. </w:t>
      </w:r>
      <w:r w:rsidR="00851BE6">
        <w:t>M</w:t>
      </w:r>
      <w:r w:rsidRPr="005554F1">
        <w:t xml:space="preserve">et de VNG </w:t>
      </w:r>
      <w:r w:rsidR="00851BE6">
        <w:t>wordt bekeken</w:t>
      </w:r>
      <w:r w:rsidRPr="005554F1">
        <w:t xml:space="preserve"> </w:t>
      </w:r>
      <w:r w:rsidR="00851BE6">
        <w:t xml:space="preserve">hoe </w:t>
      </w:r>
      <w:r w:rsidRPr="005554F1">
        <w:t xml:space="preserve">dit </w:t>
      </w:r>
      <w:r w:rsidR="00851BE6">
        <w:t>gefaciliteerd kan worden</w:t>
      </w:r>
      <w:r w:rsidRPr="005554F1">
        <w:t xml:space="preserve">. </w:t>
      </w:r>
      <w:r>
        <w:t>D</w:t>
      </w:r>
      <w:r w:rsidRPr="005554F1">
        <w:t xml:space="preserve">aarnaast </w:t>
      </w:r>
      <w:r w:rsidR="00851BE6">
        <w:t>wordt gekeken</w:t>
      </w:r>
      <w:r w:rsidRPr="005554F1">
        <w:t xml:space="preserve"> naar een escalatieroute als zich toch problemen voordoen.</w:t>
      </w:r>
      <w:r>
        <w:t xml:space="preserve"> </w:t>
      </w:r>
    </w:p>
    <w:p w:rsidR="000914FE" w:rsidP="000C1628" w:rsidRDefault="000914FE" w14:paraId="0BEC9F9F" w14:textId="77777777"/>
    <w:p w:rsidR="00FC24AF" w:rsidP="000C1628" w:rsidRDefault="00B71D60" w14:paraId="0FB445F8" w14:textId="77777777">
      <w:r>
        <w:rPr>
          <w:color w:val="262626" w:themeColor="text1" w:themeTint="D9"/>
        </w:rPr>
        <w:t xml:space="preserve">De minister van Langdurige Zorg, Jeugd en Sport informeert </w:t>
      </w:r>
      <w:r w:rsidR="0092029F">
        <w:t>de kamer hierover voor het einde van het jaar.</w:t>
      </w:r>
    </w:p>
    <w:p w:rsidR="00E81F38" w:rsidP="000C1628" w:rsidRDefault="00E81F38" w14:paraId="4C074C00" w14:textId="77777777"/>
    <w:p w:rsidR="00E604E4" w:rsidP="000C1628" w:rsidRDefault="00E604E4" w14:paraId="60639A09" w14:textId="77777777"/>
    <w:p w:rsidRPr="00E604E4" w:rsidR="00E604E4" w:rsidP="00E604E4" w:rsidRDefault="00E604E4" w14:paraId="367B13BC" w14:textId="77777777">
      <w:r w:rsidRPr="00E604E4">
        <w:rPr>
          <w:u w:val="single"/>
        </w:rPr>
        <w:t xml:space="preserve">Motie van het lid </w:t>
      </w:r>
      <w:proofErr w:type="spellStart"/>
      <w:r w:rsidRPr="00E604E4">
        <w:rPr>
          <w:u w:val="single"/>
        </w:rPr>
        <w:t>Lahlah</w:t>
      </w:r>
      <w:proofErr w:type="spellEnd"/>
      <w:r w:rsidRPr="00E604E4">
        <w:rPr>
          <w:u w:val="single"/>
        </w:rPr>
        <w:t xml:space="preserve"> (PRO) c.s. over indien een kosteloze betalingsherinnering niet doorgaat de middelen daarvoor wel inzetten voor mensen in financiële kwetsbaarheid</w:t>
      </w:r>
      <w:r w:rsidRPr="00E604E4">
        <w:t>.</w:t>
      </w:r>
      <w:r w:rsidRPr="00E604E4">
        <w:rPr>
          <w:vertAlign w:val="superscript"/>
        </w:rPr>
        <w:footnoteReference w:id="14"/>
      </w:r>
      <w:r w:rsidRPr="00E604E4">
        <w:t xml:space="preserve"> </w:t>
      </w:r>
    </w:p>
    <w:p w:rsidRPr="00E604E4" w:rsidR="00E604E4" w:rsidP="00E604E4" w:rsidRDefault="00E604E4" w14:paraId="2AB0E14D" w14:textId="77777777">
      <w:r w:rsidRPr="00E604E4">
        <w:t xml:space="preserve">De motie van de leden </w:t>
      </w:r>
      <w:proofErr w:type="spellStart"/>
      <w:r w:rsidRPr="00E604E4">
        <w:t>Lahlah</w:t>
      </w:r>
      <w:proofErr w:type="spellEnd"/>
      <w:r w:rsidRPr="00E604E4">
        <w:t xml:space="preserve">, </w:t>
      </w:r>
      <w:proofErr w:type="spellStart"/>
      <w:r w:rsidRPr="00E604E4">
        <w:t>Flach</w:t>
      </w:r>
      <w:proofErr w:type="spellEnd"/>
      <w:r w:rsidRPr="00E604E4">
        <w:t xml:space="preserve">, Ceder en Van Kent verzoekt de regering om de middelen voor een kosteloze betalingsherinnering door het CJIB naar de envelop Groepen in de knel terug te laten vloeien, indien deze maatregel wegens het ontbreken van structurele financiering niet doorgaat, zodat deze middelen doelgericht kunnen worden ingezet voor mensen in financiële kwetsbaarheid. Inmiddels is besloten dat de resterende middelen die op de begroting van het ministerie van Justitie en Veiligheid stonden vanuit deze envelop terugvloeien naar de begroting van het Ministerie van Sociale Zaken en Werkgelegenheid, om te worden ingezet voor financieel kwetsbare huishoudens. </w:t>
      </w:r>
    </w:p>
    <w:p w:rsidRPr="00E604E4" w:rsidR="00E604E4" w:rsidP="00E604E4" w:rsidRDefault="00E604E4" w14:paraId="5EBFFDD2" w14:textId="77777777"/>
    <w:p w:rsidRPr="00E604E4" w:rsidR="00E604E4" w:rsidP="00E604E4" w:rsidRDefault="00E604E4" w14:paraId="067939A2" w14:textId="77777777">
      <w:r w:rsidRPr="00E604E4">
        <w:t xml:space="preserve">De staatssecretaris van Justitie en Veiligheid beschouwt hiermee de motie als afgedaan. </w:t>
      </w:r>
    </w:p>
    <w:p w:rsidRPr="002272FE" w:rsidR="00E604E4" w:rsidP="000C1628" w:rsidRDefault="00E604E4" w14:paraId="71F617F6" w14:textId="77777777"/>
    <w:p w:rsidRPr="008620DD" w:rsidR="00E81F38" w:rsidP="000C1628" w:rsidRDefault="00E81F38" w14:paraId="3296C263" w14:textId="77777777">
      <w:pPr>
        <w:spacing w:line="240" w:lineRule="auto"/>
        <w:rPr>
          <w:b/>
          <w:bCs/>
        </w:rPr>
      </w:pPr>
    </w:p>
    <w:p w:rsidRPr="00EF4C23" w:rsidR="00FC24AF" w:rsidP="000C1628" w:rsidRDefault="00B71D60" w14:paraId="5CAC254F" w14:textId="77777777">
      <w:pPr>
        <w:rPr>
          <w:u w:val="single"/>
        </w:rPr>
      </w:pPr>
      <w:r w:rsidRPr="00EF4C23">
        <w:rPr>
          <w:u w:val="single"/>
        </w:rPr>
        <w:t>Toezegging verkenning vergunningplicht voor jeugdhulpaanbieders.</w:t>
      </w:r>
    </w:p>
    <w:p w:rsidR="00FC24AF" w:rsidP="000C1628" w:rsidRDefault="00B71D60" w14:paraId="53201D44" w14:textId="77777777">
      <w:r>
        <w:t xml:space="preserve">In de Hervormingsagenda Jeugd en Aanvullend Zorg- en Welzijnsakkoord (AZWA) is afgesproken dat verkend zou worden of een vergunningplicht voor jeugdhulpaanbieders ingevoerd zou worden. Gegeven de gesprekken hierover met het veld en een eerste verkenning </w:t>
      </w:r>
      <w:r w:rsidR="00F76CE4">
        <w:t>heeft de minister van Langdurige Zorg, Welzijn en Sport</w:t>
      </w:r>
      <w:r>
        <w:t xml:space="preserve"> </w:t>
      </w:r>
      <w:r w:rsidRPr="0058181D">
        <w:t>besloten een wetvoorstel voor te bereiden om een vergunningplicht voor jeugdhulpaanbieders in te voeren.</w:t>
      </w:r>
      <w:r>
        <w:rPr>
          <w:rStyle w:val="Voetnootmarkering"/>
        </w:rPr>
        <w:footnoteReference w:id="15"/>
      </w:r>
      <w:r w:rsidRPr="0058181D">
        <w:t xml:space="preserve"> Het doel van deze vergunningplicht is om meer zicht en grip op aanbieders te krijgen, kwaliteit en integriteit van (her)startende jeugdhulpaanbieders te bevorderen en fraude in de jeugdzorg tegen te gaan.</w:t>
      </w:r>
      <w:r>
        <w:t xml:space="preserve"> Er is breed</w:t>
      </w:r>
      <w:r w:rsidRPr="0058181D">
        <w:t xml:space="preserve"> draagvlak bij zowel aanbieders</w:t>
      </w:r>
      <w:r>
        <w:t xml:space="preserve">, </w:t>
      </w:r>
      <w:r w:rsidRPr="0058181D">
        <w:t>gemeenten</w:t>
      </w:r>
      <w:r>
        <w:t xml:space="preserve"> en </w:t>
      </w:r>
      <w:r>
        <w:lastRenderedPageBreak/>
        <w:t xml:space="preserve">toezichthouders </w:t>
      </w:r>
      <w:r w:rsidRPr="0058181D">
        <w:t>om tot de invoering van dit instrument over te gaan.</w:t>
      </w:r>
    </w:p>
    <w:p w:rsidR="00FC24AF" w:rsidP="000C1628" w:rsidRDefault="00FC24AF" w14:paraId="120FA42E" w14:textId="77777777"/>
    <w:p w:rsidR="00FC24AF" w:rsidP="000C1628" w:rsidRDefault="00B71D60" w14:paraId="7D1A3074" w14:textId="77777777">
      <w:r>
        <w:t xml:space="preserve">Waar mogelijk en passend wordt aangesloten bij de vergunningplicht die op grond van de Wet toetreding zorgaanbieders geldt voor instellingen die </w:t>
      </w:r>
      <w:proofErr w:type="spellStart"/>
      <w:r>
        <w:t>Wlz</w:t>
      </w:r>
      <w:proofErr w:type="spellEnd"/>
      <w:r>
        <w:t xml:space="preserve">- of </w:t>
      </w:r>
      <w:proofErr w:type="spellStart"/>
      <w:r>
        <w:t>Zvw</w:t>
      </w:r>
      <w:proofErr w:type="spellEnd"/>
      <w:r>
        <w:t>-zorg of medisch specialistische zorg verlenen (</w:t>
      </w:r>
      <w:proofErr w:type="spellStart"/>
      <w:r>
        <w:t>Wtza</w:t>
      </w:r>
      <w:proofErr w:type="spellEnd"/>
      <w:r>
        <w:t xml:space="preserve">-vergunning). Als uitwerking van het AZWA wordt een verdieping en verbreding van de bestaande </w:t>
      </w:r>
      <w:proofErr w:type="spellStart"/>
      <w:r>
        <w:t>Wtza</w:t>
      </w:r>
      <w:proofErr w:type="spellEnd"/>
      <w:r>
        <w:t xml:space="preserve">-vergunningplicht verkend. Vanwege de samenhang wordt hierin gezamenlijk opgetrokken. In dat kader wordt ook bezien in hoeverre de mogelijkheden voor verdieping en verbreding ook voor de vergunningplicht voor jeugdhulpaanbieders kan gelden. </w:t>
      </w:r>
      <w:r w:rsidR="00807A00">
        <w:rPr>
          <w:color w:val="262626" w:themeColor="text1" w:themeTint="D9"/>
        </w:rPr>
        <w:t>De minister van Langdurige Zorg, Jeugd en Sport</w:t>
      </w:r>
      <w:r w:rsidR="0062271A">
        <w:t xml:space="preserve"> streef</w:t>
      </w:r>
      <w:r w:rsidR="00807A00">
        <w:t>t</w:t>
      </w:r>
      <w:r w:rsidR="0062271A">
        <w:t xml:space="preserve"> ernaar </w:t>
      </w:r>
      <w:r w:rsidRPr="00926A21">
        <w:t>dit wetsvoorstel in 2028</w:t>
      </w:r>
      <w:r w:rsidR="0062271A">
        <w:t xml:space="preserve"> aan te bieden aan</w:t>
      </w:r>
      <w:r w:rsidRPr="00926A21">
        <w:t xml:space="preserve"> de Tweede Kamer</w:t>
      </w:r>
      <w:r w:rsidR="0062271A">
        <w:t>.</w:t>
      </w:r>
    </w:p>
    <w:p w:rsidR="00FC24AF" w:rsidP="000C1628" w:rsidRDefault="00FC24AF" w14:paraId="70C1D7BC" w14:textId="77777777"/>
    <w:p w:rsidR="00807A00" w:rsidP="000C1628" w:rsidRDefault="00B71D60" w14:paraId="577E4267" w14:textId="77777777">
      <w:pPr>
        <w:rPr>
          <w:color w:val="262626" w:themeColor="text1" w:themeTint="D9"/>
        </w:rPr>
      </w:pPr>
      <w:r>
        <w:rPr>
          <w:color w:val="262626" w:themeColor="text1" w:themeTint="D9"/>
        </w:rPr>
        <w:t xml:space="preserve">De minister van Langdurige Zorg, Jeugd en Sport beschouwt de </w:t>
      </w:r>
      <w:r w:rsidR="00127F81">
        <w:rPr>
          <w:color w:val="262626" w:themeColor="text1" w:themeTint="D9"/>
        </w:rPr>
        <w:t>toezegging</w:t>
      </w:r>
      <w:r>
        <w:rPr>
          <w:color w:val="262626" w:themeColor="text1" w:themeTint="D9"/>
        </w:rPr>
        <w:t xml:space="preserve"> hiermee als afgedaan.</w:t>
      </w:r>
    </w:p>
    <w:p w:rsidR="00807A00" w:rsidP="000C1628" w:rsidRDefault="00807A00" w14:paraId="5092EFAE" w14:textId="77777777"/>
    <w:p w:rsidR="00FC24AF" w:rsidP="000C1628" w:rsidRDefault="00B71D60" w14:paraId="3001BD34" w14:textId="77777777">
      <w:pPr>
        <w:rPr>
          <w:u w:val="single"/>
        </w:rPr>
      </w:pPr>
      <w:r w:rsidRPr="00EF4C23">
        <w:rPr>
          <w:u w:val="single"/>
        </w:rPr>
        <w:t>Toezegging over een kwalitatieve duiding Hervormingsagenda Jeugd met als doel gemeenten van elkaar te laten leren.</w:t>
      </w:r>
    </w:p>
    <w:p w:rsidR="00FC24AF" w:rsidP="000C1628" w:rsidRDefault="00B71D60" w14:paraId="4DC4494F" w14:textId="77777777">
      <w:r>
        <w:t xml:space="preserve">Het lid </w:t>
      </w:r>
      <w:proofErr w:type="spellStart"/>
      <w:r>
        <w:t>Coenradie</w:t>
      </w:r>
      <w:proofErr w:type="spellEnd"/>
      <w:r>
        <w:t xml:space="preserve"> (JA21) heeft mij gevraagd om een kwalitatieve duiding te geven aan waar het</w:t>
      </w:r>
      <w:r w:rsidR="00C62EC4">
        <w:t>, gegeven de doelstellingen in de Hervormingsagenda,</w:t>
      </w:r>
      <w:r>
        <w:t xml:space="preserve"> goed gaat bij gemeenten en waar niet. </w:t>
      </w:r>
      <w:r w:rsidR="00D64EE5">
        <w:t>Het is</w:t>
      </w:r>
      <w:r>
        <w:t xml:space="preserve"> </w:t>
      </w:r>
      <w:r w:rsidRPr="005C6A17">
        <w:t xml:space="preserve">lastig om gemeenten aan te wijzen die als algemeen voorbeeld kunnen dienen voor andere gemeenten. Er zijn gemeenten die op onderdelen van de Hervormingsagenda Jeugd </w:t>
      </w:r>
      <w:r>
        <w:t xml:space="preserve">goed bezig zijn en </w:t>
      </w:r>
      <w:r w:rsidRPr="005C6A17">
        <w:t xml:space="preserve">als voorbeeld kunnen dienen, maar die op andere </w:t>
      </w:r>
      <w:r>
        <w:t>onderdelen</w:t>
      </w:r>
      <w:r w:rsidRPr="005C6A17">
        <w:t xml:space="preserve"> nog aandachtspunten hebben. Ook verschilt de lokale context van gemeenten, en daarmee de invulling en focus van de hervormingen</w:t>
      </w:r>
      <w:r>
        <w:t xml:space="preserve"> per gemeente. </w:t>
      </w:r>
      <w:r w:rsidRPr="00B36671">
        <w:t xml:space="preserve">Wat goede voorbeelden zijn, </w:t>
      </w:r>
      <w:r>
        <w:t>kan</w:t>
      </w:r>
      <w:r w:rsidRPr="00B36671">
        <w:t xml:space="preserve"> dus per gemeente verschillen.</w:t>
      </w:r>
      <w:r>
        <w:t xml:space="preserve"> </w:t>
      </w:r>
    </w:p>
    <w:p w:rsidR="00FC24AF" w:rsidP="000C1628" w:rsidRDefault="00FC24AF" w14:paraId="7E3D383B" w14:textId="77777777"/>
    <w:p w:rsidR="00FC24AF" w:rsidP="000C1628" w:rsidRDefault="00B71D60" w14:paraId="0DA33C27" w14:textId="77777777">
      <w:r>
        <w:t xml:space="preserve">Dat laat onverlet dat het wel belangrijk </w:t>
      </w:r>
      <w:r w:rsidR="00D64EE5">
        <w:t>is</w:t>
      </w:r>
      <w:r>
        <w:t xml:space="preserve"> om beter inzicht te krijgen in het stelsel als geheel en dat gemeenten ook het goede gesprek met elkaar voeren en van elkaar kunnen leren. </w:t>
      </w:r>
    </w:p>
    <w:p w:rsidR="00B86A22" w:rsidP="000C1628" w:rsidRDefault="00B86A22" w14:paraId="4A475C70" w14:textId="77777777"/>
    <w:p w:rsidRPr="0030558A" w:rsidR="00FC24AF" w:rsidP="000C1628" w:rsidRDefault="00B71D60" w14:paraId="2EB21E56" w14:textId="77777777">
      <w:r>
        <w:t>O</w:t>
      </w:r>
      <w:r w:rsidRPr="005C6A17">
        <w:t xml:space="preserve">m beter inzicht te krijgen in het stelsel als geheel, hebben we in de Hervormingsagenda afgesproken een centrale monitor van het jeugdstelsel in te richten. Deze monitor brengt structureel en integraal </w:t>
      </w:r>
      <w:r>
        <w:t xml:space="preserve">informatie over </w:t>
      </w:r>
      <w:r w:rsidRPr="005C6A17">
        <w:t>het functioneren van het jeugdstelsel op de doelen kwaliteit, toegankelijkheid en betaalbaarheid over de jaren heen in beeld.</w:t>
      </w:r>
      <w:r>
        <w:t xml:space="preserve"> We willen immers dat kinderen die dat nodig hebben tijdig passende en kwalitatief goede zorg ontvangen en dat de uitgaven aan jeugdzorg houdbaar zijn. </w:t>
      </w:r>
      <w:r w:rsidRPr="0030558A">
        <w:t xml:space="preserve">In het najaar van dit jaar wordt de eerste monitor </w:t>
      </w:r>
      <w:r>
        <w:t xml:space="preserve">door het CBS </w:t>
      </w:r>
      <w:r w:rsidRPr="0030558A">
        <w:t xml:space="preserve">gepubliceerd. </w:t>
      </w:r>
    </w:p>
    <w:p w:rsidR="00FC24AF" w:rsidP="000C1628" w:rsidRDefault="00FC24AF" w14:paraId="0242A76E" w14:textId="77777777"/>
    <w:p w:rsidR="000C1628" w:rsidP="000C1628" w:rsidRDefault="00B71D60" w14:paraId="319852D2" w14:textId="7A3CE1FD">
      <w:r>
        <w:t>Waar het gaat over hoe gemeenten het doen op verschillende indicatoren en het leren van elkaar geldt dat er</w:t>
      </w:r>
      <w:r w:rsidRPr="005C6A17">
        <w:t xml:space="preserve"> al veel gegevens beschikbaar </w:t>
      </w:r>
      <w:r>
        <w:t xml:space="preserve">zijn </w:t>
      </w:r>
      <w:r w:rsidRPr="005C6A17">
        <w:t>die de verschillen tussen gemeenten inzichtelijk maken.</w:t>
      </w:r>
      <w:r w:rsidRPr="00F24CC8">
        <w:t xml:space="preserve"> </w:t>
      </w:r>
      <w:r w:rsidRPr="0030558A">
        <w:t>Op 30 april zijn de voorlopige cijfers jeugdhulpgebruik, jeugdbescherming en jeugdreclassering van 2025 gepubliceerd.</w:t>
      </w:r>
      <w:r w:rsidRPr="0030558A">
        <w:rPr>
          <w:rStyle w:val="Voetnootmarkering"/>
          <w:bCs/>
        </w:rPr>
        <w:t xml:space="preserve"> </w:t>
      </w:r>
      <w:r>
        <w:rPr>
          <w:rStyle w:val="Voetnootmarkering"/>
          <w:bCs/>
        </w:rPr>
        <w:footnoteReference w:id="16"/>
      </w:r>
      <w:r>
        <w:t xml:space="preserve"> </w:t>
      </w:r>
      <w:r w:rsidRPr="0030558A">
        <w:t xml:space="preserve"> </w:t>
      </w:r>
      <w:bookmarkStart w:name="_Hlk231282632" w:id="3"/>
      <w:r w:rsidRPr="0030558A">
        <w:t xml:space="preserve">Ook heeft het CBS een Dashboard Jeugdzorg met </w:t>
      </w:r>
      <w:r>
        <w:t>cijfers</w:t>
      </w:r>
      <w:r w:rsidRPr="0030558A">
        <w:t xml:space="preserve"> per jeugdregio en gemeente.</w:t>
      </w:r>
      <w:bookmarkEnd w:id="3"/>
      <w:r>
        <w:t xml:space="preserve"> </w:t>
      </w:r>
      <w:r w:rsidRPr="008F3F06">
        <w:t>Hierbij kan gedacht worden aan cijfers over herhaald beroep op jeugdhulp, trajectduur en de in- en uitstroom</w:t>
      </w:r>
      <w:r>
        <w:t>.</w:t>
      </w:r>
      <w:r w:rsidRPr="0030558A">
        <w:rPr>
          <w:rStyle w:val="Voetnootmarkering"/>
        </w:rPr>
        <w:t xml:space="preserve"> </w:t>
      </w:r>
      <w:r>
        <w:rPr>
          <w:rStyle w:val="Voetnootmarkering"/>
        </w:rPr>
        <w:footnoteReference w:id="17"/>
      </w:r>
      <w:r w:rsidRPr="0030558A">
        <w:t xml:space="preserve"> Tot slot heeft het CBS in 2025 modelschattingen jeugdzorggebruik per gemeente op basis van kenmerken van de inwoners</w:t>
      </w:r>
      <w:r>
        <w:t xml:space="preserve"> gemaakt</w:t>
      </w:r>
      <w:r w:rsidRPr="0030558A">
        <w:t xml:space="preserve">. De modelschattingen maken de samenhang tussen achtergrondkenmerken en inzet van jeugdzorg inzichtelijk, en niet oorzaak en </w:t>
      </w:r>
      <w:r w:rsidRPr="0030558A">
        <w:lastRenderedPageBreak/>
        <w:t>gevolg.</w:t>
      </w:r>
      <w:r>
        <w:rPr>
          <w:rStyle w:val="Voetnootmarkering"/>
        </w:rPr>
        <w:footnoteReference w:id="18"/>
      </w:r>
      <w:r w:rsidRPr="0030558A">
        <w:t xml:space="preserve"> Onderdeel van de modelschattingen is een benchmark met als doel om gemeenten en jeugdzorgregio's van elkaar te laten leren</w:t>
      </w:r>
      <w:r>
        <w:t xml:space="preserve"> en het goede gesprek te voeren</w:t>
      </w:r>
      <w:r w:rsidRPr="0030558A">
        <w:t>.</w:t>
      </w:r>
    </w:p>
    <w:p w:rsidR="000C1628" w:rsidP="000C1628" w:rsidRDefault="000C1628" w14:paraId="4B1B8575" w14:textId="77777777"/>
    <w:p w:rsidR="00FC24AF" w:rsidP="000C1628" w:rsidRDefault="00B71D60" w14:paraId="167C15C7" w14:textId="77777777">
      <w:r>
        <w:t>Al d</w:t>
      </w:r>
      <w:r w:rsidRPr="0030558A">
        <w:t>eze publicaties van het CBS geven gemeenten</w:t>
      </w:r>
      <w:r>
        <w:t xml:space="preserve"> en regio’s</w:t>
      </w:r>
      <w:r w:rsidRPr="0030558A">
        <w:t xml:space="preserve"> handvaten om </w:t>
      </w:r>
      <w:r>
        <w:t xml:space="preserve">het gesprek met elkaar te voeren en </w:t>
      </w:r>
      <w:r w:rsidRPr="0030558A">
        <w:t>van elkaar te leren.</w:t>
      </w:r>
      <w:r>
        <w:t xml:space="preserve"> Dit gesprek is ook van belang om het verhaal achter de cijfers scherp te krijgen. </w:t>
      </w:r>
    </w:p>
    <w:p w:rsidR="00127F81" w:rsidP="000C1628" w:rsidRDefault="00127F81" w14:paraId="315C298B" w14:textId="77777777"/>
    <w:p w:rsidR="00127F81" w:rsidP="000C1628" w:rsidRDefault="00B71D60" w14:paraId="37B28074" w14:textId="77777777">
      <w:pPr>
        <w:rPr>
          <w:color w:val="262626" w:themeColor="text1" w:themeTint="D9"/>
        </w:rPr>
      </w:pPr>
      <w:r>
        <w:rPr>
          <w:color w:val="262626" w:themeColor="text1" w:themeTint="D9"/>
        </w:rPr>
        <w:t>De minister van Langdurige Zorg, Jeugd en Sport beschouwt de toezegging hiermee als afgedaan.</w:t>
      </w:r>
    </w:p>
    <w:p w:rsidR="00583598" w:rsidP="000C1628" w:rsidRDefault="00583598" w14:paraId="75AA7CF2" w14:textId="77777777"/>
    <w:p w:rsidR="00583598" w:rsidP="000C1628" w:rsidRDefault="00B71D60" w14:paraId="2888592F" w14:textId="77777777">
      <w:pPr>
        <w:rPr>
          <w:i/>
          <w:iCs/>
        </w:rPr>
      </w:pPr>
      <w:r w:rsidRPr="000C4A40">
        <w:rPr>
          <w:i/>
          <w:iCs/>
        </w:rPr>
        <w:t>Tot slot</w:t>
      </w:r>
    </w:p>
    <w:p w:rsidR="00583598" w:rsidP="000C1628" w:rsidRDefault="00B71D60" w14:paraId="11D230ED" w14:textId="77777777">
      <w:pPr>
        <w:rPr>
          <w:iCs/>
        </w:rPr>
      </w:pPr>
      <w:r w:rsidRPr="000C4A40">
        <w:rPr>
          <w:iCs/>
        </w:rPr>
        <w:t xml:space="preserve">Er ligt een grote opgave om </w:t>
      </w:r>
      <w:r>
        <w:rPr>
          <w:iCs/>
        </w:rPr>
        <w:t xml:space="preserve">de jeugdzorg te </w:t>
      </w:r>
      <w:r w:rsidRPr="000C4A40">
        <w:rPr>
          <w:iCs/>
        </w:rPr>
        <w:t>verbeteren en voor de lange termijn houdbaar te maken</w:t>
      </w:r>
      <w:r>
        <w:rPr>
          <w:iCs/>
        </w:rPr>
        <w:t>. We werken aan het voorkomen van instroom in de jeugdzorg zodat de aandacht en tijd besteed kan worden aan het bieden van passende zorg aan</w:t>
      </w:r>
      <w:r w:rsidR="00B67933">
        <w:rPr>
          <w:iCs/>
        </w:rPr>
        <w:t xml:space="preserve"> kind</w:t>
      </w:r>
      <w:r>
        <w:rPr>
          <w:iCs/>
        </w:rPr>
        <w:t xml:space="preserve">eren. Er wordt onder meer via de Hervormingsagenda met en door de betrokken partijen hard gewerkt aan verschillende maatregelen om hier stappen op te zetten. In het recente debat over de jeugdzorg is hier uitgebreid bij stil gestaan. Dit kabinet zal hier volop mee doorgaan en kijken waar de maatregelen verder versterkt en versneld kunnen worden. Zodat kinderen uiteindelijk minder jeugdzorg nodig hebben, de kwaliteit van de jeugdzorg beter is en de jeugdzorg passend en tijdig beschikbaar </w:t>
      </w:r>
      <w:r w:rsidR="00C92BE2">
        <w:rPr>
          <w:iCs/>
        </w:rPr>
        <w:t xml:space="preserve">is </w:t>
      </w:r>
      <w:r w:rsidRPr="000C4A40">
        <w:rPr>
          <w:iCs/>
        </w:rPr>
        <w:t>voor de kinderen en gezinnen in de meest kwetsbare situatie</w:t>
      </w:r>
      <w:r>
        <w:rPr>
          <w:iCs/>
        </w:rPr>
        <w:t>s.</w:t>
      </w:r>
    </w:p>
    <w:p w:rsidRPr="009A31BF" w:rsidR="00CD5856" w:rsidP="000C1628" w:rsidRDefault="00B71D60" w14:paraId="1F3A24B9" w14:textId="77777777">
      <w:pPr>
        <w:pStyle w:val="Huisstijl-Slotzin"/>
      </w:pPr>
      <w:r>
        <w:t>Hoogachtend,</w:t>
      </w:r>
    </w:p>
    <w:p w:rsidR="00BC481F" w:rsidP="000C1628" w:rsidRDefault="00BC481F" w14:paraId="149F94D7" w14:textId="77777777">
      <w:pPr>
        <w:spacing w:line="240" w:lineRule="auto"/>
        <w:rPr>
          <w:noProof/>
        </w:rPr>
      </w:pPr>
    </w:p>
    <w:p w:rsidRPr="006539F7" w:rsidR="000C1628" w:rsidP="000C1628" w:rsidRDefault="00B71D60" w14:paraId="3A524D8D" w14:textId="469C4E21">
      <w:pPr>
        <w:spacing w:line="240" w:lineRule="auto"/>
        <w:rPr>
          <w:noProof/>
        </w:rPr>
      </w:pPr>
      <w:r>
        <w:t>de minister van Langdurige Zorg,</w:t>
      </w:r>
      <w:r w:rsidRPr="000C1628" w:rsidR="000C1628">
        <w:rPr>
          <w:noProof/>
        </w:rPr>
        <w:t xml:space="preserve"> </w:t>
      </w:r>
      <w:r w:rsidR="000C1628">
        <w:rPr>
          <w:noProof/>
        </w:rPr>
        <w:tab/>
      </w:r>
      <w:r w:rsidR="000C1628">
        <w:rPr>
          <w:noProof/>
        </w:rPr>
        <w:tab/>
        <w:t>d</w:t>
      </w:r>
      <w:r w:rsidRPr="006539F7" w:rsidR="000C1628">
        <w:rPr>
          <w:noProof/>
        </w:rPr>
        <w:t xml:space="preserve">e </w:t>
      </w:r>
      <w:r w:rsidR="000C1628">
        <w:rPr>
          <w:noProof/>
        </w:rPr>
        <w:t>s</w:t>
      </w:r>
      <w:r w:rsidRPr="006539F7" w:rsidR="000C1628">
        <w:rPr>
          <w:noProof/>
        </w:rPr>
        <w:t xml:space="preserve">taatssecretaris van Justitie </w:t>
      </w:r>
      <w:r w:rsidR="000C1628">
        <w:t xml:space="preserve">en </w:t>
      </w:r>
      <w:r w:rsidRPr="006539F7" w:rsidR="000C1628">
        <w:rPr>
          <w:noProof/>
        </w:rPr>
        <w:t>Veiligheid</w:t>
      </w:r>
      <w:r w:rsidR="00BF6654">
        <w:rPr>
          <w:noProof/>
        </w:rPr>
        <w:t>,</w:t>
      </w:r>
    </w:p>
    <w:p w:rsidR="000C1628" w:rsidP="000C1628" w:rsidRDefault="000C1628" w14:paraId="305DBB4B" w14:textId="7630DB87">
      <w:pPr>
        <w:spacing w:line="240" w:lineRule="atLeast"/>
        <w:jc w:val="both"/>
      </w:pPr>
      <w:r>
        <w:t>Jeugd en Sport,</w:t>
      </w:r>
    </w:p>
    <w:p w:rsidR="00C62B6C" w:rsidP="000C1628" w:rsidRDefault="00C62B6C" w14:paraId="491DC875" w14:textId="1E5F038B">
      <w:pPr>
        <w:spacing w:line="240" w:lineRule="atLeast"/>
        <w:jc w:val="both"/>
        <w:rPr>
          <w:szCs w:val="18"/>
        </w:rPr>
      </w:pPr>
    </w:p>
    <w:p w:rsidRPr="007B6A41" w:rsidR="00C62B6C" w:rsidP="000C1628" w:rsidRDefault="00C62B6C" w14:paraId="16A00DDE" w14:textId="77777777">
      <w:pPr>
        <w:spacing w:line="240" w:lineRule="atLeast"/>
        <w:rPr>
          <w:szCs w:val="18"/>
        </w:rPr>
      </w:pPr>
      <w:bookmarkStart w:name="bmkHandtekening" w:id="4"/>
    </w:p>
    <w:bookmarkEnd w:id="4"/>
    <w:p w:rsidR="000C1628" w:rsidP="000C1628" w:rsidRDefault="000C1628" w14:paraId="4156FEBF" w14:textId="77777777">
      <w:pPr>
        <w:spacing w:line="240" w:lineRule="atLeast"/>
      </w:pPr>
    </w:p>
    <w:p w:rsidR="000C1628" w:rsidP="000C1628" w:rsidRDefault="000C1628" w14:paraId="1508DE39" w14:textId="77777777">
      <w:pPr>
        <w:spacing w:line="240" w:lineRule="atLeast"/>
      </w:pPr>
    </w:p>
    <w:p w:rsidRPr="007B6A41" w:rsidR="00C62B6C" w:rsidP="000C1628" w:rsidRDefault="00B71D60" w14:paraId="6FB514D3" w14:textId="532234F1">
      <w:pPr>
        <w:spacing w:line="240" w:lineRule="atLeast"/>
        <w:rPr>
          <w:szCs w:val="18"/>
        </w:rPr>
      </w:pPr>
      <w:r>
        <w:cr/>
      </w:r>
      <w:r>
        <w:cr/>
        <w:t>Mirjam Sterk</w:t>
      </w:r>
      <w:r w:rsidRPr="000C1628" w:rsidR="000C1628">
        <w:rPr>
          <w:noProof/>
        </w:rPr>
        <w:t xml:space="preserve"> </w:t>
      </w:r>
      <w:r w:rsidR="000C1628">
        <w:rPr>
          <w:noProof/>
        </w:rPr>
        <w:tab/>
      </w:r>
      <w:r w:rsidR="000C1628">
        <w:rPr>
          <w:noProof/>
        </w:rPr>
        <w:tab/>
      </w:r>
      <w:r w:rsidR="000C1628">
        <w:rPr>
          <w:noProof/>
        </w:rPr>
        <w:tab/>
      </w:r>
      <w:r w:rsidR="000C1628">
        <w:rPr>
          <w:noProof/>
        </w:rPr>
        <w:tab/>
      </w:r>
      <w:r w:rsidR="000C1628">
        <w:rPr>
          <w:noProof/>
        </w:rPr>
        <w:tab/>
      </w:r>
      <w:r w:rsidR="000C1628">
        <w:rPr>
          <w:noProof/>
        </w:rPr>
        <w:tab/>
      </w:r>
      <w:r w:rsidR="000C1628">
        <w:rPr>
          <w:noProof/>
        </w:rPr>
        <w:tab/>
      </w:r>
      <w:r w:rsidR="000C1628">
        <w:rPr>
          <w:noProof/>
        </w:rPr>
        <w:tab/>
      </w:r>
      <w:r w:rsidR="000C1628">
        <w:rPr>
          <w:noProof/>
        </w:rPr>
        <w:tab/>
      </w:r>
      <w:r w:rsidR="000C1628">
        <w:rPr>
          <w:noProof/>
        </w:rPr>
        <w:tab/>
      </w:r>
      <w:r w:rsidR="000C1628">
        <w:rPr>
          <w:noProof/>
        </w:rPr>
        <w:tab/>
      </w:r>
      <w:r w:rsidR="000C1628">
        <w:rPr>
          <w:noProof/>
        </w:rPr>
        <w:tab/>
        <w:t xml:space="preserve"> </w:t>
      </w:r>
      <w:r w:rsidR="000C1628">
        <w:rPr>
          <w:noProof/>
        </w:rPr>
        <w:tab/>
      </w:r>
      <w:r w:rsidRPr="006539F7" w:rsidR="000C1628">
        <w:rPr>
          <w:noProof/>
        </w:rPr>
        <w:t>Claudia van Bruggen</w:t>
      </w:r>
    </w:p>
    <w:p w:rsidR="00C95CA9" w:rsidP="000C1628" w:rsidRDefault="00C95CA9" w14:paraId="10ECE8DA" w14:textId="77777777">
      <w:pPr>
        <w:spacing w:line="240" w:lineRule="auto"/>
        <w:rPr>
          <w:noProof/>
        </w:rPr>
      </w:pPr>
    </w:p>
    <w:p w:rsidR="00235AED" w:rsidP="000C1628" w:rsidRDefault="00235AED" w14:paraId="6BADB2F5" w14:textId="77777777">
      <w:pPr>
        <w:spacing w:line="240" w:lineRule="auto"/>
        <w:rPr>
          <w:noProof/>
        </w:rPr>
      </w:pPr>
    </w:p>
    <w:p w:rsidR="006B057B" w:rsidP="000C1628" w:rsidRDefault="006B057B" w14:paraId="01B750F3" w14:textId="77777777">
      <w:pPr>
        <w:spacing w:line="240" w:lineRule="auto"/>
        <w:rPr>
          <w:noProof/>
        </w:rPr>
      </w:pPr>
    </w:p>
    <w:p w:rsidR="006539F7" w:rsidP="000C1628" w:rsidRDefault="006539F7" w14:paraId="2774FDF5" w14:textId="77777777">
      <w:pPr>
        <w:spacing w:line="240" w:lineRule="auto"/>
        <w:rPr>
          <w:noProof/>
        </w:rPr>
      </w:pPr>
    </w:p>
    <w:p w:rsidR="006539F7" w:rsidP="000C1628" w:rsidRDefault="006539F7" w14:paraId="4E3F787E" w14:textId="77777777">
      <w:pPr>
        <w:spacing w:line="240" w:lineRule="auto"/>
        <w:rPr>
          <w:noProof/>
        </w:rPr>
      </w:pPr>
    </w:p>
    <w:p w:rsidR="006539F7" w:rsidP="000C1628" w:rsidRDefault="006539F7" w14:paraId="73FE6777" w14:textId="77777777">
      <w:pPr>
        <w:spacing w:line="240" w:lineRule="auto"/>
        <w:rPr>
          <w:noProof/>
        </w:rPr>
      </w:pPr>
    </w:p>
    <w:p w:rsidR="006539F7" w:rsidP="000C1628" w:rsidRDefault="006539F7" w14:paraId="01D43D71" w14:textId="77777777">
      <w:pPr>
        <w:spacing w:line="240" w:lineRule="auto"/>
        <w:rPr>
          <w:noProof/>
        </w:rPr>
      </w:pPr>
    </w:p>
    <w:p w:rsidRPr="006539F7" w:rsidR="006539F7" w:rsidP="000C1628" w:rsidRDefault="006539F7" w14:paraId="4645B93E" w14:textId="58A800BC">
      <w:pPr>
        <w:spacing w:line="240" w:lineRule="auto"/>
        <w:rPr>
          <w:noProof/>
        </w:rPr>
      </w:pPr>
    </w:p>
    <w:p w:rsidR="006B057B" w:rsidP="000C1628" w:rsidRDefault="00B71D60" w14:paraId="7BE06B45" w14:textId="77777777">
      <w:pPr>
        <w:spacing w:line="240" w:lineRule="auto"/>
        <w:rPr>
          <w:noProof/>
        </w:rPr>
      </w:pPr>
      <w:r>
        <w:rPr>
          <w:noProof/>
        </w:rPr>
        <w:br w:type="page"/>
      </w:r>
    </w:p>
    <w:p w:rsidR="006B057B" w:rsidP="000C1628" w:rsidRDefault="00B71D60" w14:paraId="6B802E8C" w14:textId="77777777">
      <w:pPr>
        <w:spacing w:line="240" w:lineRule="auto"/>
        <w:rPr>
          <w:b/>
          <w:bCs/>
        </w:rPr>
      </w:pPr>
      <w:r>
        <w:rPr>
          <w:b/>
          <w:bCs/>
        </w:rPr>
        <w:lastRenderedPageBreak/>
        <w:t>Bijlage</w:t>
      </w:r>
      <w:r w:rsidR="00CE6A12">
        <w:rPr>
          <w:b/>
          <w:bCs/>
        </w:rPr>
        <w:t xml:space="preserve"> -</w:t>
      </w:r>
      <w:r>
        <w:rPr>
          <w:b/>
          <w:bCs/>
        </w:rPr>
        <w:t xml:space="preserve"> </w:t>
      </w:r>
      <w:r w:rsidR="00CE6A12">
        <w:rPr>
          <w:b/>
          <w:bCs/>
        </w:rPr>
        <w:t>A</w:t>
      </w:r>
      <w:r>
        <w:rPr>
          <w:b/>
          <w:bCs/>
        </w:rPr>
        <w:t>anbieding rapporten</w:t>
      </w:r>
    </w:p>
    <w:p w:rsidR="006B057B" w:rsidP="000C1628" w:rsidRDefault="006B057B" w14:paraId="2F86B40F" w14:textId="77777777">
      <w:pPr>
        <w:rPr>
          <w:b/>
          <w:bCs/>
        </w:rPr>
      </w:pPr>
    </w:p>
    <w:p w:rsidR="006B057B" w:rsidP="000C1628" w:rsidRDefault="006B057B" w14:paraId="5DB67F62" w14:textId="77777777">
      <w:pPr>
        <w:rPr>
          <w:b/>
          <w:bCs/>
        </w:rPr>
      </w:pPr>
    </w:p>
    <w:p w:rsidRPr="00B95BFC" w:rsidR="006B057B" w:rsidP="000C1628" w:rsidRDefault="00B71D60" w14:paraId="3D41CDEF" w14:textId="77777777">
      <w:pPr>
        <w:rPr>
          <w:b/>
          <w:bCs/>
        </w:rPr>
      </w:pPr>
      <w:r>
        <w:rPr>
          <w:b/>
          <w:bCs/>
        </w:rPr>
        <w:t xml:space="preserve">Rapportage Jeugdhulp 2025 &amp; Rapportage </w:t>
      </w:r>
      <w:r w:rsidRPr="00B95BFC">
        <w:rPr>
          <w:b/>
          <w:bCs/>
        </w:rPr>
        <w:t>Jeugdbescherming en</w:t>
      </w:r>
    </w:p>
    <w:p w:rsidR="006B057B" w:rsidP="000C1628" w:rsidRDefault="00B71D60" w14:paraId="208622EB" w14:textId="77777777">
      <w:pPr>
        <w:rPr>
          <w:b/>
          <w:bCs/>
        </w:rPr>
      </w:pPr>
      <w:r>
        <w:rPr>
          <w:b/>
          <w:bCs/>
        </w:rPr>
        <w:t>J</w:t>
      </w:r>
      <w:r w:rsidRPr="00B95BFC">
        <w:rPr>
          <w:b/>
          <w:bCs/>
        </w:rPr>
        <w:t xml:space="preserve">eugdreclassering 2025 </w:t>
      </w:r>
      <w:r>
        <w:rPr>
          <w:b/>
          <w:bCs/>
        </w:rPr>
        <w:t>(CBS)</w:t>
      </w:r>
    </w:p>
    <w:p w:rsidRPr="006C4B7C" w:rsidR="006B057B" w:rsidP="000C1628" w:rsidRDefault="006B057B" w14:paraId="54F643B9" w14:textId="77777777">
      <w:pPr>
        <w:rPr>
          <w:b/>
          <w:bCs/>
        </w:rPr>
      </w:pPr>
    </w:p>
    <w:p w:rsidR="006B057B" w:rsidP="000C1628" w:rsidRDefault="00B71D60" w14:paraId="0690EC73" w14:textId="77777777">
      <w:r w:rsidRPr="006C4B7C">
        <w:t>Bijgevoegd bij deze brief ontvangt u de voorlopige CBS-cijfers jeugdzorggebruik 202</w:t>
      </w:r>
      <w:r>
        <w:t>5.</w:t>
      </w:r>
    </w:p>
    <w:p w:rsidR="006B057B" w:rsidP="000C1628" w:rsidRDefault="00B71D60" w14:paraId="00CB9BE6" w14:textId="77777777">
      <w:pPr>
        <w:pStyle w:val="Lijstalinea"/>
        <w:numPr>
          <w:ilvl w:val="0"/>
          <w:numId w:val="2"/>
        </w:numPr>
        <w:suppressAutoHyphens/>
        <w:autoSpaceDN/>
        <w:spacing w:after="160" w:line="259" w:lineRule="auto"/>
        <w:textAlignment w:val="auto"/>
      </w:pPr>
      <w:r>
        <w:t>Na een jarenlange toename in het aantal jongeren met jeugdhulp in de leeftijd van 0 tot 23 jaar lijkt er nu voor het eerst sprake te zijn van een afname. V</w:t>
      </w:r>
      <w:r w:rsidRPr="006C4B7C">
        <w:t xml:space="preserve">olgens de </w:t>
      </w:r>
      <w:r w:rsidRPr="0003297A">
        <w:rPr>
          <w:u w:val="single"/>
        </w:rPr>
        <w:t>voorlopige</w:t>
      </w:r>
      <w:r w:rsidRPr="006C4B7C">
        <w:t xml:space="preserve"> cijfers van het CBS </w:t>
      </w:r>
      <w:r>
        <w:t>ontving 11% van de jongeren tot 23 jaar jeugd</w:t>
      </w:r>
      <w:r w:rsidRPr="00D008C4">
        <w:rPr>
          <w:u w:val="single"/>
        </w:rPr>
        <w:t>hulp</w:t>
      </w:r>
      <w:r>
        <w:t xml:space="preserve"> in natura in 2025</w:t>
      </w:r>
      <w:r>
        <w:rPr>
          <w:rStyle w:val="Voetnootmarkering"/>
        </w:rPr>
        <w:footnoteReference w:id="19"/>
      </w:r>
      <w:r>
        <w:t xml:space="preserve">. Dat zijn 465.265 jongeren (voorlopige cijfers) t.o.v. </w:t>
      </w:r>
      <w:r w:rsidRPr="00DC1257">
        <w:t>478</w:t>
      </w:r>
      <w:r>
        <w:t>.</w:t>
      </w:r>
      <w:r w:rsidRPr="00DC1257">
        <w:t>655</w:t>
      </w:r>
      <w:r>
        <w:t xml:space="preserve"> jongeren (definitieve cijfers) in 2024. In</w:t>
      </w:r>
      <w:r w:rsidRPr="003C70B1">
        <w:t xml:space="preserve"> de definitieve</w:t>
      </w:r>
      <w:r>
        <w:t xml:space="preserve"> </w:t>
      </w:r>
      <w:r w:rsidRPr="003C70B1">
        <w:t>cijfers</w:t>
      </w:r>
      <w:r>
        <w:t xml:space="preserve"> van 2025</w:t>
      </w:r>
      <w:r w:rsidRPr="003C70B1">
        <w:t xml:space="preserve"> wordt </w:t>
      </w:r>
      <w:r>
        <w:t xml:space="preserve">door CBS </w:t>
      </w:r>
      <w:r w:rsidRPr="003C70B1">
        <w:t xml:space="preserve">een daling </w:t>
      </w:r>
      <w:r>
        <w:t xml:space="preserve">verwacht </w:t>
      </w:r>
      <w:r w:rsidRPr="003C70B1">
        <w:t>van 0,8</w:t>
      </w:r>
      <w:r>
        <w:t xml:space="preserve"> procent </w:t>
      </w:r>
      <w:r w:rsidRPr="003C70B1">
        <w:t xml:space="preserve">(ongeveer 3.665 jongeren minder) </w:t>
      </w:r>
      <w:r>
        <w:t>t.o.v. 2024</w:t>
      </w:r>
      <w:r w:rsidRPr="003C70B1">
        <w:t>.</w:t>
      </w:r>
      <w:r>
        <w:t xml:space="preserve"> Ook het verwachte definitieve aantal jeugdhulptrajecten komt voor 2025 bijna 2 procent lager uit dan het definitieve cijfer over 2024.</w:t>
      </w:r>
    </w:p>
    <w:p w:rsidR="006B057B" w:rsidP="000C1628" w:rsidRDefault="00B71D60" w14:paraId="1E2868CD" w14:textId="77777777">
      <w:pPr>
        <w:pStyle w:val="Lijstalinea"/>
        <w:numPr>
          <w:ilvl w:val="0"/>
          <w:numId w:val="2"/>
        </w:numPr>
        <w:suppressAutoHyphens/>
        <w:autoSpaceDN/>
        <w:spacing w:after="160" w:line="259" w:lineRule="auto"/>
        <w:textAlignment w:val="auto"/>
      </w:pPr>
      <w:r w:rsidRPr="006C4B7C">
        <w:t xml:space="preserve">Net als in voorgaande jaren was jeugdhulp </w:t>
      </w:r>
      <w:r w:rsidRPr="00936135">
        <w:rPr>
          <w:i/>
          <w:iCs/>
        </w:rPr>
        <w:t>zonder</w:t>
      </w:r>
      <w:r w:rsidRPr="006C4B7C">
        <w:t xml:space="preserve"> verblijf de meest gebruikte vorm van jeugdzorg; </w:t>
      </w:r>
      <w:r>
        <w:t xml:space="preserve">hier maakte </w:t>
      </w:r>
      <w:r w:rsidRPr="0050335A">
        <w:t>96%</w:t>
      </w:r>
      <w:r>
        <w:t xml:space="preserve"> van de jongeren met jeugdhulp gebruik van. Verder maakte 3,5% van de jongeren met jeugdhulp gebruik van alléén jeugdhulp </w:t>
      </w:r>
      <w:r w:rsidRPr="00CB6EEF">
        <w:rPr>
          <w:i/>
          <w:iCs/>
        </w:rPr>
        <w:t>met</w:t>
      </w:r>
      <w:r>
        <w:t xml:space="preserve"> verblijf </w:t>
      </w:r>
      <w:r w:rsidRPr="00CC3838">
        <w:t>(t</w:t>
      </w:r>
      <w:r>
        <w:t xml:space="preserve">en opzichte </w:t>
      </w:r>
      <w:r w:rsidRPr="002F6527">
        <w:t xml:space="preserve">van 3,6 % in 2024), 4,9% van beide vormen (jeugdhulp </w:t>
      </w:r>
      <w:r w:rsidRPr="002F6527">
        <w:rPr>
          <w:i/>
          <w:iCs/>
        </w:rPr>
        <w:t>met</w:t>
      </w:r>
      <w:r w:rsidRPr="002F6527">
        <w:t xml:space="preserve"> én </w:t>
      </w:r>
      <w:r w:rsidRPr="002F6527">
        <w:rPr>
          <w:i/>
          <w:iCs/>
        </w:rPr>
        <w:t>zonder</w:t>
      </w:r>
      <w:r w:rsidRPr="002F6527">
        <w:t xml:space="preserve"> verblijf) ten opzichte van 5,2% in 2024, en 91,6% van alléén jeugdhulp </w:t>
      </w:r>
      <w:r w:rsidRPr="002F6527">
        <w:rPr>
          <w:i/>
          <w:iCs/>
        </w:rPr>
        <w:t>zonder</w:t>
      </w:r>
      <w:r w:rsidRPr="002F6527">
        <w:t xml:space="preserve"> verblijf (ten opzichte van 91,2% in 2024</w:t>
      </w:r>
      <w:r w:rsidRPr="00140D89">
        <w:t>)</w:t>
      </w:r>
      <w:r>
        <w:t>.</w:t>
      </w:r>
    </w:p>
    <w:p w:rsidR="006B057B" w:rsidP="000C1628" w:rsidRDefault="00B71D60" w14:paraId="0F493454" w14:textId="77777777">
      <w:pPr>
        <w:pStyle w:val="Lijstalinea"/>
        <w:numPr>
          <w:ilvl w:val="0"/>
          <w:numId w:val="2"/>
        </w:numPr>
        <w:suppressAutoHyphens/>
        <w:autoSpaceDN/>
        <w:spacing w:after="160" w:line="259" w:lineRule="auto"/>
        <w:textAlignment w:val="auto"/>
      </w:pPr>
      <w:r w:rsidRPr="00820E9A">
        <w:t>De daling van het aantal jongeren in de jeugdbescherming (OTS en voogdij) zet door, van 26.</w:t>
      </w:r>
      <w:r>
        <w:t>160</w:t>
      </w:r>
      <w:r w:rsidRPr="00820E9A">
        <w:t xml:space="preserve"> op peildatum 3</w:t>
      </w:r>
      <w:r>
        <w:t>1</w:t>
      </w:r>
      <w:r w:rsidRPr="00820E9A">
        <w:t xml:space="preserve"> </w:t>
      </w:r>
      <w:r>
        <w:t>dec</w:t>
      </w:r>
      <w:r w:rsidRPr="00820E9A">
        <w:t xml:space="preserve"> 202</w:t>
      </w:r>
      <w:r>
        <w:t>4</w:t>
      </w:r>
      <w:r w:rsidRPr="00820E9A">
        <w:t xml:space="preserve"> naar 25.</w:t>
      </w:r>
      <w:r>
        <w:t>415</w:t>
      </w:r>
      <w:r w:rsidRPr="00820E9A">
        <w:t xml:space="preserve"> jongeren op peildatum </w:t>
      </w:r>
      <w:r>
        <w:t>31</w:t>
      </w:r>
      <w:r w:rsidRPr="00820E9A">
        <w:t xml:space="preserve"> </w:t>
      </w:r>
      <w:r>
        <w:t>dec</w:t>
      </w:r>
      <w:r w:rsidRPr="00820E9A">
        <w:t xml:space="preserve"> 2025 (voorlopige cijfers)</w:t>
      </w:r>
      <w:r w:rsidRPr="004D3A99">
        <w:rPr>
          <w:vertAlign w:val="superscript"/>
        </w:rPr>
        <w:t xml:space="preserve"> </w:t>
      </w:r>
      <w:r>
        <w:rPr>
          <w:vertAlign w:val="superscript"/>
        </w:rPr>
        <w:footnoteReference w:id="20"/>
      </w:r>
      <w:r w:rsidRPr="00820E9A">
        <w:t xml:space="preserve">; een daling van </w:t>
      </w:r>
      <w:r>
        <w:t>2</w:t>
      </w:r>
      <w:r w:rsidRPr="00820E9A">
        <w:t>,</w:t>
      </w:r>
      <w:r>
        <w:t>8</w:t>
      </w:r>
      <w:r w:rsidRPr="00820E9A">
        <w:t>%.</w:t>
      </w:r>
    </w:p>
    <w:p w:rsidR="006B057B" w:rsidP="000C1628" w:rsidRDefault="00B71D60" w14:paraId="06692DCF" w14:textId="77777777">
      <w:pPr>
        <w:pStyle w:val="Lijstalinea"/>
        <w:numPr>
          <w:ilvl w:val="0"/>
          <w:numId w:val="2"/>
        </w:numPr>
        <w:suppressAutoHyphens/>
        <w:autoSpaceDN/>
        <w:spacing w:after="160" w:line="259" w:lineRule="auto"/>
        <w:textAlignment w:val="auto"/>
      </w:pPr>
      <w:r w:rsidRPr="00820E9A">
        <w:t xml:space="preserve">Na </w:t>
      </w:r>
      <w:r>
        <w:t>een</w:t>
      </w:r>
      <w:r w:rsidRPr="00820E9A">
        <w:t xml:space="preserve"> daling van het aantal jongeren met een jeugdreclasseringsmaatregel in de periode tot </w:t>
      </w:r>
      <w:r>
        <w:t xml:space="preserve">eind </w:t>
      </w:r>
      <w:r w:rsidRPr="00820E9A">
        <w:t>202</w:t>
      </w:r>
      <w:r>
        <w:t>2</w:t>
      </w:r>
      <w:r w:rsidRPr="00820E9A">
        <w:t>, neemt het aantal jongeren sinds 202</w:t>
      </w:r>
      <w:r>
        <w:t>3</w:t>
      </w:r>
      <w:r w:rsidRPr="00820E9A">
        <w:t xml:space="preserve"> weer </w:t>
      </w:r>
      <w:r>
        <w:t xml:space="preserve">licht </w:t>
      </w:r>
      <w:r w:rsidRPr="00820E9A">
        <w:t>toe. Op de peildatum 3</w:t>
      </w:r>
      <w:r>
        <w:t>1</w:t>
      </w:r>
      <w:r w:rsidRPr="00820E9A">
        <w:t xml:space="preserve"> </w:t>
      </w:r>
      <w:r>
        <w:t>dec</w:t>
      </w:r>
      <w:r w:rsidRPr="00820E9A">
        <w:t xml:space="preserve"> 2025 hadden 5.8</w:t>
      </w:r>
      <w:r>
        <w:t>70</w:t>
      </w:r>
      <w:r w:rsidRPr="00820E9A">
        <w:t xml:space="preserve"> jongeren (voorlopige cijfers) een jeugdreclasseringsmaatregel. Op 3</w:t>
      </w:r>
      <w:r>
        <w:t>1</w:t>
      </w:r>
      <w:r w:rsidRPr="00820E9A">
        <w:t xml:space="preserve"> </w:t>
      </w:r>
      <w:r>
        <w:t>dec</w:t>
      </w:r>
      <w:r w:rsidRPr="00820E9A">
        <w:t xml:space="preserve"> 2024 </w:t>
      </w:r>
      <w:r>
        <w:t xml:space="preserve">waren dat </w:t>
      </w:r>
      <w:r w:rsidRPr="00820E9A">
        <w:t>5.</w:t>
      </w:r>
      <w:r>
        <w:t>740</w:t>
      </w:r>
      <w:r w:rsidRPr="00820E9A">
        <w:t xml:space="preserve"> jongeren (definitieve cijfers)</w:t>
      </w:r>
      <w:r>
        <w:rPr>
          <w:rStyle w:val="Voetnootmarkering"/>
        </w:rPr>
        <w:footnoteReference w:id="21"/>
      </w:r>
      <w:r w:rsidRPr="00820E9A">
        <w:t xml:space="preserve">.  </w:t>
      </w:r>
      <w:r>
        <w:t>Een stijging van 2,3%.  De stijging is wel afgenomen t.o.v. 2024 (10,4%).</w:t>
      </w:r>
    </w:p>
    <w:p w:rsidR="006B057B" w:rsidP="000C1628" w:rsidRDefault="00B71D60" w14:paraId="0C0F0B46" w14:textId="77777777">
      <w:pPr>
        <w:pStyle w:val="Lijstalinea"/>
        <w:numPr>
          <w:ilvl w:val="0"/>
          <w:numId w:val="2"/>
        </w:numPr>
        <w:suppressAutoHyphens/>
        <w:autoSpaceDN/>
        <w:spacing w:after="160" w:line="259" w:lineRule="auto"/>
        <w:textAlignment w:val="auto"/>
      </w:pPr>
      <w:r>
        <w:t>Gebruik van j</w:t>
      </w:r>
      <w:r w:rsidRPr="006C4B7C">
        <w:t>eugdzorg (zowel jeugdhulp als jeugdbescherming en jeugdreclassering) hangt samen met kenmerken van ouders en huishouden</w:t>
      </w:r>
      <w:r>
        <w:t xml:space="preserve">. In vergelijking met </w:t>
      </w:r>
      <w:r w:rsidRPr="006C4B7C">
        <w:t>alle kinderen in Nederland</w:t>
      </w:r>
      <w:r>
        <w:t xml:space="preserve"> woont</w:t>
      </w:r>
      <w:r w:rsidRPr="006C4B7C">
        <w:t xml:space="preserve"> onder jongeren met jeugdhulp een lager percentage van de ouders op hetzelfde adres, is het aandeel </w:t>
      </w:r>
      <w:proofErr w:type="spellStart"/>
      <w:r w:rsidRPr="006C4B7C">
        <w:t>W</w:t>
      </w:r>
      <w:r>
        <w:t>mo</w:t>
      </w:r>
      <w:proofErr w:type="spellEnd"/>
      <w:r w:rsidRPr="006C4B7C">
        <w:t xml:space="preserve"> en/of GGZ </w:t>
      </w:r>
      <w:r>
        <w:t xml:space="preserve">in </w:t>
      </w:r>
      <w:r w:rsidRPr="006C4B7C">
        <w:t>huishoudens hoger en is het aandeel huishoudens met iemand die als verdachte van een misdrijf is aangemerkt</w:t>
      </w:r>
      <w:r>
        <w:t xml:space="preserve"> hoger.</w:t>
      </w:r>
      <w:r w:rsidRPr="006C4B7C">
        <w:t xml:space="preserve"> Onder alle jongeren in de leeftijd van 0 t/m 22 jaar zijn de hoogste percentages jongeren met jeugdhulp gemeten binnen de 20% laagste huishoudinkomens. </w:t>
      </w:r>
    </w:p>
    <w:p w:rsidR="006B057B" w:rsidP="000C1628" w:rsidRDefault="00B71D60" w14:paraId="38302694" w14:textId="77777777">
      <w:pPr>
        <w:ind w:left="360"/>
      </w:pPr>
      <w:r w:rsidRPr="006C4B7C">
        <w:lastRenderedPageBreak/>
        <w:t>Meer cijfers over andere ontwikkelingen binnen de jeugdzorg vindt u in de bijgevoegde rapporte</w:t>
      </w:r>
      <w:r>
        <w:t>n.</w:t>
      </w:r>
    </w:p>
    <w:p w:rsidRPr="00D0087A" w:rsidR="006B057B" w:rsidP="000C1628" w:rsidRDefault="006B057B" w14:paraId="2BE1F29B" w14:textId="77777777">
      <w:pPr>
        <w:rPr>
          <w:i/>
          <w:iCs/>
        </w:rPr>
      </w:pPr>
    </w:p>
    <w:p w:rsidRPr="008620DD" w:rsidR="006B057B" w:rsidP="000C1628" w:rsidRDefault="00B71D60" w14:paraId="1624F9F4" w14:textId="77777777">
      <w:pPr>
        <w:rPr>
          <w:b/>
          <w:bCs/>
        </w:rPr>
      </w:pPr>
      <w:r w:rsidRPr="00D0087A">
        <w:rPr>
          <w:b/>
          <w:bCs/>
        </w:rPr>
        <w:t>Naar een visie op ondersteuning van kwetsbare gezinnen (</w:t>
      </w:r>
      <w:r>
        <w:rPr>
          <w:b/>
          <w:bCs/>
        </w:rPr>
        <w:t>Bureau EMMA</w:t>
      </w:r>
      <w:r w:rsidRPr="00D0087A">
        <w:rPr>
          <w:b/>
          <w:bCs/>
        </w:rPr>
        <w:t>)</w:t>
      </w:r>
    </w:p>
    <w:p w:rsidRPr="00CD0EDA" w:rsidR="006B057B" w:rsidP="000C1628" w:rsidRDefault="00B71D60" w14:paraId="2395D0B9" w14:textId="77777777">
      <w:r w:rsidRPr="005E543E">
        <w:t xml:space="preserve">Het kabinet wil dat </w:t>
      </w:r>
      <w:r>
        <w:t xml:space="preserve">alle </w:t>
      </w:r>
      <w:r w:rsidRPr="005E543E">
        <w:t>kinderen in Nederland gezond, veilig en veerkrachtig opgro</w:t>
      </w:r>
      <w:r>
        <w:t>eien. Het gezin is hiervoor een belangrijke basis. Ruim 92.000 kinderen groeien echter op in armoede</w:t>
      </w:r>
      <w:r>
        <w:rPr>
          <w:rStyle w:val="Voetnootmarkering"/>
        </w:rPr>
        <w:footnoteReference w:id="22"/>
      </w:r>
      <w:r>
        <w:t xml:space="preserve">. Vaak spelen in de gezinnen van deze kinderen ook andere problemen, </w:t>
      </w:r>
      <w:r w:rsidRPr="00814A2A">
        <w:t>zoals werkloosheid, slechte huisvesting, opvoedproblemen of gezondheidsproblemen. Deze problemen hangen met elkaar samen en versterken elkaar</w:t>
      </w:r>
      <w:r>
        <w:t xml:space="preserve">. Om te komen tot daadwerkelijke oplossingen werken de ministeries van VWS, SZW, OCW, BZK en </w:t>
      </w:r>
      <w:proofErr w:type="spellStart"/>
      <w:r>
        <w:t>JenV</w:t>
      </w:r>
      <w:proofErr w:type="spellEnd"/>
      <w:r>
        <w:t xml:space="preserve"> aan </w:t>
      </w:r>
      <w:r w:rsidRPr="00814A2A">
        <w:t xml:space="preserve">een brede aanpak voor het versterken van de </w:t>
      </w:r>
      <w:r>
        <w:t xml:space="preserve">integrale en preventieve </w:t>
      </w:r>
      <w:r w:rsidRPr="00814A2A">
        <w:t xml:space="preserve">ondersteuning </w:t>
      </w:r>
      <w:r>
        <w:t xml:space="preserve">aan deze gezinnen. De aanpak is onderdeel van de Sociale Agenda Nederland. Om tot de aanpak te komen heeft Bureau EMMA gesprekken gefaciliteerd met </w:t>
      </w:r>
      <w:r w:rsidRPr="009919E8">
        <w:t>gemeenten</w:t>
      </w:r>
      <w:r>
        <w:t xml:space="preserve">, </w:t>
      </w:r>
      <w:r w:rsidRPr="009919E8">
        <w:t xml:space="preserve">experts, </w:t>
      </w:r>
      <w:r>
        <w:t>maatschappelijk middenveld</w:t>
      </w:r>
      <w:r w:rsidRPr="009919E8">
        <w:t xml:space="preserve"> en ervaringsdeskundigen</w:t>
      </w:r>
      <w:r>
        <w:t xml:space="preserve">. In deze gesprekken is gewerkt aan een breed gedragen visie op de ondersteuning van gezinnen in een kwetsbare positie. Ook zijn knelpunten geïdentificeerd en oplossingsrichtingen geformuleerd die kunnen bijdragen aan het realiseren van een samenhangend ondersteuningsaanbod voor </w:t>
      </w:r>
      <w:r w:rsidRPr="00F33742">
        <w:t>gezinnen (zie bijlage). Hieruit</w:t>
      </w:r>
      <w:r w:rsidRPr="00CD0EDA">
        <w:t xml:space="preserve"> blijkt dat er veel kennis is en diverse goedwerkende initiatieven bestaan, maar dat leren van elkaar en daadwerkelijk </w:t>
      </w:r>
      <w:proofErr w:type="spellStart"/>
      <w:r w:rsidRPr="00CD0EDA">
        <w:t>domeinoverstijgend</w:t>
      </w:r>
      <w:proofErr w:type="spellEnd"/>
      <w:r w:rsidRPr="00CD0EDA">
        <w:t xml:space="preserve"> denken en werken in de praktijk nog moeizaam van de grond komt. </w:t>
      </w:r>
    </w:p>
    <w:p w:rsidR="006B057B" w:rsidP="000C1628" w:rsidRDefault="006B057B" w14:paraId="4574FCD5" w14:textId="77777777"/>
    <w:p w:rsidR="006B057B" w:rsidP="000C1628" w:rsidRDefault="00B71D60" w14:paraId="341456FD" w14:textId="77777777">
      <w:r w:rsidRPr="00CD0EDA">
        <w:t>De betrokken partijen signaleren op allerlei niveaus knelpunten, die van variëren van landelijke wetgeving tot deskundigheid van professionals. Een belangrijke factor is dat de nodige samenwerking op lokaal niveau niet voldoende tot stand komt om daadwerkelijk preventief en integraal te werken vanuit  het perspectief van het gezin. Er zijn patronen in organisaties in de aansturing, cultuur en samenwerking die professionals belemmeren om te doen wat nodig is voor deze gezinnen en de interventies die in theorie werken ook daadwerkelijk effectief te laten zijn.</w:t>
      </w:r>
      <w:r>
        <w:t xml:space="preserve"> De komende jaren willen de ministeries van VWS, SZW, OCW, BZK en </w:t>
      </w:r>
      <w:proofErr w:type="spellStart"/>
      <w:r>
        <w:t>JenV</w:t>
      </w:r>
      <w:proofErr w:type="spellEnd"/>
      <w:r>
        <w:t xml:space="preserve"> specifiek hierop inzetten. Dit wordt gedaan door te starten met een </w:t>
      </w:r>
      <w:proofErr w:type="spellStart"/>
      <w:r>
        <w:t>praktijklab</w:t>
      </w:r>
      <w:proofErr w:type="spellEnd"/>
      <w:r>
        <w:t xml:space="preserve">, waarin zes tot acht gemeenten gezamenlijk leren en lokaal aan de slag gaan om belemmerende patronen in de samenwerking en cultuur te doorbreken. Gemeenten worden ondersteund om deze verandering te realiseren. De intentie is dat de lessen uit het </w:t>
      </w:r>
      <w:proofErr w:type="spellStart"/>
      <w:r>
        <w:t>praktijklab</w:t>
      </w:r>
      <w:proofErr w:type="spellEnd"/>
      <w:r>
        <w:t xml:space="preserve"> gebruikt kunnen worden voor toepassing in een groter aantal gemeenten. Hierbij is nadrukkelijk aandacht voor de aansluiting met andere lopende initiatieven, zoals het de implementatie van het convenant Stevige Lokale Teams, het </w:t>
      </w:r>
      <w:proofErr w:type="spellStart"/>
      <w:r>
        <w:t>Toekomstcenario</w:t>
      </w:r>
      <w:proofErr w:type="spellEnd"/>
      <w:r>
        <w:t xml:space="preserve"> Kind- en Gezinsbescherming en Kansrijke Start. </w:t>
      </w:r>
      <w:r w:rsidRPr="00F33742">
        <w:t>Hiermee geven wij invulling aan de motie Stoffer c.s.</w:t>
      </w:r>
      <w:r>
        <w:t xml:space="preserve"> </w:t>
      </w:r>
      <w:r w:rsidRPr="00F33742">
        <w:t>over een voorstel voor een samenhangende jeugd- en gezinsaanpak</w:t>
      </w:r>
      <w:r>
        <w:rPr>
          <w:rStyle w:val="Voetnootmarkering"/>
        </w:rPr>
        <w:footnoteReference w:id="23"/>
      </w:r>
      <w:r>
        <w:t xml:space="preserve"> </w:t>
      </w:r>
    </w:p>
    <w:p w:rsidR="006B057B" w:rsidP="000C1628" w:rsidRDefault="006B057B" w14:paraId="0B59F910" w14:textId="77777777"/>
    <w:p w:rsidRPr="008620DD" w:rsidR="006B057B" w:rsidP="000C1628" w:rsidRDefault="00B71D60" w14:paraId="4922B14F" w14:textId="77777777">
      <w:pPr>
        <w:rPr>
          <w:b/>
          <w:bCs/>
        </w:rPr>
      </w:pPr>
      <w:r w:rsidRPr="007C5C96">
        <w:rPr>
          <w:b/>
          <w:bCs/>
        </w:rPr>
        <w:t>Eindrapport Behoeften Logeer- en Respijtzorg</w:t>
      </w:r>
      <w:r>
        <w:rPr>
          <w:b/>
          <w:bCs/>
        </w:rPr>
        <w:t xml:space="preserve"> </w:t>
      </w:r>
      <w:r w:rsidRPr="007C5C96">
        <w:rPr>
          <w:b/>
          <w:bCs/>
        </w:rPr>
        <w:t>(Sociaal ontwerpbureau Snijboon)</w:t>
      </w:r>
    </w:p>
    <w:p w:rsidR="006B057B" w:rsidP="000C1628" w:rsidRDefault="00B71D60" w14:paraId="52F8ECD4" w14:textId="77777777">
      <w:r>
        <w:t xml:space="preserve">Het afgelopen half jaar heeft het sociaal ontwerpbureau Snijboon in het kader van de werkagenda VN-verdrag Handicap onderzoek gedaan naar de behoeften naar en knelpunten in het aanbod logeer- en respijtzorg en mogelijke oplossingsrichtingen. Dit traject heeft, in samenwerking met mantelzorgers, aanbieders van logeerzorg en veldpartijen, een prototype opgeleverd (zie bijlage), dat de basis kan vormen voor een digitale gids voor het opzetten van kleinschalige </w:t>
      </w:r>
      <w:r>
        <w:lastRenderedPageBreak/>
        <w:t>logeer- of respijtvoorzieningen. De gids leidt potentiële nieuwe aanbieders van logeer- en respijtzorg als een routeplanner door alle zaken die moeten worden afgewogen, afgestemd en georganiseerd om een dergelijke voorziening te realiseren. Het prototype biedt kansen om nieuw aanbod te stimuleren, maar is in zijn huidige vorm nog niet geschikt voor brede toepassing. De komende tijd zal de minister van Langdurige Zorg, Jeugd en Sport dan ook de mogelijkheden verkennen om dit prototype door te ontwikkelen en in gesprek gaan met partijen die dit prototype bij mogelijke gebruikers onder de aandacht kunnen brengen.</w:t>
      </w:r>
    </w:p>
    <w:p w:rsidR="006B057B" w:rsidP="000C1628" w:rsidRDefault="006B057B" w14:paraId="32A265A5" w14:textId="77777777"/>
    <w:p w:rsidR="006B057B" w:rsidP="000C1628" w:rsidRDefault="006B057B" w14:paraId="1B22429C" w14:textId="77777777"/>
    <w:p w:rsidR="006B057B" w:rsidP="000C1628" w:rsidRDefault="006B057B" w14:paraId="0C622215" w14:textId="77777777">
      <w:pPr>
        <w:spacing w:line="240" w:lineRule="auto"/>
        <w:rPr>
          <w:noProof/>
        </w:rPr>
      </w:pPr>
    </w:p>
    <w:p w:rsidR="00D74D7D" w:rsidP="000C1628" w:rsidRDefault="00D74D7D" w14:paraId="2BC23714" w14:textId="77777777">
      <w:pPr>
        <w:spacing w:line="240" w:lineRule="auto"/>
        <w:rPr>
          <w:noProof/>
        </w:rPr>
      </w:pPr>
    </w:p>
    <w:sectPr w:rsidR="00D74D7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0F71" w14:textId="77777777" w:rsidR="004E510F" w:rsidRDefault="004E510F">
      <w:pPr>
        <w:spacing w:line="240" w:lineRule="auto"/>
      </w:pPr>
      <w:r>
        <w:separator/>
      </w:r>
    </w:p>
  </w:endnote>
  <w:endnote w:type="continuationSeparator" w:id="0">
    <w:p w14:paraId="566F8886" w14:textId="77777777" w:rsidR="004E510F" w:rsidRDefault="004E5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8114" w14:textId="77777777" w:rsidR="00DC7639" w:rsidRDefault="00B71D6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2FC625AA" wp14:editId="5F9FA6EC">
              <wp:simplePos x="0" y="0"/>
              <wp:positionH relativeFrom="page">
                <wp:posOffset>5922645</wp:posOffset>
              </wp:positionH>
              <wp:positionV relativeFrom="page">
                <wp:posOffset>10225405</wp:posOffset>
              </wp:positionV>
              <wp:extent cx="1259840" cy="185420"/>
              <wp:effectExtent l="7620" t="5080" r="8890" b="9525"/>
              <wp:wrapNone/>
              <wp:docPr id="45448318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5081567" w14:textId="77777777" w:rsidR="00DC7639" w:rsidRDefault="00B71D6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FC625A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5081567" w14:textId="77777777" w:rsidR="00DC7639" w:rsidRDefault="00B71D6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5B59" w14:textId="77777777" w:rsidR="004E510F" w:rsidRDefault="004E510F">
      <w:pPr>
        <w:spacing w:line="240" w:lineRule="auto"/>
      </w:pPr>
      <w:r>
        <w:separator/>
      </w:r>
    </w:p>
  </w:footnote>
  <w:footnote w:type="continuationSeparator" w:id="0">
    <w:p w14:paraId="32DEBEBF" w14:textId="77777777" w:rsidR="004E510F" w:rsidRDefault="004E510F">
      <w:pPr>
        <w:spacing w:line="240" w:lineRule="auto"/>
      </w:pPr>
      <w:r>
        <w:continuationSeparator/>
      </w:r>
    </w:p>
  </w:footnote>
  <w:footnote w:id="1">
    <w:p w14:paraId="51681BFA" w14:textId="77777777" w:rsidR="00FC24AF" w:rsidRPr="00F85320" w:rsidRDefault="00B71D60" w:rsidP="00FC24AF">
      <w:pPr>
        <w:pStyle w:val="Voetnoottekst"/>
        <w:rPr>
          <w:rFonts w:ascii="Verdana" w:hAnsi="Verdana"/>
          <w:sz w:val="16"/>
          <w:szCs w:val="16"/>
        </w:rPr>
      </w:pPr>
      <w:r w:rsidRPr="00F85320">
        <w:rPr>
          <w:rStyle w:val="Voetnootmarkering"/>
          <w:rFonts w:ascii="Verdana" w:hAnsi="Verdana"/>
          <w:sz w:val="16"/>
          <w:szCs w:val="16"/>
        </w:rPr>
        <w:footnoteRef/>
      </w:r>
      <w:r w:rsidRPr="00F85320">
        <w:rPr>
          <w:rFonts w:ascii="Verdana" w:hAnsi="Verdana"/>
          <w:sz w:val="16"/>
          <w:szCs w:val="16"/>
        </w:rPr>
        <w:t xml:space="preserve"> Kamerstukken II 2024/2025, 31 839 nr.</w:t>
      </w:r>
      <w:r w:rsidR="00ED1201">
        <w:rPr>
          <w:rFonts w:ascii="Verdana" w:hAnsi="Verdana"/>
          <w:sz w:val="16"/>
          <w:szCs w:val="16"/>
        </w:rPr>
        <w:t xml:space="preserve"> </w:t>
      </w:r>
      <w:r w:rsidRPr="00F85320">
        <w:rPr>
          <w:rFonts w:ascii="Verdana" w:hAnsi="Verdana"/>
          <w:sz w:val="16"/>
          <w:szCs w:val="16"/>
        </w:rPr>
        <w:t>1085</w:t>
      </w:r>
      <w:r w:rsidR="00ED1201">
        <w:rPr>
          <w:rFonts w:ascii="Verdana" w:hAnsi="Verdana"/>
          <w:sz w:val="16"/>
          <w:szCs w:val="16"/>
        </w:rPr>
        <w:t>.</w:t>
      </w:r>
    </w:p>
  </w:footnote>
  <w:footnote w:id="2">
    <w:p w14:paraId="22061B9E" w14:textId="77777777" w:rsidR="00FC24AF" w:rsidRPr="00F85320" w:rsidRDefault="00B71D60" w:rsidP="00FC24AF">
      <w:pPr>
        <w:pStyle w:val="Voetnoottekst"/>
        <w:rPr>
          <w:rFonts w:ascii="Verdana" w:hAnsi="Verdana"/>
          <w:sz w:val="16"/>
          <w:szCs w:val="16"/>
        </w:rPr>
      </w:pPr>
      <w:r w:rsidRPr="00F85320">
        <w:rPr>
          <w:rStyle w:val="Voetnootmarkering"/>
          <w:rFonts w:ascii="Verdana" w:hAnsi="Verdana"/>
          <w:sz w:val="16"/>
          <w:szCs w:val="16"/>
        </w:rPr>
        <w:footnoteRef/>
      </w:r>
      <w:r w:rsidRPr="00F85320">
        <w:rPr>
          <w:rFonts w:ascii="Verdana" w:hAnsi="Verdana"/>
          <w:sz w:val="16"/>
          <w:szCs w:val="16"/>
        </w:rPr>
        <w:t xml:space="preserve"> In de regiobijeenkomsten kwam de werkwijze Duurzaam Ouderschap na Scheiding aan bod welke beproefd en onderzocht is in de regio Haaglanden.</w:t>
      </w:r>
    </w:p>
  </w:footnote>
  <w:footnote w:id="3">
    <w:p w14:paraId="5F5E2F0C" w14:textId="77777777" w:rsidR="00FC24AF" w:rsidRPr="00F85320" w:rsidRDefault="00B71D60" w:rsidP="00FC24AF">
      <w:pPr>
        <w:pStyle w:val="Voetnoottekst"/>
        <w:rPr>
          <w:rFonts w:ascii="Verdana" w:hAnsi="Verdana"/>
          <w:sz w:val="16"/>
          <w:szCs w:val="16"/>
        </w:rPr>
      </w:pPr>
      <w:r w:rsidRPr="00F85320">
        <w:rPr>
          <w:rStyle w:val="Voetnootmarkering"/>
          <w:rFonts w:ascii="Verdana" w:hAnsi="Verdana"/>
          <w:sz w:val="16"/>
          <w:szCs w:val="16"/>
        </w:rPr>
        <w:footnoteRef/>
      </w:r>
      <w:r w:rsidRPr="00F85320">
        <w:rPr>
          <w:rFonts w:ascii="Verdana" w:hAnsi="Verdana"/>
          <w:sz w:val="16"/>
          <w:szCs w:val="16"/>
        </w:rPr>
        <w:t xml:space="preserve"> </w:t>
      </w:r>
      <w:hyperlink r:id="rId1" w:history="1">
        <w:r w:rsidR="00FC24AF" w:rsidRPr="00F85320">
          <w:rPr>
            <w:rStyle w:val="Hyperlink"/>
            <w:rFonts w:ascii="Verdana" w:hAnsi="Verdana"/>
            <w:sz w:val="16"/>
            <w:szCs w:val="16"/>
          </w:rPr>
          <w:t>Rapport-Verlangen-5---Sterke-Partnerrelaties.pdf</w:t>
        </w:r>
      </w:hyperlink>
    </w:p>
  </w:footnote>
  <w:footnote w:id="4">
    <w:p w14:paraId="3B3FD778" w14:textId="77777777" w:rsidR="00FC24AF" w:rsidRPr="00F85320" w:rsidRDefault="00B71D60" w:rsidP="00FC24AF">
      <w:pPr>
        <w:pStyle w:val="Voetnoottekst"/>
        <w:rPr>
          <w:rFonts w:ascii="Verdana" w:hAnsi="Verdana"/>
          <w:sz w:val="16"/>
          <w:szCs w:val="16"/>
        </w:rPr>
      </w:pPr>
      <w:r w:rsidRPr="00F85320">
        <w:rPr>
          <w:rStyle w:val="Voetnootmarkering"/>
          <w:rFonts w:ascii="Verdana" w:hAnsi="Verdana"/>
          <w:sz w:val="16"/>
          <w:szCs w:val="16"/>
        </w:rPr>
        <w:footnoteRef/>
      </w:r>
      <w:r w:rsidRPr="00F85320">
        <w:rPr>
          <w:rFonts w:ascii="Verdana" w:hAnsi="Verdana"/>
          <w:sz w:val="16"/>
          <w:szCs w:val="16"/>
        </w:rPr>
        <w:t xml:space="preserve"> Kamerstukken II 2023/2024, 34 843 nr. 101</w:t>
      </w:r>
      <w:r w:rsidR="006406D0">
        <w:rPr>
          <w:rFonts w:ascii="Verdana" w:hAnsi="Verdana"/>
          <w:sz w:val="16"/>
          <w:szCs w:val="16"/>
        </w:rPr>
        <w:t>.</w:t>
      </w:r>
    </w:p>
  </w:footnote>
  <w:footnote w:id="5">
    <w:p w14:paraId="1B39F6F4" w14:textId="77777777" w:rsidR="00FC24AF" w:rsidRDefault="00B71D60" w:rsidP="00FC24AF">
      <w:pPr>
        <w:pStyle w:val="Voetnoottekst"/>
      </w:pPr>
      <w:r w:rsidRPr="00F85320">
        <w:rPr>
          <w:rStyle w:val="Voetnootmarkering"/>
          <w:rFonts w:ascii="Verdana" w:hAnsi="Verdana"/>
          <w:sz w:val="16"/>
          <w:szCs w:val="16"/>
        </w:rPr>
        <w:footnoteRef/>
      </w:r>
      <w:r w:rsidRPr="00F85320">
        <w:rPr>
          <w:rFonts w:ascii="Verdana" w:hAnsi="Verdana"/>
          <w:sz w:val="16"/>
          <w:szCs w:val="16"/>
        </w:rPr>
        <w:t xml:space="preserve"> Kamerstukken II 2022/2023, 36 222 nr. 33</w:t>
      </w:r>
      <w:r w:rsidR="006406D0">
        <w:rPr>
          <w:rFonts w:ascii="Verdana" w:hAnsi="Verdana"/>
          <w:sz w:val="16"/>
          <w:szCs w:val="16"/>
        </w:rPr>
        <w:t>.</w:t>
      </w:r>
    </w:p>
  </w:footnote>
  <w:footnote w:id="6">
    <w:p w14:paraId="19C3B8BF" w14:textId="77777777" w:rsidR="00FC24AF" w:rsidRPr="005F2757" w:rsidRDefault="00B71D60" w:rsidP="00FC24AF">
      <w:pPr>
        <w:pStyle w:val="Voetnoottekst"/>
        <w:rPr>
          <w:rFonts w:ascii="Verdana" w:hAnsi="Verdana"/>
          <w:sz w:val="16"/>
          <w:szCs w:val="16"/>
        </w:rPr>
      </w:pPr>
      <w:r w:rsidRPr="005F2757">
        <w:rPr>
          <w:rStyle w:val="Voetnootmarkering"/>
          <w:rFonts w:ascii="Verdana" w:hAnsi="Verdana"/>
          <w:sz w:val="16"/>
          <w:szCs w:val="16"/>
        </w:rPr>
        <w:footnoteRef/>
      </w:r>
      <w:r w:rsidRPr="005F2757">
        <w:rPr>
          <w:rFonts w:ascii="Verdana" w:hAnsi="Verdana"/>
          <w:sz w:val="16"/>
          <w:szCs w:val="16"/>
        </w:rPr>
        <w:t xml:space="preserve"> Kamerstukken II 2025/2026, 36 800 XVI nr. 51</w:t>
      </w:r>
      <w:r w:rsidR="006406D0">
        <w:rPr>
          <w:rFonts w:ascii="Verdana" w:hAnsi="Verdana"/>
          <w:sz w:val="16"/>
          <w:szCs w:val="16"/>
        </w:rPr>
        <w:t>.</w:t>
      </w:r>
    </w:p>
  </w:footnote>
  <w:footnote w:id="7">
    <w:p w14:paraId="04934385" w14:textId="77777777" w:rsidR="00FC24AF" w:rsidRPr="00232F90" w:rsidRDefault="00B71D60" w:rsidP="00FC24AF">
      <w:pPr>
        <w:pStyle w:val="Voetnoottekst"/>
        <w:rPr>
          <w:rFonts w:ascii="Verdana" w:hAnsi="Verdana"/>
        </w:rPr>
      </w:pPr>
      <w:r w:rsidRPr="00232F90">
        <w:rPr>
          <w:rStyle w:val="Voetnootmarkering"/>
          <w:rFonts w:ascii="Verdana" w:hAnsi="Verdana"/>
          <w:sz w:val="16"/>
          <w:szCs w:val="16"/>
        </w:rPr>
        <w:footnoteRef/>
      </w:r>
      <w:r w:rsidRPr="00232F90">
        <w:rPr>
          <w:rFonts w:ascii="Verdana" w:hAnsi="Verdana"/>
          <w:sz w:val="16"/>
          <w:szCs w:val="16"/>
        </w:rPr>
        <w:t xml:space="preserve"> Kamerstukken</w:t>
      </w:r>
      <w:r w:rsidR="006406D0">
        <w:rPr>
          <w:rFonts w:ascii="Verdana" w:hAnsi="Verdana"/>
          <w:sz w:val="16"/>
          <w:szCs w:val="16"/>
        </w:rPr>
        <w:t xml:space="preserve"> II</w:t>
      </w:r>
      <w:r w:rsidRPr="00232F90">
        <w:rPr>
          <w:rFonts w:ascii="Verdana" w:hAnsi="Verdana"/>
          <w:sz w:val="16"/>
          <w:szCs w:val="16"/>
        </w:rPr>
        <w:t xml:space="preserve"> 2024/2025, 28</w:t>
      </w:r>
      <w:r w:rsidR="006406D0">
        <w:rPr>
          <w:rFonts w:ascii="Verdana" w:hAnsi="Verdana"/>
          <w:sz w:val="16"/>
          <w:szCs w:val="16"/>
        </w:rPr>
        <w:t xml:space="preserve"> </w:t>
      </w:r>
      <w:r w:rsidRPr="00232F90">
        <w:rPr>
          <w:rFonts w:ascii="Verdana" w:hAnsi="Verdana"/>
          <w:sz w:val="16"/>
          <w:szCs w:val="16"/>
        </w:rPr>
        <w:t>828 nr. 159</w:t>
      </w:r>
      <w:r w:rsidR="006406D0">
        <w:rPr>
          <w:rFonts w:ascii="Verdana" w:hAnsi="Verdana"/>
          <w:sz w:val="16"/>
          <w:szCs w:val="16"/>
        </w:rPr>
        <w:t>.</w:t>
      </w:r>
    </w:p>
  </w:footnote>
  <w:footnote w:id="8">
    <w:p w14:paraId="2091E769" w14:textId="77777777" w:rsidR="00FC24AF" w:rsidRPr="005F2757" w:rsidRDefault="00B71D60" w:rsidP="00FC24AF">
      <w:pPr>
        <w:pStyle w:val="Voetnoottekst"/>
        <w:rPr>
          <w:rFonts w:ascii="Verdana" w:hAnsi="Verdana"/>
          <w:sz w:val="16"/>
          <w:szCs w:val="16"/>
        </w:rPr>
      </w:pPr>
      <w:r w:rsidRPr="005F2757">
        <w:rPr>
          <w:rStyle w:val="Voetnootmarkering"/>
          <w:rFonts w:ascii="Verdana" w:hAnsi="Verdana"/>
          <w:sz w:val="16"/>
          <w:szCs w:val="16"/>
        </w:rPr>
        <w:footnoteRef/>
      </w:r>
      <w:r w:rsidRPr="005F2757">
        <w:rPr>
          <w:rFonts w:ascii="Verdana" w:hAnsi="Verdana"/>
          <w:sz w:val="16"/>
          <w:szCs w:val="16"/>
        </w:rPr>
        <w:t xml:space="preserve"> Kamerstukken </w:t>
      </w:r>
      <w:r w:rsidR="00A27612">
        <w:rPr>
          <w:rFonts w:ascii="Verdana" w:hAnsi="Verdana"/>
          <w:sz w:val="16"/>
          <w:szCs w:val="16"/>
        </w:rPr>
        <w:t xml:space="preserve">II </w:t>
      </w:r>
      <w:r w:rsidRPr="005F2757">
        <w:rPr>
          <w:rFonts w:ascii="Verdana" w:hAnsi="Verdana"/>
          <w:sz w:val="16"/>
          <w:szCs w:val="16"/>
        </w:rPr>
        <w:t>2025/2026, 368</w:t>
      </w:r>
      <w:r w:rsidR="00A27612">
        <w:rPr>
          <w:rFonts w:ascii="Verdana" w:hAnsi="Verdana"/>
          <w:sz w:val="16"/>
          <w:szCs w:val="16"/>
        </w:rPr>
        <w:t xml:space="preserve"> </w:t>
      </w:r>
      <w:r w:rsidRPr="005F2757">
        <w:rPr>
          <w:rFonts w:ascii="Verdana" w:hAnsi="Verdana"/>
          <w:sz w:val="16"/>
          <w:szCs w:val="16"/>
        </w:rPr>
        <w:t>000 XVI nr. 56</w:t>
      </w:r>
      <w:r w:rsidR="006406D0">
        <w:rPr>
          <w:rFonts w:ascii="Verdana" w:hAnsi="Verdana"/>
          <w:sz w:val="16"/>
          <w:szCs w:val="16"/>
        </w:rPr>
        <w:t>.</w:t>
      </w:r>
    </w:p>
  </w:footnote>
  <w:footnote w:id="9">
    <w:p w14:paraId="1867736D" w14:textId="77777777" w:rsidR="00FC24AF" w:rsidRPr="005F2757" w:rsidRDefault="00B71D60" w:rsidP="00FC24AF">
      <w:pPr>
        <w:pStyle w:val="Voetnoottekst"/>
        <w:rPr>
          <w:rFonts w:ascii="Verdana" w:hAnsi="Verdana"/>
          <w:sz w:val="16"/>
          <w:szCs w:val="16"/>
        </w:rPr>
      </w:pPr>
      <w:r w:rsidRPr="005F2757">
        <w:rPr>
          <w:rStyle w:val="Voetnootmarkering"/>
          <w:rFonts w:ascii="Verdana" w:hAnsi="Verdana"/>
          <w:sz w:val="16"/>
          <w:szCs w:val="16"/>
        </w:rPr>
        <w:footnoteRef/>
      </w:r>
      <w:r w:rsidRPr="005F2757">
        <w:rPr>
          <w:rFonts w:ascii="Verdana" w:hAnsi="Verdana"/>
          <w:sz w:val="16"/>
          <w:szCs w:val="16"/>
        </w:rPr>
        <w:t xml:space="preserve"> Kamerstukken II 2025</w:t>
      </w:r>
      <w:r w:rsidR="00A27612">
        <w:rPr>
          <w:rFonts w:ascii="Verdana" w:hAnsi="Verdana"/>
          <w:sz w:val="16"/>
          <w:szCs w:val="16"/>
        </w:rPr>
        <w:t>/</w:t>
      </w:r>
      <w:r w:rsidRPr="005F2757">
        <w:rPr>
          <w:rFonts w:ascii="Verdana" w:hAnsi="Verdana"/>
          <w:sz w:val="16"/>
          <w:szCs w:val="16"/>
        </w:rPr>
        <w:t>2026, 31</w:t>
      </w:r>
      <w:r w:rsidR="00A27612">
        <w:rPr>
          <w:rFonts w:ascii="Verdana" w:hAnsi="Verdana"/>
          <w:sz w:val="16"/>
          <w:szCs w:val="16"/>
        </w:rPr>
        <w:t xml:space="preserve"> </w:t>
      </w:r>
      <w:r w:rsidRPr="005F2757">
        <w:rPr>
          <w:rFonts w:ascii="Verdana" w:hAnsi="Verdana"/>
          <w:sz w:val="16"/>
          <w:szCs w:val="16"/>
        </w:rPr>
        <w:t>839 nr. 1137</w:t>
      </w:r>
      <w:r w:rsidR="006406D0">
        <w:rPr>
          <w:rFonts w:ascii="Verdana" w:hAnsi="Verdana"/>
          <w:sz w:val="16"/>
          <w:szCs w:val="16"/>
        </w:rPr>
        <w:t>.</w:t>
      </w:r>
    </w:p>
  </w:footnote>
  <w:footnote w:id="10">
    <w:p w14:paraId="53C3CCA0" w14:textId="77777777" w:rsidR="00FC24AF" w:rsidRPr="005F2757" w:rsidRDefault="00B71D60" w:rsidP="00FC24AF">
      <w:pPr>
        <w:pStyle w:val="Voetnoottekst"/>
        <w:rPr>
          <w:rFonts w:ascii="Verdana" w:hAnsi="Verdana"/>
          <w:sz w:val="16"/>
          <w:szCs w:val="16"/>
        </w:rPr>
      </w:pPr>
      <w:r w:rsidRPr="005F2757">
        <w:rPr>
          <w:rStyle w:val="Voetnootmarkering"/>
          <w:rFonts w:ascii="Verdana" w:hAnsi="Verdana"/>
          <w:sz w:val="16"/>
          <w:szCs w:val="16"/>
        </w:rPr>
        <w:footnoteRef/>
      </w:r>
      <w:r w:rsidRPr="005F2757">
        <w:rPr>
          <w:rFonts w:ascii="Verdana" w:hAnsi="Verdana"/>
          <w:sz w:val="16"/>
          <w:szCs w:val="16"/>
        </w:rPr>
        <w:t xml:space="preserve"> </w:t>
      </w:r>
      <w:hyperlink r:id="rId2" w:history="1">
        <w:r w:rsidR="00FC24AF" w:rsidRPr="005F2757">
          <w:rPr>
            <w:rStyle w:val="Hyperlink"/>
            <w:rFonts w:ascii="Verdana" w:hAnsi="Verdana"/>
            <w:sz w:val="16"/>
            <w:szCs w:val="16"/>
          </w:rPr>
          <w:t>https://www.rivm.nl/gor-covid-19</w:t>
        </w:r>
      </w:hyperlink>
    </w:p>
  </w:footnote>
  <w:footnote w:id="11">
    <w:p w14:paraId="198E0087" w14:textId="77777777" w:rsidR="00FC24AF" w:rsidRPr="00513185" w:rsidRDefault="00B71D60" w:rsidP="00FC24AF">
      <w:pPr>
        <w:pStyle w:val="Voetnoottekst"/>
        <w:rPr>
          <w:sz w:val="16"/>
          <w:szCs w:val="16"/>
        </w:rPr>
      </w:pPr>
      <w:r w:rsidRPr="005F2757">
        <w:rPr>
          <w:rStyle w:val="Voetnootmarkering"/>
          <w:rFonts w:ascii="Verdana" w:hAnsi="Verdana"/>
          <w:sz w:val="16"/>
          <w:szCs w:val="16"/>
        </w:rPr>
        <w:footnoteRef/>
      </w:r>
      <w:r w:rsidRPr="005F2757">
        <w:rPr>
          <w:rFonts w:ascii="Verdana" w:hAnsi="Verdana"/>
          <w:sz w:val="16"/>
          <w:szCs w:val="16"/>
        </w:rPr>
        <w:t xml:space="preserve"> Kamerstukken II 2025</w:t>
      </w:r>
      <w:r w:rsidR="00A27612">
        <w:rPr>
          <w:rFonts w:ascii="Verdana" w:hAnsi="Verdana"/>
          <w:sz w:val="16"/>
          <w:szCs w:val="16"/>
        </w:rPr>
        <w:t>/</w:t>
      </w:r>
      <w:r w:rsidRPr="005F2757">
        <w:rPr>
          <w:rFonts w:ascii="Verdana" w:hAnsi="Verdana"/>
          <w:sz w:val="16"/>
          <w:szCs w:val="16"/>
        </w:rPr>
        <w:t>2026, 25</w:t>
      </w:r>
      <w:r w:rsidR="00A27612">
        <w:rPr>
          <w:rFonts w:ascii="Verdana" w:hAnsi="Verdana"/>
          <w:sz w:val="16"/>
          <w:szCs w:val="16"/>
        </w:rPr>
        <w:t xml:space="preserve"> </w:t>
      </w:r>
      <w:r w:rsidRPr="005F2757">
        <w:rPr>
          <w:rFonts w:ascii="Verdana" w:hAnsi="Verdana"/>
          <w:sz w:val="16"/>
          <w:szCs w:val="16"/>
        </w:rPr>
        <w:t>424 nr. 774</w:t>
      </w:r>
      <w:r w:rsidR="006406D0">
        <w:rPr>
          <w:rFonts w:ascii="Verdana" w:hAnsi="Verdana"/>
          <w:sz w:val="16"/>
          <w:szCs w:val="16"/>
        </w:rPr>
        <w:t>.</w:t>
      </w:r>
    </w:p>
  </w:footnote>
  <w:footnote w:id="12">
    <w:p w14:paraId="77B6EBD1" w14:textId="77777777" w:rsidR="00FC24AF" w:rsidRPr="005F2757" w:rsidRDefault="00B71D60" w:rsidP="00FC24AF">
      <w:pPr>
        <w:pStyle w:val="Voetnoottekst"/>
        <w:rPr>
          <w:rFonts w:ascii="Verdana" w:hAnsi="Verdana"/>
          <w:sz w:val="16"/>
          <w:szCs w:val="16"/>
        </w:rPr>
      </w:pPr>
      <w:r w:rsidRPr="005F2757">
        <w:rPr>
          <w:rStyle w:val="Voetnootmarkering"/>
          <w:rFonts w:ascii="Verdana" w:hAnsi="Verdana"/>
          <w:sz w:val="16"/>
          <w:szCs w:val="16"/>
        </w:rPr>
        <w:footnoteRef/>
      </w:r>
      <w:r w:rsidRPr="005F2757">
        <w:rPr>
          <w:rFonts w:ascii="Verdana" w:hAnsi="Verdana"/>
          <w:sz w:val="16"/>
          <w:szCs w:val="16"/>
        </w:rPr>
        <w:t xml:space="preserve"> Kamerstukken II 2024/2025 29 325, nr.185.</w:t>
      </w:r>
    </w:p>
  </w:footnote>
  <w:footnote w:id="13">
    <w:p w14:paraId="3F81BAA5" w14:textId="77777777" w:rsidR="00FC24AF" w:rsidRPr="005370AF" w:rsidRDefault="00B71D60" w:rsidP="00FC24AF">
      <w:pPr>
        <w:pStyle w:val="Voetnoottekst"/>
      </w:pPr>
      <w:r w:rsidRPr="005F2757">
        <w:rPr>
          <w:rStyle w:val="Voetnootmarkering"/>
          <w:rFonts w:ascii="Verdana" w:hAnsi="Verdana"/>
          <w:sz w:val="16"/>
          <w:szCs w:val="16"/>
        </w:rPr>
        <w:footnoteRef/>
      </w:r>
      <w:r w:rsidRPr="005F2757">
        <w:rPr>
          <w:rFonts w:ascii="Verdana" w:hAnsi="Verdana"/>
          <w:sz w:val="16"/>
          <w:szCs w:val="16"/>
        </w:rPr>
        <w:t xml:space="preserve"> Kamerstukken II 2025/2026 31 839, nr.1145.</w:t>
      </w:r>
    </w:p>
  </w:footnote>
  <w:footnote w:id="14">
    <w:p w14:paraId="73A4B53E" w14:textId="77777777" w:rsidR="00E604E4" w:rsidRDefault="00E604E4" w:rsidP="00E604E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2025-2026,  24515 , nr. 801. </w:t>
      </w:r>
    </w:p>
  </w:footnote>
  <w:footnote w:id="15">
    <w:p w14:paraId="740144A3" w14:textId="77777777" w:rsidR="00FC24AF" w:rsidRPr="008D20AD" w:rsidRDefault="00B71D60" w:rsidP="00FC24AF">
      <w:pPr>
        <w:pStyle w:val="Voetnoottekst"/>
        <w:rPr>
          <w:rFonts w:ascii="Verdana" w:hAnsi="Verdana"/>
        </w:rPr>
      </w:pPr>
      <w:r w:rsidRPr="008D20AD">
        <w:rPr>
          <w:rStyle w:val="Voetnootmarkering"/>
          <w:rFonts w:ascii="Verdana" w:hAnsi="Verdana"/>
          <w:sz w:val="16"/>
          <w:szCs w:val="16"/>
        </w:rPr>
        <w:footnoteRef/>
      </w:r>
      <w:r w:rsidRPr="008D20AD">
        <w:rPr>
          <w:rFonts w:ascii="Verdana" w:hAnsi="Verdana"/>
          <w:sz w:val="16"/>
          <w:szCs w:val="16"/>
        </w:rPr>
        <w:t xml:space="preserve"> Kamerstukken II 2025/</w:t>
      </w:r>
      <w:r w:rsidR="00A27612">
        <w:rPr>
          <w:rFonts w:ascii="Verdana" w:hAnsi="Verdana"/>
          <w:sz w:val="16"/>
          <w:szCs w:val="16"/>
        </w:rPr>
        <w:t>20</w:t>
      </w:r>
      <w:r w:rsidRPr="008D20AD">
        <w:rPr>
          <w:rFonts w:ascii="Verdana" w:hAnsi="Verdana"/>
          <w:sz w:val="16"/>
          <w:szCs w:val="16"/>
        </w:rPr>
        <w:t>26 31</w:t>
      </w:r>
      <w:r w:rsidR="00A27612">
        <w:rPr>
          <w:rFonts w:ascii="Verdana" w:hAnsi="Verdana"/>
          <w:sz w:val="16"/>
          <w:szCs w:val="16"/>
        </w:rPr>
        <w:t xml:space="preserve"> </w:t>
      </w:r>
      <w:r w:rsidRPr="008D20AD">
        <w:rPr>
          <w:rFonts w:ascii="Verdana" w:hAnsi="Verdana"/>
          <w:sz w:val="16"/>
          <w:szCs w:val="16"/>
        </w:rPr>
        <w:t>839, nr. 1149.</w:t>
      </w:r>
    </w:p>
  </w:footnote>
  <w:footnote w:id="16">
    <w:p w14:paraId="6FB316ED" w14:textId="77777777" w:rsidR="00FC24AF" w:rsidRDefault="00B71D60" w:rsidP="00FC24AF">
      <w:pPr>
        <w:pStyle w:val="Voetnoottekst"/>
      </w:pPr>
      <w:r>
        <w:rPr>
          <w:rStyle w:val="Voetnootmarkering"/>
        </w:rPr>
        <w:footnoteRef/>
      </w:r>
      <w:r>
        <w:t xml:space="preserve"> </w:t>
      </w:r>
      <w:hyperlink r:id="rId3" w:history="1">
        <w:r w:rsidR="00FC24AF" w:rsidRPr="00D916BA">
          <w:rPr>
            <w:rStyle w:val="Hyperlink"/>
          </w:rPr>
          <w:t>https://www.cbs.nl/nl-nl/nieuws/2026/18/minder-jongeren-met-jeugdzorg-in-2025</w:t>
        </w:r>
      </w:hyperlink>
      <w:r>
        <w:t xml:space="preserve"> </w:t>
      </w:r>
    </w:p>
  </w:footnote>
  <w:footnote w:id="17">
    <w:p w14:paraId="448369B9" w14:textId="77777777" w:rsidR="00FC24AF" w:rsidRDefault="00B71D60" w:rsidP="00FC24AF">
      <w:pPr>
        <w:pStyle w:val="Voetnoottekst"/>
      </w:pPr>
      <w:r>
        <w:rPr>
          <w:rStyle w:val="Voetnootmarkering"/>
        </w:rPr>
        <w:footnoteRef/>
      </w:r>
      <w:r>
        <w:t xml:space="preserve"> </w:t>
      </w:r>
      <w:hyperlink r:id="rId4" w:history="1">
        <w:r w:rsidR="00FC24AF" w:rsidRPr="00CC3ACC">
          <w:rPr>
            <w:rStyle w:val="Hyperlink"/>
          </w:rPr>
          <w:t>Dashboard Jeugdzorg</w:t>
        </w:r>
      </w:hyperlink>
    </w:p>
  </w:footnote>
  <w:footnote w:id="18">
    <w:p w14:paraId="007BC024" w14:textId="77777777" w:rsidR="00FC24AF" w:rsidRDefault="00B71D60" w:rsidP="00FC24AF">
      <w:pPr>
        <w:pStyle w:val="Voetnoottekst"/>
      </w:pPr>
      <w:r>
        <w:rPr>
          <w:rStyle w:val="Voetnootmarkering"/>
        </w:rPr>
        <w:footnoteRef/>
      </w:r>
      <w:r>
        <w:t xml:space="preserve"> </w:t>
      </w:r>
      <w:hyperlink r:id="rId5" w:history="1">
        <w:r w:rsidR="00FC24AF" w:rsidRPr="00635C91">
          <w:rPr>
            <w:rStyle w:val="Hyperlink"/>
          </w:rPr>
          <w:t>Modelschattingen jeugdzorggebruik per gemeente, 2023 | CBS</w:t>
        </w:r>
      </w:hyperlink>
    </w:p>
  </w:footnote>
  <w:footnote w:id="19">
    <w:p w14:paraId="2686E811" w14:textId="77777777" w:rsidR="006B057B" w:rsidRDefault="00B71D60" w:rsidP="006B057B">
      <w:pPr>
        <w:pStyle w:val="Lijstalinea"/>
        <w:ind w:left="284" w:hanging="284"/>
        <w:rPr>
          <w:sz w:val="16"/>
          <w:szCs w:val="16"/>
        </w:rPr>
      </w:pPr>
      <w:r w:rsidRPr="005F2757">
        <w:rPr>
          <w:rStyle w:val="Voetnootmarkering"/>
          <w:sz w:val="16"/>
          <w:szCs w:val="16"/>
        </w:rPr>
        <w:footnoteRef/>
      </w:r>
      <w:r w:rsidRPr="005F2757">
        <w:rPr>
          <w:sz w:val="16"/>
          <w:szCs w:val="16"/>
        </w:rPr>
        <w:t xml:space="preserve"> Jeugdhulp in natura. Bij 97% van de jongeren die jeugdhulp hebben ontvangen ging het</w:t>
      </w:r>
    </w:p>
    <w:p w14:paraId="2081967E" w14:textId="77777777" w:rsidR="006B057B" w:rsidRPr="005F2757" w:rsidRDefault="00B71D60" w:rsidP="006B057B">
      <w:pPr>
        <w:pStyle w:val="Lijstalinea"/>
        <w:ind w:left="0"/>
        <w:rPr>
          <w:sz w:val="16"/>
          <w:szCs w:val="16"/>
        </w:rPr>
      </w:pPr>
      <w:r w:rsidRPr="005F2757">
        <w:rPr>
          <w:sz w:val="16"/>
          <w:szCs w:val="16"/>
        </w:rPr>
        <w:t xml:space="preserve">om jeugdhulp in natura. Bijna 2 procent had zowel een PGB als zorg in natura. En 1 procent alleen een PGB. Het aantal jongeren dat gebruik maakt van een PGB neemt al jaren af. De gegevens die de SVB levert aan CBS over jeugdhulpontvangers met een PGB bevat alleen informatie over aantal jongeren met jeugdzorg en niet welke vorm van jeugdzorg het betreft (bijvoorbeeld met of zonder verblijf). Gegevens over jeugdzorg gaan dus over jeugdzorg in natura, tenzij anders vermeld. </w:t>
      </w:r>
    </w:p>
  </w:footnote>
  <w:footnote w:id="20">
    <w:p w14:paraId="2677153D" w14:textId="77777777" w:rsidR="006B057B" w:rsidRDefault="00B71D60" w:rsidP="006B057B">
      <w:pPr>
        <w:pStyle w:val="Voetnoottekst"/>
        <w:ind w:left="709" w:hanging="708"/>
      </w:pPr>
      <w:r w:rsidRPr="005F2757">
        <w:rPr>
          <w:rStyle w:val="Voetnootmarkering"/>
          <w:rFonts w:ascii="Verdana" w:hAnsi="Verdana"/>
          <w:sz w:val="16"/>
          <w:szCs w:val="16"/>
        </w:rPr>
        <w:footnoteRef/>
      </w:r>
      <w:r w:rsidRPr="005F2757">
        <w:rPr>
          <w:rFonts w:ascii="Verdana" w:hAnsi="Verdana"/>
          <w:sz w:val="16"/>
          <w:szCs w:val="16"/>
        </w:rPr>
        <w:t xml:space="preserve"> Cijfers komen van CBS </w:t>
      </w:r>
      <w:hyperlink r:id="rId6" w:anchor="/CBS/nl/dataset/85095NED/table?ts=1762869138110" w:history="1">
        <w:r w:rsidR="006B057B" w:rsidRPr="005F2757">
          <w:rPr>
            <w:rStyle w:val="Hyperlink"/>
            <w:rFonts w:ascii="Verdana" w:hAnsi="Verdana"/>
            <w:sz w:val="16"/>
            <w:szCs w:val="16"/>
          </w:rPr>
          <w:t>Statline</w:t>
        </w:r>
      </w:hyperlink>
    </w:p>
  </w:footnote>
  <w:footnote w:id="21">
    <w:p w14:paraId="41767C7F" w14:textId="77777777" w:rsidR="006B057B" w:rsidRDefault="00B71D60" w:rsidP="006B057B">
      <w:pPr>
        <w:pStyle w:val="Voetnoottekst"/>
      </w:pPr>
      <w:r>
        <w:rPr>
          <w:rStyle w:val="Voetnootmarkering"/>
        </w:rPr>
        <w:footnoteRef/>
      </w:r>
      <w:r>
        <w:t xml:space="preserve"> </w:t>
      </w:r>
      <w:r w:rsidRPr="005F2757">
        <w:rPr>
          <w:rFonts w:ascii="Verdana" w:hAnsi="Verdana"/>
          <w:sz w:val="16"/>
          <w:szCs w:val="16"/>
        </w:rPr>
        <w:t xml:space="preserve">Cijfers komen van CBS </w:t>
      </w:r>
      <w:hyperlink r:id="rId7" w:anchor="/CBS/nl/dataset/85095NED/table?ts=1762869138110" w:history="1">
        <w:r w:rsidR="006B057B" w:rsidRPr="005F2757">
          <w:rPr>
            <w:rStyle w:val="Hyperlink"/>
            <w:rFonts w:ascii="Verdana" w:hAnsi="Verdana"/>
            <w:sz w:val="16"/>
            <w:szCs w:val="16"/>
          </w:rPr>
          <w:t>Statline</w:t>
        </w:r>
      </w:hyperlink>
    </w:p>
  </w:footnote>
  <w:footnote w:id="22">
    <w:p w14:paraId="7992E039" w14:textId="77777777" w:rsidR="006B057B" w:rsidRPr="004D3A99" w:rsidRDefault="00B71D60" w:rsidP="006B057B">
      <w:pPr>
        <w:pStyle w:val="Voetnoottekst"/>
        <w:rPr>
          <w:rFonts w:ascii="Verdana" w:hAnsi="Verdana"/>
          <w:sz w:val="16"/>
          <w:szCs w:val="16"/>
        </w:rPr>
      </w:pPr>
      <w:r w:rsidRPr="004D3A99">
        <w:rPr>
          <w:rStyle w:val="Voetnootmarkering"/>
          <w:rFonts w:ascii="Verdana" w:hAnsi="Verdana"/>
          <w:sz w:val="16"/>
          <w:szCs w:val="16"/>
        </w:rPr>
        <w:footnoteRef/>
      </w:r>
      <w:r w:rsidRPr="004D3A99">
        <w:rPr>
          <w:rFonts w:ascii="Verdana" w:hAnsi="Verdana"/>
          <w:sz w:val="16"/>
          <w:szCs w:val="16"/>
        </w:rPr>
        <w:t xml:space="preserve"> </w:t>
      </w:r>
      <w:hyperlink r:id="rId8" w:history="1">
        <w:r w:rsidR="006B057B" w:rsidRPr="004D3A99">
          <w:rPr>
            <w:rStyle w:val="Hyperlink"/>
            <w:rFonts w:ascii="Verdana" w:hAnsi="Verdana"/>
            <w:sz w:val="16"/>
            <w:szCs w:val="16"/>
          </w:rPr>
          <w:t>Cijfers CBS 2024</w:t>
        </w:r>
      </w:hyperlink>
    </w:p>
  </w:footnote>
  <w:footnote w:id="23">
    <w:p w14:paraId="12B0E930" w14:textId="77777777" w:rsidR="006B057B" w:rsidRDefault="00B71D60" w:rsidP="006B057B">
      <w:pPr>
        <w:pStyle w:val="Voetnoottekst"/>
      </w:pPr>
      <w:r w:rsidRPr="004D3A99">
        <w:rPr>
          <w:rStyle w:val="Voetnootmarkering"/>
          <w:rFonts w:ascii="Verdana" w:hAnsi="Verdana"/>
          <w:sz w:val="16"/>
          <w:szCs w:val="16"/>
        </w:rPr>
        <w:footnoteRef/>
      </w:r>
      <w:r w:rsidRPr="004D3A99">
        <w:rPr>
          <w:rFonts w:ascii="Verdana" w:hAnsi="Verdana"/>
          <w:sz w:val="16"/>
          <w:szCs w:val="16"/>
        </w:rPr>
        <w:t xml:space="preserve"> </w:t>
      </w:r>
      <w:r>
        <w:rPr>
          <w:rFonts w:ascii="Verdana" w:hAnsi="Verdana"/>
          <w:sz w:val="16"/>
          <w:szCs w:val="16"/>
        </w:rPr>
        <w:t>Kamerstukken II 2024/2025, 36546 nr. 65</w:t>
      </w:r>
      <w:r w:rsidR="006E79AB">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4F3C" w14:textId="77777777" w:rsidR="00CD5856" w:rsidRDefault="00B71D60">
    <w:pPr>
      <w:pStyle w:val="Koptekst"/>
    </w:pPr>
    <w:r>
      <w:rPr>
        <w:noProof/>
        <w:lang w:eastAsia="nl-NL" w:bidi="ar-SA"/>
      </w:rPr>
      <w:drawing>
        <wp:anchor distT="0" distB="0" distL="114300" distR="114300" simplePos="0" relativeHeight="251653120" behindDoc="1" locked="0" layoutInCell="1" allowOverlap="1" wp14:anchorId="5E7606A8" wp14:editId="70EA47E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6D53FD5" wp14:editId="1DFEC33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1930F75" wp14:editId="11C4E17C">
              <wp:simplePos x="0" y="0"/>
              <wp:positionH relativeFrom="page">
                <wp:posOffset>5922645</wp:posOffset>
              </wp:positionH>
              <wp:positionV relativeFrom="page">
                <wp:posOffset>1965960</wp:posOffset>
              </wp:positionV>
              <wp:extent cx="1259840" cy="8009890"/>
              <wp:effectExtent l="7620" t="13335" r="8890" b="6350"/>
              <wp:wrapNone/>
              <wp:docPr id="154808036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8AE7F55" w14:textId="77777777" w:rsidR="00CD5856" w:rsidRDefault="00B71D60">
                          <w:pPr>
                            <w:pStyle w:val="Huisstijl-AfzendgegevensW1"/>
                          </w:pPr>
                          <w:r>
                            <w:t>Bezoekadres</w:t>
                          </w:r>
                        </w:p>
                        <w:p w14:paraId="2957A57D" w14:textId="77777777" w:rsidR="00CD5856" w:rsidRDefault="00B71D60">
                          <w:pPr>
                            <w:pStyle w:val="Huisstijl-Afzendgegevens"/>
                          </w:pPr>
                          <w:r>
                            <w:t>Parnassusplein 5</w:t>
                          </w:r>
                        </w:p>
                        <w:p w14:paraId="22747C70" w14:textId="77777777" w:rsidR="00CD5856" w:rsidRDefault="00B71D60">
                          <w:pPr>
                            <w:pStyle w:val="Huisstijl-Afzendgegevens"/>
                          </w:pPr>
                          <w:r>
                            <w:t>2511</w:t>
                          </w:r>
                          <w:r w:rsidR="008D59C5" w:rsidRPr="008D59C5">
                            <w:t xml:space="preserve"> </w:t>
                          </w:r>
                          <w:r>
                            <w:t>VX</w:t>
                          </w:r>
                          <w:r w:rsidR="00E1490C">
                            <w:t xml:space="preserve">  </w:t>
                          </w:r>
                          <w:r w:rsidR="008D59C5" w:rsidRPr="008D59C5">
                            <w:t>Den Haag</w:t>
                          </w:r>
                        </w:p>
                        <w:p w14:paraId="69D687DC" w14:textId="77777777" w:rsidR="00CD5856" w:rsidRDefault="00B71D60">
                          <w:pPr>
                            <w:pStyle w:val="Huisstijl-Afzendgegevens"/>
                          </w:pPr>
                          <w:r w:rsidRPr="008D59C5">
                            <w:t>www.rijksoverheid.nl</w:t>
                          </w:r>
                        </w:p>
                        <w:p w14:paraId="66270572" w14:textId="77777777" w:rsidR="00CD5856" w:rsidRDefault="00B71D60">
                          <w:pPr>
                            <w:pStyle w:val="Huisstijl-ReferentiegegevenskopW2"/>
                          </w:pPr>
                          <w:r w:rsidRPr="008D59C5">
                            <w:t>Kenmerk</w:t>
                          </w:r>
                        </w:p>
                        <w:p w14:paraId="0208D04B" w14:textId="77777777" w:rsidR="00CD5856" w:rsidRDefault="00B71D60">
                          <w:pPr>
                            <w:pStyle w:val="Huisstijl-Referentiegegevens"/>
                          </w:pPr>
                          <w:bookmarkStart w:id="0" w:name="_Hlk117784077"/>
                          <w:r>
                            <w:t>4421275-1100335-J</w:t>
                          </w:r>
                        </w:p>
                        <w:bookmarkEnd w:id="0"/>
                        <w:p w14:paraId="272B739C" w14:textId="77777777" w:rsidR="00CD5856" w:rsidRPr="002B504F" w:rsidRDefault="00B71D60">
                          <w:pPr>
                            <w:pStyle w:val="Huisstijl-ReferentiegegevenskopW1"/>
                          </w:pPr>
                          <w:r w:rsidRPr="008D59C5">
                            <w:t>Bijlage(n)</w:t>
                          </w:r>
                        </w:p>
                        <w:p w14:paraId="48FF0183" w14:textId="77777777" w:rsidR="00A66BDB" w:rsidRDefault="00B71D60" w:rsidP="00A66BDB">
                          <w:pPr>
                            <w:pStyle w:val="Referentiegegevens"/>
                            <w:numPr>
                              <w:ilvl w:val="0"/>
                              <w:numId w:val="4"/>
                            </w:numPr>
                          </w:pPr>
                          <w:r>
                            <w:t xml:space="preserve">Rapportage Jeugdhulp 2025 </w:t>
                          </w:r>
                        </w:p>
                        <w:p w14:paraId="79E9E743" w14:textId="77777777" w:rsidR="00A66BDB" w:rsidRDefault="00B71D60" w:rsidP="00A66BDB">
                          <w:pPr>
                            <w:pStyle w:val="Referentiegegevens"/>
                            <w:numPr>
                              <w:ilvl w:val="0"/>
                              <w:numId w:val="4"/>
                            </w:numPr>
                          </w:pPr>
                          <w:r>
                            <w:t xml:space="preserve">Rapportage Jeugdbescherming en Jeugdreclassering 2025 </w:t>
                          </w:r>
                        </w:p>
                        <w:p w14:paraId="1D59EC07" w14:textId="77777777" w:rsidR="00A66BDB" w:rsidRDefault="00B71D60" w:rsidP="00A66BDB">
                          <w:pPr>
                            <w:pStyle w:val="Referentiegegevens"/>
                            <w:numPr>
                              <w:ilvl w:val="0"/>
                              <w:numId w:val="4"/>
                            </w:numPr>
                          </w:pPr>
                          <w:r>
                            <w:t>Rapportage Naar een visie op ondersteuning van kwetsbare gezinnen</w:t>
                          </w:r>
                        </w:p>
                        <w:p w14:paraId="1DC09798" w14:textId="77777777" w:rsidR="00A66BDB" w:rsidRDefault="00B71D60" w:rsidP="00A66BDB">
                          <w:pPr>
                            <w:pStyle w:val="Referentiegegevens"/>
                            <w:numPr>
                              <w:ilvl w:val="0"/>
                              <w:numId w:val="4"/>
                            </w:numPr>
                          </w:pPr>
                          <w:r w:rsidRPr="00810CEE">
                            <w:t>Eindrapport Behoeften Logeer- en Respijtzor</w:t>
                          </w:r>
                          <w:r>
                            <w:t>g</w:t>
                          </w:r>
                        </w:p>
                        <w:p w14:paraId="00846DE7" w14:textId="77777777" w:rsidR="00A66BDB" w:rsidRPr="00810CEE" w:rsidRDefault="00B71D60" w:rsidP="00A66BDB">
                          <w:pPr>
                            <w:pStyle w:val="Referentiegegevens"/>
                            <w:numPr>
                              <w:ilvl w:val="0"/>
                              <w:numId w:val="4"/>
                            </w:numPr>
                          </w:pPr>
                          <w:r>
                            <w:t>Eindrapport Seksueel geweld: uitbuiting &amp; misbruik</w:t>
                          </w:r>
                        </w:p>
                        <w:p w14:paraId="7378D590" w14:textId="77777777" w:rsidR="00215CB5" w:rsidRDefault="00215CB5">
                          <w:pPr>
                            <w:pStyle w:val="Huisstijl-ReferentiegegevenskopW1"/>
                          </w:pPr>
                        </w:p>
                        <w:p w14:paraId="7DA5DA50" w14:textId="77777777" w:rsidR="00CD5856" w:rsidRDefault="00B71D60">
                          <w:pPr>
                            <w:pStyle w:val="Huisstijl-ReferentiegegevenskopW1"/>
                          </w:pPr>
                          <w:r>
                            <w:t>Kenmerk afzender</w:t>
                          </w:r>
                        </w:p>
                        <w:p w14:paraId="5EB5351C" w14:textId="77777777" w:rsidR="00CD5856" w:rsidRDefault="00CD5856">
                          <w:pPr>
                            <w:pStyle w:val="Huisstijl-Referentiegegevens"/>
                          </w:pPr>
                        </w:p>
                        <w:p w14:paraId="68C34B5C" w14:textId="77777777" w:rsidR="00CD5856" w:rsidRDefault="00B71D60">
                          <w:pPr>
                            <w:pStyle w:val="Huisstijl-Algemenevoorwaarden"/>
                          </w:pPr>
                          <w:r>
                            <w:t>Correspondentie uitsluitend richten aan het retouradres met vermelding van de datum en het kenmerk van deze brief.</w:t>
                          </w:r>
                        </w:p>
                        <w:p w14:paraId="272F009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1930F7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8AE7F55" w14:textId="77777777" w:rsidR="00CD5856" w:rsidRDefault="00B71D60">
                    <w:pPr>
                      <w:pStyle w:val="Huisstijl-AfzendgegevensW1"/>
                    </w:pPr>
                    <w:r>
                      <w:t>Bezoekadres</w:t>
                    </w:r>
                  </w:p>
                  <w:p w14:paraId="2957A57D" w14:textId="77777777" w:rsidR="00CD5856" w:rsidRDefault="00B71D60">
                    <w:pPr>
                      <w:pStyle w:val="Huisstijl-Afzendgegevens"/>
                    </w:pPr>
                    <w:r>
                      <w:t>Parnassusplein 5</w:t>
                    </w:r>
                  </w:p>
                  <w:p w14:paraId="22747C70" w14:textId="77777777" w:rsidR="00CD5856" w:rsidRDefault="00B71D60">
                    <w:pPr>
                      <w:pStyle w:val="Huisstijl-Afzendgegevens"/>
                    </w:pPr>
                    <w:r>
                      <w:t>2511</w:t>
                    </w:r>
                    <w:r w:rsidR="008D59C5" w:rsidRPr="008D59C5">
                      <w:t xml:space="preserve"> </w:t>
                    </w:r>
                    <w:r>
                      <w:t>VX</w:t>
                    </w:r>
                    <w:r w:rsidR="00E1490C">
                      <w:t xml:space="preserve">  </w:t>
                    </w:r>
                    <w:r w:rsidR="008D59C5" w:rsidRPr="008D59C5">
                      <w:t>Den Haag</w:t>
                    </w:r>
                  </w:p>
                  <w:p w14:paraId="69D687DC" w14:textId="77777777" w:rsidR="00CD5856" w:rsidRDefault="00B71D60">
                    <w:pPr>
                      <w:pStyle w:val="Huisstijl-Afzendgegevens"/>
                    </w:pPr>
                    <w:r w:rsidRPr="008D59C5">
                      <w:t>www.rijksoverheid.nl</w:t>
                    </w:r>
                  </w:p>
                  <w:p w14:paraId="66270572" w14:textId="77777777" w:rsidR="00CD5856" w:rsidRDefault="00B71D60">
                    <w:pPr>
                      <w:pStyle w:val="Huisstijl-ReferentiegegevenskopW2"/>
                    </w:pPr>
                    <w:r w:rsidRPr="008D59C5">
                      <w:t>Kenmerk</w:t>
                    </w:r>
                  </w:p>
                  <w:p w14:paraId="0208D04B" w14:textId="77777777" w:rsidR="00CD5856" w:rsidRDefault="00B71D60">
                    <w:pPr>
                      <w:pStyle w:val="Huisstijl-Referentiegegevens"/>
                    </w:pPr>
                    <w:bookmarkStart w:id="1" w:name="_Hlk117784077"/>
                    <w:r>
                      <w:t>4421275-1100335-J</w:t>
                    </w:r>
                  </w:p>
                  <w:bookmarkEnd w:id="1"/>
                  <w:p w14:paraId="272B739C" w14:textId="77777777" w:rsidR="00CD5856" w:rsidRPr="002B504F" w:rsidRDefault="00B71D60">
                    <w:pPr>
                      <w:pStyle w:val="Huisstijl-ReferentiegegevenskopW1"/>
                    </w:pPr>
                    <w:r w:rsidRPr="008D59C5">
                      <w:t>Bijlage(n)</w:t>
                    </w:r>
                  </w:p>
                  <w:p w14:paraId="48FF0183" w14:textId="77777777" w:rsidR="00A66BDB" w:rsidRDefault="00B71D60" w:rsidP="00A66BDB">
                    <w:pPr>
                      <w:pStyle w:val="Referentiegegevens"/>
                      <w:numPr>
                        <w:ilvl w:val="0"/>
                        <w:numId w:val="4"/>
                      </w:numPr>
                    </w:pPr>
                    <w:r>
                      <w:t xml:space="preserve">Rapportage Jeugdhulp 2025 </w:t>
                    </w:r>
                  </w:p>
                  <w:p w14:paraId="79E9E743" w14:textId="77777777" w:rsidR="00A66BDB" w:rsidRDefault="00B71D60" w:rsidP="00A66BDB">
                    <w:pPr>
                      <w:pStyle w:val="Referentiegegevens"/>
                      <w:numPr>
                        <w:ilvl w:val="0"/>
                        <w:numId w:val="4"/>
                      </w:numPr>
                    </w:pPr>
                    <w:r>
                      <w:t xml:space="preserve">Rapportage Jeugdbescherming en Jeugdreclassering 2025 </w:t>
                    </w:r>
                  </w:p>
                  <w:p w14:paraId="1D59EC07" w14:textId="77777777" w:rsidR="00A66BDB" w:rsidRDefault="00B71D60" w:rsidP="00A66BDB">
                    <w:pPr>
                      <w:pStyle w:val="Referentiegegevens"/>
                      <w:numPr>
                        <w:ilvl w:val="0"/>
                        <w:numId w:val="4"/>
                      </w:numPr>
                    </w:pPr>
                    <w:r>
                      <w:t>Rapportage Naar een visie op ondersteuning van kwetsbare gezinnen</w:t>
                    </w:r>
                  </w:p>
                  <w:p w14:paraId="1DC09798" w14:textId="77777777" w:rsidR="00A66BDB" w:rsidRDefault="00B71D60" w:rsidP="00A66BDB">
                    <w:pPr>
                      <w:pStyle w:val="Referentiegegevens"/>
                      <w:numPr>
                        <w:ilvl w:val="0"/>
                        <w:numId w:val="4"/>
                      </w:numPr>
                    </w:pPr>
                    <w:r w:rsidRPr="00810CEE">
                      <w:t>Eindrapport Behoeften Logeer- en Respijtzor</w:t>
                    </w:r>
                    <w:r>
                      <w:t>g</w:t>
                    </w:r>
                  </w:p>
                  <w:p w14:paraId="00846DE7" w14:textId="77777777" w:rsidR="00A66BDB" w:rsidRPr="00810CEE" w:rsidRDefault="00B71D60" w:rsidP="00A66BDB">
                    <w:pPr>
                      <w:pStyle w:val="Referentiegegevens"/>
                      <w:numPr>
                        <w:ilvl w:val="0"/>
                        <w:numId w:val="4"/>
                      </w:numPr>
                    </w:pPr>
                    <w:r>
                      <w:t>Eindrapport Seksueel geweld: uitbuiting &amp; misbruik</w:t>
                    </w:r>
                  </w:p>
                  <w:p w14:paraId="7378D590" w14:textId="77777777" w:rsidR="00215CB5" w:rsidRDefault="00215CB5">
                    <w:pPr>
                      <w:pStyle w:val="Huisstijl-ReferentiegegevenskopW1"/>
                    </w:pPr>
                  </w:p>
                  <w:p w14:paraId="7DA5DA50" w14:textId="77777777" w:rsidR="00CD5856" w:rsidRDefault="00B71D60">
                    <w:pPr>
                      <w:pStyle w:val="Huisstijl-ReferentiegegevenskopW1"/>
                    </w:pPr>
                    <w:r>
                      <w:t>Kenmerk afzender</w:t>
                    </w:r>
                  </w:p>
                  <w:p w14:paraId="5EB5351C" w14:textId="77777777" w:rsidR="00CD5856" w:rsidRDefault="00CD5856">
                    <w:pPr>
                      <w:pStyle w:val="Huisstijl-Referentiegegevens"/>
                    </w:pPr>
                  </w:p>
                  <w:p w14:paraId="68C34B5C" w14:textId="77777777" w:rsidR="00CD5856" w:rsidRDefault="00B71D60">
                    <w:pPr>
                      <w:pStyle w:val="Huisstijl-Algemenevoorwaarden"/>
                    </w:pPr>
                    <w:r>
                      <w:t>Correspondentie uitsluitend richten aan het retouradres met vermelding van de datum en het kenmerk van deze brief.</w:t>
                    </w:r>
                  </w:p>
                  <w:p w14:paraId="272F009C"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490B0DB1" wp14:editId="48190941">
              <wp:simplePos x="0" y="0"/>
              <wp:positionH relativeFrom="page">
                <wp:posOffset>1011555</wp:posOffset>
              </wp:positionH>
              <wp:positionV relativeFrom="page">
                <wp:posOffset>3769995</wp:posOffset>
              </wp:positionV>
              <wp:extent cx="4103370" cy="466725"/>
              <wp:effectExtent l="11430" t="7620" r="9525" b="11430"/>
              <wp:wrapNone/>
              <wp:docPr id="117016489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B123033" w14:textId="0A9EAC12" w:rsidR="00CD5856" w:rsidRDefault="00B71D60">
                          <w:pPr>
                            <w:pStyle w:val="Huisstijl-Datumenbetreft"/>
                            <w:tabs>
                              <w:tab w:val="clear" w:pos="737"/>
                              <w:tab w:val="left" w:pos="-5954"/>
                              <w:tab w:val="left" w:pos="-5670"/>
                              <w:tab w:val="left" w:pos="1134"/>
                            </w:tabs>
                          </w:pPr>
                          <w:r>
                            <w:t>Datum</w:t>
                          </w:r>
                          <w:r w:rsidR="00BF6654">
                            <w:t xml:space="preserve">      30 juni 2026</w:t>
                          </w:r>
                        </w:p>
                        <w:p w14:paraId="13CFE108" w14:textId="77777777" w:rsidR="00CD5856" w:rsidRDefault="00B71D60" w:rsidP="00FC24AF">
                          <w:pPr>
                            <w:pStyle w:val="Huisstijl-Datumenbetreft"/>
                            <w:tabs>
                              <w:tab w:val="clear" w:pos="737"/>
                              <w:tab w:val="left" w:pos="-5954"/>
                              <w:tab w:val="left" w:pos="-5670"/>
                              <w:tab w:val="left" w:pos="1134"/>
                            </w:tabs>
                            <w:ind w:left="1020" w:hanging="1020"/>
                          </w:pPr>
                          <w:r>
                            <w:t>Betreft</w:t>
                          </w:r>
                          <w:r w:rsidR="00E1490C">
                            <w:tab/>
                          </w:r>
                          <w:r w:rsidR="00FC24AF">
                            <w:t>Stand van zaken moties en toezeggingen jeugd + aanbieding rapporten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90B0DB1"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B123033" w14:textId="0A9EAC12" w:rsidR="00CD5856" w:rsidRDefault="00B71D60">
                    <w:pPr>
                      <w:pStyle w:val="Huisstijl-Datumenbetreft"/>
                      <w:tabs>
                        <w:tab w:val="clear" w:pos="737"/>
                        <w:tab w:val="left" w:pos="-5954"/>
                        <w:tab w:val="left" w:pos="-5670"/>
                        <w:tab w:val="left" w:pos="1134"/>
                      </w:tabs>
                    </w:pPr>
                    <w:r>
                      <w:t>Datum</w:t>
                    </w:r>
                    <w:r w:rsidR="00BF6654">
                      <w:t xml:space="preserve">      30 juni 2026</w:t>
                    </w:r>
                  </w:p>
                  <w:p w14:paraId="13CFE108" w14:textId="77777777" w:rsidR="00CD5856" w:rsidRDefault="00B71D60" w:rsidP="00FC24AF">
                    <w:pPr>
                      <w:pStyle w:val="Huisstijl-Datumenbetreft"/>
                      <w:tabs>
                        <w:tab w:val="clear" w:pos="737"/>
                        <w:tab w:val="left" w:pos="-5954"/>
                        <w:tab w:val="left" w:pos="-5670"/>
                        <w:tab w:val="left" w:pos="1134"/>
                      </w:tabs>
                      <w:ind w:left="1020" w:hanging="1020"/>
                    </w:pPr>
                    <w:r>
                      <w:t>Betreft</w:t>
                    </w:r>
                    <w:r w:rsidR="00E1490C">
                      <w:tab/>
                    </w:r>
                    <w:r w:rsidR="00FC24AF">
                      <w:t>Stand van zaken moties en toezeggingen jeugd + aanbieding rapporten</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0384E72C" wp14:editId="1CA52D52">
              <wp:simplePos x="0" y="0"/>
              <wp:positionH relativeFrom="page">
                <wp:posOffset>1008380</wp:posOffset>
              </wp:positionH>
              <wp:positionV relativeFrom="page">
                <wp:posOffset>3384550</wp:posOffset>
              </wp:positionV>
              <wp:extent cx="4104005" cy="179705"/>
              <wp:effectExtent l="8255" t="12700" r="12065" b="7620"/>
              <wp:wrapNone/>
              <wp:docPr id="18601729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83E7A2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84E72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83E7A2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7C86E52" wp14:editId="2F3CF6DD">
              <wp:simplePos x="0" y="0"/>
              <wp:positionH relativeFrom="page">
                <wp:posOffset>1008380</wp:posOffset>
              </wp:positionH>
              <wp:positionV relativeFrom="page">
                <wp:posOffset>1944370</wp:posOffset>
              </wp:positionV>
              <wp:extent cx="3347720" cy="1080135"/>
              <wp:effectExtent l="8255" t="10795" r="6350" b="13970"/>
              <wp:wrapNone/>
              <wp:docPr id="124569880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4E7FBC3" w14:textId="77777777" w:rsidR="00CD5856" w:rsidRDefault="00B71D6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C86E5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4E7FBC3" w14:textId="77777777" w:rsidR="00CD5856" w:rsidRDefault="00B71D6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0D7432B" wp14:editId="6D389C04">
              <wp:simplePos x="0" y="0"/>
              <wp:positionH relativeFrom="page">
                <wp:posOffset>1008380</wp:posOffset>
              </wp:positionH>
              <wp:positionV relativeFrom="page">
                <wp:posOffset>1713865</wp:posOffset>
              </wp:positionV>
              <wp:extent cx="3590925" cy="144145"/>
              <wp:effectExtent l="8255" t="8890" r="10795" b="8890"/>
              <wp:wrapNone/>
              <wp:docPr id="180359539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73613EF" w14:textId="77777777" w:rsidR="00CD5856" w:rsidRDefault="00B71D6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0D7432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73613EF" w14:textId="77777777" w:rsidR="00CD5856" w:rsidRDefault="00B71D6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5AAB" w14:textId="77777777" w:rsidR="00CD5856" w:rsidRDefault="00B71D60">
    <w:pPr>
      <w:pStyle w:val="Koptekst"/>
    </w:pPr>
    <w:r>
      <w:rPr>
        <w:noProof/>
        <w:lang w:eastAsia="nl-NL" w:bidi="ar-SA"/>
      </w:rPr>
      <mc:AlternateContent>
        <mc:Choice Requires="wps">
          <w:drawing>
            <wp:anchor distT="0" distB="0" distL="114300" distR="114300" simplePos="0" relativeHeight="251659264" behindDoc="0" locked="0" layoutInCell="1" allowOverlap="1" wp14:anchorId="0AD3A678" wp14:editId="74A6114C">
              <wp:simplePos x="0" y="0"/>
              <wp:positionH relativeFrom="page">
                <wp:posOffset>5922645</wp:posOffset>
              </wp:positionH>
              <wp:positionV relativeFrom="page">
                <wp:posOffset>1936750</wp:posOffset>
              </wp:positionV>
              <wp:extent cx="1259840" cy="8009890"/>
              <wp:effectExtent l="7620" t="12700" r="8890" b="6985"/>
              <wp:wrapNone/>
              <wp:docPr id="761308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97B680" w14:textId="77777777" w:rsidR="00CD5856" w:rsidRDefault="00B71D60">
                          <w:pPr>
                            <w:pStyle w:val="Huisstijl-ReferentiegegevenskopW2"/>
                          </w:pPr>
                          <w:r w:rsidRPr="008D59C5">
                            <w:t>Kenmerk</w:t>
                          </w:r>
                        </w:p>
                        <w:p w14:paraId="72412DD4" w14:textId="77777777" w:rsidR="00C95CA9" w:rsidRPr="00C95CA9" w:rsidRDefault="00B71D60" w:rsidP="00C95CA9">
                          <w:pPr>
                            <w:pStyle w:val="Huisstijl-Referentiegegevens"/>
                          </w:pPr>
                          <w:r w:rsidRPr="00C95CA9">
                            <w:t>4421275-1100335-J</w:t>
                          </w:r>
                        </w:p>
                        <w:p w14:paraId="49881C58"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AD3A67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797B680" w14:textId="77777777" w:rsidR="00CD5856" w:rsidRDefault="00B71D60">
                    <w:pPr>
                      <w:pStyle w:val="Huisstijl-ReferentiegegevenskopW2"/>
                    </w:pPr>
                    <w:r w:rsidRPr="008D59C5">
                      <w:t>Kenmerk</w:t>
                    </w:r>
                  </w:p>
                  <w:p w14:paraId="72412DD4" w14:textId="77777777" w:rsidR="00C95CA9" w:rsidRPr="00C95CA9" w:rsidRDefault="00B71D60" w:rsidP="00C95CA9">
                    <w:pPr>
                      <w:pStyle w:val="Huisstijl-Referentiegegevens"/>
                    </w:pPr>
                    <w:r w:rsidRPr="00C95CA9">
                      <w:t>4421275-1100335-J</w:t>
                    </w:r>
                  </w:p>
                  <w:p w14:paraId="49881C5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1F28A4C" wp14:editId="70B0387C">
              <wp:simplePos x="0" y="0"/>
              <wp:positionH relativeFrom="page">
                <wp:posOffset>5922645</wp:posOffset>
              </wp:positionH>
              <wp:positionV relativeFrom="page">
                <wp:posOffset>10225405</wp:posOffset>
              </wp:positionV>
              <wp:extent cx="1259840" cy="213995"/>
              <wp:effectExtent l="7620" t="5080" r="8890" b="9525"/>
              <wp:wrapNone/>
              <wp:docPr id="17614787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EF10751" w14:textId="7346380D" w:rsidR="00CD5856" w:rsidRDefault="00B71D6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E6A12">
                            <w:fldChar w:fldCharType="begin"/>
                          </w:r>
                          <w:r>
                            <w:instrText xml:space="preserve"> SECTIONPAGES  \* Arabic  \* MERGEFORMAT </w:instrText>
                          </w:r>
                          <w:r w:rsidR="00CE6A12">
                            <w:fldChar w:fldCharType="separate"/>
                          </w:r>
                          <w:r w:rsidR="00331160">
                            <w:rPr>
                              <w:noProof/>
                            </w:rPr>
                            <w:t>11</w:t>
                          </w:r>
                          <w:r w:rsidR="00CE6A12">
                            <w:rPr>
                              <w:noProof/>
                            </w:rPr>
                            <w:fldChar w:fldCharType="end"/>
                          </w:r>
                        </w:p>
                        <w:p w14:paraId="2FB29168" w14:textId="77777777" w:rsidR="00CD5856" w:rsidRDefault="00CD5856"/>
                        <w:p w14:paraId="70811AAB" w14:textId="77777777" w:rsidR="00CD5856" w:rsidRDefault="00CD5856">
                          <w:pPr>
                            <w:pStyle w:val="Huisstijl-Paginanummer"/>
                          </w:pPr>
                        </w:p>
                        <w:p w14:paraId="23E914C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1F28A4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EF10751" w14:textId="7346380D" w:rsidR="00CD5856" w:rsidRDefault="00B71D6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E6A12">
                      <w:fldChar w:fldCharType="begin"/>
                    </w:r>
                    <w:r>
                      <w:instrText xml:space="preserve"> SECTIONPAGES  \* Arabic  \* MERGEFORMAT </w:instrText>
                    </w:r>
                    <w:r w:rsidR="00CE6A12">
                      <w:fldChar w:fldCharType="separate"/>
                    </w:r>
                    <w:r w:rsidR="00331160">
                      <w:rPr>
                        <w:noProof/>
                      </w:rPr>
                      <w:t>11</w:t>
                    </w:r>
                    <w:r w:rsidR="00CE6A12">
                      <w:rPr>
                        <w:noProof/>
                      </w:rPr>
                      <w:fldChar w:fldCharType="end"/>
                    </w:r>
                  </w:p>
                  <w:p w14:paraId="2FB29168" w14:textId="77777777" w:rsidR="00CD5856" w:rsidRDefault="00CD5856"/>
                  <w:p w14:paraId="70811AAB" w14:textId="77777777" w:rsidR="00CD5856" w:rsidRDefault="00CD5856">
                    <w:pPr>
                      <w:pStyle w:val="Huisstijl-Paginanummer"/>
                    </w:pPr>
                  </w:p>
                  <w:p w14:paraId="23E914C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191A" w14:textId="77777777" w:rsidR="00CD5856" w:rsidRDefault="00B71D60">
    <w:pPr>
      <w:pStyle w:val="Koptekst"/>
    </w:pPr>
    <w:r>
      <w:rPr>
        <w:noProof/>
        <w:lang w:eastAsia="nl-NL" w:bidi="ar-SA"/>
      </w:rPr>
      <mc:AlternateContent>
        <mc:Choice Requires="wps">
          <w:drawing>
            <wp:anchor distT="0" distB="0" distL="114300" distR="114300" simplePos="0" relativeHeight="251664384" behindDoc="0" locked="0" layoutInCell="1" allowOverlap="1" wp14:anchorId="3373D3B3" wp14:editId="7D8D4E2B">
              <wp:simplePos x="0" y="0"/>
              <wp:positionH relativeFrom="page">
                <wp:posOffset>1009650</wp:posOffset>
              </wp:positionH>
              <wp:positionV relativeFrom="page">
                <wp:posOffset>3768725</wp:posOffset>
              </wp:positionV>
              <wp:extent cx="4103370" cy="457200"/>
              <wp:effectExtent l="9525" t="6350" r="11430" b="12700"/>
              <wp:wrapTopAndBottom/>
              <wp:docPr id="17507261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C5BDD70" w14:textId="77777777" w:rsidR="00CD5856" w:rsidRDefault="00B71D6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C1628">
                                <w:t>26 juni 2014</w:t>
                              </w:r>
                            </w:sdtContent>
                          </w:sdt>
                        </w:p>
                        <w:p w14:paraId="0B4AC5EB" w14:textId="77777777" w:rsidR="00CD5856" w:rsidRDefault="00B71D60">
                          <w:pPr>
                            <w:pStyle w:val="Huisstijl-Datumenbetreft"/>
                            <w:tabs>
                              <w:tab w:val="left" w:pos="-5954"/>
                              <w:tab w:val="left" w:pos="-5670"/>
                            </w:tabs>
                          </w:pPr>
                          <w:r>
                            <w:t>Betreft</w:t>
                          </w:r>
                          <w:r>
                            <w:tab/>
                          </w:r>
                          <w:proofErr w:type="spellStart"/>
                          <w:r w:rsidR="008D59C5">
                            <w:t>BETREFT</w:t>
                          </w:r>
                          <w:proofErr w:type="spellEnd"/>
                        </w:p>
                        <w:p w14:paraId="4E976CA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373D3B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C5BDD70" w14:textId="77777777" w:rsidR="00CD5856" w:rsidRDefault="00B71D6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C1628">
                          <w:t>26 juni 2014</w:t>
                        </w:r>
                      </w:sdtContent>
                    </w:sdt>
                  </w:p>
                  <w:p w14:paraId="0B4AC5EB" w14:textId="77777777" w:rsidR="00CD5856" w:rsidRDefault="00B71D60">
                    <w:pPr>
                      <w:pStyle w:val="Huisstijl-Datumenbetreft"/>
                      <w:tabs>
                        <w:tab w:val="left" w:pos="-5954"/>
                        <w:tab w:val="left" w:pos="-5670"/>
                      </w:tabs>
                    </w:pPr>
                    <w:r>
                      <w:t>Betreft</w:t>
                    </w:r>
                    <w:r>
                      <w:tab/>
                    </w:r>
                    <w:proofErr w:type="spellStart"/>
                    <w:r w:rsidR="008D59C5">
                      <w:t>BETREFT</w:t>
                    </w:r>
                    <w:proofErr w:type="spellEnd"/>
                  </w:p>
                  <w:p w14:paraId="4E976CA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0FCC726" wp14:editId="6C70DCA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0CD3F44" wp14:editId="1D00FCD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9F024C9" wp14:editId="1CC00FB5">
              <wp:simplePos x="0" y="0"/>
              <wp:positionH relativeFrom="page">
                <wp:posOffset>5922645</wp:posOffset>
              </wp:positionH>
              <wp:positionV relativeFrom="page">
                <wp:posOffset>1964690</wp:posOffset>
              </wp:positionV>
              <wp:extent cx="1259840" cy="8009890"/>
              <wp:effectExtent l="7620" t="12065" r="8890" b="7620"/>
              <wp:wrapNone/>
              <wp:docPr id="35601096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450773" w14:textId="77777777" w:rsidR="00CD5856" w:rsidRDefault="00B71D60">
                          <w:pPr>
                            <w:pStyle w:val="Huisstijl-Afzendgegevens"/>
                          </w:pPr>
                          <w:r w:rsidRPr="008D59C5">
                            <w:t>Rijnstraat 50</w:t>
                          </w:r>
                        </w:p>
                        <w:p w14:paraId="5A3B95AD" w14:textId="77777777" w:rsidR="00CD5856" w:rsidRDefault="00B71D60">
                          <w:pPr>
                            <w:pStyle w:val="Huisstijl-Afzendgegevens"/>
                          </w:pPr>
                          <w:r w:rsidRPr="008D59C5">
                            <w:t>Den Haag</w:t>
                          </w:r>
                        </w:p>
                        <w:p w14:paraId="3AE9F1F4" w14:textId="77777777" w:rsidR="00CD5856" w:rsidRDefault="00B71D60">
                          <w:pPr>
                            <w:pStyle w:val="Huisstijl-Afzendgegevens"/>
                          </w:pPr>
                          <w:r w:rsidRPr="008D59C5">
                            <w:t>www.rijksoverheid.nl</w:t>
                          </w:r>
                        </w:p>
                        <w:p w14:paraId="3BF3EAE4" w14:textId="77777777" w:rsidR="00CD5856" w:rsidRDefault="00B71D60">
                          <w:pPr>
                            <w:pStyle w:val="Huisstijl-AfzendgegevenskopW1"/>
                          </w:pPr>
                          <w:r>
                            <w:t>Contactpersoon</w:t>
                          </w:r>
                        </w:p>
                        <w:p w14:paraId="17871116" w14:textId="77777777" w:rsidR="00CD5856" w:rsidRDefault="00B71D60">
                          <w:pPr>
                            <w:pStyle w:val="Huisstijl-Afzendgegevens"/>
                          </w:pPr>
                          <w:r w:rsidRPr="008D59C5">
                            <w:t>ing. J.A. Ramlal</w:t>
                          </w:r>
                        </w:p>
                        <w:p w14:paraId="33A72DD1" w14:textId="77777777" w:rsidR="00CD5856" w:rsidRDefault="00B71D60">
                          <w:pPr>
                            <w:pStyle w:val="Huisstijl-Afzendgegevens"/>
                          </w:pPr>
                          <w:r w:rsidRPr="008D59C5">
                            <w:t>ja.ramlal@minvws.nl</w:t>
                          </w:r>
                        </w:p>
                        <w:p w14:paraId="2F9586F0" w14:textId="77777777" w:rsidR="00CD5856" w:rsidRDefault="00B71D60">
                          <w:pPr>
                            <w:pStyle w:val="Huisstijl-ReferentiegegevenskopW2"/>
                          </w:pPr>
                          <w:r>
                            <w:t>Ons kenmerk</w:t>
                          </w:r>
                        </w:p>
                        <w:p w14:paraId="16668121" w14:textId="77777777" w:rsidR="00CD5856" w:rsidRDefault="00B71D60">
                          <w:pPr>
                            <w:pStyle w:val="Huisstijl-Referentiegegevens"/>
                          </w:pPr>
                          <w:r>
                            <w:t>KENMERK</w:t>
                          </w:r>
                        </w:p>
                        <w:p w14:paraId="75747D97" w14:textId="77777777" w:rsidR="00CD5856" w:rsidRDefault="00B71D60">
                          <w:pPr>
                            <w:pStyle w:val="Huisstijl-ReferentiegegevenskopW1"/>
                          </w:pPr>
                          <w:r>
                            <w:t>Uw kenmerk</w:t>
                          </w:r>
                        </w:p>
                        <w:p w14:paraId="11030950" w14:textId="77777777" w:rsidR="00CD5856" w:rsidRDefault="00B71D6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F024C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3450773" w14:textId="77777777" w:rsidR="00CD5856" w:rsidRDefault="00B71D60">
                    <w:pPr>
                      <w:pStyle w:val="Huisstijl-Afzendgegevens"/>
                    </w:pPr>
                    <w:r w:rsidRPr="008D59C5">
                      <w:t>Rijnstraat 50</w:t>
                    </w:r>
                  </w:p>
                  <w:p w14:paraId="5A3B95AD" w14:textId="77777777" w:rsidR="00CD5856" w:rsidRDefault="00B71D60">
                    <w:pPr>
                      <w:pStyle w:val="Huisstijl-Afzendgegevens"/>
                    </w:pPr>
                    <w:r w:rsidRPr="008D59C5">
                      <w:t>Den Haag</w:t>
                    </w:r>
                  </w:p>
                  <w:p w14:paraId="3AE9F1F4" w14:textId="77777777" w:rsidR="00CD5856" w:rsidRDefault="00B71D60">
                    <w:pPr>
                      <w:pStyle w:val="Huisstijl-Afzendgegevens"/>
                    </w:pPr>
                    <w:r w:rsidRPr="008D59C5">
                      <w:t>www.rijksoverheid.nl</w:t>
                    </w:r>
                  </w:p>
                  <w:p w14:paraId="3BF3EAE4" w14:textId="77777777" w:rsidR="00CD5856" w:rsidRDefault="00B71D60">
                    <w:pPr>
                      <w:pStyle w:val="Huisstijl-AfzendgegevenskopW1"/>
                    </w:pPr>
                    <w:r>
                      <w:t>Contactpersoon</w:t>
                    </w:r>
                  </w:p>
                  <w:p w14:paraId="17871116" w14:textId="77777777" w:rsidR="00CD5856" w:rsidRDefault="00B71D60">
                    <w:pPr>
                      <w:pStyle w:val="Huisstijl-Afzendgegevens"/>
                    </w:pPr>
                    <w:r w:rsidRPr="008D59C5">
                      <w:t>ing. J.A. Ramlal</w:t>
                    </w:r>
                  </w:p>
                  <w:p w14:paraId="33A72DD1" w14:textId="77777777" w:rsidR="00CD5856" w:rsidRDefault="00B71D60">
                    <w:pPr>
                      <w:pStyle w:val="Huisstijl-Afzendgegevens"/>
                    </w:pPr>
                    <w:r w:rsidRPr="008D59C5">
                      <w:t>ja.ramlal@minvws.nl</w:t>
                    </w:r>
                  </w:p>
                  <w:p w14:paraId="2F9586F0" w14:textId="77777777" w:rsidR="00CD5856" w:rsidRDefault="00B71D60">
                    <w:pPr>
                      <w:pStyle w:val="Huisstijl-ReferentiegegevenskopW2"/>
                    </w:pPr>
                    <w:r>
                      <w:t>Ons kenmerk</w:t>
                    </w:r>
                  </w:p>
                  <w:p w14:paraId="16668121" w14:textId="77777777" w:rsidR="00CD5856" w:rsidRDefault="00B71D60">
                    <w:pPr>
                      <w:pStyle w:val="Huisstijl-Referentiegegevens"/>
                    </w:pPr>
                    <w:r>
                      <w:t>KENMERK</w:t>
                    </w:r>
                  </w:p>
                  <w:p w14:paraId="75747D97" w14:textId="77777777" w:rsidR="00CD5856" w:rsidRDefault="00B71D60">
                    <w:pPr>
                      <w:pStyle w:val="Huisstijl-ReferentiegegevenskopW1"/>
                    </w:pPr>
                    <w:r>
                      <w:t>Uw kenmerk</w:t>
                    </w:r>
                  </w:p>
                  <w:p w14:paraId="11030950" w14:textId="77777777" w:rsidR="00CD5856" w:rsidRDefault="00B71D6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F2760AF" wp14:editId="74B4C973">
              <wp:simplePos x="0" y="0"/>
              <wp:positionH relativeFrom="page">
                <wp:posOffset>1008380</wp:posOffset>
              </wp:positionH>
              <wp:positionV relativeFrom="page">
                <wp:posOffset>1942465</wp:posOffset>
              </wp:positionV>
              <wp:extent cx="2988310" cy="1080135"/>
              <wp:effectExtent l="8255" t="8890" r="13335" b="6350"/>
              <wp:wrapNone/>
              <wp:docPr id="17311916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D18429D" w14:textId="77777777" w:rsidR="00CD5856" w:rsidRDefault="00B71D6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2760A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D18429D" w14:textId="77777777" w:rsidR="00CD5856" w:rsidRDefault="00B71D6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6A1439A" wp14:editId="03AB4A7C">
              <wp:simplePos x="0" y="0"/>
              <wp:positionH relativeFrom="page">
                <wp:posOffset>5922645</wp:posOffset>
              </wp:positionH>
              <wp:positionV relativeFrom="page">
                <wp:posOffset>10224770</wp:posOffset>
              </wp:positionV>
              <wp:extent cx="730885" cy="107950"/>
              <wp:effectExtent l="7620" t="13970" r="13970" b="11430"/>
              <wp:wrapNone/>
              <wp:docPr id="105924413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F3F7488" w14:textId="77777777" w:rsidR="00CD5856" w:rsidRDefault="00B71D6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A1439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F3F7488" w14:textId="77777777" w:rsidR="00CD5856" w:rsidRDefault="00B71D6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D551ADC" wp14:editId="24F46362">
              <wp:simplePos x="0" y="0"/>
              <wp:positionH relativeFrom="page">
                <wp:posOffset>1008380</wp:posOffset>
              </wp:positionH>
              <wp:positionV relativeFrom="page">
                <wp:posOffset>3384550</wp:posOffset>
              </wp:positionV>
              <wp:extent cx="4104005" cy="179705"/>
              <wp:effectExtent l="8255" t="12700" r="12065" b="7620"/>
              <wp:wrapNone/>
              <wp:docPr id="152994770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2F35EF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551AD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2F35EF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E956AF0" wp14:editId="553445D7">
              <wp:simplePos x="0" y="0"/>
              <wp:positionH relativeFrom="page">
                <wp:posOffset>1008380</wp:posOffset>
              </wp:positionH>
              <wp:positionV relativeFrom="page">
                <wp:posOffset>1715135</wp:posOffset>
              </wp:positionV>
              <wp:extent cx="3590925" cy="144145"/>
              <wp:effectExtent l="8255" t="10160" r="10795" b="7620"/>
              <wp:wrapNone/>
              <wp:docPr id="161977851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FB74A2C" w14:textId="77777777" w:rsidR="00CD5856" w:rsidRDefault="00B71D6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956AF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FB74A2C" w14:textId="77777777" w:rsidR="00CD5856" w:rsidRDefault="00B71D6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EDC"/>
    <w:multiLevelType w:val="hybridMultilevel"/>
    <w:tmpl w:val="8218304A"/>
    <w:lvl w:ilvl="0" w:tplc="FCCA9180">
      <w:start w:val="4"/>
      <w:numFmt w:val="bullet"/>
      <w:lvlText w:val="-"/>
      <w:lvlJc w:val="left"/>
      <w:pPr>
        <w:ind w:left="720" w:hanging="360"/>
      </w:pPr>
      <w:rPr>
        <w:rFonts w:ascii="Verdana" w:eastAsia="DejaVu Sans" w:hAnsi="Verdana" w:cs="Lohit Hindi" w:hint="default"/>
      </w:rPr>
    </w:lvl>
    <w:lvl w:ilvl="1" w:tplc="739EF54A" w:tentative="1">
      <w:start w:val="1"/>
      <w:numFmt w:val="bullet"/>
      <w:lvlText w:val="o"/>
      <w:lvlJc w:val="left"/>
      <w:pPr>
        <w:ind w:left="1440" w:hanging="360"/>
      </w:pPr>
      <w:rPr>
        <w:rFonts w:ascii="Courier New" w:hAnsi="Courier New" w:cs="Courier New" w:hint="default"/>
      </w:rPr>
    </w:lvl>
    <w:lvl w:ilvl="2" w:tplc="A1D8567A" w:tentative="1">
      <w:start w:val="1"/>
      <w:numFmt w:val="bullet"/>
      <w:lvlText w:val=""/>
      <w:lvlJc w:val="left"/>
      <w:pPr>
        <w:ind w:left="2160" w:hanging="360"/>
      </w:pPr>
      <w:rPr>
        <w:rFonts w:ascii="Wingdings" w:hAnsi="Wingdings" w:hint="default"/>
      </w:rPr>
    </w:lvl>
    <w:lvl w:ilvl="3" w:tplc="E13084F8" w:tentative="1">
      <w:start w:val="1"/>
      <w:numFmt w:val="bullet"/>
      <w:lvlText w:val=""/>
      <w:lvlJc w:val="left"/>
      <w:pPr>
        <w:ind w:left="2880" w:hanging="360"/>
      </w:pPr>
      <w:rPr>
        <w:rFonts w:ascii="Symbol" w:hAnsi="Symbol" w:hint="default"/>
      </w:rPr>
    </w:lvl>
    <w:lvl w:ilvl="4" w:tplc="B6BE14F0" w:tentative="1">
      <w:start w:val="1"/>
      <w:numFmt w:val="bullet"/>
      <w:lvlText w:val="o"/>
      <w:lvlJc w:val="left"/>
      <w:pPr>
        <w:ind w:left="3600" w:hanging="360"/>
      </w:pPr>
      <w:rPr>
        <w:rFonts w:ascii="Courier New" w:hAnsi="Courier New" w:cs="Courier New" w:hint="default"/>
      </w:rPr>
    </w:lvl>
    <w:lvl w:ilvl="5" w:tplc="87B83E24" w:tentative="1">
      <w:start w:val="1"/>
      <w:numFmt w:val="bullet"/>
      <w:lvlText w:val=""/>
      <w:lvlJc w:val="left"/>
      <w:pPr>
        <w:ind w:left="4320" w:hanging="360"/>
      </w:pPr>
      <w:rPr>
        <w:rFonts w:ascii="Wingdings" w:hAnsi="Wingdings" w:hint="default"/>
      </w:rPr>
    </w:lvl>
    <w:lvl w:ilvl="6" w:tplc="5262D06E" w:tentative="1">
      <w:start w:val="1"/>
      <w:numFmt w:val="bullet"/>
      <w:lvlText w:val=""/>
      <w:lvlJc w:val="left"/>
      <w:pPr>
        <w:ind w:left="5040" w:hanging="360"/>
      </w:pPr>
      <w:rPr>
        <w:rFonts w:ascii="Symbol" w:hAnsi="Symbol" w:hint="default"/>
      </w:rPr>
    </w:lvl>
    <w:lvl w:ilvl="7" w:tplc="933CD1EE" w:tentative="1">
      <w:start w:val="1"/>
      <w:numFmt w:val="bullet"/>
      <w:lvlText w:val="o"/>
      <w:lvlJc w:val="left"/>
      <w:pPr>
        <w:ind w:left="5760" w:hanging="360"/>
      </w:pPr>
      <w:rPr>
        <w:rFonts w:ascii="Courier New" w:hAnsi="Courier New" w:cs="Courier New" w:hint="default"/>
      </w:rPr>
    </w:lvl>
    <w:lvl w:ilvl="8" w:tplc="43349F5E" w:tentative="1">
      <w:start w:val="1"/>
      <w:numFmt w:val="bullet"/>
      <w:lvlText w:val=""/>
      <w:lvlJc w:val="left"/>
      <w:pPr>
        <w:ind w:left="6480" w:hanging="360"/>
      </w:pPr>
      <w:rPr>
        <w:rFonts w:ascii="Wingdings" w:hAnsi="Wingdings" w:hint="default"/>
      </w:rPr>
    </w:lvl>
  </w:abstractNum>
  <w:abstractNum w:abstractNumId="1" w15:restartNumberingAfterBreak="0">
    <w:nsid w:val="0F636A7A"/>
    <w:multiLevelType w:val="hybridMultilevel"/>
    <w:tmpl w:val="0EC4C4BC"/>
    <w:lvl w:ilvl="0" w:tplc="CAB07F74">
      <w:start w:val="1"/>
      <w:numFmt w:val="decimal"/>
      <w:lvlText w:val="%1."/>
      <w:lvlJc w:val="left"/>
      <w:pPr>
        <w:ind w:left="360" w:hanging="360"/>
      </w:pPr>
      <w:rPr>
        <w:rFonts w:hint="default"/>
      </w:rPr>
    </w:lvl>
    <w:lvl w:ilvl="1" w:tplc="2DA2E830" w:tentative="1">
      <w:start w:val="1"/>
      <w:numFmt w:val="lowerLetter"/>
      <w:lvlText w:val="%2."/>
      <w:lvlJc w:val="left"/>
      <w:pPr>
        <w:ind w:left="1080" w:hanging="360"/>
      </w:pPr>
    </w:lvl>
    <w:lvl w:ilvl="2" w:tplc="0A001016" w:tentative="1">
      <w:start w:val="1"/>
      <w:numFmt w:val="lowerRoman"/>
      <w:lvlText w:val="%3."/>
      <w:lvlJc w:val="right"/>
      <w:pPr>
        <w:ind w:left="1800" w:hanging="180"/>
      </w:pPr>
    </w:lvl>
    <w:lvl w:ilvl="3" w:tplc="8FC4D47A" w:tentative="1">
      <w:start w:val="1"/>
      <w:numFmt w:val="decimal"/>
      <w:lvlText w:val="%4."/>
      <w:lvlJc w:val="left"/>
      <w:pPr>
        <w:ind w:left="2520" w:hanging="360"/>
      </w:pPr>
    </w:lvl>
    <w:lvl w:ilvl="4" w:tplc="0A00E06E" w:tentative="1">
      <w:start w:val="1"/>
      <w:numFmt w:val="lowerLetter"/>
      <w:lvlText w:val="%5."/>
      <w:lvlJc w:val="left"/>
      <w:pPr>
        <w:ind w:left="3240" w:hanging="360"/>
      </w:pPr>
    </w:lvl>
    <w:lvl w:ilvl="5" w:tplc="689452A8" w:tentative="1">
      <w:start w:val="1"/>
      <w:numFmt w:val="lowerRoman"/>
      <w:lvlText w:val="%6."/>
      <w:lvlJc w:val="right"/>
      <w:pPr>
        <w:ind w:left="3960" w:hanging="180"/>
      </w:pPr>
    </w:lvl>
    <w:lvl w:ilvl="6" w:tplc="4F20F0AA" w:tentative="1">
      <w:start w:val="1"/>
      <w:numFmt w:val="decimal"/>
      <w:lvlText w:val="%7."/>
      <w:lvlJc w:val="left"/>
      <w:pPr>
        <w:ind w:left="4680" w:hanging="360"/>
      </w:pPr>
    </w:lvl>
    <w:lvl w:ilvl="7" w:tplc="595CB7C0" w:tentative="1">
      <w:start w:val="1"/>
      <w:numFmt w:val="lowerLetter"/>
      <w:lvlText w:val="%8."/>
      <w:lvlJc w:val="left"/>
      <w:pPr>
        <w:ind w:left="5400" w:hanging="360"/>
      </w:pPr>
    </w:lvl>
    <w:lvl w:ilvl="8" w:tplc="EFCA9D2C" w:tentative="1">
      <w:start w:val="1"/>
      <w:numFmt w:val="lowerRoman"/>
      <w:lvlText w:val="%9."/>
      <w:lvlJc w:val="right"/>
      <w:pPr>
        <w:ind w:left="6120" w:hanging="180"/>
      </w:pPr>
    </w:lvl>
  </w:abstractNum>
  <w:abstractNum w:abstractNumId="2" w15:restartNumberingAfterBreak="0">
    <w:nsid w:val="558A576F"/>
    <w:multiLevelType w:val="hybridMultilevel"/>
    <w:tmpl w:val="DB8AF5D4"/>
    <w:lvl w:ilvl="0" w:tplc="7FEE545A">
      <w:numFmt w:val="bullet"/>
      <w:lvlText w:val=""/>
      <w:lvlJc w:val="left"/>
      <w:pPr>
        <w:ind w:left="720" w:hanging="360"/>
      </w:pPr>
      <w:rPr>
        <w:rFonts w:ascii="Wingdings" w:eastAsia="DejaVu Sans" w:hAnsi="Wingdings" w:cs="Lohit Hindi" w:hint="default"/>
      </w:rPr>
    </w:lvl>
    <w:lvl w:ilvl="1" w:tplc="8D5A1D86" w:tentative="1">
      <w:start w:val="1"/>
      <w:numFmt w:val="bullet"/>
      <w:lvlText w:val="o"/>
      <w:lvlJc w:val="left"/>
      <w:pPr>
        <w:ind w:left="1440" w:hanging="360"/>
      </w:pPr>
      <w:rPr>
        <w:rFonts w:ascii="Courier New" w:hAnsi="Courier New" w:cs="Courier New" w:hint="default"/>
      </w:rPr>
    </w:lvl>
    <w:lvl w:ilvl="2" w:tplc="EC1A3F88" w:tentative="1">
      <w:start w:val="1"/>
      <w:numFmt w:val="bullet"/>
      <w:lvlText w:val=""/>
      <w:lvlJc w:val="left"/>
      <w:pPr>
        <w:ind w:left="2160" w:hanging="360"/>
      </w:pPr>
      <w:rPr>
        <w:rFonts w:ascii="Wingdings" w:hAnsi="Wingdings" w:hint="default"/>
      </w:rPr>
    </w:lvl>
    <w:lvl w:ilvl="3" w:tplc="D0D2BECA" w:tentative="1">
      <w:start w:val="1"/>
      <w:numFmt w:val="bullet"/>
      <w:lvlText w:val=""/>
      <w:lvlJc w:val="left"/>
      <w:pPr>
        <w:ind w:left="2880" w:hanging="360"/>
      </w:pPr>
      <w:rPr>
        <w:rFonts w:ascii="Symbol" w:hAnsi="Symbol" w:hint="default"/>
      </w:rPr>
    </w:lvl>
    <w:lvl w:ilvl="4" w:tplc="EF0AFEE4" w:tentative="1">
      <w:start w:val="1"/>
      <w:numFmt w:val="bullet"/>
      <w:lvlText w:val="o"/>
      <w:lvlJc w:val="left"/>
      <w:pPr>
        <w:ind w:left="3600" w:hanging="360"/>
      </w:pPr>
      <w:rPr>
        <w:rFonts w:ascii="Courier New" w:hAnsi="Courier New" w:cs="Courier New" w:hint="default"/>
      </w:rPr>
    </w:lvl>
    <w:lvl w:ilvl="5" w:tplc="1F904C64" w:tentative="1">
      <w:start w:val="1"/>
      <w:numFmt w:val="bullet"/>
      <w:lvlText w:val=""/>
      <w:lvlJc w:val="left"/>
      <w:pPr>
        <w:ind w:left="4320" w:hanging="360"/>
      </w:pPr>
      <w:rPr>
        <w:rFonts w:ascii="Wingdings" w:hAnsi="Wingdings" w:hint="default"/>
      </w:rPr>
    </w:lvl>
    <w:lvl w:ilvl="6" w:tplc="23061D0C" w:tentative="1">
      <w:start w:val="1"/>
      <w:numFmt w:val="bullet"/>
      <w:lvlText w:val=""/>
      <w:lvlJc w:val="left"/>
      <w:pPr>
        <w:ind w:left="5040" w:hanging="360"/>
      </w:pPr>
      <w:rPr>
        <w:rFonts w:ascii="Symbol" w:hAnsi="Symbol" w:hint="default"/>
      </w:rPr>
    </w:lvl>
    <w:lvl w:ilvl="7" w:tplc="D842F4D6" w:tentative="1">
      <w:start w:val="1"/>
      <w:numFmt w:val="bullet"/>
      <w:lvlText w:val="o"/>
      <w:lvlJc w:val="left"/>
      <w:pPr>
        <w:ind w:left="5760" w:hanging="360"/>
      </w:pPr>
      <w:rPr>
        <w:rFonts w:ascii="Courier New" w:hAnsi="Courier New" w:cs="Courier New" w:hint="default"/>
      </w:rPr>
    </w:lvl>
    <w:lvl w:ilvl="8" w:tplc="70BA2AB6" w:tentative="1">
      <w:start w:val="1"/>
      <w:numFmt w:val="bullet"/>
      <w:lvlText w:val=""/>
      <w:lvlJc w:val="left"/>
      <w:pPr>
        <w:ind w:left="6480" w:hanging="360"/>
      </w:pPr>
      <w:rPr>
        <w:rFonts w:ascii="Wingdings" w:hAnsi="Wingdings" w:hint="default"/>
      </w:rPr>
    </w:lvl>
  </w:abstractNum>
  <w:abstractNum w:abstractNumId="3" w15:restartNumberingAfterBreak="0">
    <w:nsid w:val="7E3F0069"/>
    <w:multiLevelType w:val="hybridMultilevel"/>
    <w:tmpl w:val="C632EBA2"/>
    <w:lvl w:ilvl="0" w:tplc="C5362D78">
      <w:start w:val="13"/>
      <w:numFmt w:val="bullet"/>
      <w:lvlText w:val="-"/>
      <w:lvlJc w:val="left"/>
      <w:pPr>
        <w:ind w:left="720" w:hanging="360"/>
      </w:pPr>
      <w:rPr>
        <w:rFonts w:ascii="Calibri Light" w:eastAsiaTheme="minorHAnsi" w:hAnsi="Calibri Light" w:cs="Calibri Light" w:hint="default"/>
      </w:rPr>
    </w:lvl>
    <w:lvl w:ilvl="1" w:tplc="B6A4283C">
      <w:start w:val="1"/>
      <w:numFmt w:val="bullet"/>
      <w:lvlText w:val="o"/>
      <w:lvlJc w:val="left"/>
      <w:pPr>
        <w:ind w:left="1440" w:hanging="360"/>
      </w:pPr>
      <w:rPr>
        <w:rFonts w:ascii="Courier New" w:hAnsi="Courier New" w:cs="Courier New" w:hint="default"/>
      </w:rPr>
    </w:lvl>
    <w:lvl w:ilvl="2" w:tplc="D3D4FC44" w:tentative="1">
      <w:start w:val="1"/>
      <w:numFmt w:val="bullet"/>
      <w:lvlText w:val=""/>
      <w:lvlJc w:val="left"/>
      <w:pPr>
        <w:ind w:left="2160" w:hanging="360"/>
      </w:pPr>
      <w:rPr>
        <w:rFonts w:ascii="Wingdings" w:hAnsi="Wingdings" w:hint="default"/>
      </w:rPr>
    </w:lvl>
    <w:lvl w:ilvl="3" w:tplc="64D22BAA" w:tentative="1">
      <w:start w:val="1"/>
      <w:numFmt w:val="bullet"/>
      <w:lvlText w:val=""/>
      <w:lvlJc w:val="left"/>
      <w:pPr>
        <w:ind w:left="2880" w:hanging="360"/>
      </w:pPr>
      <w:rPr>
        <w:rFonts w:ascii="Symbol" w:hAnsi="Symbol" w:hint="default"/>
      </w:rPr>
    </w:lvl>
    <w:lvl w:ilvl="4" w:tplc="92A678FA" w:tentative="1">
      <w:start w:val="1"/>
      <w:numFmt w:val="bullet"/>
      <w:lvlText w:val="o"/>
      <w:lvlJc w:val="left"/>
      <w:pPr>
        <w:ind w:left="3600" w:hanging="360"/>
      </w:pPr>
      <w:rPr>
        <w:rFonts w:ascii="Courier New" w:hAnsi="Courier New" w:cs="Courier New" w:hint="default"/>
      </w:rPr>
    </w:lvl>
    <w:lvl w:ilvl="5" w:tplc="A76C5FF8" w:tentative="1">
      <w:start w:val="1"/>
      <w:numFmt w:val="bullet"/>
      <w:lvlText w:val=""/>
      <w:lvlJc w:val="left"/>
      <w:pPr>
        <w:ind w:left="4320" w:hanging="360"/>
      </w:pPr>
      <w:rPr>
        <w:rFonts w:ascii="Wingdings" w:hAnsi="Wingdings" w:hint="default"/>
      </w:rPr>
    </w:lvl>
    <w:lvl w:ilvl="6" w:tplc="4A9009CC" w:tentative="1">
      <w:start w:val="1"/>
      <w:numFmt w:val="bullet"/>
      <w:lvlText w:val=""/>
      <w:lvlJc w:val="left"/>
      <w:pPr>
        <w:ind w:left="5040" w:hanging="360"/>
      </w:pPr>
      <w:rPr>
        <w:rFonts w:ascii="Symbol" w:hAnsi="Symbol" w:hint="default"/>
      </w:rPr>
    </w:lvl>
    <w:lvl w:ilvl="7" w:tplc="330A71A8" w:tentative="1">
      <w:start w:val="1"/>
      <w:numFmt w:val="bullet"/>
      <w:lvlText w:val="o"/>
      <w:lvlJc w:val="left"/>
      <w:pPr>
        <w:ind w:left="5760" w:hanging="360"/>
      </w:pPr>
      <w:rPr>
        <w:rFonts w:ascii="Courier New" w:hAnsi="Courier New" w:cs="Courier New" w:hint="default"/>
      </w:rPr>
    </w:lvl>
    <w:lvl w:ilvl="8" w:tplc="98A21968" w:tentative="1">
      <w:start w:val="1"/>
      <w:numFmt w:val="bullet"/>
      <w:lvlText w:val=""/>
      <w:lvlJc w:val="left"/>
      <w:pPr>
        <w:ind w:left="6480" w:hanging="360"/>
      </w:pPr>
      <w:rPr>
        <w:rFonts w:ascii="Wingdings" w:hAnsi="Wingdings" w:hint="default"/>
      </w:rPr>
    </w:lvl>
  </w:abstractNum>
  <w:num w:numId="1" w16cid:durableId="1305043581">
    <w:abstractNumId w:val="2"/>
  </w:num>
  <w:num w:numId="2" w16cid:durableId="1307050253">
    <w:abstractNumId w:val="3"/>
  </w:num>
  <w:num w:numId="3" w16cid:durableId="1340546513">
    <w:abstractNumId w:val="0"/>
  </w:num>
  <w:num w:numId="4" w16cid:durableId="447044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0F1D"/>
    <w:rsid w:val="0003297A"/>
    <w:rsid w:val="00034261"/>
    <w:rsid w:val="000344CB"/>
    <w:rsid w:val="00050D5B"/>
    <w:rsid w:val="000914FE"/>
    <w:rsid w:val="000A151F"/>
    <w:rsid w:val="000B107F"/>
    <w:rsid w:val="000B1832"/>
    <w:rsid w:val="000B45B1"/>
    <w:rsid w:val="000C1628"/>
    <w:rsid w:val="000C29E1"/>
    <w:rsid w:val="000C4A40"/>
    <w:rsid w:val="000C4BF9"/>
    <w:rsid w:val="000C5584"/>
    <w:rsid w:val="000D0CCB"/>
    <w:rsid w:val="000D6D8A"/>
    <w:rsid w:val="000E2F12"/>
    <w:rsid w:val="000E54B6"/>
    <w:rsid w:val="00113778"/>
    <w:rsid w:val="00125BDF"/>
    <w:rsid w:val="00127F81"/>
    <w:rsid w:val="00140D89"/>
    <w:rsid w:val="00145D25"/>
    <w:rsid w:val="00172CD9"/>
    <w:rsid w:val="00174CA0"/>
    <w:rsid w:val="001A5192"/>
    <w:rsid w:val="001B41E1"/>
    <w:rsid w:val="001B6560"/>
    <w:rsid w:val="001B7303"/>
    <w:rsid w:val="001D6796"/>
    <w:rsid w:val="00215CB5"/>
    <w:rsid w:val="002272FE"/>
    <w:rsid w:val="00232F90"/>
    <w:rsid w:val="00235AED"/>
    <w:rsid w:val="00241BB9"/>
    <w:rsid w:val="0025584F"/>
    <w:rsid w:val="00292589"/>
    <w:rsid w:val="00297795"/>
    <w:rsid w:val="002A2D0A"/>
    <w:rsid w:val="002B1D9F"/>
    <w:rsid w:val="002B504F"/>
    <w:rsid w:val="002D4137"/>
    <w:rsid w:val="002D74E8"/>
    <w:rsid w:val="002E12F5"/>
    <w:rsid w:val="002E394D"/>
    <w:rsid w:val="002F4886"/>
    <w:rsid w:val="002F6527"/>
    <w:rsid w:val="003033DE"/>
    <w:rsid w:val="0030558A"/>
    <w:rsid w:val="00316B49"/>
    <w:rsid w:val="00325D32"/>
    <w:rsid w:val="00331160"/>
    <w:rsid w:val="00334C45"/>
    <w:rsid w:val="003451E2"/>
    <w:rsid w:val="00347F1B"/>
    <w:rsid w:val="00350FE7"/>
    <w:rsid w:val="00363E36"/>
    <w:rsid w:val="003B287C"/>
    <w:rsid w:val="003B48D4"/>
    <w:rsid w:val="003C472B"/>
    <w:rsid w:val="003C5F17"/>
    <w:rsid w:val="003C6ED5"/>
    <w:rsid w:val="003C700C"/>
    <w:rsid w:val="003C70B1"/>
    <w:rsid w:val="003C7185"/>
    <w:rsid w:val="003D27F8"/>
    <w:rsid w:val="003F3A47"/>
    <w:rsid w:val="00407C09"/>
    <w:rsid w:val="0043480A"/>
    <w:rsid w:val="00435B02"/>
    <w:rsid w:val="00437B5F"/>
    <w:rsid w:val="00445B3A"/>
    <w:rsid w:val="004509BE"/>
    <w:rsid w:val="0045486D"/>
    <w:rsid w:val="00463DBC"/>
    <w:rsid w:val="00464297"/>
    <w:rsid w:val="004934A8"/>
    <w:rsid w:val="004B7139"/>
    <w:rsid w:val="004C7B4F"/>
    <w:rsid w:val="004D1A40"/>
    <w:rsid w:val="004D35C6"/>
    <w:rsid w:val="004D3A99"/>
    <w:rsid w:val="004E510F"/>
    <w:rsid w:val="004E545D"/>
    <w:rsid w:val="004F0B09"/>
    <w:rsid w:val="0050335A"/>
    <w:rsid w:val="00510ACC"/>
    <w:rsid w:val="00512C0E"/>
    <w:rsid w:val="00513185"/>
    <w:rsid w:val="00516D6A"/>
    <w:rsid w:val="00522B63"/>
    <w:rsid w:val="00523C02"/>
    <w:rsid w:val="005370AF"/>
    <w:rsid w:val="00544135"/>
    <w:rsid w:val="00547D35"/>
    <w:rsid w:val="005554F1"/>
    <w:rsid w:val="005600D7"/>
    <w:rsid w:val="00563C0E"/>
    <w:rsid w:val="005677D6"/>
    <w:rsid w:val="0058181D"/>
    <w:rsid w:val="00582E97"/>
    <w:rsid w:val="00583598"/>
    <w:rsid w:val="00587714"/>
    <w:rsid w:val="005A24BB"/>
    <w:rsid w:val="005A474F"/>
    <w:rsid w:val="005C3CD4"/>
    <w:rsid w:val="005C6A17"/>
    <w:rsid w:val="005D327A"/>
    <w:rsid w:val="005D485A"/>
    <w:rsid w:val="005E543E"/>
    <w:rsid w:val="005F14A7"/>
    <w:rsid w:val="005F2757"/>
    <w:rsid w:val="006134E8"/>
    <w:rsid w:val="0062271A"/>
    <w:rsid w:val="0063555A"/>
    <w:rsid w:val="00635C91"/>
    <w:rsid w:val="006406D0"/>
    <w:rsid w:val="00646B8C"/>
    <w:rsid w:val="006470C5"/>
    <w:rsid w:val="006539F7"/>
    <w:rsid w:val="00663A8C"/>
    <w:rsid w:val="00686885"/>
    <w:rsid w:val="006922AC"/>
    <w:rsid w:val="00697032"/>
    <w:rsid w:val="006A3916"/>
    <w:rsid w:val="006B057B"/>
    <w:rsid w:val="006B16C1"/>
    <w:rsid w:val="006C4B7C"/>
    <w:rsid w:val="006C6C3D"/>
    <w:rsid w:val="006D2FFB"/>
    <w:rsid w:val="006D3676"/>
    <w:rsid w:val="006E79AB"/>
    <w:rsid w:val="0074764C"/>
    <w:rsid w:val="00763E81"/>
    <w:rsid w:val="00773B67"/>
    <w:rsid w:val="00776965"/>
    <w:rsid w:val="00796918"/>
    <w:rsid w:val="007A4F37"/>
    <w:rsid w:val="007B028B"/>
    <w:rsid w:val="007B077D"/>
    <w:rsid w:val="007B6A41"/>
    <w:rsid w:val="007C5C96"/>
    <w:rsid w:val="007C7358"/>
    <w:rsid w:val="007D0F21"/>
    <w:rsid w:val="007D23C6"/>
    <w:rsid w:val="007D3872"/>
    <w:rsid w:val="007E36BA"/>
    <w:rsid w:val="007F380D"/>
    <w:rsid w:val="007F4A98"/>
    <w:rsid w:val="00807A00"/>
    <w:rsid w:val="00810CEE"/>
    <w:rsid w:val="00814A2A"/>
    <w:rsid w:val="00820E9A"/>
    <w:rsid w:val="008500CC"/>
    <w:rsid w:val="00851BE6"/>
    <w:rsid w:val="00861C93"/>
    <w:rsid w:val="008620DD"/>
    <w:rsid w:val="008630B3"/>
    <w:rsid w:val="0087691C"/>
    <w:rsid w:val="008929BB"/>
    <w:rsid w:val="00893C24"/>
    <w:rsid w:val="008A21F4"/>
    <w:rsid w:val="008D20AD"/>
    <w:rsid w:val="008D59C5"/>
    <w:rsid w:val="008D618A"/>
    <w:rsid w:val="008D673A"/>
    <w:rsid w:val="008E210E"/>
    <w:rsid w:val="008E4B89"/>
    <w:rsid w:val="008F33AD"/>
    <w:rsid w:val="008F3F06"/>
    <w:rsid w:val="008F7AC2"/>
    <w:rsid w:val="00905753"/>
    <w:rsid w:val="00906E53"/>
    <w:rsid w:val="00911AC1"/>
    <w:rsid w:val="0092029F"/>
    <w:rsid w:val="00926A21"/>
    <w:rsid w:val="009340C6"/>
    <w:rsid w:val="00936135"/>
    <w:rsid w:val="00960E2B"/>
    <w:rsid w:val="009702C7"/>
    <w:rsid w:val="00985A65"/>
    <w:rsid w:val="00986221"/>
    <w:rsid w:val="009919E8"/>
    <w:rsid w:val="009A31BF"/>
    <w:rsid w:val="009B063E"/>
    <w:rsid w:val="009B2459"/>
    <w:rsid w:val="009B4B85"/>
    <w:rsid w:val="009C4777"/>
    <w:rsid w:val="009D244B"/>
    <w:rsid w:val="009D3C77"/>
    <w:rsid w:val="009D7D63"/>
    <w:rsid w:val="009F419D"/>
    <w:rsid w:val="00A21099"/>
    <w:rsid w:val="00A27612"/>
    <w:rsid w:val="00A44EAA"/>
    <w:rsid w:val="00A52DBE"/>
    <w:rsid w:val="00A66BDB"/>
    <w:rsid w:val="00A83BE3"/>
    <w:rsid w:val="00AA61EA"/>
    <w:rsid w:val="00AE09D7"/>
    <w:rsid w:val="00AF2759"/>
    <w:rsid w:val="00AF6A5E"/>
    <w:rsid w:val="00AF6BEC"/>
    <w:rsid w:val="00B1261B"/>
    <w:rsid w:val="00B302A8"/>
    <w:rsid w:val="00B36671"/>
    <w:rsid w:val="00B408D8"/>
    <w:rsid w:val="00B5129C"/>
    <w:rsid w:val="00B62DB5"/>
    <w:rsid w:val="00B67933"/>
    <w:rsid w:val="00B7052D"/>
    <w:rsid w:val="00B71D60"/>
    <w:rsid w:val="00B7317E"/>
    <w:rsid w:val="00B810C8"/>
    <w:rsid w:val="00B8296E"/>
    <w:rsid w:val="00B82F43"/>
    <w:rsid w:val="00B86A22"/>
    <w:rsid w:val="00B95BFC"/>
    <w:rsid w:val="00BA7566"/>
    <w:rsid w:val="00BB3E46"/>
    <w:rsid w:val="00BC481F"/>
    <w:rsid w:val="00BC57BC"/>
    <w:rsid w:val="00BD75C1"/>
    <w:rsid w:val="00BF302D"/>
    <w:rsid w:val="00BF364C"/>
    <w:rsid w:val="00BF53FE"/>
    <w:rsid w:val="00BF6654"/>
    <w:rsid w:val="00C07BF9"/>
    <w:rsid w:val="00C13008"/>
    <w:rsid w:val="00C2495D"/>
    <w:rsid w:val="00C3438D"/>
    <w:rsid w:val="00C6192F"/>
    <w:rsid w:val="00C62B6C"/>
    <w:rsid w:val="00C62EC4"/>
    <w:rsid w:val="00C75F20"/>
    <w:rsid w:val="00C81260"/>
    <w:rsid w:val="00C92BE2"/>
    <w:rsid w:val="00C95CA9"/>
    <w:rsid w:val="00CA061B"/>
    <w:rsid w:val="00CB6EEF"/>
    <w:rsid w:val="00CC3838"/>
    <w:rsid w:val="00CC3ACC"/>
    <w:rsid w:val="00CD0EDA"/>
    <w:rsid w:val="00CD4AED"/>
    <w:rsid w:val="00CD5856"/>
    <w:rsid w:val="00CE6A12"/>
    <w:rsid w:val="00CF0F2E"/>
    <w:rsid w:val="00CF3E82"/>
    <w:rsid w:val="00D0087A"/>
    <w:rsid w:val="00D008C4"/>
    <w:rsid w:val="00D41184"/>
    <w:rsid w:val="00D436D3"/>
    <w:rsid w:val="00D52D1D"/>
    <w:rsid w:val="00D54679"/>
    <w:rsid w:val="00D64EE5"/>
    <w:rsid w:val="00D67BAF"/>
    <w:rsid w:val="00D74D7D"/>
    <w:rsid w:val="00D75712"/>
    <w:rsid w:val="00D827AF"/>
    <w:rsid w:val="00D848A3"/>
    <w:rsid w:val="00D857C8"/>
    <w:rsid w:val="00D916BA"/>
    <w:rsid w:val="00D91C32"/>
    <w:rsid w:val="00DA0613"/>
    <w:rsid w:val="00DA15A1"/>
    <w:rsid w:val="00DC1257"/>
    <w:rsid w:val="00DC7639"/>
    <w:rsid w:val="00DD3369"/>
    <w:rsid w:val="00E00ADD"/>
    <w:rsid w:val="00E06279"/>
    <w:rsid w:val="00E1490C"/>
    <w:rsid w:val="00E23BEF"/>
    <w:rsid w:val="00E26447"/>
    <w:rsid w:val="00E37122"/>
    <w:rsid w:val="00E559AA"/>
    <w:rsid w:val="00E604E4"/>
    <w:rsid w:val="00E65F38"/>
    <w:rsid w:val="00E70FFC"/>
    <w:rsid w:val="00E81F38"/>
    <w:rsid w:val="00E85195"/>
    <w:rsid w:val="00E913B1"/>
    <w:rsid w:val="00EA275E"/>
    <w:rsid w:val="00ED1201"/>
    <w:rsid w:val="00ED6971"/>
    <w:rsid w:val="00ED69EF"/>
    <w:rsid w:val="00EE1F92"/>
    <w:rsid w:val="00EE23CE"/>
    <w:rsid w:val="00EE2A9D"/>
    <w:rsid w:val="00EE5F9D"/>
    <w:rsid w:val="00EF134D"/>
    <w:rsid w:val="00EF1A15"/>
    <w:rsid w:val="00EF4C23"/>
    <w:rsid w:val="00F24CC8"/>
    <w:rsid w:val="00F2729E"/>
    <w:rsid w:val="00F27450"/>
    <w:rsid w:val="00F32EA9"/>
    <w:rsid w:val="00F33742"/>
    <w:rsid w:val="00F42BEB"/>
    <w:rsid w:val="00F470CE"/>
    <w:rsid w:val="00F56EBE"/>
    <w:rsid w:val="00F65826"/>
    <w:rsid w:val="00F72360"/>
    <w:rsid w:val="00F76CE4"/>
    <w:rsid w:val="00F847BF"/>
    <w:rsid w:val="00F85320"/>
    <w:rsid w:val="00F87E88"/>
    <w:rsid w:val="00FB032A"/>
    <w:rsid w:val="00FC24AF"/>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9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FC24AF"/>
    <w:rPr>
      <w:color w:val="0000FF" w:themeColor="hyperlink"/>
      <w:u w:val="single"/>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semiHidden/>
    <w:unhideWhenUsed/>
    <w:qFormat/>
    <w:rsid w:val="00FC24AF"/>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semiHidden/>
    <w:rsid w:val="00FC24AF"/>
    <w:rPr>
      <w:rFonts w:asciiTheme="minorHAnsi" w:eastAsiaTheme="minorHAnsi" w:hAnsiTheme="minorHAnsi" w:cstheme="minorBidi"/>
      <w:kern w:val="2"/>
      <w:sz w:val="20"/>
      <w:szCs w:val="20"/>
      <w:lang w:eastAsia="en-US" w:bidi="ar-SA"/>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uiPriority w:val="99"/>
    <w:unhideWhenUsed/>
    <w:qFormat/>
    <w:rsid w:val="00FC24AF"/>
    <w:rPr>
      <w:vertAlign w:val="superscript"/>
    </w:rPr>
  </w:style>
  <w:style w:type="paragraph" w:styleId="Lijstalinea">
    <w:name w:val="List Paragraph"/>
    <w:basedOn w:val="Standaard"/>
    <w:uiPriority w:val="34"/>
    <w:qFormat/>
    <w:rsid w:val="00FC24AF"/>
    <w:pPr>
      <w:widowControl/>
      <w:suppressAutoHyphens w:val="0"/>
      <w:spacing w:line="240" w:lineRule="atLeast"/>
      <w:ind w:left="720"/>
      <w:contextualSpacing/>
    </w:pPr>
    <w:rPr>
      <w:color w:val="000000"/>
      <w:kern w:val="0"/>
      <w:szCs w:val="18"/>
      <w:lang w:eastAsia="nl-NL" w:bidi="ar-SA"/>
    </w:rPr>
  </w:style>
  <w:style w:type="paragraph" w:customStyle="1" w:styleId="Referentiegegevens">
    <w:name w:val="Referentiegegevens"/>
    <w:basedOn w:val="Standaard"/>
    <w:next w:val="Standaard"/>
    <w:rsid w:val="00A66BDB"/>
    <w:pPr>
      <w:widowControl/>
      <w:suppressAutoHyphens w:val="0"/>
      <w:spacing w:line="180" w:lineRule="exact"/>
      <w:outlineLvl w:val="4"/>
    </w:pPr>
    <w:rPr>
      <w:color w:val="000000"/>
      <w:kern w:val="0"/>
      <w:sz w:val="13"/>
      <w:szCs w:val="13"/>
      <w:lang w:eastAsia="nl-NL" w:bidi="ar-SA"/>
    </w:rPr>
  </w:style>
  <w:style w:type="paragraph" w:styleId="Revisie">
    <w:name w:val="Revision"/>
    <w:hidden/>
    <w:uiPriority w:val="99"/>
    <w:semiHidden/>
    <w:rsid w:val="00B5129C"/>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2346">
      <w:bodyDiv w:val="1"/>
      <w:marLeft w:val="0"/>
      <w:marRight w:val="0"/>
      <w:marTop w:val="0"/>
      <w:marBottom w:val="0"/>
      <w:divBdr>
        <w:top w:val="none" w:sz="0" w:space="0" w:color="auto"/>
        <w:left w:val="none" w:sz="0" w:space="0" w:color="auto"/>
        <w:bottom w:val="none" w:sz="0" w:space="0" w:color="auto"/>
        <w:right w:val="none" w:sz="0" w:space="0" w:color="auto"/>
      </w:divBdr>
    </w:div>
    <w:div w:id="164877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visualisaties/armoede-en-schulden?theme=3" TargetMode="External"/><Relationship Id="rId3" Type="http://schemas.openxmlformats.org/officeDocument/2006/relationships/hyperlink" Target="https://www.cbs.nl/nl-nl/nieuws/2026/18/minder-jongeren-met-jeugdzorg-in-2025" TargetMode="External"/><Relationship Id="rId7" Type="http://schemas.openxmlformats.org/officeDocument/2006/relationships/hyperlink" Target="https://opendata.cbs.nl/" TargetMode="External"/><Relationship Id="rId2" Type="http://schemas.openxmlformats.org/officeDocument/2006/relationships/hyperlink" Target="https://www.rivm.nl/gor-covid-19" TargetMode="External"/><Relationship Id="rId1" Type="http://schemas.openxmlformats.org/officeDocument/2006/relationships/hyperlink" Target="https://s3.eu-central-1.amazonaws.com/media.agendavoorhethart.nl/media/525/Rapport-Verlangen-5---Sterke-Partnerrelaties.pdf" TargetMode="External"/><Relationship Id="rId6" Type="http://schemas.openxmlformats.org/officeDocument/2006/relationships/hyperlink" Target="https://opendata.cbs.nl/" TargetMode="External"/><Relationship Id="rId5" Type="http://schemas.openxmlformats.org/officeDocument/2006/relationships/hyperlink" Target="https://www.cbs.nl/nl-nl/maatwerk/2025/24/modelschattingen-jeugdzorggebruik-per-gemeente-2023" TargetMode="External"/><Relationship Id="rId4" Type="http://schemas.openxmlformats.org/officeDocument/2006/relationships/hyperlink" Target="https://dashboards.cbs.nl/v3/regionaaldashboardjeugdz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4291</ap:Words>
  <ap:Characters>23604</ap:Characters>
  <ap:DocSecurity>0</ap:DocSecurity>
  <ap:Lines>196</ap:Lines>
  <ap:Paragraphs>55</ap:Paragraphs>
  <ap:ScaleCrop>false</ap:ScaleCrop>
  <ap:LinksUpToDate>false</ap:LinksUpToDate>
  <ap:CharactersWithSpaces>27840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2026-06-30T08:48:00.0000000Z</dcterms:created>
  <dcterms:modified xsi:type="dcterms:W3CDTF">2026-06-30T09:53:00.0000000Z</dcterms:modified>
  <dc:description>------------------------</dc:description>
  <dc:subject/>
  <dc:title/>
  <keywords/>
  <version/>
  <category/>
</coreProperties>
</file>