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4816" w:rsidR="007B2CBB" w:rsidP="007B2CBB" w:rsidRDefault="007B2CBB" w14:paraId="7E2704BA" w14:textId="77777777">
      <w:pPr>
        <w:pStyle w:val="StandaardAanhef"/>
        <w:rPr>
          <w:rFonts w:cs="Arial"/>
        </w:rPr>
      </w:pPr>
      <w:bookmarkStart w:name="_Hlk233040287" w:id="0"/>
      <w:r w:rsidRPr="004F4816">
        <w:rPr>
          <w:rFonts w:cs="Arial"/>
        </w:rPr>
        <w:t>Geachte voorzitter,</w:t>
      </w:r>
    </w:p>
    <w:p w:rsidR="00490AA2" w:rsidP="007B2CBB" w:rsidRDefault="007B2CBB" w14:paraId="39ED41F1" w14:textId="77777777">
      <w:pPr>
        <w:rPr>
          <w:rFonts w:cs="Arial"/>
        </w:rPr>
      </w:pPr>
      <w:r w:rsidRPr="004F4816">
        <w:rPr>
          <w:rFonts w:cs="Arial"/>
        </w:rPr>
        <w:t xml:space="preserve">Hierbij ontvangt u een brief over de voortgang van de hersteloperatie box 3. </w:t>
      </w:r>
      <w:r w:rsidR="00915E1F">
        <w:rPr>
          <w:rFonts w:cs="Arial"/>
        </w:rPr>
        <w:t xml:space="preserve">Tijdens het commissiedebat fiscaliteit van 24 juni heb ik u toegezegd deze brief te sturen. Uw Kamer heeft tijdens dit debat enkele verzoeken om informatie gedaan, waar ik in deze brief op inga. </w:t>
      </w:r>
      <w:r w:rsidRPr="004F4816">
        <w:rPr>
          <w:rFonts w:cs="Arial"/>
        </w:rPr>
        <w:t>Met deze rapportage geef ik</w:t>
      </w:r>
      <w:r w:rsidR="00915E1F">
        <w:rPr>
          <w:rFonts w:cs="Arial"/>
        </w:rPr>
        <w:t xml:space="preserve"> daarnaast</w:t>
      </w:r>
      <w:r w:rsidRPr="004F4816">
        <w:rPr>
          <w:rFonts w:cs="Arial"/>
        </w:rPr>
        <w:t xml:space="preserve"> uitvoering aan de door uw Kamer aangenomen motie Kouwenhoven/</w:t>
      </w:r>
      <w:proofErr w:type="spellStart"/>
      <w:r w:rsidRPr="004F4816">
        <w:rPr>
          <w:rFonts w:cs="Arial"/>
        </w:rPr>
        <w:t>Grinwis</w:t>
      </w:r>
      <w:proofErr w:type="spellEnd"/>
      <w:r w:rsidRPr="004F4816">
        <w:rPr>
          <w:rFonts w:cs="Arial"/>
        </w:rPr>
        <w:t xml:space="preserve"> over een jaarlijkse impactanalyse van de tegenbewijsregeling.</w:t>
      </w:r>
      <w:r w:rsidRPr="004F4816">
        <w:rPr>
          <w:rStyle w:val="Voetnootmarkering"/>
          <w:rFonts w:cs="Arial"/>
        </w:rPr>
        <w:footnoteReference w:id="1"/>
      </w:r>
      <w:r w:rsidRPr="004F4816">
        <w:rPr>
          <w:rFonts w:cs="Arial"/>
        </w:rPr>
        <w:t xml:space="preserve"> </w:t>
      </w:r>
    </w:p>
    <w:p w:rsidR="00490AA2" w:rsidP="007B2CBB" w:rsidRDefault="00490AA2" w14:paraId="5E078374" w14:textId="77777777">
      <w:pPr>
        <w:rPr>
          <w:rFonts w:cs="Arial"/>
        </w:rPr>
      </w:pPr>
    </w:p>
    <w:p w:rsidRPr="004F4816" w:rsidR="007B2CBB" w:rsidP="007B2CBB" w:rsidRDefault="007B2CBB" w14:paraId="614AEF3A" w14:textId="77777777">
      <w:pPr>
        <w:rPr>
          <w:rFonts w:cs="Arial"/>
        </w:rPr>
      </w:pPr>
      <w:proofErr w:type="gramStart"/>
      <w:r w:rsidRPr="004F4816">
        <w:rPr>
          <w:rFonts w:cs="Arial"/>
        </w:rPr>
        <w:t>Conform</w:t>
      </w:r>
      <w:proofErr w:type="gramEnd"/>
      <w:r w:rsidRPr="004F4816">
        <w:rPr>
          <w:rFonts w:cs="Arial"/>
        </w:rPr>
        <w:t xml:space="preserve"> het verzoek in deze motie ga ik i</w:t>
      </w:r>
      <w:bookmarkStart w:name="_Hlk233036140" w:id="1"/>
      <w:r w:rsidRPr="004F4816">
        <w:rPr>
          <w:rFonts w:cs="Arial"/>
        </w:rPr>
        <w:t xml:space="preserve">n deze brief in op 1) de effecten voor de burger, 2) </w:t>
      </w:r>
      <w:r>
        <w:rPr>
          <w:rFonts w:cs="Arial"/>
        </w:rPr>
        <w:t>implementatie</w:t>
      </w:r>
      <w:r w:rsidRPr="004F4816">
        <w:rPr>
          <w:rFonts w:cs="Arial"/>
        </w:rPr>
        <w:t xml:space="preserve"> van de regeling, 3) </w:t>
      </w:r>
      <w:r>
        <w:rPr>
          <w:rFonts w:cs="Arial"/>
        </w:rPr>
        <w:t>werkstromen en werkvoorraad van de Belastingdienst</w:t>
      </w:r>
      <w:r w:rsidRPr="004F4816">
        <w:rPr>
          <w:rFonts w:cs="Arial"/>
        </w:rPr>
        <w:t xml:space="preserve"> en 4)</w:t>
      </w:r>
      <w:r>
        <w:rPr>
          <w:rFonts w:cs="Arial"/>
        </w:rPr>
        <w:t xml:space="preserve"> het gebruik van de regeling en de realisatie</w:t>
      </w:r>
      <w:r w:rsidRPr="004F4816">
        <w:rPr>
          <w:rFonts w:cs="Arial"/>
        </w:rPr>
        <w:t>. Vervolgens ga ik nog kort in op 5) de herijking van de uitvoeringstoetsen van de Wet tegenbewijsregeling box 3 en de Wet rechtsherstel box 3 en het vervolg.</w:t>
      </w:r>
      <w:bookmarkEnd w:id="1"/>
    </w:p>
    <w:p w:rsidRPr="004F4816" w:rsidR="007B2CBB" w:rsidP="007B2CBB" w:rsidRDefault="007B2CBB" w14:paraId="12C8681A" w14:textId="77777777">
      <w:pPr>
        <w:rPr>
          <w:rFonts w:cs="Arial"/>
        </w:rPr>
      </w:pPr>
    </w:p>
    <w:p w:rsidRPr="004F4816" w:rsidR="007B2CBB" w:rsidP="007B2CBB" w:rsidRDefault="007B2CBB" w14:paraId="2D4E73BB" w14:textId="77777777">
      <w:pPr>
        <w:rPr>
          <w:rFonts w:cs="Arial"/>
          <w:i/>
          <w:iCs/>
        </w:rPr>
      </w:pPr>
      <w:r w:rsidRPr="004F4816">
        <w:rPr>
          <w:rFonts w:cs="Arial"/>
          <w:i/>
          <w:iCs/>
        </w:rPr>
        <w:t xml:space="preserve">Aanleiding </w:t>
      </w:r>
      <w:bookmarkStart w:name="_Hlk233041590" w:id="2"/>
      <w:r>
        <w:rPr>
          <w:rFonts w:cs="Arial"/>
          <w:i/>
          <w:iCs/>
        </w:rPr>
        <w:t>tegenbewijsregeling</w:t>
      </w:r>
    </w:p>
    <w:p w:rsidR="007B2CBB" w:rsidP="007B2CBB" w:rsidRDefault="007B2CBB" w14:paraId="35BA8EF2" w14:textId="77777777">
      <w:pPr>
        <w:rPr>
          <w:rFonts w:cs="Arial"/>
        </w:rPr>
      </w:pPr>
      <w:r w:rsidRPr="004F4816">
        <w:rPr>
          <w:rFonts w:cs="Arial"/>
        </w:rPr>
        <w:t xml:space="preserve">Naar aanleiding van de arresten van de Hoge Raad is de Wet tegenbewijsregeling box 3 door </w:t>
      </w:r>
      <w:r>
        <w:rPr>
          <w:rFonts w:cs="Arial"/>
        </w:rPr>
        <w:t>uw</w:t>
      </w:r>
      <w:r w:rsidRPr="004F4816">
        <w:rPr>
          <w:rFonts w:cs="Arial"/>
        </w:rPr>
        <w:t xml:space="preserve"> Kamer aangenomen op 12 juni 2025. Met deze wet biedt de Belastingdienst herstel aan burgers die aannemelijk maken dat hun werkelijk rendement lager is dan het forfaitair rendement. Het herstel geldt voor de belastingjaren 2017-2024. </w:t>
      </w:r>
      <w:r w:rsidR="00BE322E">
        <w:rPr>
          <w:rFonts w:cs="Arial"/>
        </w:rPr>
        <w:t xml:space="preserve">De in deze voortgangsbrief gerapporteerde werkzaamheden hebben betrekking op herstel over deze belastingjaren. </w:t>
      </w:r>
      <w:r w:rsidRPr="004F4816">
        <w:rPr>
          <w:rFonts w:cs="Arial"/>
        </w:rPr>
        <w:t xml:space="preserve">Vanaf 2025 is het opgeven van het werkelijk rendement geïntegreerd in de aangifte. </w:t>
      </w:r>
      <w:r w:rsidR="00BE322E">
        <w:rPr>
          <w:rFonts w:cs="Arial"/>
        </w:rPr>
        <w:t xml:space="preserve">In paragraaf </w:t>
      </w:r>
      <w:r w:rsidR="00AF4307">
        <w:rPr>
          <w:rFonts w:cs="Arial"/>
        </w:rPr>
        <w:t xml:space="preserve">4 </w:t>
      </w:r>
      <w:r w:rsidR="000C3253">
        <w:rPr>
          <w:rFonts w:cs="Arial"/>
        </w:rPr>
        <w:t>(</w:t>
      </w:r>
      <w:r w:rsidR="007A3202">
        <w:rPr>
          <w:rFonts w:cs="Arial"/>
        </w:rPr>
        <w:t>G</w:t>
      </w:r>
      <w:r w:rsidR="00BE322E">
        <w:rPr>
          <w:rFonts w:cs="Arial"/>
        </w:rPr>
        <w:t>ebruik van de regeling en realisatie</w:t>
      </w:r>
      <w:r w:rsidR="000C3253">
        <w:rPr>
          <w:rFonts w:cs="Arial"/>
        </w:rPr>
        <w:t>)</w:t>
      </w:r>
      <w:r w:rsidR="00BE322E">
        <w:rPr>
          <w:rFonts w:cs="Arial"/>
        </w:rPr>
        <w:t xml:space="preserve"> zal ik ook ingaan op de opgave werkelijk rendement over 2025</w:t>
      </w:r>
      <w:r w:rsidR="00E77E9E">
        <w:rPr>
          <w:rFonts w:cs="Arial"/>
        </w:rPr>
        <w:t>, die is geïntegreerd in de aangifte</w:t>
      </w:r>
      <w:r w:rsidR="00BE322E">
        <w:rPr>
          <w:rFonts w:cs="Arial"/>
        </w:rPr>
        <w:t>.</w:t>
      </w:r>
    </w:p>
    <w:p w:rsidR="007B2CBB" w:rsidP="007B2CBB" w:rsidRDefault="007B2CBB" w14:paraId="510AB4BA" w14:textId="77777777">
      <w:pPr>
        <w:rPr>
          <w:rFonts w:cs="Arial"/>
        </w:rPr>
      </w:pPr>
    </w:p>
    <w:p w:rsidR="007B2CBB" w:rsidP="007B2CBB" w:rsidRDefault="007B2CBB" w14:paraId="22C4231B" w14:textId="77777777">
      <w:pPr>
        <w:rPr>
          <w:rFonts w:cs="Arial"/>
        </w:rPr>
      </w:pPr>
      <w:r>
        <w:rPr>
          <w:rFonts w:cs="Arial"/>
        </w:rPr>
        <w:t>Belastingplichtigen in box 3 kunnen</w:t>
      </w:r>
      <w:r w:rsidRPr="007A16BB">
        <w:rPr>
          <w:rFonts w:cs="Arial"/>
        </w:rPr>
        <w:t xml:space="preserve"> gebruikmaken van de tegenbewijsregeling</w:t>
      </w:r>
      <w:r>
        <w:rPr>
          <w:rFonts w:cs="Arial"/>
        </w:rPr>
        <w:t xml:space="preserve"> voor onderstaande belastingjaren</w:t>
      </w:r>
      <w:r w:rsidRPr="007A16BB">
        <w:rPr>
          <w:rFonts w:cs="Arial"/>
        </w:rPr>
        <w:t xml:space="preserve">: </w:t>
      </w:r>
    </w:p>
    <w:p w:rsidRPr="007A16BB" w:rsidR="007B2CBB" w:rsidP="007B2CBB" w:rsidRDefault="007B2CBB" w14:paraId="59838CFD" w14:textId="77777777">
      <w:pPr>
        <w:pStyle w:val="Lijstalinea"/>
        <w:numPr>
          <w:ilvl w:val="0"/>
          <w:numId w:val="15"/>
        </w:numPr>
        <w:rPr>
          <w:rFonts w:cs="Arial"/>
        </w:rPr>
      </w:pPr>
      <w:r w:rsidRPr="007A16BB">
        <w:rPr>
          <w:rFonts w:cs="Arial"/>
        </w:rPr>
        <w:t xml:space="preserve">Belastingjaren 2017 en 2018: </w:t>
      </w:r>
    </w:p>
    <w:p w:rsidR="00884AF2" w:rsidP="007B2CBB" w:rsidRDefault="007B2CBB" w14:paraId="26C49902" w14:textId="77777777">
      <w:pPr>
        <w:pStyle w:val="Lijstalinea"/>
        <w:numPr>
          <w:ilvl w:val="1"/>
          <w:numId w:val="15"/>
        </w:numPr>
        <w:rPr>
          <w:rFonts w:cs="Arial"/>
        </w:rPr>
      </w:pPr>
      <w:proofErr w:type="gramStart"/>
      <w:r w:rsidRPr="007A16BB">
        <w:rPr>
          <w:rFonts w:cs="Arial"/>
        </w:rPr>
        <w:t>belastingplichtigen</w:t>
      </w:r>
      <w:proofErr w:type="gramEnd"/>
      <w:r w:rsidRPr="007A16BB">
        <w:rPr>
          <w:rFonts w:cs="Arial"/>
        </w:rPr>
        <w:t xml:space="preserve"> met een definitieve aanslag waarvan hun bezwaar meeliep in de massaal bezwaarprocedure of</w:t>
      </w:r>
      <w:r w:rsidR="00884AF2">
        <w:rPr>
          <w:rFonts w:cs="Arial"/>
        </w:rPr>
        <w:t>;</w:t>
      </w:r>
      <w:r w:rsidRPr="007A16BB">
        <w:rPr>
          <w:rFonts w:cs="Arial"/>
        </w:rPr>
        <w:t xml:space="preserve"> </w:t>
      </w:r>
    </w:p>
    <w:p w:rsidR="00AF7772" w:rsidP="00FD41FC" w:rsidRDefault="00884AF2" w14:paraId="5F2EA60F" w14:textId="77777777">
      <w:pPr>
        <w:pStyle w:val="Lijstalinea"/>
        <w:numPr>
          <w:ilvl w:val="1"/>
          <w:numId w:val="15"/>
        </w:numPr>
        <w:rPr>
          <w:rFonts w:cs="Arial"/>
        </w:rPr>
      </w:pPr>
      <w:proofErr w:type="gramStart"/>
      <w:r w:rsidRPr="00884AF2">
        <w:rPr>
          <w:rFonts w:cs="Arial"/>
        </w:rPr>
        <w:t>belastingplichtigen</w:t>
      </w:r>
      <w:proofErr w:type="gramEnd"/>
      <w:r w:rsidRPr="00884AF2">
        <w:rPr>
          <w:rFonts w:cs="Arial"/>
        </w:rPr>
        <w:t xml:space="preserve"> </w:t>
      </w:r>
      <w:r w:rsidRPr="00884AF2" w:rsidR="007B2CBB">
        <w:rPr>
          <w:rFonts w:cs="Arial"/>
        </w:rPr>
        <w:t>waarvan de definitieve aanslag ná het Kerstarrest ontvangen is</w:t>
      </w:r>
      <w:r w:rsidR="00AF7772">
        <w:rPr>
          <w:rFonts w:cs="Arial"/>
        </w:rPr>
        <w:t>;</w:t>
      </w:r>
      <w:r w:rsidRPr="00884AF2" w:rsidR="007B2CBB">
        <w:rPr>
          <w:rFonts w:cs="Arial"/>
        </w:rPr>
        <w:t xml:space="preserve"> </w:t>
      </w:r>
    </w:p>
    <w:p w:rsidRPr="00884AF2" w:rsidR="007B2CBB" w:rsidP="00FD41FC" w:rsidRDefault="007B2CBB" w14:paraId="1BA58077" w14:textId="77777777">
      <w:pPr>
        <w:pStyle w:val="Lijstalinea"/>
        <w:numPr>
          <w:ilvl w:val="1"/>
          <w:numId w:val="15"/>
        </w:numPr>
        <w:rPr>
          <w:rFonts w:cs="Arial"/>
        </w:rPr>
      </w:pPr>
      <w:proofErr w:type="gramStart"/>
      <w:r w:rsidRPr="00884AF2">
        <w:rPr>
          <w:rFonts w:cs="Arial"/>
        </w:rPr>
        <w:lastRenderedPageBreak/>
        <w:t>én</w:t>
      </w:r>
      <w:proofErr w:type="gramEnd"/>
      <w:r w:rsidRPr="00884AF2">
        <w:rPr>
          <w:rFonts w:cs="Arial"/>
        </w:rPr>
        <w:t xml:space="preserve"> die bovendien binnen vijf jaar na het betreffende belastingjaar hiervoor een verzoek tot ambtshalve vermindering hebben ingediend.</w:t>
      </w:r>
    </w:p>
    <w:p w:rsidR="007B2CBB" w:rsidP="007B2CBB" w:rsidRDefault="007B2CBB" w14:paraId="373E281A" w14:textId="77777777">
      <w:pPr>
        <w:pStyle w:val="Lijstalinea"/>
        <w:numPr>
          <w:ilvl w:val="0"/>
          <w:numId w:val="15"/>
        </w:numPr>
        <w:rPr>
          <w:rFonts w:cs="Arial"/>
        </w:rPr>
      </w:pPr>
      <w:r w:rsidRPr="007A16BB">
        <w:rPr>
          <w:rFonts w:cs="Arial"/>
        </w:rPr>
        <w:t xml:space="preserve">Belastingjaren 2019 en 2020: </w:t>
      </w:r>
    </w:p>
    <w:p w:rsidR="00AF7772" w:rsidP="007B2CBB" w:rsidRDefault="007B2CBB" w14:paraId="6695433C" w14:textId="77777777">
      <w:pPr>
        <w:pStyle w:val="Lijstalinea"/>
        <w:numPr>
          <w:ilvl w:val="1"/>
          <w:numId w:val="15"/>
        </w:numPr>
        <w:rPr>
          <w:rFonts w:cs="Arial"/>
        </w:rPr>
      </w:pPr>
      <w:proofErr w:type="gramStart"/>
      <w:r w:rsidRPr="007A16BB">
        <w:rPr>
          <w:rFonts w:cs="Arial"/>
        </w:rPr>
        <w:t>belastingplichtigen</w:t>
      </w:r>
      <w:proofErr w:type="gramEnd"/>
      <w:r w:rsidRPr="007A16BB">
        <w:rPr>
          <w:rFonts w:cs="Arial"/>
        </w:rPr>
        <w:t xml:space="preserve"> met een definitieve aanslag die op </w:t>
      </w:r>
      <w:r w:rsidRPr="007A16BB" w:rsidR="009151CD">
        <w:rPr>
          <w:rFonts w:cs="Arial"/>
        </w:rPr>
        <w:t>2</w:t>
      </w:r>
      <w:r w:rsidR="009151CD">
        <w:rPr>
          <w:rFonts w:cs="Arial"/>
        </w:rPr>
        <w:t>4</w:t>
      </w:r>
      <w:r w:rsidRPr="007A16BB" w:rsidR="009151CD">
        <w:rPr>
          <w:rFonts w:cs="Arial"/>
        </w:rPr>
        <w:t xml:space="preserve"> </w:t>
      </w:r>
      <w:r w:rsidRPr="007A16BB">
        <w:rPr>
          <w:rFonts w:cs="Arial"/>
        </w:rPr>
        <w:t>december 2021 nog niet onherroepelijk vaststond of daarna ontvangen is</w:t>
      </w:r>
      <w:r w:rsidR="009750E6">
        <w:rPr>
          <w:rFonts w:cs="Arial"/>
        </w:rPr>
        <w:t>;</w:t>
      </w:r>
      <w:r w:rsidRPr="007A16BB">
        <w:rPr>
          <w:rFonts w:cs="Arial"/>
        </w:rPr>
        <w:t xml:space="preserve"> </w:t>
      </w:r>
    </w:p>
    <w:p w:rsidRPr="00AF7772" w:rsidR="007B2CBB" w:rsidP="002C3447" w:rsidRDefault="007B2CBB" w14:paraId="0741542E" w14:textId="77777777">
      <w:pPr>
        <w:pStyle w:val="Lijstalinea"/>
        <w:numPr>
          <w:ilvl w:val="1"/>
          <w:numId w:val="15"/>
        </w:numPr>
        <w:rPr>
          <w:rFonts w:cs="Arial"/>
        </w:rPr>
      </w:pPr>
      <w:proofErr w:type="gramStart"/>
      <w:r w:rsidRPr="00AF7772">
        <w:rPr>
          <w:rFonts w:cs="Arial"/>
        </w:rPr>
        <w:t>én</w:t>
      </w:r>
      <w:proofErr w:type="gramEnd"/>
      <w:r w:rsidR="00AF7772">
        <w:rPr>
          <w:rFonts w:cs="Arial"/>
        </w:rPr>
        <w:t xml:space="preserve"> </w:t>
      </w:r>
      <w:r w:rsidRPr="00AF7772">
        <w:rPr>
          <w:rFonts w:cs="Arial"/>
        </w:rPr>
        <w:t xml:space="preserve">die bovendien binnen vijf jaar na het betreffende belastingjaar hiervoor een verzoek tot ambtshalve vermindering hebben ingediend; </w:t>
      </w:r>
    </w:p>
    <w:p w:rsidRPr="007A16BB" w:rsidR="007B2CBB" w:rsidP="007B2CBB" w:rsidRDefault="007B2CBB" w14:paraId="70471418" w14:textId="77777777">
      <w:pPr>
        <w:pStyle w:val="Lijstalinea"/>
        <w:numPr>
          <w:ilvl w:val="0"/>
          <w:numId w:val="15"/>
        </w:numPr>
        <w:rPr>
          <w:rFonts w:cs="Arial"/>
        </w:rPr>
      </w:pPr>
      <w:r w:rsidRPr="007A16BB">
        <w:rPr>
          <w:rFonts w:cs="Arial"/>
        </w:rPr>
        <w:t xml:space="preserve">Belastingjaren 2021 </w:t>
      </w:r>
      <w:r>
        <w:rPr>
          <w:rFonts w:cs="Arial"/>
        </w:rPr>
        <w:t>tot en met 2024</w:t>
      </w:r>
      <w:r w:rsidRPr="007A16BB">
        <w:rPr>
          <w:rFonts w:cs="Arial"/>
        </w:rPr>
        <w:t>: alle belastingplichtigen</w:t>
      </w:r>
      <w:r w:rsidR="009750E6">
        <w:rPr>
          <w:rFonts w:cs="Arial"/>
        </w:rPr>
        <w:t>.</w:t>
      </w:r>
      <w:r w:rsidRPr="007A16BB">
        <w:rPr>
          <w:rFonts w:cs="Arial"/>
        </w:rPr>
        <w:t xml:space="preserve"> </w:t>
      </w:r>
    </w:p>
    <w:p w:rsidR="007B2CBB" w:rsidP="007B2CBB" w:rsidRDefault="007B2CBB" w14:paraId="71DABD13" w14:textId="77777777">
      <w:pPr>
        <w:rPr>
          <w:rFonts w:cs="Arial"/>
        </w:rPr>
      </w:pPr>
    </w:p>
    <w:p w:rsidRPr="00A8410C" w:rsidR="00602325" w:rsidP="007B2CBB" w:rsidRDefault="00602325" w14:paraId="6F947284" w14:textId="77777777">
      <w:pPr>
        <w:rPr>
          <w:rFonts w:cs="Arial"/>
          <w:i/>
          <w:iCs/>
        </w:rPr>
      </w:pPr>
      <w:r>
        <w:rPr>
          <w:rFonts w:cs="Arial"/>
          <w:i/>
          <w:iCs/>
        </w:rPr>
        <w:t xml:space="preserve">Uitspraak </w:t>
      </w:r>
      <w:proofErr w:type="spellStart"/>
      <w:r>
        <w:rPr>
          <w:rFonts w:cs="Arial"/>
          <w:i/>
          <w:iCs/>
        </w:rPr>
        <w:t>massaalbezwaarplusprocedure</w:t>
      </w:r>
      <w:proofErr w:type="spellEnd"/>
    </w:p>
    <w:p w:rsidR="009151CD" w:rsidP="007B2CBB" w:rsidRDefault="009151CD" w14:paraId="2CFA3275" w14:textId="77777777">
      <w:pPr>
        <w:rPr>
          <w:rFonts w:cs="Arial"/>
        </w:rPr>
      </w:pPr>
      <w:r w:rsidRPr="00474DD8">
        <w:rPr>
          <w:rFonts w:cs="Arial"/>
        </w:rPr>
        <w:t xml:space="preserve">Op 25 juni 2026 heeft de Hoge Raad uitspraak gedaan in de </w:t>
      </w:r>
      <w:proofErr w:type="spellStart"/>
      <w:r w:rsidRPr="00474DD8">
        <w:rPr>
          <w:rFonts w:cs="Arial"/>
        </w:rPr>
        <w:t>massaalbezwaarplusprocedure</w:t>
      </w:r>
      <w:proofErr w:type="spellEnd"/>
      <w:r>
        <w:rPr>
          <w:rFonts w:cs="Arial"/>
        </w:rPr>
        <w:t xml:space="preserve"> box 3</w:t>
      </w:r>
      <w:r w:rsidRPr="00474DD8">
        <w:rPr>
          <w:rFonts w:cs="Arial"/>
        </w:rPr>
        <w:t xml:space="preserve">. </w:t>
      </w:r>
      <w:r>
        <w:rPr>
          <w:rFonts w:cs="Arial"/>
        </w:rPr>
        <w:t xml:space="preserve">Dit betreft belastingplichtigen van wie de aanslagen inkomstenbelasting over de jaren 2017 tot en met 2020 vóór het Kerstarrest al onherroepelijk vaststonden </w:t>
      </w:r>
      <w:r w:rsidRPr="00474DD8">
        <w:rPr>
          <w:rFonts w:cs="Arial"/>
        </w:rPr>
        <w:t>(de</w:t>
      </w:r>
      <w:r>
        <w:rPr>
          <w:rFonts w:cs="Arial"/>
        </w:rPr>
        <w:t xml:space="preserve"> zogenoemde</w:t>
      </w:r>
      <w:r w:rsidRPr="00474DD8">
        <w:rPr>
          <w:rFonts w:cs="Arial"/>
        </w:rPr>
        <w:t xml:space="preserve"> niet-bezwaarmakers)</w:t>
      </w:r>
      <w:r>
        <w:rPr>
          <w:rFonts w:cs="Arial"/>
        </w:rPr>
        <w:t xml:space="preserve">. Zij hebben verzocht om ambtshalve vermindering. De Hoge Raad heeft </w:t>
      </w:r>
      <w:proofErr w:type="gramStart"/>
      <w:r>
        <w:rPr>
          <w:rFonts w:cs="Arial"/>
        </w:rPr>
        <w:t>conform</w:t>
      </w:r>
      <w:proofErr w:type="gramEnd"/>
      <w:r>
        <w:rPr>
          <w:rFonts w:cs="Arial"/>
        </w:rPr>
        <w:t xml:space="preserve"> zijn eerdere uitspraak van 22 mei 2022 </w:t>
      </w:r>
      <w:r w:rsidRPr="00474DD8">
        <w:rPr>
          <w:rFonts w:cs="Arial"/>
        </w:rPr>
        <w:t xml:space="preserve">geoordeeld dat </w:t>
      </w:r>
      <w:r>
        <w:rPr>
          <w:rFonts w:cs="Arial"/>
        </w:rPr>
        <w:t xml:space="preserve">deze </w:t>
      </w:r>
      <w:r w:rsidRPr="00474DD8">
        <w:rPr>
          <w:rFonts w:cs="Arial"/>
        </w:rPr>
        <w:t>belastingplichtigen niet in aanmerking komen voor rechtsherstel op basis van het Kerstarrest en daardoor ook geen toegang hebben tot de Wet tegenbewijsregeling</w:t>
      </w:r>
      <w:r>
        <w:rPr>
          <w:rFonts w:cs="Arial"/>
        </w:rPr>
        <w:t xml:space="preserve"> box 3 voor de belastingjaren 2017 tot en met 2020.</w:t>
      </w:r>
    </w:p>
    <w:p w:rsidRPr="004F4816" w:rsidR="009151CD" w:rsidP="007B2CBB" w:rsidRDefault="009151CD" w14:paraId="156E79C3" w14:textId="77777777">
      <w:pPr>
        <w:rPr>
          <w:rFonts w:cs="Arial"/>
        </w:rPr>
      </w:pPr>
    </w:p>
    <w:p w:rsidRPr="004F4816" w:rsidR="007B2CBB" w:rsidP="007B2CBB" w:rsidRDefault="007B2CBB" w14:paraId="4A41FDB7" w14:textId="77777777">
      <w:pPr>
        <w:pStyle w:val="Lijstalinea"/>
        <w:numPr>
          <w:ilvl w:val="0"/>
          <w:numId w:val="10"/>
        </w:numPr>
        <w:rPr>
          <w:rFonts w:cs="Arial"/>
          <w:b/>
          <w:bCs/>
        </w:rPr>
      </w:pPr>
      <w:r w:rsidRPr="004F4816">
        <w:rPr>
          <w:rFonts w:cs="Arial"/>
          <w:b/>
          <w:bCs/>
        </w:rPr>
        <w:t>Effecten voor de burger</w:t>
      </w:r>
    </w:p>
    <w:p w:rsidRPr="004F4816" w:rsidR="007B2CBB" w:rsidP="007B2CBB" w:rsidRDefault="007B2CBB" w14:paraId="60AF2115" w14:textId="77777777">
      <w:pPr>
        <w:rPr>
          <w:rFonts w:cs="Arial"/>
        </w:rPr>
      </w:pPr>
    </w:p>
    <w:p w:rsidRPr="004F4816" w:rsidR="007B2CBB" w:rsidP="007B2CBB" w:rsidRDefault="007B2CBB" w14:paraId="39950709" w14:textId="77777777">
      <w:pPr>
        <w:rPr>
          <w:rFonts w:cs="Arial"/>
          <w:i/>
          <w:iCs/>
        </w:rPr>
      </w:pPr>
      <w:r w:rsidRPr="004F4816">
        <w:rPr>
          <w:rFonts w:cs="Arial"/>
          <w:i/>
          <w:iCs/>
        </w:rPr>
        <w:t xml:space="preserve">Opgaaf werkelijk rendement </w:t>
      </w:r>
    </w:p>
    <w:p w:rsidR="007B2CBB" w:rsidP="007B2CBB" w:rsidRDefault="007B2CBB" w14:paraId="253BA708" w14:textId="77777777">
      <w:pPr>
        <w:rPr>
          <w:rFonts w:cs="Arial"/>
        </w:rPr>
      </w:pPr>
      <w:r w:rsidRPr="004F4816">
        <w:rPr>
          <w:rFonts w:cs="Arial"/>
        </w:rPr>
        <w:t>Om het aannemelijk maken van het werkelijk rendement zo gestructureerd mogelijk te laten verlopen, heeft de Belastingdienst het formulier Opgaaf Werkelijk Rendement (hierna</w:t>
      </w:r>
      <w:r>
        <w:rPr>
          <w:rFonts w:cs="Arial"/>
        </w:rPr>
        <w:t>:</w:t>
      </w:r>
      <w:r w:rsidRPr="004F4816">
        <w:rPr>
          <w:rFonts w:cs="Arial"/>
        </w:rPr>
        <w:t xml:space="preserve"> OWR) ontwikkeld. Burgers kunnen een formulier OWR indienen om gebruik te maken van de regeling. Deze werkwijze is noodzakelijk om de grote aantallen zo efficiënt </w:t>
      </w:r>
      <w:r>
        <w:rPr>
          <w:rFonts w:cs="Arial"/>
        </w:rPr>
        <w:t xml:space="preserve">en snel </w:t>
      </w:r>
      <w:r w:rsidRPr="004F4816">
        <w:rPr>
          <w:rFonts w:cs="Arial"/>
        </w:rPr>
        <w:t>mogelijk te kunnen verwerken. Het formulier kan digitaal worden ingevuld, maar is op verzoek ook op papier beschikbaar.</w:t>
      </w:r>
    </w:p>
    <w:p w:rsidR="007B2CBB" w:rsidP="007B2CBB" w:rsidRDefault="007B2CBB" w14:paraId="7C83B1AC" w14:textId="77777777">
      <w:pPr>
        <w:rPr>
          <w:rFonts w:cs="Arial"/>
        </w:rPr>
      </w:pPr>
    </w:p>
    <w:p w:rsidRPr="004F4816" w:rsidR="007B2CBB" w:rsidP="007B2CBB" w:rsidRDefault="007B2CBB" w14:paraId="63441688" w14:textId="77777777">
      <w:pPr>
        <w:rPr>
          <w:rFonts w:cs="Arial"/>
        </w:rPr>
      </w:pPr>
      <w:r w:rsidRPr="004F4816">
        <w:rPr>
          <w:rFonts w:cs="Arial"/>
        </w:rPr>
        <w:t xml:space="preserve">Om gebruik te maken van de tegenbewijsregeling moeten burgers afhankelijk van de samenstelling van hun vermogen uit verschillende bronnen informatie verzamelen en doorgeven aan de Belastingdienst. </w:t>
      </w:r>
      <w:r w:rsidR="00915E1F">
        <w:rPr>
          <w:rFonts w:cs="Arial"/>
        </w:rPr>
        <w:t xml:space="preserve">Dit vraagt veel van het </w:t>
      </w:r>
      <w:proofErr w:type="spellStart"/>
      <w:r w:rsidR="00915E1F">
        <w:rPr>
          <w:rFonts w:cs="Arial"/>
        </w:rPr>
        <w:t>doenvermogen</w:t>
      </w:r>
      <w:proofErr w:type="spellEnd"/>
      <w:r w:rsidR="00915E1F">
        <w:rPr>
          <w:rFonts w:cs="Arial"/>
        </w:rPr>
        <w:t xml:space="preserve"> van burgers. </w:t>
      </w:r>
      <w:r w:rsidR="008447D0">
        <w:rPr>
          <w:rFonts w:cs="Arial"/>
        </w:rPr>
        <w:t xml:space="preserve">Des te complexer het vermogen, des te complexer het is om het formulier in te vullen. </w:t>
      </w:r>
      <w:r w:rsidRPr="004F4816">
        <w:rPr>
          <w:rFonts w:cs="Arial"/>
        </w:rPr>
        <w:t>Of burgers over een bepaald jaar een lager bedrag aan belasting verschuldigd zijn, hangt af van het rendement op het gehele vermogen in box 3.</w:t>
      </w:r>
    </w:p>
    <w:p w:rsidR="007B2CBB" w:rsidP="007B2CBB" w:rsidRDefault="007B2CBB" w14:paraId="462153C5" w14:textId="77777777">
      <w:pPr>
        <w:rPr>
          <w:rFonts w:cs="Arial"/>
        </w:rPr>
      </w:pPr>
    </w:p>
    <w:p w:rsidRPr="00CE7F16" w:rsidR="007B2CBB" w:rsidP="007B2CBB" w:rsidRDefault="007B2CBB" w14:paraId="079789C8" w14:textId="77777777">
      <w:pPr>
        <w:rPr>
          <w:rFonts w:cs="Arial"/>
          <w:i/>
          <w:iCs/>
        </w:rPr>
      </w:pPr>
      <w:r>
        <w:rPr>
          <w:rFonts w:cs="Arial"/>
          <w:i/>
          <w:iCs/>
        </w:rPr>
        <w:t>Informatievoorziening</w:t>
      </w:r>
    </w:p>
    <w:p w:rsidRPr="004F4816" w:rsidR="007B2CBB" w:rsidP="007B2CBB" w:rsidRDefault="007B2CBB" w14:paraId="5B8D6FA2" w14:textId="77777777">
      <w:pPr>
        <w:rPr>
          <w:rFonts w:cs="Arial"/>
        </w:rPr>
      </w:pPr>
      <w:r w:rsidRPr="004F4816">
        <w:rPr>
          <w:rFonts w:cs="Arial"/>
        </w:rPr>
        <w:t>Bij invoering van de tegenbewijsregeling heeft mijn ambtsvoorganger besloten dat de Belastingdienst zo goed mogelijk moet ondersteunen bij het indienen van het formulier OWR. De Belastingdienst heeft hier op verschillende manieren opvolging aangegeven:</w:t>
      </w:r>
    </w:p>
    <w:p w:rsidRPr="004F4816" w:rsidR="007B2CBB" w:rsidP="007B2CBB" w:rsidRDefault="007B2CBB" w14:paraId="5C00799C" w14:textId="77777777">
      <w:pPr>
        <w:pStyle w:val="Lijstalinea"/>
        <w:numPr>
          <w:ilvl w:val="0"/>
          <w:numId w:val="11"/>
        </w:numPr>
        <w:rPr>
          <w:rFonts w:cs="Arial"/>
        </w:rPr>
      </w:pPr>
      <w:r w:rsidRPr="004F4816">
        <w:rPr>
          <w:rFonts w:cs="Arial"/>
        </w:rPr>
        <w:t xml:space="preserve">De Belastingdienst ondersteunt bij eenvoudige vragen via de </w:t>
      </w:r>
      <w:proofErr w:type="spellStart"/>
      <w:r w:rsidRPr="004F4816">
        <w:rPr>
          <w:rFonts w:cs="Arial"/>
        </w:rPr>
        <w:t>BelastingTelefoon</w:t>
      </w:r>
      <w:proofErr w:type="spellEnd"/>
      <w:r w:rsidRPr="004F4816">
        <w:rPr>
          <w:rFonts w:cs="Arial"/>
        </w:rPr>
        <w:t>;</w:t>
      </w:r>
    </w:p>
    <w:p w:rsidRPr="004F4816" w:rsidR="007B2CBB" w:rsidP="007B2CBB" w:rsidRDefault="007B2CBB" w14:paraId="194634C2" w14:textId="77777777">
      <w:pPr>
        <w:pStyle w:val="Lijstalinea"/>
        <w:numPr>
          <w:ilvl w:val="0"/>
          <w:numId w:val="11"/>
        </w:numPr>
        <w:rPr>
          <w:rFonts w:cs="Arial"/>
        </w:rPr>
      </w:pPr>
      <w:r w:rsidRPr="004F4816">
        <w:rPr>
          <w:rFonts w:cs="Arial"/>
        </w:rPr>
        <w:t>De Belastingdienst ondersteunt bij het invullen van het formulier tijdens een afspraak bij de balie in Belastingdienstkantoren en -steunpunten of digitaal;</w:t>
      </w:r>
    </w:p>
    <w:p w:rsidRPr="004F4816" w:rsidR="007B2CBB" w:rsidP="007B2CBB" w:rsidRDefault="007B2CBB" w14:paraId="3562BD36" w14:textId="77777777">
      <w:pPr>
        <w:pStyle w:val="Lijstalinea"/>
        <w:numPr>
          <w:ilvl w:val="0"/>
          <w:numId w:val="11"/>
        </w:numPr>
        <w:rPr>
          <w:rFonts w:cs="Arial"/>
        </w:rPr>
      </w:pPr>
      <w:r w:rsidRPr="004F4816">
        <w:rPr>
          <w:rFonts w:cs="Arial"/>
        </w:rPr>
        <w:t>De Belastingdienst verzorgt communicatie via de website en het Forum Fiscaal Dienstverleners;</w:t>
      </w:r>
    </w:p>
    <w:p w:rsidRPr="004F4816" w:rsidR="007B2CBB" w:rsidP="007B2CBB" w:rsidRDefault="007B2CBB" w14:paraId="28018614" w14:textId="77777777">
      <w:pPr>
        <w:pStyle w:val="Lijstalinea"/>
        <w:numPr>
          <w:ilvl w:val="0"/>
          <w:numId w:val="11"/>
        </w:numPr>
        <w:rPr>
          <w:rFonts w:cs="Arial"/>
        </w:rPr>
      </w:pPr>
      <w:r w:rsidRPr="004F4816">
        <w:rPr>
          <w:rFonts w:cs="Arial"/>
        </w:rPr>
        <w:t>De Belastingdienst heeft regelmatig contact met de koepelorganisaties van intermediairs en de Bond voor Belastingbetalers</w:t>
      </w:r>
      <w:r w:rsidR="007A3202">
        <w:rPr>
          <w:rFonts w:cs="Arial"/>
        </w:rPr>
        <w:t>;</w:t>
      </w:r>
    </w:p>
    <w:p w:rsidRPr="004F4816" w:rsidR="007B2CBB" w:rsidP="007B2CBB" w:rsidRDefault="007B2CBB" w14:paraId="5D816F5A" w14:textId="77777777">
      <w:pPr>
        <w:pStyle w:val="Lijstalinea"/>
        <w:numPr>
          <w:ilvl w:val="0"/>
          <w:numId w:val="11"/>
        </w:numPr>
        <w:rPr>
          <w:rFonts w:cs="Arial"/>
        </w:rPr>
      </w:pPr>
      <w:r w:rsidRPr="004F4816">
        <w:rPr>
          <w:rFonts w:cs="Arial"/>
        </w:rPr>
        <w:lastRenderedPageBreak/>
        <w:t xml:space="preserve">De Belastingdienst communiceert via de website en </w:t>
      </w:r>
      <w:r>
        <w:rPr>
          <w:rFonts w:cs="Arial"/>
        </w:rPr>
        <w:t xml:space="preserve">berichten in </w:t>
      </w:r>
      <w:r w:rsidRPr="004F4816">
        <w:rPr>
          <w:rFonts w:cs="Arial"/>
        </w:rPr>
        <w:t>de media;</w:t>
      </w:r>
    </w:p>
    <w:p w:rsidRPr="004F4816" w:rsidR="007B2CBB" w:rsidP="007B2CBB" w:rsidRDefault="007B2CBB" w14:paraId="4999B17A" w14:textId="77777777">
      <w:pPr>
        <w:pStyle w:val="Lijstalinea"/>
        <w:numPr>
          <w:ilvl w:val="0"/>
          <w:numId w:val="11"/>
        </w:numPr>
        <w:rPr>
          <w:rFonts w:cs="Arial"/>
        </w:rPr>
      </w:pPr>
      <w:r w:rsidRPr="004F4816">
        <w:rPr>
          <w:rFonts w:cs="Arial"/>
        </w:rPr>
        <w:t xml:space="preserve">De Belastingdienst verzorgt gerichte communicatie aan burgers die mogelijk in aanmerking komen voor herstel. </w:t>
      </w:r>
    </w:p>
    <w:p w:rsidRPr="004F4816" w:rsidR="007B2CBB" w:rsidP="007B2CBB" w:rsidRDefault="007B2CBB" w14:paraId="283A70BC" w14:textId="77777777">
      <w:pPr>
        <w:rPr>
          <w:rFonts w:cs="Arial"/>
        </w:rPr>
      </w:pPr>
    </w:p>
    <w:p w:rsidRPr="004F4816" w:rsidR="007B2CBB" w:rsidP="007B2CBB" w:rsidRDefault="007B2CBB" w14:paraId="6503A6D9" w14:textId="77777777">
      <w:pPr>
        <w:rPr>
          <w:rFonts w:cs="Arial"/>
        </w:rPr>
      </w:pPr>
      <w:r w:rsidRPr="004F4816">
        <w:rPr>
          <w:rFonts w:cs="Arial"/>
        </w:rPr>
        <w:t xml:space="preserve">Er zijn tot mei 2026 bijna 7,2 miljoen brieven verstuurd over </w:t>
      </w:r>
      <w:r>
        <w:rPr>
          <w:rFonts w:cs="Arial"/>
        </w:rPr>
        <w:t>de tegenbewijsregeling</w:t>
      </w:r>
      <w:r w:rsidRPr="004F4816">
        <w:rPr>
          <w:rFonts w:cs="Arial"/>
        </w:rPr>
        <w:t xml:space="preserve"> box 3, waarvan 4,26 miljoen (ook) een uitnodiging tot het indienen van een formulier OWR bevatten. Omdat in deze brieven het forfaitair rendement waarop de heffing is gebaseerd vermeld staat, kunnen burgers eenvoudig hun werkelijk rendement hiermee vergelijken. In de rest van 2026 en 2027 worden naar verwachting in totaal nog 3,7 miljoen van dergelijke uitnodigingsbrieven verstuurd. Dit zijn onder meer: </w:t>
      </w:r>
    </w:p>
    <w:p w:rsidRPr="004F4816" w:rsidR="007B2CBB" w:rsidP="007B2CBB" w:rsidRDefault="007B2CBB" w14:paraId="5824C8C5" w14:textId="77777777">
      <w:pPr>
        <w:pStyle w:val="Lijstalinea"/>
        <w:numPr>
          <w:ilvl w:val="0"/>
          <w:numId w:val="7"/>
        </w:numPr>
        <w:rPr>
          <w:rFonts w:cs="Arial"/>
        </w:rPr>
      </w:pPr>
      <w:proofErr w:type="gramStart"/>
      <w:r w:rsidRPr="004F4816">
        <w:rPr>
          <w:rFonts w:cs="Arial"/>
          <w:i/>
          <w:iCs/>
        </w:rPr>
        <w:t>motiveringsbrieven</w:t>
      </w:r>
      <w:proofErr w:type="gramEnd"/>
      <w:r w:rsidRPr="004F4816">
        <w:rPr>
          <w:rFonts w:cs="Arial"/>
        </w:rPr>
        <w:t>, waarin burgers worden gevraagd het openstaande bezwaar te motiveren door middel van een formulier OWR,</w:t>
      </w:r>
    </w:p>
    <w:p w:rsidRPr="004F4816" w:rsidR="007B2CBB" w:rsidP="007B2CBB" w:rsidRDefault="007B2CBB" w14:paraId="163703A9" w14:textId="77777777">
      <w:pPr>
        <w:pStyle w:val="Lijstalinea"/>
        <w:numPr>
          <w:ilvl w:val="0"/>
          <w:numId w:val="7"/>
        </w:numPr>
        <w:rPr>
          <w:rFonts w:cs="Arial"/>
        </w:rPr>
      </w:pPr>
      <w:proofErr w:type="gramStart"/>
      <w:r w:rsidRPr="004F4816">
        <w:rPr>
          <w:rFonts w:cs="Arial"/>
          <w:i/>
          <w:iCs/>
        </w:rPr>
        <w:t>attentiebrieven</w:t>
      </w:r>
      <w:proofErr w:type="gramEnd"/>
      <w:r w:rsidRPr="004F4816">
        <w:rPr>
          <w:rFonts w:cs="Arial"/>
        </w:rPr>
        <w:t>, waarin burgers worden gevraagd om een aangifte aan te vullen met een formulier OWR; en</w:t>
      </w:r>
    </w:p>
    <w:p w:rsidRPr="004F4816" w:rsidR="007B2CBB" w:rsidP="007B2CBB" w:rsidRDefault="007B2CBB" w14:paraId="579438EB" w14:textId="77777777">
      <w:pPr>
        <w:pStyle w:val="Lijstalinea"/>
        <w:numPr>
          <w:ilvl w:val="0"/>
          <w:numId w:val="7"/>
        </w:numPr>
        <w:rPr>
          <w:rFonts w:cs="Arial"/>
        </w:rPr>
      </w:pPr>
      <w:proofErr w:type="gramStart"/>
      <w:r w:rsidRPr="004F4816">
        <w:rPr>
          <w:rFonts w:cs="Arial"/>
          <w:i/>
          <w:iCs/>
        </w:rPr>
        <w:t>brieven</w:t>
      </w:r>
      <w:proofErr w:type="gramEnd"/>
      <w:r w:rsidRPr="004F4816">
        <w:rPr>
          <w:rFonts w:cs="Arial"/>
          <w:i/>
          <w:iCs/>
        </w:rPr>
        <w:t xml:space="preserve"> na de definitieve aanslag,</w:t>
      </w:r>
      <w:r w:rsidRPr="004F4816">
        <w:rPr>
          <w:rFonts w:cs="Arial"/>
        </w:rPr>
        <w:t xml:space="preserve"> waarin burgers worden uitgenodigd het formulier OWR in te dienen na vaststellen van de definitieve aanslag als het herstel hierin nog niet is verwerkt.</w:t>
      </w:r>
    </w:p>
    <w:p w:rsidRPr="004F4816" w:rsidR="007B2CBB" w:rsidP="007B2CBB" w:rsidRDefault="007B2CBB" w14:paraId="6C5876FF" w14:textId="77777777">
      <w:pPr>
        <w:rPr>
          <w:rFonts w:cs="Arial"/>
        </w:rPr>
      </w:pPr>
    </w:p>
    <w:p w:rsidRPr="004F4816" w:rsidR="007B2CBB" w:rsidP="007B2CBB" w:rsidRDefault="007B2CBB" w14:paraId="18D9F67F" w14:textId="77777777">
      <w:pPr>
        <w:rPr>
          <w:rFonts w:cs="Arial"/>
        </w:rPr>
      </w:pPr>
      <w:r w:rsidRPr="004F4816">
        <w:rPr>
          <w:rFonts w:cs="Arial"/>
        </w:rPr>
        <w:t>Ten slotte geeft de Belastingdienst opdracht tot burgerpanelonderzoeken om het effect van de communicatie te monitoren en op basis daarvan te kunnen bijsturen.</w:t>
      </w:r>
      <w:r w:rsidRPr="004F4816">
        <w:rPr>
          <w:rStyle w:val="Voetnootmarkering"/>
          <w:rFonts w:cs="Arial"/>
        </w:rPr>
        <w:footnoteReference w:id="2"/>
      </w:r>
      <w:r w:rsidRPr="004F4816">
        <w:rPr>
          <w:rFonts w:cs="Arial"/>
        </w:rPr>
        <w:t xml:space="preserve"> Op deze wijze borgt de Belastingdienst effectieve communicatie.</w:t>
      </w:r>
    </w:p>
    <w:p w:rsidRPr="004F4816" w:rsidR="007B2CBB" w:rsidP="007B2CBB" w:rsidRDefault="007B2CBB" w14:paraId="7CD2224D" w14:textId="77777777">
      <w:pPr>
        <w:rPr>
          <w:rFonts w:cs="Arial"/>
        </w:rPr>
      </w:pPr>
    </w:p>
    <w:p w:rsidR="007B2CBB" w:rsidP="007B2CBB" w:rsidRDefault="007B2CBB" w14:paraId="247ADEB5" w14:textId="77777777">
      <w:pPr>
        <w:rPr>
          <w:rFonts w:cs="Arial"/>
        </w:rPr>
      </w:pPr>
    </w:p>
    <w:p w:rsidRPr="004F4816" w:rsidR="007B2CBB" w:rsidP="007B2CBB" w:rsidRDefault="007B2CBB" w14:paraId="18BE8D9D" w14:textId="77777777">
      <w:pPr>
        <w:pStyle w:val="Lijstalinea"/>
        <w:numPr>
          <w:ilvl w:val="0"/>
          <w:numId w:val="10"/>
        </w:numPr>
        <w:rPr>
          <w:rFonts w:cs="Arial"/>
          <w:b/>
          <w:bCs/>
        </w:rPr>
      </w:pPr>
      <w:r>
        <w:rPr>
          <w:rFonts w:cs="Arial"/>
          <w:b/>
          <w:bCs/>
        </w:rPr>
        <w:t>Implementatie</w:t>
      </w:r>
      <w:r w:rsidRPr="004F4816">
        <w:rPr>
          <w:rFonts w:cs="Arial"/>
          <w:b/>
          <w:bCs/>
        </w:rPr>
        <w:t xml:space="preserve"> </w:t>
      </w:r>
      <w:r>
        <w:rPr>
          <w:rFonts w:cs="Arial"/>
          <w:b/>
          <w:bCs/>
        </w:rPr>
        <w:t>van de regeling</w:t>
      </w:r>
    </w:p>
    <w:p w:rsidRPr="004F4816" w:rsidR="007B2CBB" w:rsidP="007B2CBB" w:rsidRDefault="007B2CBB" w14:paraId="614B7AED" w14:textId="77777777">
      <w:pPr>
        <w:rPr>
          <w:rFonts w:cs="Arial"/>
        </w:rPr>
      </w:pPr>
    </w:p>
    <w:p w:rsidRPr="004F4816" w:rsidR="007B2CBB" w:rsidP="007B2CBB" w:rsidRDefault="007B2CBB" w14:paraId="27B7CD76" w14:textId="77777777">
      <w:pPr>
        <w:rPr>
          <w:rFonts w:cs="Arial"/>
          <w:i/>
          <w:iCs/>
        </w:rPr>
      </w:pPr>
      <w:r w:rsidRPr="004F4816">
        <w:rPr>
          <w:rFonts w:cs="Arial"/>
          <w:i/>
          <w:iCs/>
        </w:rPr>
        <w:t>ICT-aanpassingen</w:t>
      </w:r>
    </w:p>
    <w:p w:rsidRPr="004F4816" w:rsidR="007B2CBB" w:rsidP="007B2CBB" w:rsidRDefault="007B2CBB" w14:paraId="5151E8E7" w14:textId="77777777">
      <w:pPr>
        <w:rPr>
          <w:rFonts w:cs="Arial"/>
        </w:rPr>
      </w:pPr>
      <w:r w:rsidRPr="004F4816">
        <w:rPr>
          <w:rFonts w:cs="Arial"/>
        </w:rPr>
        <w:t>Het implementeren van de tegenbewijsregeling box 3 in de ICT-systemen van de Belastingdienst is een complexe operatie geweest die in een korte tijd moest worden gerealiseerd. Vanwege bijzondere situaties waarmee rekening gehouden moet worden, zijn herhaaldelijk aanpassingen nodig geweest. Om de kans op grootschalige procesverstoringen te minimaliseren is het proces van verwerking van formulieren OWR fasegewijs opgestart. Er is een geautomatiseerd proces ingericht om te toetsen of de burger valt binnen de doelgroep die recht heeft op rechtsherstel en of het formulier OWR tijdig is ingediend. In 2025 is dit toetsingsproces meermaals en uitgebreid gecontroleerd, waarna noodzakelijke aanpassingen en verfijningen zijn doorgevoerd. Daarnaast hebben in 2025 ook werkzaamheden plaatsgevonden aan het koppelen van de ICT-systemen voor het verwerken van het formulier OWR in de aangifte en de afhandeling van bezwaren.</w:t>
      </w:r>
    </w:p>
    <w:p w:rsidRPr="004F4816" w:rsidR="007B2CBB" w:rsidP="007B2CBB" w:rsidRDefault="007B2CBB" w14:paraId="4E60D93B" w14:textId="77777777">
      <w:pPr>
        <w:rPr>
          <w:rFonts w:cs="Arial"/>
        </w:rPr>
      </w:pPr>
    </w:p>
    <w:p w:rsidRPr="004F4816" w:rsidR="007B2CBB" w:rsidP="007B2CBB" w:rsidRDefault="007B2CBB" w14:paraId="747A9B2D" w14:textId="77777777">
      <w:pPr>
        <w:rPr>
          <w:rFonts w:cs="Arial"/>
          <w:i/>
          <w:iCs/>
        </w:rPr>
      </w:pPr>
      <w:r w:rsidRPr="004F4816">
        <w:rPr>
          <w:rFonts w:cs="Arial"/>
          <w:i/>
          <w:iCs/>
        </w:rPr>
        <w:t>Werving en opleiding</w:t>
      </w:r>
    </w:p>
    <w:p w:rsidR="007B2CBB" w:rsidP="007B2CBB" w:rsidRDefault="007B2CBB" w14:paraId="1E9FF906" w14:textId="77777777">
      <w:pPr>
        <w:rPr>
          <w:rFonts w:cs="Arial"/>
        </w:rPr>
      </w:pPr>
      <w:r w:rsidRPr="004F4816">
        <w:rPr>
          <w:rFonts w:cs="Arial"/>
        </w:rPr>
        <w:t xml:space="preserve">Voor de uitvoering van </w:t>
      </w:r>
      <w:r>
        <w:rPr>
          <w:rFonts w:cs="Arial"/>
        </w:rPr>
        <w:t>het</w:t>
      </w:r>
      <w:r w:rsidRPr="004F4816">
        <w:rPr>
          <w:rFonts w:cs="Arial"/>
        </w:rPr>
        <w:t xml:space="preserve"> herstel is het noodzakelijk medewerkers te werven, hoofdzakelijk voor een hiervoor opgerichte</w:t>
      </w:r>
      <w:r>
        <w:rPr>
          <w:rFonts w:cs="Arial"/>
        </w:rPr>
        <w:t xml:space="preserve"> speciale afdeling binnen de Belastingdienst, de </w:t>
      </w:r>
      <w:r w:rsidRPr="004F4816">
        <w:rPr>
          <w:rFonts w:cs="Arial"/>
        </w:rPr>
        <w:t xml:space="preserve">unit box 3. In de periode vanaf juli vorig jaar zijn daarnaast werkinstructies gemaakt, opleidingen voor medewerkers ontwikkeld en medewerkers opgeleid. Het werven en behouden van medewerkers is een uitdaging gebleken, zoals ook in de uitvoeringstoets werd voorzien. </w:t>
      </w:r>
    </w:p>
    <w:p w:rsidR="007B2CBB" w:rsidP="007B2CBB" w:rsidRDefault="007B2CBB" w14:paraId="7A210F67" w14:textId="77777777">
      <w:pPr>
        <w:rPr>
          <w:rFonts w:cs="Arial"/>
        </w:rPr>
      </w:pPr>
    </w:p>
    <w:p w:rsidRPr="00D50D0A" w:rsidR="007B2CBB" w:rsidP="007B2CBB" w:rsidRDefault="007B2CBB" w14:paraId="6158D368" w14:textId="77777777">
      <w:pPr>
        <w:rPr>
          <w:rFonts w:cs="Arial"/>
        </w:rPr>
      </w:pPr>
      <w:r w:rsidRPr="00D50D0A">
        <w:rPr>
          <w:rFonts w:cs="Arial"/>
        </w:rPr>
        <w:t xml:space="preserve">De werving en opleiding van medewerkers is inmiddels voor een belangrijk deel gerealiseerd, maar is nog niet voor alle onderdelen van de Belastingdienst </w:t>
      </w:r>
      <w:r w:rsidRPr="00D50D0A">
        <w:rPr>
          <w:rFonts w:cs="Arial"/>
        </w:rPr>
        <w:lastRenderedPageBreak/>
        <w:t xml:space="preserve">afgerond. </w:t>
      </w:r>
      <w:r>
        <w:rPr>
          <w:rFonts w:cs="Arial"/>
        </w:rPr>
        <w:t xml:space="preserve"> </w:t>
      </w:r>
      <w:r w:rsidRPr="00D50D0A">
        <w:rPr>
          <w:rFonts w:cs="Arial"/>
        </w:rPr>
        <w:t>De huidige inspanningen zitten vooral in resterende (</w:t>
      </w:r>
      <w:r w:rsidRPr="00D50D0A" w:rsidR="007A3202">
        <w:rPr>
          <w:rFonts w:cs="Arial"/>
        </w:rPr>
        <w:t>vervang</w:t>
      </w:r>
      <w:r w:rsidR="007A3202">
        <w:rPr>
          <w:rFonts w:cs="Arial"/>
        </w:rPr>
        <w:t>ende</w:t>
      </w:r>
      <w:r w:rsidRPr="00D50D0A">
        <w:rPr>
          <w:rFonts w:cs="Arial"/>
        </w:rPr>
        <w:t>)</w:t>
      </w:r>
      <w:r w:rsidR="007A3202">
        <w:rPr>
          <w:rFonts w:cs="Arial"/>
        </w:rPr>
        <w:t xml:space="preserve"> </w:t>
      </w:r>
      <w:r w:rsidRPr="00D50D0A">
        <w:rPr>
          <w:rFonts w:cs="Arial"/>
        </w:rPr>
        <w:t>werving, het opdoen van praktijkervaring en het opzetten van leercirkels. Specifiek voor de unit Box 3 geldt dat (naast de werving als gevolg van vervangingsvraag) de werving voor het laatste volledig nieuwe team is gestart</w:t>
      </w:r>
      <w:r>
        <w:rPr>
          <w:rFonts w:cs="Arial"/>
        </w:rPr>
        <w:t xml:space="preserve"> en naar verwachting eind dit jaar zal zijn voltooid</w:t>
      </w:r>
      <w:r w:rsidRPr="00D50D0A">
        <w:rPr>
          <w:rFonts w:cs="Arial"/>
        </w:rPr>
        <w:t xml:space="preserve">. </w:t>
      </w:r>
      <w:r>
        <w:rPr>
          <w:rFonts w:cs="Arial"/>
        </w:rPr>
        <w:t>Het opleidingstraject vindt dan plaats in het eerste kwartaal van 2027.</w:t>
      </w:r>
    </w:p>
    <w:p w:rsidR="007B2CBB" w:rsidP="007B2CBB" w:rsidRDefault="007B2CBB" w14:paraId="27B339B0" w14:textId="77777777">
      <w:pPr>
        <w:rPr>
          <w:rFonts w:cs="Arial"/>
        </w:rPr>
      </w:pPr>
    </w:p>
    <w:p w:rsidRPr="004F4816" w:rsidR="007B2CBB" w:rsidP="007B2CBB" w:rsidRDefault="007B2CBB" w14:paraId="21B8E6E9" w14:textId="77777777">
      <w:pPr>
        <w:rPr>
          <w:rFonts w:cs="Arial"/>
        </w:rPr>
      </w:pPr>
      <w:r w:rsidRPr="004F4816">
        <w:rPr>
          <w:rFonts w:cs="Arial"/>
        </w:rPr>
        <w:t>Vanwege bovengenoemde ICT-werkzaamheden liepen capaciteit en werkaanbod uiteindelijk niet volledig gelijk op, wat ten koste ging van de efficiëntie. Slotsom is dat er veel werk is verzet voor het op orde maken van de organisatie voor de verwerking van de formulieren OWR, maar dat pas</w:t>
      </w:r>
      <w:r>
        <w:rPr>
          <w:rFonts w:cs="Arial"/>
        </w:rPr>
        <w:t xml:space="preserve"> sinds het voorjaar</w:t>
      </w:r>
      <w:r w:rsidRPr="004F4816">
        <w:rPr>
          <w:rFonts w:cs="Arial"/>
        </w:rPr>
        <w:t xml:space="preserve"> van 2026 de afhandeling op gang is gekomen.</w:t>
      </w:r>
      <w:r>
        <w:rPr>
          <w:rFonts w:cs="Arial"/>
        </w:rPr>
        <w:t xml:space="preserve"> </w:t>
      </w:r>
      <w:r w:rsidR="007A3202">
        <w:rPr>
          <w:rFonts w:cs="Arial"/>
        </w:rPr>
        <w:t xml:space="preserve"> </w:t>
      </w:r>
    </w:p>
    <w:p w:rsidRPr="004F4816" w:rsidR="007B2CBB" w:rsidP="007B2CBB" w:rsidRDefault="007B2CBB" w14:paraId="4D7F478B" w14:textId="77777777">
      <w:pPr>
        <w:rPr>
          <w:rFonts w:cs="Arial"/>
        </w:rPr>
      </w:pPr>
    </w:p>
    <w:p w:rsidRPr="004F4816" w:rsidR="007B2CBB" w:rsidP="007B2CBB" w:rsidRDefault="007B2CBB" w14:paraId="26E8839A" w14:textId="77777777">
      <w:pPr>
        <w:rPr>
          <w:rFonts w:cs="Arial"/>
          <w:i/>
          <w:iCs/>
        </w:rPr>
      </w:pPr>
      <w:r w:rsidRPr="004F4816">
        <w:rPr>
          <w:rFonts w:cs="Arial"/>
          <w:i/>
          <w:iCs/>
        </w:rPr>
        <w:t>Doorlooptijd</w:t>
      </w:r>
    </w:p>
    <w:p w:rsidRPr="004F4816" w:rsidR="007B2CBB" w:rsidP="007B2CBB" w:rsidRDefault="007B2CBB" w14:paraId="410D7832" w14:textId="77777777">
      <w:pPr>
        <w:rPr>
          <w:rFonts w:cs="Arial"/>
        </w:rPr>
      </w:pPr>
      <w:r w:rsidRPr="004F4816">
        <w:rPr>
          <w:rFonts w:cs="Arial"/>
        </w:rPr>
        <w:t xml:space="preserve">De behandeling van bezwaren en verzoeken en het toezicht op formulieren OWR zal zeker tot in het jaar 2030 plaatsvinden. Dit komt mede door de huidige grote voorraad en </w:t>
      </w:r>
      <w:r>
        <w:rPr>
          <w:rFonts w:cs="Arial"/>
        </w:rPr>
        <w:t>om</w:t>
      </w:r>
      <w:r w:rsidRPr="004F4816">
        <w:rPr>
          <w:rFonts w:cs="Arial"/>
        </w:rPr>
        <w:t>dat voor belastingjaar 2024 nog tot en met 31 december 2029 bezwaren en verzoeken kunnen worden ingediend.</w:t>
      </w:r>
    </w:p>
    <w:p w:rsidRPr="004F4816" w:rsidR="007B2CBB" w:rsidP="007B2CBB" w:rsidRDefault="007B2CBB" w14:paraId="3CC8FA6B" w14:textId="77777777">
      <w:pPr>
        <w:rPr>
          <w:rFonts w:cs="Arial"/>
        </w:rPr>
      </w:pPr>
    </w:p>
    <w:p w:rsidRPr="004F4816" w:rsidR="007B2CBB" w:rsidP="007B2CBB" w:rsidRDefault="007B2CBB" w14:paraId="053BB610" w14:textId="77777777">
      <w:pPr>
        <w:rPr>
          <w:rFonts w:cs="Arial"/>
          <w:i/>
          <w:iCs/>
        </w:rPr>
      </w:pPr>
      <w:r w:rsidRPr="004F4816">
        <w:rPr>
          <w:rFonts w:cs="Arial"/>
          <w:i/>
          <w:iCs/>
        </w:rPr>
        <w:t>Uitvoeringskosten</w:t>
      </w:r>
    </w:p>
    <w:p w:rsidRPr="004F4816" w:rsidR="007B2CBB" w:rsidP="007B2CBB" w:rsidRDefault="007B2CBB" w14:paraId="5EC43976" w14:textId="77777777">
      <w:pPr>
        <w:rPr>
          <w:rFonts w:cs="Arial"/>
        </w:rPr>
      </w:pPr>
      <w:r w:rsidRPr="004F4816">
        <w:rPr>
          <w:rFonts w:cs="Arial"/>
        </w:rPr>
        <w:t xml:space="preserve">De uitvoeringskosten ten laste van het herstel-uitvoeringsbudget bedroegen in 2025 </w:t>
      </w:r>
      <w:proofErr w:type="gramStart"/>
      <w:r w:rsidRPr="004F4816">
        <w:rPr>
          <w:rFonts w:cs="Arial"/>
        </w:rPr>
        <w:t>circa</w:t>
      </w:r>
      <w:proofErr w:type="gramEnd"/>
      <w:r w:rsidRPr="004F4816">
        <w:rPr>
          <w:rFonts w:cs="Arial"/>
        </w:rPr>
        <w:t xml:space="preserve"> € 44 miljoen en zijn in 2026 begroot op € 72 miljoen. Hiermee is opschaling van </w:t>
      </w:r>
      <w:r w:rsidR="004C1934">
        <w:rPr>
          <w:rFonts w:cs="Arial"/>
        </w:rPr>
        <w:t xml:space="preserve">de </w:t>
      </w:r>
      <w:r w:rsidRPr="004F4816">
        <w:rPr>
          <w:rFonts w:cs="Arial"/>
        </w:rPr>
        <w:t>personel</w:t>
      </w:r>
      <w:r w:rsidR="004C1934">
        <w:rPr>
          <w:rFonts w:cs="Arial"/>
        </w:rPr>
        <w:t>e</w:t>
      </w:r>
      <w:r w:rsidRPr="004F4816">
        <w:rPr>
          <w:rFonts w:cs="Arial"/>
        </w:rPr>
        <w:t xml:space="preserve"> </w:t>
      </w:r>
      <w:r w:rsidR="004C1934">
        <w:rPr>
          <w:rFonts w:cs="Arial"/>
        </w:rPr>
        <w:t xml:space="preserve">inzet </w:t>
      </w:r>
      <w:r w:rsidRPr="004F4816">
        <w:rPr>
          <w:rFonts w:cs="Arial"/>
        </w:rPr>
        <w:t>(naar aan het eind van 2025 bijna 700 fte) bekostigd, waardoor de bovengenoemde voorbereidingen en werkzaamheden konden worden uitgevoerd.</w:t>
      </w:r>
      <w:r w:rsidR="009A0538">
        <w:rPr>
          <w:rFonts w:cs="Arial"/>
        </w:rPr>
        <w:t xml:space="preserve"> Het aantal benodigde </w:t>
      </w:r>
      <w:r w:rsidR="004C1934">
        <w:rPr>
          <w:rFonts w:cs="Arial"/>
        </w:rPr>
        <w:t>medewerkers</w:t>
      </w:r>
      <w:r w:rsidR="009A0538">
        <w:rPr>
          <w:rFonts w:cs="Arial"/>
        </w:rPr>
        <w:t xml:space="preserve"> blijft ook in de komende jaren naar verwachting rond de 700 fte.</w:t>
      </w:r>
    </w:p>
    <w:p w:rsidRPr="004F4816" w:rsidR="007B2CBB" w:rsidP="007B2CBB" w:rsidRDefault="007B2CBB" w14:paraId="28DD3FCE" w14:textId="77777777">
      <w:pPr>
        <w:rPr>
          <w:rFonts w:cs="Arial"/>
        </w:rPr>
      </w:pPr>
    </w:p>
    <w:p w:rsidRPr="00AD79F9" w:rsidR="007B2CBB" w:rsidP="007B2CBB" w:rsidRDefault="007B2CBB" w14:paraId="4AE596CE" w14:textId="77777777">
      <w:pPr>
        <w:pStyle w:val="Lijstalinea"/>
        <w:numPr>
          <w:ilvl w:val="0"/>
          <w:numId w:val="10"/>
        </w:numPr>
        <w:rPr>
          <w:rFonts w:cs="Arial"/>
          <w:b/>
          <w:bCs/>
          <w:i/>
          <w:iCs/>
        </w:rPr>
      </w:pPr>
      <w:r>
        <w:rPr>
          <w:rFonts w:cs="Arial"/>
          <w:b/>
          <w:bCs/>
        </w:rPr>
        <w:t>Werkstromen en werkvoorraad Belastingdienst</w:t>
      </w:r>
    </w:p>
    <w:p w:rsidR="007B2CBB" w:rsidP="007B2CBB" w:rsidRDefault="007B2CBB" w14:paraId="64D735EC" w14:textId="77777777">
      <w:pPr>
        <w:rPr>
          <w:rFonts w:cs="Arial"/>
          <w:i/>
          <w:iCs/>
        </w:rPr>
      </w:pPr>
    </w:p>
    <w:p w:rsidRPr="004F4816" w:rsidR="007B2CBB" w:rsidP="007B2CBB" w:rsidRDefault="007B2CBB" w14:paraId="2F3C9DD0" w14:textId="77777777">
      <w:pPr>
        <w:rPr>
          <w:rFonts w:cs="Arial"/>
          <w:i/>
          <w:iCs/>
        </w:rPr>
      </w:pPr>
      <w:r>
        <w:rPr>
          <w:rFonts w:cs="Arial"/>
          <w:i/>
          <w:iCs/>
        </w:rPr>
        <w:t>T</w:t>
      </w:r>
      <w:r w:rsidRPr="004F4816">
        <w:rPr>
          <w:rFonts w:cs="Arial"/>
          <w:i/>
          <w:iCs/>
        </w:rPr>
        <w:t>oelichting werkstromen</w:t>
      </w:r>
    </w:p>
    <w:p w:rsidRPr="004F4816" w:rsidR="007B2CBB" w:rsidP="007B2CBB" w:rsidRDefault="007B2CBB" w14:paraId="437F10CD" w14:textId="77777777">
      <w:pPr>
        <w:rPr>
          <w:rFonts w:cs="Arial"/>
        </w:rPr>
      </w:pPr>
      <w:r>
        <w:rPr>
          <w:rFonts w:cs="Arial"/>
        </w:rPr>
        <w:t>De hersteloperatie</w:t>
      </w:r>
      <w:r w:rsidRPr="004F4816">
        <w:rPr>
          <w:rFonts w:cs="Arial"/>
        </w:rPr>
        <w:t xml:space="preserve"> bestaat voornamelijk uit de volgende drie werkstromen</w:t>
      </w:r>
      <w:r>
        <w:rPr>
          <w:rFonts w:cs="Arial"/>
        </w:rPr>
        <w:t xml:space="preserve"> bij de Belastingdienst</w:t>
      </w:r>
      <w:r w:rsidRPr="004F4816">
        <w:rPr>
          <w:rFonts w:cs="Arial"/>
        </w:rPr>
        <w:t>:</w:t>
      </w:r>
    </w:p>
    <w:p w:rsidRPr="00654E50" w:rsidR="007B2CBB" w:rsidP="007B2CBB" w:rsidRDefault="007B2CBB" w14:paraId="7CB452F3" w14:textId="77777777">
      <w:pPr>
        <w:pStyle w:val="Lijstalinea"/>
        <w:numPr>
          <w:ilvl w:val="0"/>
          <w:numId w:val="16"/>
        </w:numPr>
        <w:rPr>
          <w:rFonts w:cs="Arial"/>
        </w:rPr>
      </w:pPr>
      <w:r w:rsidRPr="00654E50">
        <w:rPr>
          <w:rFonts w:cs="Arial"/>
        </w:rPr>
        <w:t>Bezwaren en verzoeken</w:t>
      </w:r>
      <w:r>
        <w:rPr>
          <w:rFonts w:cs="Arial"/>
        </w:rPr>
        <w:t>, eventueel onderbouwd met een formulier OWR</w:t>
      </w:r>
    </w:p>
    <w:p w:rsidRPr="00654E50" w:rsidR="007B2CBB" w:rsidP="007B2CBB" w:rsidRDefault="007B2CBB" w14:paraId="2CDF233F" w14:textId="77777777">
      <w:pPr>
        <w:pStyle w:val="Lijstalinea"/>
        <w:numPr>
          <w:ilvl w:val="0"/>
          <w:numId w:val="16"/>
        </w:numPr>
        <w:rPr>
          <w:rFonts w:cs="Arial"/>
        </w:rPr>
      </w:pPr>
      <w:r w:rsidRPr="00654E50">
        <w:rPr>
          <w:rFonts w:cs="Arial"/>
        </w:rPr>
        <w:t>Formulier OWR als aanvulling op de eerdere aangifte</w:t>
      </w:r>
    </w:p>
    <w:p w:rsidR="007B2CBB" w:rsidP="007B2CBB" w:rsidRDefault="007B2CBB" w14:paraId="0758022E" w14:textId="77777777">
      <w:pPr>
        <w:pStyle w:val="Lijstalinea"/>
        <w:numPr>
          <w:ilvl w:val="0"/>
          <w:numId w:val="16"/>
        </w:numPr>
        <w:rPr>
          <w:rFonts w:cs="Arial"/>
        </w:rPr>
      </w:pPr>
      <w:r w:rsidRPr="00654E50">
        <w:rPr>
          <w:rFonts w:cs="Arial"/>
        </w:rPr>
        <w:t>Formulier OWR als bezwaar of verzoek tot ambtshalve vermindering</w:t>
      </w:r>
    </w:p>
    <w:p w:rsidR="00AF4307" w:rsidP="00AF4307" w:rsidRDefault="00AF4307" w14:paraId="56584D77" w14:textId="77777777">
      <w:pPr>
        <w:rPr>
          <w:rFonts w:cs="Arial"/>
        </w:rPr>
      </w:pPr>
    </w:p>
    <w:p w:rsidRPr="004F4816" w:rsidR="00AF4307" w:rsidP="00AF4307" w:rsidRDefault="00AF4307" w14:paraId="14A0B543" w14:textId="77777777">
      <w:pPr>
        <w:rPr>
          <w:rFonts w:cs="Arial"/>
        </w:rPr>
      </w:pPr>
      <w:r w:rsidRPr="004F4816">
        <w:rPr>
          <w:rFonts w:cs="Arial"/>
        </w:rPr>
        <w:t>Werkstroom 1: Bezwaren en verzoeken</w:t>
      </w:r>
    </w:p>
    <w:p w:rsidRPr="004F4816" w:rsidR="00AF4307" w:rsidP="00AF4307" w:rsidRDefault="00AF4307" w14:paraId="74567572" w14:textId="77777777">
      <w:pPr>
        <w:rPr>
          <w:rFonts w:cs="Arial"/>
        </w:rPr>
      </w:pPr>
      <w:r w:rsidRPr="004F4816">
        <w:rPr>
          <w:rFonts w:cs="Arial"/>
        </w:rPr>
        <w:t>Deze werkstroom heeft betrekking op burgers die een bezwaar of verzoek tot ambtshalve vermindering hebben ingediend. Sommigen hebben een formulier OWR ingediend als motivering op een bestaand bezwaar of verzoek. De bezwaren en verzoeken werkstroom heeft betrekking op de jaren 2017 tot en met 2024. De werkstroom bevat op het moment 351.000 bezwaren en verzoeken, hiervan zijn 295.000 niet gekoppeld aan een formulier OWR. De omvang van deze werkstroom kan toenemen als er meer bezwaren of verzoeken worden ingediend.</w:t>
      </w:r>
      <w:r w:rsidRPr="004F4816">
        <w:rPr>
          <w:rStyle w:val="Voetnootmarkering"/>
          <w:rFonts w:cs="Arial"/>
        </w:rPr>
        <w:footnoteReference w:id="3"/>
      </w:r>
    </w:p>
    <w:p w:rsidRPr="00AF4307" w:rsidR="00AF4307" w:rsidP="00A8410C" w:rsidRDefault="00AF4307" w14:paraId="33E499C4" w14:textId="77777777">
      <w:pPr>
        <w:rPr>
          <w:rFonts w:cs="Arial"/>
        </w:rPr>
      </w:pPr>
    </w:p>
    <w:p w:rsidR="007B2CBB" w:rsidP="007B2CBB" w:rsidRDefault="007B2CBB" w14:paraId="63EBB7B6" w14:textId="77777777">
      <w:pPr>
        <w:rPr>
          <w:rFonts w:cs="Arial"/>
        </w:rPr>
      </w:pPr>
      <w:r w:rsidRPr="004F4816">
        <w:lastRenderedPageBreak/>
        <w:t xml:space="preserve"> </w:t>
      </w:r>
      <w:r>
        <w:rPr>
          <w:rFonts w:cs="Arial"/>
          <w:noProof/>
        </w:rPr>
        <w:drawing>
          <wp:inline distT="0" distB="0" distL="0" distR="0" wp14:anchorId="4450B92D" wp14:editId="67DCD4E7">
            <wp:extent cx="5242560" cy="2857500"/>
            <wp:effectExtent l="0" t="0" r="0" b="0"/>
            <wp:docPr id="6141715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71538" name="Afbeelding 614171538"/>
                    <pic:cNvPicPr/>
                  </pic:nvPicPr>
                  <pic:blipFill rotWithShape="1">
                    <a:blip r:embed="rId7" cstate="print">
                      <a:extLst>
                        <a:ext uri="{28A0092B-C50C-407E-A947-70E740481C1C}">
                          <a14:useLocalDpi xmlns:a14="http://schemas.microsoft.com/office/drawing/2010/main" val="0"/>
                        </a:ext>
                      </a:extLst>
                    </a:blip>
                    <a:srcRect l="2749" r="5448" b="11049"/>
                    <a:stretch>
                      <a:fillRect/>
                    </a:stretch>
                  </pic:blipFill>
                  <pic:spPr bwMode="auto">
                    <a:xfrm>
                      <a:off x="0" y="0"/>
                      <a:ext cx="5261539" cy="2867845"/>
                    </a:xfrm>
                    <a:prstGeom prst="rect">
                      <a:avLst/>
                    </a:prstGeom>
                    <a:ln>
                      <a:noFill/>
                    </a:ln>
                    <a:extLst>
                      <a:ext uri="{53640926-AAD7-44D8-BBD7-CCE9431645EC}">
                        <a14:shadowObscured xmlns:a14="http://schemas.microsoft.com/office/drawing/2010/main"/>
                      </a:ext>
                    </a:extLst>
                  </pic:spPr>
                </pic:pic>
              </a:graphicData>
            </a:graphic>
          </wp:inline>
        </w:drawing>
      </w:r>
      <w:r w:rsidR="009F7F81">
        <w:rPr>
          <w:rFonts w:cs="Arial"/>
          <w:noProof/>
        </w:rPr>
        <w:drawing>
          <wp:inline distT="0" distB="0" distL="0" distR="0" wp14:anchorId="1DE08ECB" wp14:editId="4AD2B24D">
            <wp:extent cx="5547039" cy="1239769"/>
            <wp:effectExtent l="0" t="0" r="0" b="0"/>
            <wp:docPr id="18541822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82269" name="Afbeelding 1854182269"/>
                    <pic:cNvPicPr/>
                  </pic:nvPicPr>
                  <pic:blipFill rotWithShape="1">
                    <a:blip r:embed="rId8">
                      <a:extLst>
                        <a:ext uri="{28A0092B-C50C-407E-A947-70E740481C1C}">
                          <a14:useLocalDpi xmlns:a14="http://schemas.microsoft.com/office/drawing/2010/main" val="0"/>
                        </a:ext>
                      </a:extLst>
                    </a:blip>
                    <a:srcRect l="2916" t="51088" r="269" b="10446"/>
                    <a:stretch>
                      <a:fillRect/>
                    </a:stretch>
                  </pic:blipFill>
                  <pic:spPr bwMode="auto">
                    <a:xfrm>
                      <a:off x="0" y="0"/>
                      <a:ext cx="5580148" cy="1247169"/>
                    </a:xfrm>
                    <a:prstGeom prst="rect">
                      <a:avLst/>
                    </a:prstGeom>
                    <a:ln>
                      <a:noFill/>
                    </a:ln>
                    <a:extLst>
                      <a:ext uri="{53640926-AAD7-44D8-BBD7-CCE9431645EC}">
                        <a14:shadowObscured xmlns:a14="http://schemas.microsoft.com/office/drawing/2010/main"/>
                      </a:ext>
                    </a:extLst>
                  </pic:spPr>
                </pic:pic>
              </a:graphicData>
            </a:graphic>
          </wp:inline>
        </w:drawing>
      </w:r>
    </w:p>
    <w:p w:rsidRPr="004F4816" w:rsidR="007B2CBB" w:rsidP="007B2CBB" w:rsidRDefault="007B2CBB" w14:paraId="64F3B435" w14:textId="77777777">
      <w:pPr>
        <w:rPr>
          <w:rFonts w:cs="Arial"/>
        </w:rPr>
      </w:pPr>
      <w:r w:rsidRPr="004F4816">
        <w:rPr>
          <w:rFonts w:cs="Arial"/>
        </w:rPr>
        <w:t xml:space="preserve">Figuur </w:t>
      </w:r>
      <w:r>
        <w:rPr>
          <w:rFonts w:cs="Arial"/>
        </w:rPr>
        <w:t>1</w:t>
      </w:r>
      <w:r w:rsidRPr="004F4816">
        <w:rPr>
          <w:rFonts w:cs="Arial"/>
        </w:rPr>
        <w:t>. Inzicht in voornaamste werkstromen</w:t>
      </w:r>
      <w:r w:rsidRPr="004F4816">
        <w:rPr>
          <w:rStyle w:val="Voetnootmarkering"/>
          <w:rFonts w:cs="Arial"/>
        </w:rPr>
        <w:footnoteReference w:id="4"/>
      </w:r>
    </w:p>
    <w:p w:rsidRPr="004F4816" w:rsidR="007B2CBB" w:rsidP="007B2CBB" w:rsidRDefault="007B2CBB" w14:paraId="74552F17" w14:textId="77777777">
      <w:pPr>
        <w:rPr>
          <w:rFonts w:cs="Arial"/>
        </w:rPr>
      </w:pPr>
    </w:p>
    <w:p w:rsidRPr="004F4816" w:rsidR="007B2CBB" w:rsidP="007B2CBB" w:rsidRDefault="007B2CBB" w14:paraId="02FC7D65" w14:textId="77777777">
      <w:pPr>
        <w:rPr>
          <w:rFonts w:cs="Arial"/>
        </w:rPr>
      </w:pPr>
      <w:r w:rsidRPr="004F4816">
        <w:rPr>
          <w:rFonts w:cs="Arial"/>
        </w:rPr>
        <w:t>Werkstroom 2: OWR als aanvulling op eerdere aangifte</w:t>
      </w:r>
    </w:p>
    <w:p w:rsidRPr="004F4816" w:rsidR="007B2CBB" w:rsidP="007B2CBB" w:rsidRDefault="007B2CBB" w14:paraId="2B633EDE" w14:textId="77777777">
      <w:pPr>
        <w:rPr>
          <w:rFonts w:cs="Arial"/>
        </w:rPr>
      </w:pPr>
      <w:r w:rsidRPr="004F4816">
        <w:rPr>
          <w:rFonts w:cs="Arial"/>
        </w:rPr>
        <w:t xml:space="preserve">Deze werkstroom heeft betrekking op burgers die een formulier OWR indienen als aanvulling op een </w:t>
      </w:r>
      <w:r>
        <w:rPr>
          <w:rFonts w:cs="Arial"/>
        </w:rPr>
        <w:t>eerdere</w:t>
      </w:r>
      <w:r w:rsidRPr="004F4816">
        <w:rPr>
          <w:rFonts w:cs="Arial"/>
        </w:rPr>
        <w:t xml:space="preserve"> aangifte. Hiervoor is nog geen definitieve aanslag opgelegd. De werkstroom heeft betrekking op de jaren 2022 tot en met 2024. Er zijn tot 8 juni 235.500 formulieren OWR ingediend in deze werkstroom, maar dit aantal kan nog toenemen.</w:t>
      </w:r>
    </w:p>
    <w:p w:rsidRPr="004F4816" w:rsidR="007B2CBB" w:rsidP="007B2CBB" w:rsidRDefault="007B2CBB" w14:paraId="196FA6D1" w14:textId="77777777">
      <w:pPr>
        <w:rPr>
          <w:rFonts w:cs="Arial"/>
        </w:rPr>
      </w:pPr>
    </w:p>
    <w:p w:rsidRPr="004F4816" w:rsidR="007B2CBB" w:rsidP="007B2CBB" w:rsidRDefault="007B2CBB" w14:paraId="6B5F5413" w14:textId="77777777">
      <w:pPr>
        <w:rPr>
          <w:rFonts w:cs="Arial"/>
        </w:rPr>
      </w:pPr>
      <w:r w:rsidRPr="004F4816">
        <w:rPr>
          <w:rFonts w:cs="Arial"/>
        </w:rPr>
        <w:t>De Belastingdienst legt bij voorkeur in een keer een juiste definitieve aanslag op waarbij rekening is gehouden met het werkelijk rendement.</w:t>
      </w:r>
      <w:r w:rsidRPr="004F4816">
        <w:rPr>
          <w:rStyle w:val="Voetnootmarkering"/>
          <w:rFonts w:cs="Arial"/>
        </w:rPr>
        <w:footnoteReference w:id="5"/>
      </w:r>
      <w:r w:rsidRPr="004F4816">
        <w:rPr>
          <w:rFonts w:cs="Arial"/>
        </w:rPr>
        <w:t xml:space="preserve"> Daarom heeft de Belastingdienst sinds 2023 het definitief opleggen van aanslagen aangehouden, in het geval een burger meer vermogensbestandsdelen in box 3 heeft dan enkel bank- en spaartegoeden. Er zijn momenteel </w:t>
      </w:r>
      <w:proofErr w:type="gramStart"/>
      <w:r w:rsidRPr="004F4816">
        <w:rPr>
          <w:rFonts w:cs="Arial"/>
        </w:rPr>
        <w:t>circa</w:t>
      </w:r>
      <w:proofErr w:type="gramEnd"/>
      <w:r w:rsidRPr="004F4816">
        <w:rPr>
          <w:rFonts w:cs="Arial"/>
        </w:rPr>
        <w:t xml:space="preserve"> 3,1 miljoen aangiften die nog verwerkt dienen te worden in de zogenoemde wachtkamer en waarvoor mogelijk nog formulieren OWR als aanvulling op de aangifte binnen kunnen komen.</w:t>
      </w:r>
      <w:r w:rsidRPr="004F4816">
        <w:rPr>
          <w:rStyle w:val="Voetnootmarkering"/>
          <w:rFonts w:cs="Arial"/>
        </w:rPr>
        <w:footnoteReference w:id="6"/>
      </w:r>
    </w:p>
    <w:p w:rsidRPr="004F4816" w:rsidR="007B2CBB" w:rsidP="007B2CBB" w:rsidRDefault="007B2CBB" w14:paraId="432946ED" w14:textId="77777777">
      <w:pPr>
        <w:rPr>
          <w:rFonts w:cs="Arial"/>
        </w:rPr>
      </w:pPr>
    </w:p>
    <w:p w:rsidRPr="004F4816" w:rsidR="007B2CBB" w:rsidP="007B2CBB" w:rsidRDefault="007B2CBB" w14:paraId="2192CCD7" w14:textId="77777777">
      <w:pPr>
        <w:rPr>
          <w:rFonts w:cs="Arial"/>
        </w:rPr>
      </w:pPr>
      <w:r w:rsidRPr="004F4816">
        <w:rPr>
          <w:rFonts w:cs="Arial"/>
        </w:rPr>
        <w:t>Werkstroom 3: OWR als bezwaar of verzoek tot ambtshalve vermindering</w:t>
      </w:r>
    </w:p>
    <w:p w:rsidRPr="004F4816" w:rsidR="007B2CBB" w:rsidP="007B2CBB" w:rsidRDefault="007B2CBB" w14:paraId="17C9064F" w14:textId="77777777">
      <w:pPr>
        <w:rPr>
          <w:rFonts w:cs="Arial"/>
        </w:rPr>
      </w:pPr>
      <w:r w:rsidRPr="004F4816">
        <w:rPr>
          <w:rFonts w:cs="Arial"/>
        </w:rPr>
        <w:t xml:space="preserve">Deze werkstroom heeft betrekking op burgers die al een definitieve aanslag hebben ontvangen en vervolgens nog een formulier OWR indienen. Het formulier OWR moet ingediend zijn binnen de vijfjaarstermijn. Als het formulier OWR </w:t>
      </w:r>
      <w:r w:rsidRPr="004F4816">
        <w:rPr>
          <w:rFonts w:cs="Arial"/>
        </w:rPr>
        <w:lastRenderedPageBreak/>
        <w:t xml:space="preserve">binnen zes weken na een definitieve aanslag is ingediend, betreft het </w:t>
      </w:r>
      <w:r>
        <w:rPr>
          <w:rFonts w:cs="Arial"/>
        </w:rPr>
        <w:t xml:space="preserve">wettelijk gezien </w:t>
      </w:r>
      <w:r w:rsidRPr="004F4816">
        <w:rPr>
          <w:rFonts w:cs="Arial"/>
        </w:rPr>
        <w:t>een bezwaar. Als het formulier OWR later is ingediend, betreft het een verzoek. Deze werkstroom heeft betrekking op de jaren 2020 tot en met 2024</w:t>
      </w:r>
      <w:r>
        <w:rPr>
          <w:rFonts w:cs="Arial"/>
        </w:rPr>
        <w:t xml:space="preserve">. Tot </w:t>
      </w:r>
      <w:r w:rsidR="009F7F81">
        <w:rPr>
          <w:rFonts w:cs="Arial"/>
        </w:rPr>
        <w:t xml:space="preserve">8 </w:t>
      </w:r>
      <w:r>
        <w:rPr>
          <w:rFonts w:cs="Arial"/>
        </w:rPr>
        <w:t>juni 2026</w:t>
      </w:r>
      <w:r w:rsidR="009F7F81">
        <w:rPr>
          <w:rFonts w:cs="Arial"/>
        </w:rPr>
        <w:t xml:space="preserve"> betreft dit</w:t>
      </w:r>
      <w:r w:rsidRPr="004F4816">
        <w:rPr>
          <w:rFonts w:cs="Arial"/>
        </w:rPr>
        <w:t xml:space="preserve"> 368.500 posten. Ook deze werkstroom kan nog in omvang toenemen als er meer formulieren OWR binnen komen als bezwaar of verzoek tot ambtshalve vermindering.</w:t>
      </w:r>
    </w:p>
    <w:p w:rsidRPr="004F4816" w:rsidR="007B2CBB" w:rsidP="007B2CBB" w:rsidRDefault="007B2CBB" w14:paraId="1603D301" w14:textId="77777777">
      <w:pPr>
        <w:rPr>
          <w:rFonts w:cs="Arial"/>
        </w:rPr>
      </w:pPr>
    </w:p>
    <w:p w:rsidR="007B2CBB" w:rsidP="007B2CBB" w:rsidRDefault="007B2CBB" w14:paraId="2BC279B9" w14:textId="77777777">
      <w:pPr>
        <w:rPr>
          <w:rFonts w:cs="Arial"/>
        </w:rPr>
      </w:pPr>
      <w:r w:rsidRPr="004F4816">
        <w:rPr>
          <w:rFonts w:cs="Arial"/>
        </w:rPr>
        <w:t xml:space="preserve">Bovengenoemde werkstromen omvatten naar verwachting de meest omvangrijke werkzaamheden binnen </w:t>
      </w:r>
      <w:r>
        <w:rPr>
          <w:rFonts w:cs="Arial"/>
        </w:rPr>
        <w:t>de hersteloperatie</w:t>
      </w:r>
      <w:r w:rsidRPr="004F4816">
        <w:rPr>
          <w:rFonts w:cs="Arial"/>
        </w:rPr>
        <w:t xml:space="preserve">. </w:t>
      </w:r>
      <w:r>
        <w:rPr>
          <w:rFonts w:cs="Arial"/>
        </w:rPr>
        <w:t>B</w:t>
      </w:r>
      <w:r w:rsidRPr="004F4816">
        <w:rPr>
          <w:rFonts w:cs="Arial"/>
        </w:rPr>
        <w:t xml:space="preserve">innen de werkstroom bezwaren en verzoeken </w:t>
      </w:r>
      <w:r>
        <w:rPr>
          <w:rFonts w:cs="Arial"/>
        </w:rPr>
        <w:t>ligt</w:t>
      </w:r>
      <w:r w:rsidRPr="004F4816">
        <w:rPr>
          <w:rFonts w:cs="Arial"/>
        </w:rPr>
        <w:t xml:space="preserve"> de meeste </w:t>
      </w:r>
      <w:proofErr w:type="gramStart"/>
      <w:r w:rsidRPr="004F4816">
        <w:rPr>
          <w:rFonts w:cs="Arial"/>
        </w:rPr>
        <w:t>werklast</w:t>
      </w:r>
      <w:r>
        <w:rPr>
          <w:rFonts w:cs="Arial"/>
        </w:rPr>
        <w:t>,</w:t>
      </w:r>
      <w:r w:rsidRPr="004F4816">
        <w:rPr>
          <w:rFonts w:cs="Arial"/>
        </w:rPr>
        <w:t xml:space="preserve">  omdat</w:t>
      </w:r>
      <w:proofErr w:type="gramEnd"/>
      <w:r w:rsidRPr="004F4816">
        <w:rPr>
          <w:rFonts w:cs="Arial"/>
        </w:rPr>
        <w:t xml:space="preserve"> alle bezwaren en verzoeken</w:t>
      </w:r>
      <w:r>
        <w:rPr>
          <w:rFonts w:cs="Arial"/>
        </w:rPr>
        <w:t xml:space="preserve"> wettelijk gezien individueel en</w:t>
      </w:r>
      <w:r w:rsidRPr="004F4816">
        <w:rPr>
          <w:rFonts w:cs="Arial"/>
        </w:rPr>
        <w:t xml:space="preserve"> handmatig moeten worden afgehandeld. Bij de overige twee werkstromen moet toezicht gehouden worden</w:t>
      </w:r>
      <w:r>
        <w:rPr>
          <w:rFonts w:cs="Arial"/>
        </w:rPr>
        <w:t xml:space="preserve">. </w:t>
      </w:r>
      <w:r w:rsidR="009F7F81">
        <w:rPr>
          <w:rFonts w:cs="Arial"/>
        </w:rPr>
        <w:t>Naar aanleiding van dit toezicht</w:t>
      </w:r>
      <w:r>
        <w:rPr>
          <w:rFonts w:cs="Arial"/>
        </w:rPr>
        <w:t xml:space="preserve"> </w:t>
      </w:r>
      <w:r w:rsidRPr="004F4816">
        <w:rPr>
          <w:rFonts w:cs="Arial"/>
        </w:rPr>
        <w:t>wordt een deel van de formulieren OWR handmatig</w:t>
      </w:r>
      <w:r w:rsidR="009F7F81">
        <w:rPr>
          <w:rFonts w:cs="Arial"/>
        </w:rPr>
        <w:t xml:space="preserve"> verwerkt</w:t>
      </w:r>
      <w:r w:rsidRPr="004F4816">
        <w:rPr>
          <w:rFonts w:cs="Arial"/>
        </w:rPr>
        <w:t xml:space="preserve">. Naast de drie belangrijkste werkstromen heeft de Belastingdienst nog verschillende werkzaamheden die bijkomend zijn aan het herstel, zoals onder meer verwerking van </w:t>
      </w:r>
      <w:r>
        <w:rPr>
          <w:rFonts w:cs="Arial"/>
        </w:rPr>
        <w:t>complexe informatie</w:t>
      </w:r>
      <w:r w:rsidRPr="004F4816">
        <w:rPr>
          <w:rFonts w:cs="Arial"/>
        </w:rPr>
        <w:t>verzoeken</w:t>
      </w:r>
      <w:r>
        <w:rPr>
          <w:rFonts w:cs="Arial"/>
        </w:rPr>
        <w:t xml:space="preserve"> van burgers, </w:t>
      </w:r>
      <w:r w:rsidRPr="004F4816">
        <w:rPr>
          <w:rFonts w:cs="Arial"/>
        </w:rPr>
        <w:t>het consistent maken van formulieren OWR, beroepsprocedures</w:t>
      </w:r>
      <w:r w:rsidR="00D76A6A">
        <w:rPr>
          <w:rFonts w:cs="Arial"/>
        </w:rPr>
        <w:t xml:space="preserve"> en </w:t>
      </w:r>
      <w:r w:rsidRPr="004F4816">
        <w:rPr>
          <w:rFonts w:cs="Arial"/>
        </w:rPr>
        <w:t>klachtbehandeling.</w:t>
      </w:r>
      <w:r w:rsidR="00D76A6A">
        <w:rPr>
          <w:rFonts w:cs="Arial"/>
        </w:rPr>
        <w:t xml:space="preserve"> Tot slot heeft de Belastingdienst sinds openstelling van het formulier OWR </w:t>
      </w:r>
      <w:r w:rsidR="005C2038">
        <w:rPr>
          <w:rFonts w:cs="Arial"/>
        </w:rPr>
        <w:t>ruim</w:t>
      </w:r>
      <w:r w:rsidR="00D76A6A">
        <w:rPr>
          <w:rFonts w:cs="Arial"/>
        </w:rPr>
        <w:t xml:space="preserve"> 1.</w:t>
      </w:r>
      <w:r w:rsidR="005C2038">
        <w:rPr>
          <w:rFonts w:cs="Arial"/>
        </w:rPr>
        <w:t>30</w:t>
      </w:r>
      <w:r w:rsidR="00D76A6A">
        <w:rPr>
          <w:rFonts w:cs="Arial"/>
        </w:rPr>
        <w:t>0 formele ingebrekestellingen ontvangen met betrekking tot openstaande bezwaren en verzoeken.</w:t>
      </w:r>
    </w:p>
    <w:p w:rsidR="007B2CBB" w:rsidP="007B2CBB" w:rsidRDefault="007B2CBB" w14:paraId="5EC47610" w14:textId="77777777">
      <w:pPr>
        <w:rPr>
          <w:rFonts w:cs="Arial"/>
        </w:rPr>
      </w:pPr>
    </w:p>
    <w:p w:rsidRPr="004F4816" w:rsidR="007B2CBB" w:rsidP="007B2CBB" w:rsidRDefault="007B2CBB" w14:paraId="31F22512" w14:textId="77777777">
      <w:pPr>
        <w:pStyle w:val="Lijstalinea"/>
        <w:numPr>
          <w:ilvl w:val="0"/>
          <w:numId w:val="10"/>
        </w:numPr>
        <w:rPr>
          <w:rFonts w:cs="Arial"/>
          <w:b/>
          <w:bCs/>
        </w:rPr>
      </w:pPr>
      <w:r w:rsidRPr="004F4816">
        <w:rPr>
          <w:rFonts w:cs="Arial"/>
          <w:b/>
          <w:bCs/>
        </w:rPr>
        <w:t>Gebruik van de regeling</w:t>
      </w:r>
      <w:r>
        <w:rPr>
          <w:rFonts w:cs="Arial"/>
          <w:b/>
          <w:bCs/>
        </w:rPr>
        <w:t xml:space="preserve"> en realisatie</w:t>
      </w:r>
    </w:p>
    <w:p w:rsidR="007B2CBB" w:rsidP="007B2CBB" w:rsidRDefault="007B2CBB" w14:paraId="3184F48A" w14:textId="77777777">
      <w:pPr>
        <w:rPr>
          <w:rFonts w:cs="Arial"/>
        </w:rPr>
      </w:pPr>
    </w:p>
    <w:p w:rsidRPr="00A8410C" w:rsidR="00BE322E" w:rsidP="007B2CBB" w:rsidRDefault="00BE322E" w14:paraId="54A6132B" w14:textId="77777777">
      <w:pPr>
        <w:rPr>
          <w:rFonts w:cs="Arial"/>
          <w:i/>
          <w:iCs/>
        </w:rPr>
      </w:pPr>
      <w:r>
        <w:rPr>
          <w:rFonts w:cs="Arial"/>
          <w:i/>
          <w:iCs/>
        </w:rPr>
        <w:t>Gebruik</w:t>
      </w:r>
    </w:p>
    <w:p w:rsidR="00FF315A" w:rsidP="00FF315A" w:rsidRDefault="007B2CBB" w14:paraId="023A4BF1" w14:textId="77777777">
      <w:pPr>
        <w:rPr>
          <w:rFonts w:cs="Arial"/>
        </w:rPr>
      </w:pPr>
      <w:r w:rsidRPr="004F4816">
        <w:rPr>
          <w:rFonts w:cs="Arial"/>
        </w:rPr>
        <w:t>Er zijn sinds het openstellen van het formulier tot 8 juni 2026 804.411 formulieren OWR ingediend, waarvan 14.571 op papier.</w:t>
      </w:r>
      <w:r w:rsidRPr="004F4816">
        <w:rPr>
          <w:rStyle w:val="Voetnootmarkering"/>
          <w:rFonts w:cs="Arial"/>
        </w:rPr>
        <w:footnoteReference w:id="7"/>
      </w:r>
      <w:r w:rsidRPr="004F4816">
        <w:rPr>
          <w:rFonts w:cs="Arial"/>
        </w:rPr>
        <w:t xml:space="preserve"> Daarnaast zijn, sinds de openstelling van het formulier OWR, ook 6.747 berichten ontvangen met een andere (eigen) structuur om het werkelijk rendement op te geven of om uitstel te verzoeken voor het indienen van het formulier OWR.</w:t>
      </w:r>
      <w:r>
        <w:rPr>
          <w:rFonts w:cs="Arial"/>
        </w:rPr>
        <w:t xml:space="preserve"> Sinds de openstelling komen de formulieren OWR in een vrij gelijkmatige stroom binnen bij de Belastingdienst.</w:t>
      </w:r>
      <w:r w:rsidRPr="004F4816">
        <w:rPr>
          <w:rFonts w:cs="Arial"/>
        </w:rPr>
        <w:t xml:space="preserve"> Het huidige aantal ingediende formulieren OWR zal naar verwachting nog toenemen. </w:t>
      </w:r>
    </w:p>
    <w:p w:rsidR="00FF315A" w:rsidP="00FF315A" w:rsidRDefault="00FF315A" w14:paraId="117FFE92" w14:textId="77777777">
      <w:pPr>
        <w:rPr>
          <w:rFonts w:cs="Arial"/>
        </w:rPr>
      </w:pPr>
    </w:p>
    <w:p w:rsidRPr="00FF315A" w:rsidR="00FF315A" w:rsidP="00FF315A" w:rsidRDefault="007B2CBB" w14:paraId="7655EC59" w14:textId="77777777">
      <w:pPr>
        <w:rPr>
          <w:rFonts w:cs="Arial"/>
        </w:rPr>
      </w:pPr>
      <w:r w:rsidRPr="004F4816">
        <w:rPr>
          <w:rFonts w:cs="Arial"/>
        </w:rPr>
        <w:t>Sommige formulieren OWR zijn niet verwerkbaar of behandelbaar</w:t>
      </w:r>
      <w:r w:rsidR="006C2334">
        <w:rPr>
          <w:rFonts w:cs="Arial"/>
        </w:rPr>
        <w:t>.</w:t>
      </w:r>
      <w:r w:rsidR="00FF315A">
        <w:rPr>
          <w:rFonts w:cs="Arial"/>
        </w:rPr>
        <w:t xml:space="preserve"> </w:t>
      </w:r>
      <w:r w:rsidRPr="00FF315A" w:rsidR="00FF315A">
        <w:rPr>
          <w:rFonts w:cs="Arial"/>
        </w:rPr>
        <w:t xml:space="preserve">Dit is bijvoorbeeld het geval als er nog geen aangifte is gedaan, als er geen of de verkeerde fiscaal partner is opgegeven of </w:t>
      </w:r>
      <w:r w:rsidR="00FF315A">
        <w:rPr>
          <w:rFonts w:cs="Arial"/>
        </w:rPr>
        <w:t>als</w:t>
      </w:r>
      <w:r w:rsidRPr="00FF315A" w:rsidR="00FF315A">
        <w:rPr>
          <w:rFonts w:cs="Arial"/>
        </w:rPr>
        <w:t xml:space="preserve"> </w:t>
      </w:r>
      <w:r w:rsidR="00FF315A">
        <w:rPr>
          <w:rFonts w:cs="Arial"/>
        </w:rPr>
        <w:t>er</w:t>
      </w:r>
      <w:r w:rsidRPr="00FF315A" w:rsidR="00FF315A">
        <w:rPr>
          <w:rFonts w:cs="Arial"/>
        </w:rPr>
        <w:t xml:space="preserve"> geen box 3 inkomen in </w:t>
      </w:r>
      <w:r w:rsidR="00FF315A">
        <w:rPr>
          <w:rFonts w:cs="Arial"/>
        </w:rPr>
        <w:t>d</w:t>
      </w:r>
      <w:r w:rsidRPr="00FF315A" w:rsidR="00FF315A">
        <w:rPr>
          <w:rFonts w:cs="Arial"/>
        </w:rPr>
        <w:t xml:space="preserve">e aangifte </w:t>
      </w:r>
      <w:r w:rsidR="00FF315A">
        <w:rPr>
          <w:rFonts w:cs="Arial"/>
        </w:rPr>
        <w:t>zit</w:t>
      </w:r>
      <w:r w:rsidRPr="00FF315A" w:rsidR="00FF315A">
        <w:rPr>
          <w:rFonts w:cs="Arial"/>
        </w:rPr>
        <w:t>. </w:t>
      </w:r>
      <w:r w:rsidR="00FF315A">
        <w:rPr>
          <w:rFonts w:cs="Arial"/>
        </w:rPr>
        <w:t>Het gaat ook deels om formulieren die</w:t>
      </w:r>
      <w:r w:rsidRPr="00FF315A" w:rsidR="00FF315A">
        <w:rPr>
          <w:rFonts w:cs="Arial"/>
        </w:rPr>
        <w:t xml:space="preserve"> buiten de </w:t>
      </w:r>
      <w:r w:rsidR="00FF315A">
        <w:rPr>
          <w:rFonts w:cs="Arial"/>
        </w:rPr>
        <w:t>vijf</w:t>
      </w:r>
      <w:r w:rsidRPr="00FF315A" w:rsidR="00FF315A">
        <w:rPr>
          <w:rFonts w:cs="Arial"/>
        </w:rPr>
        <w:t xml:space="preserve">jaarstermijn </w:t>
      </w:r>
      <w:r w:rsidR="00FF315A">
        <w:rPr>
          <w:rFonts w:cs="Arial"/>
        </w:rPr>
        <w:t>zijn</w:t>
      </w:r>
      <w:r w:rsidRPr="00FF315A" w:rsidR="00FF315A">
        <w:rPr>
          <w:rFonts w:cs="Arial"/>
        </w:rPr>
        <w:t xml:space="preserve"> ontvangen en </w:t>
      </w:r>
      <w:r w:rsidR="00FF315A">
        <w:rPr>
          <w:rFonts w:cs="Arial"/>
        </w:rPr>
        <w:t xml:space="preserve">waarvoor ook geen </w:t>
      </w:r>
      <w:r w:rsidRPr="00FF315A" w:rsidR="00FF315A">
        <w:rPr>
          <w:rFonts w:cs="Arial"/>
        </w:rPr>
        <w:t>bezwaar</w:t>
      </w:r>
      <w:r w:rsidR="00FF315A">
        <w:rPr>
          <w:rFonts w:cs="Arial"/>
        </w:rPr>
        <w:t xml:space="preserve">, </w:t>
      </w:r>
      <w:r w:rsidRPr="00FF315A" w:rsidR="00FF315A">
        <w:rPr>
          <w:rFonts w:cs="Arial"/>
        </w:rPr>
        <w:t>verzoek</w:t>
      </w:r>
      <w:r w:rsidR="00FF315A">
        <w:rPr>
          <w:rFonts w:cs="Arial"/>
        </w:rPr>
        <w:t xml:space="preserve"> of </w:t>
      </w:r>
      <w:r w:rsidRPr="00FF315A" w:rsidR="00FF315A">
        <w:rPr>
          <w:rFonts w:cs="Arial"/>
        </w:rPr>
        <w:t>beroep</w:t>
      </w:r>
      <w:r w:rsidR="00FF315A">
        <w:rPr>
          <w:rFonts w:cs="Arial"/>
        </w:rPr>
        <w:t xml:space="preserve"> loopt</w:t>
      </w:r>
      <w:r w:rsidRPr="00FF315A" w:rsidR="00FF315A">
        <w:rPr>
          <w:rFonts w:cs="Arial"/>
        </w:rPr>
        <w:t>. </w:t>
      </w:r>
    </w:p>
    <w:p w:rsidR="007B2CBB" w:rsidP="007B2CBB" w:rsidRDefault="007B2CBB" w14:paraId="595903D9" w14:textId="77777777">
      <w:pPr>
        <w:rPr>
          <w:rFonts w:cs="Arial"/>
        </w:rPr>
      </w:pPr>
    </w:p>
    <w:p w:rsidRPr="00A8410C" w:rsidR="00BE322E" w:rsidP="007B2CBB" w:rsidRDefault="00BE322E" w14:paraId="46F57CDD" w14:textId="77777777">
      <w:pPr>
        <w:rPr>
          <w:rFonts w:cs="Arial"/>
          <w:i/>
          <w:iCs/>
        </w:rPr>
      </w:pPr>
      <w:r>
        <w:rPr>
          <w:rFonts w:cs="Arial"/>
          <w:i/>
          <w:iCs/>
        </w:rPr>
        <w:t>Verwerking en realisatie</w:t>
      </w:r>
    </w:p>
    <w:p w:rsidRPr="004F4816" w:rsidR="00600D6C" w:rsidRDefault="007B2CBB" w14:paraId="52C40CBD" w14:textId="77777777">
      <w:pPr>
        <w:rPr>
          <w:rFonts w:cs="Arial"/>
        </w:rPr>
      </w:pPr>
      <w:r w:rsidRPr="000F756A">
        <w:rPr>
          <w:rFonts w:cs="Arial"/>
        </w:rPr>
        <w:t>625.500 formulieren staan nu in de werkvoorraad</w:t>
      </w:r>
      <w:r w:rsidRPr="004F4816">
        <w:rPr>
          <w:rFonts w:cs="Arial"/>
        </w:rPr>
        <w:t xml:space="preserve"> en 179.000 formulieren </w:t>
      </w:r>
      <w:r>
        <w:rPr>
          <w:rFonts w:cs="Arial"/>
        </w:rPr>
        <w:t xml:space="preserve">zijn </w:t>
      </w:r>
      <w:r w:rsidRPr="004F4816">
        <w:rPr>
          <w:rFonts w:cs="Arial"/>
        </w:rPr>
        <w:t xml:space="preserve">afgehandeld. Momenteel </w:t>
      </w:r>
      <w:r>
        <w:rPr>
          <w:rFonts w:cs="Arial"/>
        </w:rPr>
        <w:t>worden</w:t>
      </w:r>
      <w:r w:rsidRPr="004F4816">
        <w:rPr>
          <w:rFonts w:cs="Arial"/>
        </w:rPr>
        <w:t xml:space="preserve"> de verschillende belastingjaren </w:t>
      </w:r>
      <w:r w:rsidR="00664CF5">
        <w:rPr>
          <w:rFonts w:cs="Arial"/>
        </w:rPr>
        <w:t xml:space="preserve">stapsgewijs </w:t>
      </w:r>
      <w:r>
        <w:rPr>
          <w:rFonts w:cs="Arial"/>
        </w:rPr>
        <w:t xml:space="preserve">gespreid </w:t>
      </w:r>
      <w:r w:rsidRPr="004F4816">
        <w:rPr>
          <w:rFonts w:cs="Arial"/>
        </w:rPr>
        <w:t xml:space="preserve">over de tijd vrijgegeven en </w:t>
      </w:r>
      <w:r w:rsidR="007A3202">
        <w:rPr>
          <w:rFonts w:cs="Arial"/>
        </w:rPr>
        <w:t xml:space="preserve">(wanneer behandelbaar en verwerkbaar) </w:t>
      </w:r>
      <w:r w:rsidRPr="004F4816">
        <w:rPr>
          <w:rFonts w:cs="Arial"/>
        </w:rPr>
        <w:t>beschikbaar gesteld voor verwerking</w:t>
      </w:r>
      <w:r w:rsidR="00664CF5">
        <w:rPr>
          <w:rFonts w:cs="Arial"/>
        </w:rPr>
        <w:t xml:space="preserve">, </w:t>
      </w:r>
      <w:bookmarkStart w:name="_Hlk233273748" w:id="3"/>
      <w:r w:rsidR="00664CF5">
        <w:rPr>
          <w:rFonts w:cs="Arial"/>
        </w:rPr>
        <w:t>startend met de oudste belastingjaren en eindigend met belastingjaar 2024</w:t>
      </w:r>
      <w:bookmarkEnd w:id="3"/>
      <w:r w:rsidR="00664CF5">
        <w:rPr>
          <w:rFonts w:cs="Arial"/>
        </w:rPr>
        <w:t>.</w:t>
      </w:r>
      <w:r w:rsidRPr="004F4816">
        <w:rPr>
          <w:rFonts w:cs="Arial"/>
        </w:rPr>
        <w:t xml:space="preserve"> Door d</w:t>
      </w:r>
      <w:r>
        <w:rPr>
          <w:rFonts w:cs="Arial"/>
        </w:rPr>
        <w:t>e</w:t>
      </w:r>
      <w:r w:rsidRPr="004F4816">
        <w:rPr>
          <w:rFonts w:cs="Arial"/>
        </w:rPr>
        <w:t xml:space="preserve"> gefaseerde opstart wordt ruimte voor gedegen voorbereiding en testen geborgd</w:t>
      </w:r>
      <w:bookmarkStart w:name="_Hlk233273682" w:id="4"/>
      <w:r w:rsidRPr="004F4816">
        <w:rPr>
          <w:rFonts w:cs="Arial"/>
        </w:rPr>
        <w:t xml:space="preserve">. </w:t>
      </w:r>
      <w:r w:rsidR="00696754">
        <w:rPr>
          <w:rFonts w:cs="Arial"/>
        </w:rPr>
        <w:t xml:space="preserve">Van de 179.000 </w:t>
      </w:r>
      <w:r w:rsidR="007A3202">
        <w:rPr>
          <w:rFonts w:cs="Arial"/>
        </w:rPr>
        <w:t>afgehandelde</w:t>
      </w:r>
      <w:r w:rsidR="00696754">
        <w:rPr>
          <w:rFonts w:cs="Arial"/>
        </w:rPr>
        <w:t xml:space="preserve"> formulieren OWR zijn 34.500 formulieren inhoudelijk verwerkt. De inhoudelijke verwerking is daarmee tot 8 juni op</w:t>
      </w:r>
      <w:r w:rsidRPr="004F4816">
        <w:rPr>
          <w:rFonts w:cs="Arial"/>
        </w:rPr>
        <w:t xml:space="preserve"> kleine schaal</w:t>
      </w:r>
      <w:r w:rsidR="005C2038">
        <w:rPr>
          <w:rFonts w:cs="Arial"/>
        </w:rPr>
        <w:t xml:space="preserve"> voor de oudste belastingjaren</w:t>
      </w:r>
      <w:r w:rsidRPr="004F4816">
        <w:rPr>
          <w:rFonts w:cs="Arial"/>
        </w:rPr>
        <w:t xml:space="preserve"> </w:t>
      </w:r>
      <w:r w:rsidR="00696754">
        <w:rPr>
          <w:rFonts w:cs="Arial"/>
        </w:rPr>
        <w:t xml:space="preserve">(t/m 2020) </w:t>
      </w:r>
      <w:r w:rsidRPr="004F4816">
        <w:rPr>
          <w:rFonts w:cs="Arial"/>
        </w:rPr>
        <w:t>gestart</w:t>
      </w:r>
      <w:r w:rsidR="00696754">
        <w:rPr>
          <w:rFonts w:cs="Arial"/>
        </w:rPr>
        <w:t xml:space="preserve"> en</w:t>
      </w:r>
      <w:r w:rsidR="005C2038">
        <w:rPr>
          <w:rFonts w:cs="Arial"/>
        </w:rPr>
        <w:t xml:space="preserve"> heeft </w:t>
      </w:r>
      <w:r w:rsidR="00E77E9E">
        <w:rPr>
          <w:rFonts w:cs="Arial"/>
        </w:rPr>
        <w:t xml:space="preserve">tot 8 juni 2026 </w:t>
      </w:r>
      <w:r w:rsidR="00696754">
        <w:rPr>
          <w:rFonts w:cs="Arial"/>
        </w:rPr>
        <w:t>g</w:t>
      </w:r>
      <w:r w:rsidR="005C2038">
        <w:rPr>
          <w:rFonts w:cs="Arial"/>
        </w:rPr>
        <w:t>eleid tot verminderingen</w:t>
      </w:r>
      <w:r w:rsidR="00696754">
        <w:rPr>
          <w:rFonts w:cs="Arial"/>
        </w:rPr>
        <w:t xml:space="preserve"> met een </w:t>
      </w:r>
      <w:r w:rsidR="005C2038">
        <w:rPr>
          <w:rFonts w:cs="Arial"/>
        </w:rPr>
        <w:t>budgettair beslag van</w:t>
      </w:r>
      <w:r w:rsidRPr="005C2038" w:rsidR="005C2038">
        <w:rPr>
          <w:rFonts w:cs="Arial"/>
        </w:rPr>
        <w:t xml:space="preserve"> </w:t>
      </w:r>
      <w:r w:rsidR="00696754">
        <w:rPr>
          <w:rFonts w:cs="Arial"/>
        </w:rPr>
        <w:t xml:space="preserve">in totaal </w:t>
      </w:r>
      <w:r w:rsidRPr="005C2038" w:rsidR="005C2038">
        <w:rPr>
          <w:rFonts w:cs="Arial"/>
        </w:rPr>
        <w:t>€ 22,5 miljoen</w:t>
      </w:r>
      <w:r w:rsidR="005C2038">
        <w:rPr>
          <w:rFonts w:cs="Arial"/>
        </w:rPr>
        <w:t>.</w:t>
      </w:r>
      <w:r w:rsidR="00696754">
        <w:rPr>
          <w:rFonts w:cs="Arial"/>
        </w:rPr>
        <w:t xml:space="preserve"> </w:t>
      </w:r>
      <w:bookmarkEnd w:id="4"/>
    </w:p>
    <w:p w:rsidRPr="004F4816" w:rsidR="007B2CBB" w:rsidP="00696754" w:rsidRDefault="007B2CBB" w14:paraId="4629A26D" w14:textId="77777777">
      <w:pPr>
        <w:rPr>
          <w:rFonts w:cs="Arial"/>
        </w:rPr>
      </w:pPr>
      <w:r w:rsidRPr="004F4816">
        <w:rPr>
          <w:rFonts w:cs="Arial"/>
        </w:rPr>
        <w:lastRenderedPageBreak/>
        <w:t>Onderstaande tabel geeft zicht op de huidige realisatie uitgesplitst naar de drie werkstromen.</w:t>
      </w:r>
    </w:p>
    <w:p w:rsidR="007B2CBB" w:rsidP="007B2CBB" w:rsidRDefault="007B2CBB" w14:paraId="4648FB6D" w14:textId="77777777">
      <w:pPr>
        <w:rPr>
          <w:rFonts w:cs="Arial"/>
        </w:rPr>
      </w:pPr>
    </w:p>
    <w:tbl>
      <w:tblPr>
        <w:tblpPr w:leftFromText="141" w:rightFromText="141" w:vertAnchor="text" w:horzAnchor="margin" w:tblpY="231"/>
        <w:tblW w:w="7650"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3256"/>
        <w:gridCol w:w="1311"/>
        <w:gridCol w:w="1417"/>
        <w:gridCol w:w="20"/>
        <w:gridCol w:w="1646"/>
      </w:tblGrid>
      <w:tr w:rsidRPr="000F756A" w:rsidR="007B2CBB" w:rsidTr="00884AF2" w14:paraId="294BA6D8" w14:textId="77777777">
        <w:trPr>
          <w:trHeight w:val="296"/>
        </w:trPr>
        <w:tc>
          <w:tcPr>
            <w:tcW w:w="3256" w:type="dxa"/>
            <w:tcBorders>
              <w:top w:val="single" w:color="auto" w:sz="4" w:space="0"/>
              <w:left w:val="single" w:color="auto" w:sz="4" w:space="0"/>
              <w:bottom w:val="single" w:color="auto" w:sz="4" w:space="0"/>
              <w:right w:val="single" w:color="auto" w:sz="4" w:space="0"/>
            </w:tcBorders>
            <w:vAlign w:val="center"/>
            <w:hideMark/>
          </w:tcPr>
          <w:p w:rsidR="007B2CBB" w:rsidP="0002433B" w:rsidRDefault="007B2CBB" w14:paraId="78E2578A" w14:textId="77777777">
            <w:pPr>
              <w:rPr>
                <w:rFonts w:cs="Arial"/>
                <w:b/>
                <w:bCs/>
              </w:rPr>
            </w:pPr>
            <w:r w:rsidRPr="000F756A">
              <w:rPr>
                <w:rFonts w:cs="Arial"/>
                <w:b/>
                <w:bCs/>
              </w:rPr>
              <w:t>Formulieren OWR</w:t>
            </w:r>
          </w:p>
          <w:p w:rsidRPr="00884AF2" w:rsidR="00884AF2" w:rsidP="0002433B" w:rsidRDefault="00884AF2" w14:paraId="1E454C42" w14:textId="77777777">
            <w:pPr>
              <w:rPr>
                <w:rFonts w:cs="Arial"/>
              </w:rPr>
            </w:pPr>
            <w:r>
              <w:rPr>
                <w:rFonts w:cs="Arial"/>
              </w:rPr>
              <w:t>(</w:t>
            </w:r>
            <w:proofErr w:type="gramStart"/>
            <w:r>
              <w:rPr>
                <w:rFonts w:cs="Arial"/>
              </w:rPr>
              <w:t>werkstromen</w:t>
            </w:r>
            <w:proofErr w:type="gramEnd"/>
            <w:r>
              <w:rPr>
                <w:rFonts w:cs="Arial"/>
              </w:rPr>
              <w:t>)</w:t>
            </w:r>
          </w:p>
        </w:tc>
        <w:tc>
          <w:tcPr>
            <w:tcW w:w="1311" w:type="dxa"/>
            <w:tcBorders>
              <w:top w:val="single" w:color="auto" w:sz="4" w:space="0"/>
              <w:left w:val="single" w:color="auto" w:sz="4" w:space="0"/>
              <w:bottom w:val="single" w:color="auto" w:sz="4" w:space="0"/>
              <w:right w:val="nil"/>
            </w:tcBorders>
            <w:vAlign w:val="center"/>
            <w:hideMark/>
          </w:tcPr>
          <w:p w:rsidRPr="000F756A" w:rsidR="007B2CBB" w:rsidP="0002433B" w:rsidRDefault="007B2CBB" w14:paraId="638B5505" w14:textId="77777777">
            <w:pPr>
              <w:rPr>
                <w:rFonts w:cs="Arial"/>
                <w:b/>
                <w:bCs/>
              </w:rPr>
            </w:pPr>
            <w:r w:rsidRPr="000F756A">
              <w:rPr>
                <w:rFonts w:cs="Arial"/>
                <w:b/>
                <w:bCs/>
              </w:rPr>
              <w:t>Voorraad</w:t>
            </w:r>
          </w:p>
          <w:p w:rsidRPr="00462FF9" w:rsidR="007B2CBB" w:rsidP="0002433B" w:rsidRDefault="007B2CBB" w14:paraId="734980DF" w14:textId="77777777">
            <w:pPr>
              <w:rPr>
                <w:rFonts w:cs="Arial"/>
              </w:rPr>
            </w:pPr>
            <w:r>
              <w:rPr>
                <w:rFonts w:cs="Arial"/>
              </w:rPr>
              <w:t>(</w:t>
            </w:r>
            <w:r w:rsidRPr="00543E55">
              <w:rPr>
                <w:rFonts w:cs="Arial"/>
              </w:rPr>
              <w:t>8 juni 2026</w:t>
            </w:r>
            <w:r>
              <w:rPr>
                <w:rFonts w:cs="Arial"/>
              </w:rPr>
              <w:t>)</w:t>
            </w:r>
          </w:p>
        </w:tc>
        <w:tc>
          <w:tcPr>
            <w:tcW w:w="1417" w:type="dxa"/>
            <w:tcBorders>
              <w:top w:val="single" w:color="auto" w:sz="4" w:space="0"/>
              <w:left w:val="nil"/>
              <w:bottom w:val="single" w:color="auto" w:sz="4" w:space="0"/>
              <w:right w:val="nil"/>
            </w:tcBorders>
            <w:vAlign w:val="center"/>
            <w:hideMark/>
          </w:tcPr>
          <w:p w:rsidRPr="000F756A" w:rsidR="007B2CBB" w:rsidP="0002433B" w:rsidRDefault="007B2CBB" w14:paraId="65E1E5F8" w14:textId="77777777">
            <w:pPr>
              <w:rPr>
                <w:rFonts w:cs="Arial"/>
                <w:b/>
                <w:bCs/>
              </w:rPr>
            </w:pPr>
            <w:r w:rsidRPr="000F756A">
              <w:rPr>
                <w:rFonts w:cs="Arial"/>
                <w:b/>
                <w:bCs/>
              </w:rPr>
              <w:t>Realisatie</w:t>
            </w:r>
          </w:p>
          <w:p w:rsidRPr="00543E55" w:rsidR="007B2CBB" w:rsidP="0002433B" w:rsidRDefault="007B2CBB" w14:paraId="264037C8" w14:textId="77777777">
            <w:pPr>
              <w:rPr>
                <w:rFonts w:cs="Arial"/>
              </w:rPr>
            </w:pPr>
            <w:r>
              <w:rPr>
                <w:rFonts w:cs="Arial"/>
              </w:rPr>
              <w:t>(</w:t>
            </w:r>
            <w:proofErr w:type="gramStart"/>
            <w:r w:rsidRPr="00543E55">
              <w:rPr>
                <w:rFonts w:cs="Arial"/>
              </w:rPr>
              <w:t>tot</w:t>
            </w:r>
            <w:proofErr w:type="gramEnd"/>
            <w:r w:rsidRPr="00543E55">
              <w:rPr>
                <w:rFonts w:cs="Arial"/>
              </w:rPr>
              <w:t xml:space="preserve"> 8 juni</w:t>
            </w:r>
            <w:r>
              <w:rPr>
                <w:rFonts w:cs="Arial"/>
              </w:rPr>
              <w:t>)</w:t>
            </w:r>
          </w:p>
        </w:tc>
        <w:tc>
          <w:tcPr>
            <w:tcW w:w="20" w:type="dxa"/>
            <w:tcBorders>
              <w:top w:val="single" w:color="auto" w:sz="4" w:space="0"/>
              <w:left w:val="nil"/>
              <w:bottom w:val="single" w:color="auto" w:sz="4" w:space="0"/>
              <w:right w:val="single" w:color="auto" w:sz="4" w:space="0"/>
            </w:tcBorders>
            <w:vAlign w:val="center"/>
          </w:tcPr>
          <w:p w:rsidRPr="000F756A" w:rsidR="007B2CBB" w:rsidP="0002433B" w:rsidRDefault="007B2CBB" w14:paraId="08A8C196" w14:textId="77777777">
            <w:pPr>
              <w:rPr>
                <w:rFonts w:cs="Arial"/>
              </w:rPr>
            </w:pPr>
          </w:p>
        </w:tc>
        <w:tc>
          <w:tcPr>
            <w:tcW w:w="1646" w:type="dxa"/>
            <w:tcBorders>
              <w:top w:val="single" w:color="auto" w:sz="4" w:space="0"/>
              <w:left w:val="single" w:color="auto" w:sz="4" w:space="0"/>
              <w:bottom w:val="single" w:color="auto" w:sz="4" w:space="0"/>
              <w:right w:val="single" w:color="auto" w:sz="4" w:space="0"/>
            </w:tcBorders>
            <w:vAlign w:val="center"/>
            <w:hideMark/>
          </w:tcPr>
          <w:p w:rsidRPr="000F756A" w:rsidR="007B2CBB" w:rsidP="0002433B" w:rsidRDefault="00BE322E" w14:paraId="4D17475F" w14:textId="77777777">
            <w:pPr>
              <w:rPr>
                <w:rFonts w:cs="Arial"/>
                <w:b/>
                <w:bCs/>
              </w:rPr>
            </w:pPr>
            <w:r>
              <w:rPr>
                <w:rFonts w:cs="Arial"/>
                <w:b/>
                <w:bCs/>
              </w:rPr>
              <w:t xml:space="preserve">Prognose </w:t>
            </w:r>
            <w:r w:rsidR="00884AF2">
              <w:rPr>
                <w:rFonts w:cs="Arial"/>
                <w:b/>
                <w:bCs/>
              </w:rPr>
              <w:t>2026</w:t>
            </w:r>
          </w:p>
          <w:p w:rsidRPr="00543E55" w:rsidR="007B2CBB" w:rsidP="0002433B" w:rsidRDefault="007B2CBB" w14:paraId="1119E3FA" w14:textId="77777777">
            <w:pPr>
              <w:rPr>
                <w:rFonts w:cs="Arial"/>
              </w:rPr>
            </w:pPr>
            <w:r>
              <w:rPr>
                <w:rFonts w:cs="Arial"/>
              </w:rPr>
              <w:t>(</w:t>
            </w:r>
            <w:proofErr w:type="gramStart"/>
            <w:r w:rsidRPr="00543E55">
              <w:rPr>
                <w:rFonts w:cs="Arial"/>
              </w:rPr>
              <w:t>vanaf</w:t>
            </w:r>
            <w:proofErr w:type="gramEnd"/>
            <w:r w:rsidRPr="00543E55">
              <w:rPr>
                <w:rFonts w:cs="Arial"/>
              </w:rPr>
              <w:t xml:space="preserve"> 8 juni</w:t>
            </w:r>
            <w:r>
              <w:rPr>
                <w:rFonts w:cs="Arial"/>
              </w:rPr>
              <w:t>)</w:t>
            </w:r>
          </w:p>
        </w:tc>
      </w:tr>
      <w:tr w:rsidRPr="000F756A" w:rsidR="007B2CBB" w:rsidTr="00884AF2" w14:paraId="17BF141A" w14:textId="77777777">
        <w:trPr>
          <w:trHeight w:val="296"/>
        </w:trPr>
        <w:tc>
          <w:tcPr>
            <w:tcW w:w="3256" w:type="dxa"/>
            <w:tcBorders>
              <w:top w:val="single" w:color="auto" w:sz="4" w:space="0"/>
              <w:left w:val="single" w:color="auto" w:sz="4" w:space="0"/>
              <w:bottom w:val="nil"/>
              <w:right w:val="single" w:color="auto" w:sz="4" w:space="0"/>
            </w:tcBorders>
            <w:vAlign w:val="center"/>
            <w:hideMark/>
          </w:tcPr>
          <w:p w:rsidRPr="000F756A" w:rsidR="007B2CBB" w:rsidP="0002433B" w:rsidRDefault="007B2CBB" w14:paraId="564C68B6" w14:textId="77777777">
            <w:pPr>
              <w:rPr>
                <w:rFonts w:cs="Arial"/>
              </w:rPr>
            </w:pPr>
            <w:r w:rsidRPr="000F756A">
              <w:rPr>
                <w:rFonts w:cs="Arial"/>
              </w:rPr>
              <w:t>Stroom 1: Bezwaren en verzoeken</w:t>
            </w:r>
          </w:p>
        </w:tc>
        <w:tc>
          <w:tcPr>
            <w:tcW w:w="1311" w:type="dxa"/>
            <w:tcBorders>
              <w:top w:val="single" w:color="auto" w:sz="4" w:space="0"/>
              <w:left w:val="single" w:color="auto" w:sz="4" w:space="0"/>
              <w:bottom w:val="nil"/>
              <w:right w:val="nil"/>
            </w:tcBorders>
            <w:vAlign w:val="center"/>
            <w:hideMark/>
          </w:tcPr>
          <w:p w:rsidRPr="000F756A" w:rsidR="007B2CBB" w:rsidP="0002433B" w:rsidRDefault="007B2CBB" w14:paraId="4C59E974" w14:textId="77777777">
            <w:pPr>
              <w:jc w:val="right"/>
              <w:rPr>
                <w:rFonts w:cs="Arial"/>
              </w:rPr>
            </w:pPr>
            <w:r w:rsidRPr="000F756A">
              <w:rPr>
                <w:rFonts w:cs="Arial"/>
              </w:rPr>
              <w:t>53.500</w:t>
            </w:r>
          </w:p>
        </w:tc>
        <w:tc>
          <w:tcPr>
            <w:tcW w:w="1417" w:type="dxa"/>
            <w:tcBorders>
              <w:top w:val="single" w:color="auto" w:sz="4" w:space="0"/>
              <w:left w:val="nil"/>
              <w:bottom w:val="nil"/>
              <w:right w:val="nil"/>
            </w:tcBorders>
            <w:vAlign w:val="center"/>
            <w:hideMark/>
          </w:tcPr>
          <w:p w:rsidRPr="000F756A" w:rsidR="007B2CBB" w:rsidP="0002433B" w:rsidRDefault="007B2CBB" w14:paraId="305DF117" w14:textId="77777777">
            <w:pPr>
              <w:jc w:val="right"/>
              <w:rPr>
                <w:rFonts w:cs="Arial"/>
              </w:rPr>
            </w:pPr>
            <w:r w:rsidRPr="000F756A">
              <w:rPr>
                <w:rFonts w:cs="Arial"/>
              </w:rPr>
              <w:t>2.500</w:t>
            </w:r>
          </w:p>
        </w:tc>
        <w:tc>
          <w:tcPr>
            <w:tcW w:w="20" w:type="dxa"/>
            <w:tcBorders>
              <w:top w:val="single" w:color="auto" w:sz="4" w:space="0"/>
              <w:left w:val="nil"/>
              <w:bottom w:val="nil"/>
              <w:right w:val="single" w:color="auto" w:sz="4" w:space="0"/>
            </w:tcBorders>
            <w:vAlign w:val="center"/>
          </w:tcPr>
          <w:p w:rsidRPr="000F756A" w:rsidR="007B2CBB" w:rsidP="0002433B" w:rsidRDefault="007B2CBB" w14:paraId="1EF6D30D" w14:textId="77777777">
            <w:pPr>
              <w:jc w:val="right"/>
              <w:rPr>
                <w:rFonts w:cs="Arial"/>
              </w:rPr>
            </w:pPr>
          </w:p>
        </w:tc>
        <w:tc>
          <w:tcPr>
            <w:tcW w:w="1646" w:type="dxa"/>
            <w:tcBorders>
              <w:top w:val="single" w:color="auto" w:sz="4" w:space="0"/>
              <w:left w:val="single" w:color="auto" w:sz="4" w:space="0"/>
              <w:bottom w:val="nil"/>
              <w:right w:val="single" w:color="auto" w:sz="4" w:space="0"/>
            </w:tcBorders>
            <w:vAlign w:val="center"/>
            <w:hideMark/>
          </w:tcPr>
          <w:p w:rsidRPr="000F756A" w:rsidR="007B2CBB" w:rsidP="0002433B" w:rsidRDefault="007B2CBB" w14:paraId="7E0B6F70" w14:textId="77777777">
            <w:pPr>
              <w:jc w:val="right"/>
              <w:rPr>
                <w:rFonts w:cs="Arial"/>
                <w:i/>
                <w:iCs/>
              </w:rPr>
            </w:pPr>
            <w:r w:rsidRPr="000F756A">
              <w:rPr>
                <w:rFonts w:cs="Arial"/>
              </w:rPr>
              <w:t>27.500</w:t>
            </w:r>
          </w:p>
        </w:tc>
      </w:tr>
      <w:tr w:rsidRPr="000F756A" w:rsidR="007B2CBB" w:rsidTr="0002433B" w14:paraId="3992345B" w14:textId="77777777">
        <w:trPr>
          <w:trHeight w:val="296"/>
        </w:trPr>
        <w:tc>
          <w:tcPr>
            <w:tcW w:w="3256" w:type="dxa"/>
            <w:tcBorders>
              <w:top w:val="nil"/>
              <w:left w:val="single" w:color="auto" w:sz="4" w:space="0"/>
              <w:bottom w:val="nil"/>
              <w:right w:val="single" w:color="auto" w:sz="4" w:space="0"/>
            </w:tcBorders>
            <w:vAlign w:val="center"/>
            <w:hideMark/>
          </w:tcPr>
          <w:p w:rsidRPr="000F756A" w:rsidR="007B2CBB" w:rsidP="0002433B" w:rsidRDefault="007B2CBB" w14:paraId="1872D907" w14:textId="77777777">
            <w:pPr>
              <w:rPr>
                <w:rFonts w:cs="Arial"/>
              </w:rPr>
            </w:pPr>
            <w:r w:rsidRPr="000F756A">
              <w:rPr>
                <w:rFonts w:cs="Arial"/>
              </w:rPr>
              <w:t>Stroom 2: OWR als aanvulling op de eerdere aangifte</w:t>
            </w:r>
            <w:r w:rsidR="00E77E9E">
              <w:rPr>
                <w:rStyle w:val="Voetnootmarkering"/>
                <w:rFonts w:cs="Arial"/>
              </w:rPr>
              <w:footnoteReference w:id="8"/>
            </w:r>
          </w:p>
        </w:tc>
        <w:tc>
          <w:tcPr>
            <w:tcW w:w="1311" w:type="dxa"/>
            <w:tcBorders>
              <w:top w:val="nil"/>
              <w:left w:val="single" w:color="auto" w:sz="4" w:space="0"/>
              <w:bottom w:val="nil"/>
              <w:right w:val="nil"/>
            </w:tcBorders>
            <w:vAlign w:val="center"/>
            <w:hideMark/>
          </w:tcPr>
          <w:p w:rsidRPr="000F756A" w:rsidR="007B2CBB" w:rsidP="0002433B" w:rsidRDefault="007B2CBB" w14:paraId="08FCA223" w14:textId="77777777">
            <w:pPr>
              <w:jc w:val="right"/>
              <w:rPr>
                <w:rFonts w:cs="Arial"/>
              </w:rPr>
            </w:pPr>
            <w:r w:rsidRPr="000F756A">
              <w:rPr>
                <w:rFonts w:cs="Arial"/>
              </w:rPr>
              <w:t>235.500</w:t>
            </w:r>
          </w:p>
        </w:tc>
        <w:tc>
          <w:tcPr>
            <w:tcW w:w="1417" w:type="dxa"/>
            <w:tcBorders>
              <w:top w:val="nil"/>
              <w:left w:val="nil"/>
              <w:bottom w:val="nil"/>
              <w:right w:val="nil"/>
            </w:tcBorders>
            <w:vAlign w:val="center"/>
            <w:hideMark/>
          </w:tcPr>
          <w:p w:rsidRPr="000F756A" w:rsidR="007B2CBB" w:rsidP="0002433B" w:rsidRDefault="007B2CBB" w14:paraId="5EE4BBDB" w14:textId="77777777">
            <w:pPr>
              <w:jc w:val="right"/>
              <w:rPr>
                <w:rFonts w:cs="Arial"/>
              </w:rPr>
            </w:pPr>
            <w:r w:rsidRPr="000F756A">
              <w:rPr>
                <w:rFonts w:cs="Arial"/>
              </w:rPr>
              <w:t>0</w:t>
            </w:r>
          </w:p>
        </w:tc>
        <w:tc>
          <w:tcPr>
            <w:tcW w:w="20" w:type="dxa"/>
            <w:tcBorders>
              <w:top w:val="nil"/>
              <w:left w:val="nil"/>
              <w:bottom w:val="nil"/>
              <w:right w:val="single" w:color="auto" w:sz="4" w:space="0"/>
            </w:tcBorders>
            <w:vAlign w:val="center"/>
          </w:tcPr>
          <w:p w:rsidRPr="000F756A" w:rsidR="007B2CBB" w:rsidP="0002433B" w:rsidRDefault="007B2CBB" w14:paraId="0807A1AB" w14:textId="77777777">
            <w:pPr>
              <w:jc w:val="right"/>
              <w:rPr>
                <w:rFonts w:cs="Arial"/>
              </w:rPr>
            </w:pPr>
          </w:p>
        </w:tc>
        <w:tc>
          <w:tcPr>
            <w:tcW w:w="1646" w:type="dxa"/>
            <w:tcBorders>
              <w:top w:val="nil"/>
              <w:left w:val="single" w:color="auto" w:sz="4" w:space="0"/>
              <w:bottom w:val="nil"/>
              <w:right w:val="single" w:color="auto" w:sz="4" w:space="0"/>
            </w:tcBorders>
            <w:vAlign w:val="center"/>
            <w:hideMark/>
          </w:tcPr>
          <w:p w:rsidRPr="000F756A" w:rsidR="007B2CBB" w:rsidP="0002433B" w:rsidRDefault="007B2CBB" w14:paraId="27D1E02F" w14:textId="77777777">
            <w:pPr>
              <w:jc w:val="right"/>
              <w:rPr>
                <w:rFonts w:cs="Arial"/>
                <w:i/>
                <w:iCs/>
              </w:rPr>
            </w:pPr>
            <w:r w:rsidRPr="000F756A">
              <w:rPr>
                <w:rFonts w:cs="Arial"/>
              </w:rPr>
              <w:t>170.000</w:t>
            </w:r>
          </w:p>
        </w:tc>
      </w:tr>
      <w:tr w:rsidRPr="000F756A" w:rsidR="007B2CBB" w:rsidTr="0002433B" w14:paraId="27C200F7" w14:textId="77777777">
        <w:trPr>
          <w:trHeight w:val="296"/>
        </w:trPr>
        <w:tc>
          <w:tcPr>
            <w:tcW w:w="3256" w:type="dxa"/>
            <w:tcBorders>
              <w:top w:val="nil"/>
              <w:left w:val="single" w:color="auto" w:sz="4" w:space="0"/>
              <w:bottom w:val="nil"/>
              <w:right w:val="single" w:color="auto" w:sz="4" w:space="0"/>
            </w:tcBorders>
            <w:vAlign w:val="center"/>
            <w:hideMark/>
          </w:tcPr>
          <w:p w:rsidRPr="000F756A" w:rsidR="007B2CBB" w:rsidP="0002433B" w:rsidRDefault="007B2CBB" w14:paraId="38EF5343" w14:textId="77777777">
            <w:pPr>
              <w:rPr>
                <w:rFonts w:cs="Arial"/>
              </w:rPr>
            </w:pPr>
            <w:r w:rsidRPr="000F756A">
              <w:rPr>
                <w:rFonts w:cs="Arial"/>
              </w:rPr>
              <w:t>Stroom 3: OWR als bezwaar of verzoek tot ambtshalve vermindering</w:t>
            </w:r>
          </w:p>
        </w:tc>
        <w:tc>
          <w:tcPr>
            <w:tcW w:w="1311" w:type="dxa"/>
            <w:tcBorders>
              <w:top w:val="nil"/>
              <w:left w:val="single" w:color="auto" w:sz="4" w:space="0"/>
              <w:bottom w:val="nil"/>
              <w:right w:val="nil"/>
            </w:tcBorders>
            <w:vAlign w:val="center"/>
            <w:hideMark/>
          </w:tcPr>
          <w:p w:rsidRPr="000F756A" w:rsidR="007B2CBB" w:rsidP="0002433B" w:rsidRDefault="007B2CBB" w14:paraId="505A00C3" w14:textId="77777777">
            <w:pPr>
              <w:jc w:val="right"/>
              <w:rPr>
                <w:rFonts w:cs="Arial"/>
              </w:rPr>
            </w:pPr>
            <w:r w:rsidRPr="000F756A">
              <w:rPr>
                <w:rFonts w:cs="Arial"/>
              </w:rPr>
              <w:t>336.500</w:t>
            </w:r>
          </w:p>
        </w:tc>
        <w:tc>
          <w:tcPr>
            <w:tcW w:w="1417" w:type="dxa"/>
            <w:tcBorders>
              <w:top w:val="nil"/>
              <w:left w:val="nil"/>
              <w:bottom w:val="nil"/>
              <w:right w:val="nil"/>
            </w:tcBorders>
            <w:vAlign w:val="center"/>
            <w:hideMark/>
          </w:tcPr>
          <w:p w:rsidRPr="000F756A" w:rsidR="007B2CBB" w:rsidP="0002433B" w:rsidRDefault="007B2CBB" w14:paraId="27DC275C" w14:textId="77777777">
            <w:pPr>
              <w:jc w:val="right"/>
              <w:rPr>
                <w:rFonts w:cs="Arial"/>
              </w:rPr>
            </w:pPr>
            <w:r w:rsidRPr="000F756A">
              <w:rPr>
                <w:rFonts w:cs="Arial"/>
              </w:rPr>
              <w:t>32.000</w:t>
            </w:r>
          </w:p>
        </w:tc>
        <w:tc>
          <w:tcPr>
            <w:tcW w:w="20" w:type="dxa"/>
            <w:tcBorders>
              <w:top w:val="nil"/>
              <w:left w:val="nil"/>
              <w:bottom w:val="nil"/>
              <w:right w:val="single" w:color="auto" w:sz="4" w:space="0"/>
            </w:tcBorders>
            <w:vAlign w:val="center"/>
          </w:tcPr>
          <w:p w:rsidRPr="000F756A" w:rsidR="007B2CBB" w:rsidP="0002433B" w:rsidRDefault="007B2CBB" w14:paraId="43DECB30" w14:textId="77777777">
            <w:pPr>
              <w:jc w:val="right"/>
              <w:rPr>
                <w:rFonts w:cs="Arial"/>
              </w:rPr>
            </w:pPr>
          </w:p>
        </w:tc>
        <w:tc>
          <w:tcPr>
            <w:tcW w:w="1646" w:type="dxa"/>
            <w:tcBorders>
              <w:top w:val="nil"/>
              <w:left w:val="single" w:color="auto" w:sz="4" w:space="0"/>
              <w:bottom w:val="nil"/>
              <w:right w:val="single" w:color="auto" w:sz="4" w:space="0"/>
            </w:tcBorders>
            <w:vAlign w:val="center"/>
            <w:hideMark/>
          </w:tcPr>
          <w:p w:rsidRPr="000F756A" w:rsidR="007B2CBB" w:rsidP="0002433B" w:rsidRDefault="007B2CBB" w14:paraId="5525D750" w14:textId="77777777">
            <w:pPr>
              <w:jc w:val="right"/>
              <w:rPr>
                <w:rFonts w:cs="Arial"/>
                <w:i/>
                <w:iCs/>
              </w:rPr>
            </w:pPr>
            <w:r w:rsidRPr="000F756A">
              <w:rPr>
                <w:rFonts w:cs="Arial"/>
              </w:rPr>
              <w:t>308.000</w:t>
            </w:r>
          </w:p>
        </w:tc>
      </w:tr>
      <w:tr w:rsidRPr="000F756A" w:rsidR="007B2CBB" w:rsidTr="0002433B" w14:paraId="069D36DB" w14:textId="77777777">
        <w:trPr>
          <w:trHeight w:val="296"/>
        </w:trPr>
        <w:tc>
          <w:tcPr>
            <w:tcW w:w="3256" w:type="dxa"/>
            <w:tcBorders>
              <w:top w:val="nil"/>
              <w:left w:val="single" w:color="auto" w:sz="4" w:space="0"/>
              <w:bottom w:val="nil"/>
              <w:right w:val="single" w:color="auto" w:sz="4" w:space="0"/>
            </w:tcBorders>
            <w:vAlign w:val="center"/>
            <w:hideMark/>
          </w:tcPr>
          <w:p w:rsidRPr="000F756A" w:rsidR="007B2CBB" w:rsidP="0002433B" w:rsidRDefault="007B2CBB" w14:paraId="58ABC298" w14:textId="77777777">
            <w:pPr>
              <w:rPr>
                <w:rFonts w:cs="Arial"/>
              </w:rPr>
            </w:pPr>
            <w:r w:rsidRPr="000F756A">
              <w:rPr>
                <w:rFonts w:cs="Arial"/>
              </w:rPr>
              <w:t>Niet behandelbaar of niet verwerkbaar</w:t>
            </w:r>
          </w:p>
        </w:tc>
        <w:tc>
          <w:tcPr>
            <w:tcW w:w="1311" w:type="dxa"/>
            <w:tcBorders>
              <w:top w:val="nil"/>
              <w:left w:val="single" w:color="auto" w:sz="4" w:space="0"/>
              <w:bottom w:val="nil"/>
              <w:right w:val="nil"/>
            </w:tcBorders>
            <w:vAlign w:val="center"/>
            <w:hideMark/>
          </w:tcPr>
          <w:p w:rsidRPr="000F756A" w:rsidR="007B2CBB" w:rsidP="0002433B" w:rsidRDefault="007B2CBB" w14:paraId="50552A44" w14:textId="77777777">
            <w:pPr>
              <w:jc w:val="right"/>
              <w:rPr>
                <w:rFonts w:cs="Arial"/>
              </w:rPr>
            </w:pPr>
            <w:r w:rsidRPr="000F756A">
              <w:rPr>
                <w:rFonts w:cs="Arial"/>
              </w:rPr>
              <w:t>n.v.t.</w:t>
            </w:r>
          </w:p>
        </w:tc>
        <w:tc>
          <w:tcPr>
            <w:tcW w:w="1417" w:type="dxa"/>
            <w:tcBorders>
              <w:top w:val="nil"/>
              <w:left w:val="nil"/>
              <w:bottom w:val="nil"/>
              <w:right w:val="nil"/>
            </w:tcBorders>
            <w:vAlign w:val="center"/>
            <w:hideMark/>
          </w:tcPr>
          <w:p w:rsidRPr="000F756A" w:rsidR="007B2CBB" w:rsidP="0002433B" w:rsidRDefault="007B2CBB" w14:paraId="6E4365DE" w14:textId="77777777">
            <w:pPr>
              <w:jc w:val="right"/>
              <w:rPr>
                <w:rFonts w:cs="Arial"/>
              </w:rPr>
            </w:pPr>
            <w:r w:rsidRPr="000F756A">
              <w:rPr>
                <w:rFonts w:cs="Arial"/>
              </w:rPr>
              <w:t>144.500</w:t>
            </w:r>
          </w:p>
        </w:tc>
        <w:tc>
          <w:tcPr>
            <w:tcW w:w="20" w:type="dxa"/>
            <w:tcBorders>
              <w:top w:val="nil"/>
              <w:left w:val="nil"/>
              <w:bottom w:val="nil"/>
              <w:right w:val="single" w:color="auto" w:sz="4" w:space="0"/>
            </w:tcBorders>
            <w:vAlign w:val="center"/>
          </w:tcPr>
          <w:p w:rsidRPr="000F756A" w:rsidR="007B2CBB" w:rsidP="0002433B" w:rsidRDefault="007B2CBB" w14:paraId="2AA7D675" w14:textId="77777777">
            <w:pPr>
              <w:jc w:val="right"/>
              <w:rPr>
                <w:rFonts w:cs="Arial"/>
              </w:rPr>
            </w:pPr>
          </w:p>
        </w:tc>
        <w:tc>
          <w:tcPr>
            <w:tcW w:w="1646" w:type="dxa"/>
            <w:tcBorders>
              <w:top w:val="nil"/>
              <w:left w:val="single" w:color="auto" w:sz="4" w:space="0"/>
              <w:bottom w:val="nil"/>
              <w:right w:val="single" w:color="auto" w:sz="4" w:space="0"/>
            </w:tcBorders>
            <w:vAlign w:val="center"/>
          </w:tcPr>
          <w:p w:rsidRPr="000F756A" w:rsidR="007B2CBB" w:rsidP="0002433B" w:rsidRDefault="007B2CBB" w14:paraId="03DB140F" w14:textId="77777777">
            <w:pPr>
              <w:jc w:val="right"/>
              <w:rPr>
                <w:rFonts w:cs="Arial"/>
                <w:i/>
                <w:iCs/>
              </w:rPr>
            </w:pPr>
          </w:p>
        </w:tc>
      </w:tr>
      <w:tr w:rsidRPr="000F756A" w:rsidR="007B2CBB" w:rsidTr="0002433B" w14:paraId="77DA353C" w14:textId="77777777">
        <w:trPr>
          <w:trHeight w:val="53"/>
        </w:trPr>
        <w:tc>
          <w:tcPr>
            <w:tcW w:w="3256" w:type="dxa"/>
            <w:tcBorders>
              <w:top w:val="single" w:color="auto" w:sz="4" w:space="0"/>
              <w:left w:val="single" w:color="auto" w:sz="4" w:space="0"/>
              <w:bottom w:val="single" w:color="auto" w:sz="4" w:space="0"/>
              <w:right w:val="single" w:color="auto" w:sz="4" w:space="0"/>
            </w:tcBorders>
            <w:vAlign w:val="center"/>
            <w:hideMark/>
          </w:tcPr>
          <w:p w:rsidRPr="000F756A" w:rsidR="007B2CBB" w:rsidP="0002433B" w:rsidRDefault="007B2CBB" w14:paraId="584E13E6" w14:textId="77777777">
            <w:pPr>
              <w:rPr>
                <w:rFonts w:cs="Arial"/>
              </w:rPr>
            </w:pPr>
            <w:r w:rsidRPr="000F756A">
              <w:rPr>
                <w:rFonts w:cs="Arial"/>
              </w:rPr>
              <w:t>Totaal (ingediend: 804.</w:t>
            </w:r>
            <w:r w:rsidR="00884AF2">
              <w:rPr>
                <w:rFonts w:cs="Arial"/>
              </w:rPr>
              <w:t>411</w:t>
            </w:r>
            <w:r w:rsidRPr="000F756A">
              <w:rPr>
                <w:rFonts w:cs="Arial"/>
              </w:rPr>
              <w:t>)</w:t>
            </w:r>
          </w:p>
        </w:tc>
        <w:tc>
          <w:tcPr>
            <w:tcW w:w="1311" w:type="dxa"/>
            <w:tcBorders>
              <w:top w:val="single" w:color="auto" w:sz="4" w:space="0"/>
              <w:left w:val="single" w:color="auto" w:sz="4" w:space="0"/>
              <w:bottom w:val="single" w:color="auto" w:sz="4" w:space="0"/>
              <w:right w:val="nil"/>
            </w:tcBorders>
            <w:vAlign w:val="center"/>
            <w:hideMark/>
          </w:tcPr>
          <w:p w:rsidRPr="000F756A" w:rsidR="007B2CBB" w:rsidP="0002433B" w:rsidRDefault="007B2CBB" w14:paraId="465E3C11" w14:textId="77777777">
            <w:pPr>
              <w:jc w:val="right"/>
              <w:rPr>
                <w:rFonts w:cs="Arial"/>
              </w:rPr>
            </w:pPr>
            <w:r w:rsidRPr="000F756A">
              <w:rPr>
                <w:rFonts w:cs="Arial"/>
              </w:rPr>
              <w:t>625.500</w:t>
            </w:r>
          </w:p>
        </w:tc>
        <w:tc>
          <w:tcPr>
            <w:tcW w:w="1417" w:type="dxa"/>
            <w:tcBorders>
              <w:top w:val="single" w:color="auto" w:sz="4" w:space="0"/>
              <w:left w:val="nil"/>
              <w:bottom w:val="single" w:color="auto" w:sz="4" w:space="0"/>
              <w:right w:val="nil"/>
            </w:tcBorders>
            <w:vAlign w:val="center"/>
            <w:hideMark/>
          </w:tcPr>
          <w:p w:rsidRPr="000F756A" w:rsidR="007B2CBB" w:rsidP="0002433B" w:rsidRDefault="007B2CBB" w14:paraId="28332607" w14:textId="77777777">
            <w:pPr>
              <w:jc w:val="right"/>
              <w:rPr>
                <w:rFonts w:cs="Arial"/>
              </w:rPr>
            </w:pPr>
            <w:r w:rsidRPr="000F756A">
              <w:rPr>
                <w:rFonts w:cs="Arial"/>
              </w:rPr>
              <w:t>179.000</w:t>
            </w:r>
          </w:p>
        </w:tc>
        <w:tc>
          <w:tcPr>
            <w:tcW w:w="20" w:type="dxa"/>
            <w:tcBorders>
              <w:top w:val="single" w:color="auto" w:sz="4" w:space="0"/>
              <w:left w:val="nil"/>
              <w:bottom w:val="single" w:color="auto" w:sz="4" w:space="0"/>
              <w:right w:val="single" w:color="auto" w:sz="4" w:space="0"/>
            </w:tcBorders>
            <w:vAlign w:val="center"/>
          </w:tcPr>
          <w:p w:rsidRPr="000F756A" w:rsidR="007B2CBB" w:rsidP="0002433B" w:rsidRDefault="007B2CBB" w14:paraId="4D46A9D1" w14:textId="77777777">
            <w:pPr>
              <w:jc w:val="right"/>
              <w:rPr>
                <w:rFonts w:cs="Arial"/>
              </w:rPr>
            </w:pPr>
          </w:p>
        </w:tc>
        <w:tc>
          <w:tcPr>
            <w:tcW w:w="1646" w:type="dxa"/>
            <w:tcBorders>
              <w:top w:val="single" w:color="auto" w:sz="4" w:space="0"/>
              <w:left w:val="single" w:color="auto" w:sz="4" w:space="0"/>
              <w:bottom w:val="single" w:color="auto" w:sz="4" w:space="0"/>
              <w:right w:val="single" w:color="auto" w:sz="4" w:space="0"/>
            </w:tcBorders>
            <w:vAlign w:val="center"/>
            <w:hideMark/>
          </w:tcPr>
          <w:p w:rsidRPr="000F756A" w:rsidR="007B2CBB" w:rsidP="0002433B" w:rsidRDefault="007B2CBB" w14:paraId="2AED9783" w14:textId="77777777">
            <w:pPr>
              <w:jc w:val="right"/>
              <w:rPr>
                <w:rFonts w:cs="Arial"/>
              </w:rPr>
            </w:pPr>
            <w:r w:rsidRPr="000F756A">
              <w:rPr>
                <w:rFonts w:cs="Arial"/>
              </w:rPr>
              <w:t>505.500</w:t>
            </w:r>
          </w:p>
        </w:tc>
      </w:tr>
    </w:tbl>
    <w:p w:rsidR="00FF315A" w:rsidP="007B2CBB" w:rsidRDefault="00FF315A" w14:paraId="093924EE" w14:textId="77777777">
      <w:pPr>
        <w:rPr>
          <w:rFonts w:cs="Arial"/>
          <w:i/>
          <w:iCs/>
        </w:rPr>
      </w:pPr>
    </w:p>
    <w:p w:rsidRPr="00A8410C" w:rsidR="00BE322E" w:rsidP="007B2CBB" w:rsidRDefault="00BE322E" w14:paraId="704A61C0" w14:textId="77777777">
      <w:pPr>
        <w:rPr>
          <w:rFonts w:cs="Arial"/>
          <w:i/>
          <w:iCs/>
        </w:rPr>
      </w:pPr>
      <w:r>
        <w:rPr>
          <w:rFonts w:cs="Arial"/>
          <w:i/>
          <w:iCs/>
        </w:rPr>
        <w:t>Prognose</w:t>
      </w:r>
    </w:p>
    <w:p w:rsidR="007B2CBB" w:rsidP="007B2CBB" w:rsidRDefault="007B2CBB" w14:paraId="7094F1CB" w14:textId="77777777">
      <w:pPr>
        <w:rPr>
          <w:rFonts w:cs="Arial"/>
        </w:rPr>
      </w:pPr>
      <w:r w:rsidRPr="004C4DD0">
        <w:rPr>
          <w:rFonts w:cs="Arial"/>
        </w:rPr>
        <w:t xml:space="preserve">De verwerking van de formulieren OWR komt dit jaar verder op stoom. Het tempo waarop verwerking lukt hangt af van inhoudelijke complexiteit evenals verwerkingscapaciteit in alle (vervolg)processen. Gegeven de afgehandelde aantallen en huidige voorraadstand streeft de Belastingdienst </w:t>
      </w:r>
      <w:proofErr w:type="gramStart"/>
      <w:r w:rsidRPr="004C4DD0">
        <w:rPr>
          <w:rFonts w:cs="Arial"/>
        </w:rPr>
        <w:t>er naar</w:t>
      </w:r>
      <w:proofErr w:type="gramEnd"/>
      <w:r w:rsidRPr="004C4DD0">
        <w:rPr>
          <w:rFonts w:cs="Arial"/>
        </w:rPr>
        <w:t xml:space="preserve"> om in de rest van 2026 in totaal nog c</w:t>
      </w:r>
      <w:r>
        <w:rPr>
          <w:rFonts w:cs="Arial"/>
        </w:rPr>
        <w:t>irc</w:t>
      </w:r>
      <w:r w:rsidRPr="004C4DD0">
        <w:rPr>
          <w:rFonts w:cs="Arial"/>
        </w:rPr>
        <w:t>a 27.500 bezwaren en verzoeken met behulp van een OWR af te handelen</w:t>
      </w:r>
      <w:r>
        <w:rPr>
          <w:rFonts w:cs="Arial"/>
        </w:rPr>
        <w:t xml:space="preserve"> </w:t>
      </w:r>
      <w:r w:rsidRPr="004C4DD0">
        <w:rPr>
          <w:rFonts w:cs="Arial"/>
        </w:rPr>
        <w:t>(stroom 1), c</w:t>
      </w:r>
      <w:r>
        <w:rPr>
          <w:rFonts w:cs="Arial"/>
        </w:rPr>
        <w:t>irca</w:t>
      </w:r>
      <w:r w:rsidRPr="004C4DD0">
        <w:rPr>
          <w:rFonts w:cs="Arial"/>
        </w:rPr>
        <w:t xml:space="preserve"> 170.000 formulieren OWR te verwerken als aanvulling op de eerdere aangifte (stroom 2) en c</w:t>
      </w:r>
      <w:r>
        <w:rPr>
          <w:rFonts w:cs="Arial"/>
        </w:rPr>
        <w:t>irca</w:t>
      </w:r>
      <w:r w:rsidRPr="004C4DD0">
        <w:rPr>
          <w:rFonts w:cs="Arial"/>
        </w:rPr>
        <w:t xml:space="preserve"> 308.000 formulieren OWR te verwerken als bezwaar of verzoek tot ambtshalve vermindering (stroom 3).</w:t>
      </w:r>
      <w:r w:rsidR="00696754">
        <w:rPr>
          <w:rFonts w:cs="Arial"/>
        </w:rPr>
        <w:t xml:space="preserve"> De budgettaire realisatie van het herstel zal oplopen naarmate meer werkstromen voor jongere belastingjaren (met andere forfaitaire en werkelijke rendementen) beschikbaar komen voor afhandeling.</w:t>
      </w:r>
    </w:p>
    <w:p w:rsidR="00BE322E" w:rsidP="007B2CBB" w:rsidRDefault="00BE322E" w14:paraId="1D0CDA15" w14:textId="77777777">
      <w:pPr>
        <w:rPr>
          <w:rFonts w:cs="Arial"/>
        </w:rPr>
      </w:pPr>
    </w:p>
    <w:p w:rsidRPr="00A8410C" w:rsidR="00BE322E" w:rsidP="007B2CBB" w:rsidRDefault="00BE322E" w14:paraId="1117094F" w14:textId="77777777">
      <w:pPr>
        <w:rPr>
          <w:rFonts w:cs="Arial"/>
          <w:i/>
          <w:iCs/>
        </w:rPr>
      </w:pPr>
      <w:r>
        <w:rPr>
          <w:rFonts w:cs="Arial"/>
          <w:i/>
          <w:iCs/>
        </w:rPr>
        <w:t>Opgaaf werkelijk rendement 2025</w:t>
      </w:r>
    </w:p>
    <w:p w:rsidR="00137B00" w:rsidP="00137B00" w:rsidRDefault="00137B00" w14:paraId="3BCCDF96" w14:textId="77777777">
      <w:pPr>
        <w:rPr>
          <w:rFonts w:cs="Arial"/>
        </w:rPr>
      </w:pPr>
      <w:r>
        <w:rPr>
          <w:rFonts w:cs="Arial"/>
        </w:rPr>
        <w:t xml:space="preserve">Belastingjaar 2025 is geen onderdeel van het aanvullend herstel, maar het opgaaf werkelijk rendement is ingebouwd in de aangifte. </w:t>
      </w:r>
      <w:r w:rsidRPr="00BE322E">
        <w:rPr>
          <w:rFonts w:cs="Arial"/>
        </w:rPr>
        <w:t>Van de nu bijna 11 miljoen aangiften</w:t>
      </w:r>
      <w:r>
        <w:rPr>
          <w:rFonts w:cs="Arial"/>
        </w:rPr>
        <w:t xml:space="preserve"> inkomstenbelasting over 2025</w:t>
      </w:r>
      <w:r w:rsidRPr="00BE322E">
        <w:rPr>
          <w:rFonts w:cs="Arial"/>
        </w:rPr>
        <w:t xml:space="preserve"> die </w:t>
      </w:r>
      <w:r>
        <w:rPr>
          <w:rFonts w:cs="Arial"/>
        </w:rPr>
        <w:t>bij de Belastingdienst zijn ingediend</w:t>
      </w:r>
      <w:r w:rsidRPr="00BE322E">
        <w:rPr>
          <w:rFonts w:cs="Arial"/>
        </w:rPr>
        <w:t xml:space="preserve">, is </w:t>
      </w:r>
      <w:r>
        <w:rPr>
          <w:rFonts w:cs="Arial"/>
        </w:rPr>
        <w:t xml:space="preserve">tot nu toe </w:t>
      </w:r>
      <w:r w:rsidRPr="00BE322E">
        <w:rPr>
          <w:rFonts w:cs="Arial"/>
        </w:rPr>
        <w:t xml:space="preserve">1,8 miljoen keer gebruik gemaakt van forfaitaire </w:t>
      </w:r>
      <w:r w:rsidRPr="00A14DD8">
        <w:rPr>
          <w:rFonts w:cs="Arial"/>
        </w:rPr>
        <w:t>berekening van de belasting in box 3 en ruim 200.000 keer van het werkelijk</w:t>
      </w:r>
      <w:r w:rsidRPr="00BE322E">
        <w:rPr>
          <w:rFonts w:cs="Arial"/>
        </w:rPr>
        <w:t xml:space="preserve"> rendement. </w:t>
      </w:r>
      <w:r>
        <w:rPr>
          <w:rFonts w:cs="Arial"/>
        </w:rPr>
        <w:t>Nog niet alle verwachte aangiften met een Box 3 component zijn echter ontvangen: in totaal komen er per</w:t>
      </w:r>
      <w:r w:rsidRPr="00BE322E">
        <w:rPr>
          <w:rFonts w:cs="Arial"/>
        </w:rPr>
        <w:t xml:space="preserve"> belastingjaar </w:t>
      </w:r>
      <w:proofErr w:type="gramStart"/>
      <w:r w:rsidRPr="00BE322E">
        <w:rPr>
          <w:rFonts w:cs="Arial"/>
        </w:rPr>
        <w:t>circa</w:t>
      </w:r>
      <w:proofErr w:type="gramEnd"/>
      <w:r w:rsidRPr="00BE322E">
        <w:rPr>
          <w:rFonts w:cs="Arial"/>
        </w:rPr>
        <w:t xml:space="preserve"> 14 miljoen aangiften binnen, waarvan circa 21% </w:t>
      </w:r>
      <w:r>
        <w:rPr>
          <w:rFonts w:cs="Arial"/>
        </w:rPr>
        <w:t xml:space="preserve">(2,9 miljoen) </w:t>
      </w:r>
      <w:r w:rsidRPr="00BE322E">
        <w:rPr>
          <w:rFonts w:cs="Arial"/>
        </w:rPr>
        <w:t>een box 3 component heeft.</w:t>
      </w:r>
      <w:r>
        <w:rPr>
          <w:rFonts w:cs="Arial"/>
        </w:rPr>
        <w:t xml:space="preserve"> Dit betekent dat er naar verwachting 900.000 belastingplichtigen in box 3 nog aangifte moeten doen. Daarbij moet opgemerkt worden dat de belastingplichtigen die nog aangifte moeten doen vaker een hoger vermogen hebben in box 3 en naar verwachting vaker dan gemiddeld hun werkelijk rendement zullen opgeven in de aangifte. De keuze voor werkelijk rendement is afhankelijk van het rendement van het individuele vermogen. Daarnaast vraagt de opgave van het werkelijk rendement om meer gegevens, die de belastingplichtige zelf moet opzoeken en invullen. Dit kan een reden zijn om te kiezen voor forfaitair rendement. </w:t>
      </w:r>
    </w:p>
    <w:p w:rsidR="007B2CBB" w:rsidP="007B2CBB" w:rsidRDefault="007B2CBB" w14:paraId="3DAA46B3" w14:textId="77777777">
      <w:pPr>
        <w:spacing w:line="240" w:lineRule="auto"/>
        <w:rPr>
          <w:rFonts w:cs="Arial"/>
        </w:rPr>
      </w:pPr>
    </w:p>
    <w:p w:rsidRPr="004F4816" w:rsidR="007B2CBB" w:rsidP="007B2CBB" w:rsidRDefault="007B2CBB" w14:paraId="48670643" w14:textId="77777777">
      <w:pPr>
        <w:pStyle w:val="Lijstalinea"/>
        <w:numPr>
          <w:ilvl w:val="0"/>
          <w:numId w:val="12"/>
        </w:numPr>
        <w:rPr>
          <w:rFonts w:cs="Arial"/>
          <w:b/>
          <w:bCs/>
        </w:rPr>
      </w:pPr>
      <w:r w:rsidRPr="004F4816">
        <w:rPr>
          <w:rFonts w:cs="Arial"/>
          <w:b/>
          <w:bCs/>
        </w:rPr>
        <w:t>Herijking uitvoeringstoets</w:t>
      </w:r>
      <w:r w:rsidR="00E77E9E">
        <w:rPr>
          <w:rFonts w:cs="Arial"/>
          <w:b/>
          <w:bCs/>
        </w:rPr>
        <w:t xml:space="preserve"> en budgettaire raming</w:t>
      </w:r>
    </w:p>
    <w:p w:rsidRPr="004F4816" w:rsidR="007B2CBB" w:rsidP="007B2CBB" w:rsidRDefault="007B2CBB" w14:paraId="33680BE3" w14:textId="77777777">
      <w:pPr>
        <w:rPr>
          <w:rFonts w:cs="Arial"/>
        </w:rPr>
      </w:pPr>
      <w:bookmarkStart w:name="_Hlk231311608" w:id="5"/>
    </w:p>
    <w:p w:rsidRPr="004F4816" w:rsidR="007B2CBB" w:rsidP="007B2CBB" w:rsidRDefault="007B2CBB" w14:paraId="399CCB3F" w14:textId="77777777">
      <w:pPr>
        <w:rPr>
          <w:rFonts w:cs="Arial"/>
        </w:rPr>
      </w:pPr>
      <w:r w:rsidRPr="004F4816">
        <w:rPr>
          <w:rFonts w:cs="Arial"/>
        </w:rPr>
        <w:t xml:space="preserve">In de memorie van toelichting van de Wet tegenbewijsregeling box 3 is aangekondigd dat er in ieder geval twee herijkingen van de uitvoeringstoets </w:t>
      </w:r>
      <w:r w:rsidRPr="004F4816">
        <w:rPr>
          <w:rFonts w:cs="Arial"/>
        </w:rPr>
        <w:lastRenderedPageBreak/>
        <w:t xml:space="preserve">zullen plaatsvinden. Dit vanwege onzekerheden over het aantal burgerreacties, het aantal benodigde medewerkers om de werkzaamheden tijdens de hersteloperatie te kunnen verrichten en de financiële gevolgen van deze hersteloperatie. In de eerste brief over de voortgang van december vorig jaar is aan uw Kamer medegedeeld dat de eerste van deze herijkingen in de eerste helft van 2026 zou plaatsvinden. </w:t>
      </w:r>
    </w:p>
    <w:p w:rsidRPr="004F4816" w:rsidR="007B2CBB" w:rsidP="007B2CBB" w:rsidRDefault="007B2CBB" w14:paraId="4F2E0A2D" w14:textId="77777777">
      <w:pPr>
        <w:rPr>
          <w:rFonts w:cs="Arial"/>
        </w:rPr>
      </w:pPr>
    </w:p>
    <w:p w:rsidR="00137B00" w:rsidP="00137B00" w:rsidRDefault="00137B00" w14:paraId="34493578" w14:textId="77777777">
      <w:pPr>
        <w:rPr>
          <w:rFonts w:cs="Arial"/>
        </w:rPr>
      </w:pPr>
      <w:bookmarkStart w:name="_Hlk231401997" w:id="6"/>
      <w:bookmarkEnd w:id="5"/>
      <w:r w:rsidRPr="004F4816">
        <w:rPr>
          <w:rFonts w:cs="Arial"/>
        </w:rPr>
        <w:t>Zoals in deze brief is vermeld is tot op heden een beperkt aantal formulieren OWR verwerkt</w:t>
      </w:r>
      <w:r>
        <w:rPr>
          <w:rFonts w:cs="Arial"/>
        </w:rPr>
        <w:t xml:space="preserve"> en worden er nog uitnodigingsbrieven verstuurd.</w:t>
      </w:r>
      <w:r w:rsidRPr="004F4816">
        <w:rPr>
          <w:rFonts w:cs="Arial"/>
        </w:rPr>
        <w:t xml:space="preserve"> Dat betekent dat er</w:t>
      </w:r>
      <w:r>
        <w:rPr>
          <w:rFonts w:cs="Arial"/>
        </w:rPr>
        <w:t xml:space="preserve"> nog geen conclusies getrokken kunnen worden over het verwachte gebruik van de regeling en de impact op de uitvoering. Daarom kan</w:t>
      </w:r>
      <w:r w:rsidRPr="004F4816">
        <w:rPr>
          <w:rFonts w:cs="Arial"/>
        </w:rPr>
        <w:t xml:space="preserve"> nu nog geen zinvolle herijking op de uitvoeringstoets plaatsvinden. Op het moment dat meer inzicht kan worden geboden in de behandeltijd per formulier OWR en er meer ervaring is opgedaan met de verschillende werkprocessen, zal de herijking heropgestart worden. Uw Kamer zal hierover in het najaar nader geïnformeerd worden. In 2022 is het wetsvoorstel Wet rechtsherstel box 3 aangenomen door de Tweede en Eerste Kamer. Daarbij is aangekondigd dat de uitvoeringstoets van dit wetsvoorstel later zou worden herijkt. Werkzaamheden in het kader van de Wet rechtsherstel box 3 zijn nu onderdeel geworden van de operatie in het kader van de Wet tegenbewijsregeling box 3. Daarom zal geen afzonderlijke herijking van de uitvoeringstoets Wet rechtsherstel box 3 meer plaatsvinden. </w:t>
      </w:r>
    </w:p>
    <w:p w:rsidR="00786AA2" w:rsidP="007B2CBB" w:rsidRDefault="00786AA2" w14:paraId="7794FD41" w14:textId="77777777">
      <w:pPr>
        <w:rPr>
          <w:rFonts w:cs="Arial"/>
        </w:rPr>
      </w:pPr>
    </w:p>
    <w:p w:rsidRPr="004F4816" w:rsidR="00786AA2" w:rsidP="007B2CBB" w:rsidRDefault="003C72DC" w14:paraId="29C49D74" w14:textId="77777777">
      <w:pPr>
        <w:rPr>
          <w:rFonts w:cs="Arial"/>
        </w:rPr>
      </w:pPr>
      <w:bookmarkStart w:name="_Hlk233273239" w:id="7"/>
      <w:r>
        <w:rPr>
          <w:rFonts w:cs="Arial"/>
        </w:rPr>
        <w:t>D</w:t>
      </w:r>
      <w:r w:rsidR="00C110C8">
        <w:rPr>
          <w:rFonts w:cs="Arial"/>
        </w:rPr>
        <w:t xml:space="preserve">e stand van het </w:t>
      </w:r>
      <w:r>
        <w:rPr>
          <w:rFonts w:cs="Arial"/>
        </w:rPr>
        <w:t>aantal ingediende formulieren OWR en van het totaalbedrag a</w:t>
      </w:r>
      <w:r w:rsidR="00C110C8">
        <w:rPr>
          <w:rFonts w:cs="Arial"/>
        </w:rPr>
        <w:t>an verminderingen</w:t>
      </w:r>
      <w:r w:rsidR="00137B00">
        <w:rPr>
          <w:rFonts w:cs="Arial"/>
        </w:rPr>
        <w:t xml:space="preserve"> kan nog sterk oplopen. Het</w:t>
      </w:r>
      <w:r w:rsidR="00C110C8">
        <w:rPr>
          <w:rFonts w:cs="Arial"/>
        </w:rPr>
        <w:t xml:space="preserve"> </w:t>
      </w:r>
      <w:r>
        <w:rPr>
          <w:rFonts w:cs="Arial"/>
        </w:rPr>
        <w:t>is</w:t>
      </w:r>
      <w:r w:rsidR="00C110C8">
        <w:rPr>
          <w:rFonts w:cs="Arial"/>
        </w:rPr>
        <w:t xml:space="preserve"> geen aanleiding om de raming van de </w:t>
      </w:r>
      <w:r w:rsidR="00E8086B">
        <w:rPr>
          <w:rFonts w:cs="Arial"/>
        </w:rPr>
        <w:t>derving als gevolg</w:t>
      </w:r>
      <w:r w:rsidR="00C110C8">
        <w:rPr>
          <w:rFonts w:cs="Arial"/>
        </w:rPr>
        <w:t xml:space="preserve"> van de tegenbewijsregeling te herijken. Deze raming is vastgesteld bij het indienen van de Wet tegenbewijsregeling </w:t>
      </w:r>
      <w:r w:rsidR="00E8086B">
        <w:rPr>
          <w:rFonts w:cs="Arial"/>
        </w:rPr>
        <w:t xml:space="preserve">box 3 </w:t>
      </w:r>
      <w:r w:rsidR="00C110C8">
        <w:rPr>
          <w:rFonts w:cs="Arial"/>
        </w:rPr>
        <w:t xml:space="preserve">en destijds gecertificeerd door het CPB.  Eventuele mee- of tegenvallers die niet volgen uit nieuw beleid, zijn </w:t>
      </w:r>
      <w:proofErr w:type="gramStart"/>
      <w:r w:rsidR="00C110C8">
        <w:rPr>
          <w:rFonts w:cs="Arial"/>
        </w:rPr>
        <w:t>conform</w:t>
      </w:r>
      <w:proofErr w:type="gramEnd"/>
      <w:r w:rsidR="00C110C8">
        <w:rPr>
          <w:rFonts w:cs="Arial"/>
        </w:rPr>
        <w:t xml:space="preserve"> begrotingsregels niet relevant voor het inkomstenkader en leiden niet tot een derving of ruimte. Als de realisaties hoger uitvallen dan de geraamde kosten hoeft dit niet gedekt te worden en als de realisaties lager uitvallen dan de geraamde kosten kan dit niet worden ingezet voor andere beleidswijzigingen.</w:t>
      </w:r>
      <w:bookmarkEnd w:id="7"/>
    </w:p>
    <w:bookmarkEnd w:id="6"/>
    <w:p w:rsidRPr="004F4816" w:rsidR="007B2CBB" w:rsidP="007B2CBB" w:rsidRDefault="007B2CBB" w14:paraId="76D921E9" w14:textId="77777777">
      <w:pPr>
        <w:rPr>
          <w:rFonts w:cs="Arial"/>
        </w:rPr>
      </w:pPr>
    </w:p>
    <w:p w:rsidRPr="004F4816" w:rsidR="007B2CBB" w:rsidP="007B2CBB" w:rsidRDefault="007B2CBB" w14:paraId="02F6DF62" w14:textId="77777777">
      <w:pPr>
        <w:rPr>
          <w:rFonts w:cs="Arial"/>
          <w:i/>
          <w:iCs/>
        </w:rPr>
      </w:pPr>
      <w:r w:rsidRPr="004F4816">
        <w:rPr>
          <w:rFonts w:cs="Arial"/>
          <w:i/>
          <w:iCs/>
        </w:rPr>
        <w:t>Tot slot</w:t>
      </w:r>
    </w:p>
    <w:p w:rsidRPr="004F4816" w:rsidR="007B2CBB" w:rsidP="007B2CBB" w:rsidRDefault="009F7F81" w14:paraId="53E47044" w14:textId="77777777">
      <w:pPr>
        <w:rPr>
          <w:rFonts w:cs="Arial"/>
        </w:rPr>
      </w:pPr>
      <w:r w:rsidRPr="004F4816">
        <w:rPr>
          <w:rFonts w:cs="Arial"/>
        </w:rPr>
        <w:t xml:space="preserve">Zoals hierboven vermeld, zullen de werkzaamheden in het kader van </w:t>
      </w:r>
      <w:r>
        <w:rPr>
          <w:rFonts w:cs="Arial"/>
        </w:rPr>
        <w:t>de tegenbewijsregeling box 3</w:t>
      </w:r>
      <w:r w:rsidRPr="004F4816">
        <w:rPr>
          <w:rFonts w:cs="Arial"/>
        </w:rPr>
        <w:t xml:space="preserve"> zeker tot in 2030 doorlopen.</w:t>
      </w:r>
      <w:r>
        <w:rPr>
          <w:rFonts w:cs="Arial"/>
        </w:rPr>
        <w:t xml:space="preserve"> </w:t>
      </w:r>
      <w:r w:rsidRPr="004F4816" w:rsidR="007B2CBB">
        <w:rPr>
          <w:rFonts w:cs="Arial"/>
        </w:rPr>
        <w:t xml:space="preserve">Ik zal uw Kamer uiteraard zo goed mogelijk blijven informeren over de werkzaamheden die worden verricht in het kader van de wet rechtsherstel, de overbruggingswetgeving en de Wet tegenbewijsregeling box 3. Deze voortgangsrapportage zal ik jaarlijks laten opstellen zolang de hersteloperatie loopt. </w:t>
      </w:r>
    </w:p>
    <w:p w:rsidRPr="004F4816" w:rsidR="007B2CBB" w:rsidP="007B2CBB" w:rsidRDefault="007B2CBB" w14:paraId="7DB3CD59" w14:textId="77777777">
      <w:pPr>
        <w:rPr>
          <w:rFonts w:cs="Arial"/>
        </w:rPr>
      </w:pPr>
    </w:p>
    <w:p w:rsidR="007B2CBB" w:rsidP="007B2CBB" w:rsidRDefault="007B2CBB" w14:paraId="75D9CEB5" w14:textId="77777777">
      <w:pPr>
        <w:rPr>
          <w:rFonts w:cs="Arial"/>
        </w:rPr>
      </w:pPr>
      <w:r w:rsidRPr="004F4816">
        <w:rPr>
          <w:rFonts w:cs="Arial"/>
        </w:rPr>
        <w:t xml:space="preserve">Graag bespreek ik deze brief met uw Kamer, bijvoorbeeld tijdens het </w:t>
      </w:r>
      <w:r w:rsidR="00A8410C">
        <w:rPr>
          <w:rFonts w:cs="Arial"/>
        </w:rPr>
        <w:t>al</w:t>
      </w:r>
      <w:r w:rsidRPr="004F4816">
        <w:rPr>
          <w:rFonts w:cs="Arial"/>
        </w:rPr>
        <w:t xml:space="preserve"> ingeplande commissiedebat Belastingdienst. </w:t>
      </w:r>
    </w:p>
    <w:p w:rsidRPr="004F4816" w:rsidR="007B2CBB" w:rsidP="007B2CBB" w:rsidRDefault="007B2CBB" w14:paraId="3FDBEDDD" w14:textId="77777777">
      <w:pPr>
        <w:pStyle w:val="StandaardSlotzin"/>
        <w:rPr>
          <w:rFonts w:cs="Arial"/>
        </w:rPr>
      </w:pPr>
      <w:bookmarkStart w:name="_Hlk233041155" w:id="8"/>
      <w:r w:rsidRPr="004F4816">
        <w:rPr>
          <w:rFonts w:cs="Arial"/>
        </w:rPr>
        <w:t>Hoogachtend,</w:t>
      </w:r>
    </w:p>
    <w:p w:rsidRPr="004F4816" w:rsidR="007B2CBB" w:rsidP="007B2CBB" w:rsidRDefault="007B2CBB" w14:paraId="734117B7" w14:textId="77777777">
      <w:pPr>
        <w:rPr>
          <w:rFonts w:cs="Arial"/>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4F4816" w:rsidR="007B2CBB" w:rsidTr="0002433B" w14:paraId="2B74E2D0" w14:textId="77777777">
        <w:tc>
          <w:tcPr>
            <w:tcW w:w="3592" w:type="dxa"/>
          </w:tcPr>
          <w:p w:rsidRPr="004F4816" w:rsidR="007B2CBB" w:rsidP="0002433B" w:rsidRDefault="007B2CBB" w14:paraId="2337BEEB" w14:textId="77777777">
            <w:pPr>
              <w:rPr>
                <w:rFonts w:cs="Arial"/>
              </w:rPr>
            </w:pPr>
            <w:proofErr w:type="gramStart"/>
            <w:r w:rsidRPr="004F4816">
              <w:rPr>
                <w:rFonts w:cs="Arial"/>
              </w:rPr>
              <w:t>de</w:t>
            </w:r>
            <w:proofErr w:type="gramEnd"/>
            <w:r w:rsidRPr="004F4816">
              <w:rPr>
                <w:rFonts w:cs="Arial"/>
              </w:rPr>
              <w:t xml:space="preserve"> staatssecretaris van Financiën,</w:t>
            </w:r>
            <w:r w:rsidRPr="004F4816">
              <w:rPr>
                <w:rFonts w:cs="Arial"/>
              </w:rPr>
              <w:br/>
            </w:r>
            <w:r w:rsidRPr="004F4816">
              <w:rPr>
                <w:rFonts w:cs="Arial"/>
              </w:rPr>
              <w:br/>
            </w:r>
            <w:r w:rsidRPr="004F4816">
              <w:rPr>
                <w:rFonts w:cs="Arial"/>
              </w:rPr>
              <w:br/>
            </w:r>
            <w:r w:rsidRPr="004F4816">
              <w:rPr>
                <w:rFonts w:cs="Arial"/>
              </w:rPr>
              <w:br/>
            </w:r>
            <w:r w:rsidRPr="004F4816">
              <w:rPr>
                <w:rFonts w:cs="Arial"/>
              </w:rPr>
              <w:br/>
            </w:r>
            <w:r w:rsidRPr="004F4816">
              <w:rPr>
                <w:rFonts w:cs="Arial"/>
              </w:rPr>
              <w:br/>
              <w:t xml:space="preserve">Eelco </w:t>
            </w:r>
            <w:proofErr w:type="spellStart"/>
            <w:r w:rsidRPr="004F4816">
              <w:rPr>
                <w:rFonts w:cs="Arial"/>
              </w:rPr>
              <w:t>Eerenberg</w:t>
            </w:r>
            <w:proofErr w:type="spellEnd"/>
          </w:p>
        </w:tc>
        <w:tc>
          <w:tcPr>
            <w:tcW w:w="3892" w:type="dxa"/>
          </w:tcPr>
          <w:p w:rsidRPr="004F4816" w:rsidR="007B2CBB" w:rsidP="0002433B" w:rsidRDefault="007B2CBB" w14:paraId="2CA40587" w14:textId="77777777">
            <w:pPr>
              <w:rPr>
                <w:rFonts w:cs="Arial"/>
              </w:rPr>
            </w:pPr>
          </w:p>
        </w:tc>
      </w:tr>
      <w:tr w:rsidRPr="004F4816" w:rsidR="007B2CBB" w:rsidTr="0002433B" w14:paraId="0D1B70B4" w14:textId="77777777">
        <w:tc>
          <w:tcPr>
            <w:tcW w:w="3592" w:type="dxa"/>
          </w:tcPr>
          <w:p w:rsidRPr="004F4816" w:rsidR="007B2CBB" w:rsidP="0002433B" w:rsidRDefault="007B2CBB" w14:paraId="3E2E0614" w14:textId="77777777">
            <w:pPr>
              <w:rPr>
                <w:rFonts w:cs="Arial"/>
              </w:rPr>
            </w:pPr>
          </w:p>
        </w:tc>
        <w:tc>
          <w:tcPr>
            <w:tcW w:w="3892" w:type="dxa"/>
          </w:tcPr>
          <w:p w:rsidRPr="004F4816" w:rsidR="007B2CBB" w:rsidP="0002433B" w:rsidRDefault="007B2CBB" w14:paraId="06ABEFCE" w14:textId="77777777">
            <w:pPr>
              <w:rPr>
                <w:rFonts w:cs="Arial"/>
              </w:rPr>
            </w:pPr>
          </w:p>
        </w:tc>
      </w:tr>
      <w:tr w:rsidRPr="004F4816" w:rsidR="007B2CBB" w:rsidTr="0002433B" w14:paraId="351C550F" w14:textId="77777777">
        <w:tc>
          <w:tcPr>
            <w:tcW w:w="3592" w:type="dxa"/>
          </w:tcPr>
          <w:p w:rsidRPr="004F4816" w:rsidR="007B2CBB" w:rsidP="0002433B" w:rsidRDefault="007B2CBB" w14:paraId="70BF6C13" w14:textId="77777777">
            <w:pPr>
              <w:rPr>
                <w:rFonts w:cs="Arial"/>
              </w:rPr>
            </w:pPr>
          </w:p>
        </w:tc>
        <w:tc>
          <w:tcPr>
            <w:tcW w:w="3892" w:type="dxa"/>
          </w:tcPr>
          <w:p w:rsidRPr="004F4816" w:rsidR="007B2CBB" w:rsidP="0002433B" w:rsidRDefault="007B2CBB" w14:paraId="7AA20810" w14:textId="77777777">
            <w:pPr>
              <w:rPr>
                <w:rFonts w:cs="Arial"/>
              </w:rPr>
            </w:pPr>
          </w:p>
        </w:tc>
      </w:tr>
      <w:tr w:rsidRPr="004F4816" w:rsidR="007B2CBB" w:rsidTr="0002433B" w14:paraId="1E45BEA2" w14:textId="77777777">
        <w:tc>
          <w:tcPr>
            <w:tcW w:w="3592" w:type="dxa"/>
          </w:tcPr>
          <w:p w:rsidRPr="004F4816" w:rsidR="007B2CBB" w:rsidP="0002433B" w:rsidRDefault="007B2CBB" w14:paraId="1AF7F50C" w14:textId="77777777">
            <w:pPr>
              <w:rPr>
                <w:rFonts w:cs="Arial"/>
              </w:rPr>
            </w:pPr>
          </w:p>
        </w:tc>
        <w:tc>
          <w:tcPr>
            <w:tcW w:w="3892" w:type="dxa"/>
          </w:tcPr>
          <w:p w:rsidRPr="004F4816" w:rsidR="007B2CBB" w:rsidP="0002433B" w:rsidRDefault="007B2CBB" w14:paraId="3580839C" w14:textId="77777777">
            <w:pPr>
              <w:rPr>
                <w:rFonts w:cs="Arial"/>
              </w:rPr>
            </w:pPr>
          </w:p>
        </w:tc>
      </w:tr>
      <w:tr w:rsidRPr="004F4816" w:rsidR="007B2CBB" w:rsidTr="0002433B" w14:paraId="0D12B824" w14:textId="77777777">
        <w:tc>
          <w:tcPr>
            <w:tcW w:w="3592" w:type="dxa"/>
          </w:tcPr>
          <w:p w:rsidRPr="004F4816" w:rsidR="007B2CBB" w:rsidP="0002433B" w:rsidRDefault="007B2CBB" w14:paraId="74AF00D9" w14:textId="77777777">
            <w:pPr>
              <w:rPr>
                <w:rFonts w:cs="Arial"/>
              </w:rPr>
            </w:pPr>
          </w:p>
        </w:tc>
        <w:tc>
          <w:tcPr>
            <w:tcW w:w="3892" w:type="dxa"/>
          </w:tcPr>
          <w:p w:rsidRPr="004F4816" w:rsidR="007B2CBB" w:rsidP="0002433B" w:rsidRDefault="007B2CBB" w14:paraId="78C08747" w14:textId="77777777">
            <w:pPr>
              <w:rPr>
                <w:rFonts w:cs="Arial"/>
              </w:rPr>
            </w:pPr>
          </w:p>
        </w:tc>
      </w:tr>
    </w:tbl>
    <w:p w:rsidRPr="004F4816" w:rsidR="007B2CBB" w:rsidP="007B2CBB" w:rsidRDefault="007B2CBB" w14:paraId="222EEE9C" w14:textId="77777777"/>
    <w:bookmarkEnd w:id="0"/>
    <w:bookmarkEnd w:id="2"/>
    <w:bookmarkEnd w:id="8"/>
    <w:p w:rsidRPr="00600C38" w:rsidR="007B2CBB" w:rsidP="007B2CBB" w:rsidRDefault="007B2CBB" w14:paraId="7D848C9E" w14:textId="77777777"/>
    <w:p w:rsidRPr="007B2CBB" w:rsidR="00112A19" w:rsidP="007B2CBB" w:rsidRDefault="00112A19" w14:paraId="61138135" w14:textId="77777777"/>
    <w:sectPr w:rsidRPr="007B2CBB" w:rsidR="00112A19">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FAF5" w14:textId="77777777" w:rsidR="009623E1" w:rsidRDefault="009623E1">
      <w:pPr>
        <w:spacing w:line="240" w:lineRule="auto"/>
      </w:pPr>
      <w:r>
        <w:separator/>
      </w:r>
    </w:p>
  </w:endnote>
  <w:endnote w:type="continuationSeparator" w:id="0">
    <w:p w14:paraId="1C84616C" w14:textId="77777777" w:rsidR="009623E1" w:rsidRDefault="00962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62ED" w14:textId="77777777" w:rsidR="009623E1" w:rsidRDefault="009623E1">
      <w:pPr>
        <w:spacing w:line="240" w:lineRule="auto"/>
      </w:pPr>
      <w:r>
        <w:separator/>
      </w:r>
    </w:p>
  </w:footnote>
  <w:footnote w:type="continuationSeparator" w:id="0">
    <w:p w14:paraId="2F799361" w14:textId="77777777" w:rsidR="009623E1" w:rsidRDefault="009623E1">
      <w:pPr>
        <w:spacing w:line="240" w:lineRule="auto"/>
      </w:pPr>
      <w:r>
        <w:continuationSeparator/>
      </w:r>
    </w:p>
  </w:footnote>
  <w:footnote w:id="1">
    <w:p w14:paraId="540F75B6" w14:textId="77777777" w:rsidR="007B2CBB" w:rsidRPr="00D54734" w:rsidRDefault="007B2CBB" w:rsidP="007B2CBB">
      <w:pPr>
        <w:pStyle w:val="Voetnoottekst"/>
        <w:rPr>
          <w:sz w:val="14"/>
          <w:szCs w:val="14"/>
        </w:rPr>
      </w:pPr>
      <w:r w:rsidRPr="00D54734">
        <w:rPr>
          <w:rStyle w:val="Voetnootmarkering"/>
          <w:sz w:val="14"/>
          <w:szCs w:val="14"/>
        </w:rPr>
        <w:footnoteRef/>
      </w:r>
      <w:r w:rsidRPr="00D54734">
        <w:rPr>
          <w:sz w:val="14"/>
          <w:szCs w:val="14"/>
        </w:rPr>
        <w:t xml:space="preserve"> Handelingen II, 2024/25 36706, nr. 16</w:t>
      </w:r>
    </w:p>
  </w:footnote>
  <w:footnote w:id="2">
    <w:p w14:paraId="7023A06E" w14:textId="77777777" w:rsidR="007B2CBB" w:rsidRPr="00D54734" w:rsidRDefault="007B2CBB" w:rsidP="007B2CBB">
      <w:pPr>
        <w:pStyle w:val="Voetnoottekst"/>
        <w:rPr>
          <w:sz w:val="14"/>
          <w:szCs w:val="14"/>
        </w:rPr>
      </w:pPr>
      <w:r w:rsidRPr="00D54734">
        <w:rPr>
          <w:rStyle w:val="Voetnootmarkering"/>
          <w:sz w:val="14"/>
          <w:szCs w:val="14"/>
        </w:rPr>
        <w:footnoteRef/>
      </w:r>
      <w:r w:rsidRPr="00D54734">
        <w:rPr>
          <w:sz w:val="14"/>
          <w:szCs w:val="14"/>
        </w:rPr>
        <w:t xml:space="preserve"> Deze worden gepubliceerd op Open Overheid. Meest recent: 3e peiling Herstel Box-3 (https://open.overheid.nl/details/65c98d06-27b5-49e0-900a-593577971fb9)</w:t>
      </w:r>
    </w:p>
  </w:footnote>
  <w:footnote w:id="3">
    <w:p w14:paraId="21CE8995" w14:textId="77777777" w:rsidR="00AF4307" w:rsidRPr="00D54734" w:rsidRDefault="00AF4307" w:rsidP="00AF4307">
      <w:pPr>
        <w:pStyle w:val="Voetnoottekst"/>
        <w:rPr>
          <w:sz w:val="14"/>
          <w:szCs w:val="14"/>
        </w:rPr>
      </w:pPr>
      <w:r w:rsidRPr="00D54734">
        <w:rPr>
          <w:rStyle w:val="Voetnootmarkering"/>
          <w:sz w:val="14"/>
          <w:szCs w:val="14"/>
        </w:rPr>
        <w:footnoteRef/>
      </w:r>
      <w:r w:rsidRPr="00D54734">
        <w:rPr>
          <w:sz w:val="14"/>
          <w:szCs w:val="14"/>
        </w:rPr>
        <w:t xml:space="preserve"> </w:t>
      </w:r>
      <w:r>
        <w:rPr>
          <w:sz w:val="14"/>
          <w:szCs w:val="14"/>
        </w:rPr>
        <w:t>D</w:t>
      </w:r>
      <w:r w:rsidRPr="00D54734">
        <w:rPr>
          <w:sz w:val="14"/>
          <w:szCs w:val="14"/>
        </w:rPr>
        <w:t xml:space="preserve">e verzoeken om vermindering die </w:t>
      </w:r>
      <w:r>
        <w:rPr>
          <w:sz w:val="14"/>
          <w:szCs w:val="14"/>
        </w:rPr>
        <w:t>door middel van</w:t>
      </w:r>
      <w:r w:rsidRPr="00D54734">
        <w:rPr>
          <w:sz w:val="14"/>
          <w:szCs w:val="14"/>
        </w:rPr>
        <w:t xml:space="preserve"> een formulier OWR worden ingediend vallen </w:t>
      </w:r>
      <w:r>
        <w:rPr>
          <w:sz w:val="14"/>
          <w:szCs w:val="14"/>
        </w:rPr>
        <w:t xml:space="preserve">niet </w:t>
      </w:r>
      <w:r w:rsidRPr="00D54734">
        <w:rPr>
          <w:sz w:val="14"/>
          <w:szCs w:val="14"/>
        </w:rPr>
        <w:t>in deze werkstroom</w:t>
      </w:r>
      <w:r>
        <w:rPr>
          <w:sz w:val="14"/>
          <w:szCs w:val="14"/>
        </w:rPr>
        <w:t>, maar in werkstroom 3</w:t>
      </w:r>
      <w:r w:rsidRPr="00D54734">
        <w:rPr>
          <w:sz w:val="14"/>
          <w:szCs w:val="14"/>
        </w:rPr>
        <w:t>.</w:t>
      </w:r>
    </w:p>
  </w:footnote>
  <w:footnote w:id="4">
    <w:p w14:paraId="0B80E915" w14:textId="77777777" w:rsidR="007B2CBB" w:rsidRPr="00D54734" w:rsidRDefault="007B2CBB" w:rsidP="007B2CBB">
      <w:pPr>
        <w:pStyle w:val="Voetnoottekst"/>
        <w:rPr>
          <w:sz w:val="14"/>
          <w:szCs w:val="14"/>
        </w:rPr>
      </w:pPr>
      <w:r w:rsidRPr="00D54734">
        <w:rPr>
          <w:rStyle w:val="Voetnootmarkering"/>
          <w:sz w:val="14"/>
          <w:szCs w:val="14"/>
        </w:rPr>
        <w:footnoteRef/>
      </w:r>
      <w:r w:rsidRPr="00D54734">
        <w:rPr>
          <w:sz w:val="14"/>
          <w:szCs w:val="14"/>
        </w:rPr>
        <w:t xml:space="preserve"> De genoemde aantallen zijn exclusief posten die niet behandelbaar en niet verwerkba</w:t>
      </w:r>
      <w:r>
        <w:rPr>
          <w:sz w:val="14"/>
          <w:szCs w:val="14"/>
        </w:rPr>
        <w:t>a</w:t>
      </w:r>
      <w:r w:rsidRPr="00D54734">
        <w:rPr>
          <w:sz w:val="14"/>
          <w:szCs w:val="14"/>
        </w:rPr>
        <w:t>r zijn.</w:t>
      </w:r>
    </w:p>
  </w:footnote>
  <w:footnote w:id="5">
    <w:p w14:paraId="6B7A76D6" w14:textId="77777777" w:rsidR="007B2CBB" w:rsidRPr="00D54734" w:rsidRDefault="007B2CBB" w:rsidP="007B2CBB">
      <w:pPr>
        <w:pStyle w:val="Voetnoottekst"/>
        <w:rPr>
          <w:sz w:val="14"/>
          <w:szCs w:val="14"/>
        </w:rPr>
      </w:pPr>
      <w:r w:rsidRPr="00D54734">
        <w:rPr>
          <w:rStyle w:val="Voetnootmarkering"/>
          <w:sz w:val="14"/>
          <w:szCs w:val="14"/>
        </w:rPr>
        <w:footnoteRef/>
      </w:r>
      <w:r w:rsidRPr="00D54734">
        <w:rPr>
          <w:sz w:val="14"/>
          <w:szCs w:val="14"/>
        </w:rPr>
        <w:t xml:space="preserve"> Het werkelijk rendement wordt alleen verwerkt als het lager is dan het forfaitair rendement.</w:t>
      </w:r>
    </w:p>
  </w:footnote>
  <w:footnote w:id="6">
    <w:p w14:paraId="542DD006" w14:textId="77777777" w:rsidR="007B2CBB" w:rsidRPr="00D54734" w:rsidRDefault="007B2CBB" w:rsidP="007B2CBB">
      <w:pPr>
        <w:pStyle w:val="Voetnoottekst"/>
        <w:rPr>
          <w:sz w:val="14"/>
          <w:szCs w:val="14"/>
        </w:rPr>
      </w:pPr>
      <w:r w:rsidRPr="00D54734">
        <w:rPr>
          <w:rStyle w:val="Voetnootmarkering"/>
          <w:sz w:val="14"/>
          <w:szCs w:val="14"/>
        </w:rPr>
        <w:footnoteRef/>
      </w:r>
      <w:r w:rsidRPr="00D54734">
        <w:rPr>
          <w:sz w:val="14"/>
          <w:szCs w:val="14"/>
        </w:rPr>
        <w:t xml:space="preserve"> Het aantal </w:t>
      </w:r>
      <w:r>
        <w:rPr>
          <w:sz w:val="14"/>
          <w:szCs w:val="14"/>
        </w:rPr>
        <w:t>aangif</w:t>
      </w:r>
      <w:r w:rsidRPr="00D54734">
        <w:rPr>
          <w:sz w:val="14"/>
          <w:szCs w:val="14"/>
        </w:rPr>
        <w:t xml:space="preserve">ten in de wachtkamer kan toenemen </w:t>
      </w:r>
      <w:r>
        <w:rPr>
          <w:sz w:val="14"/>
          <w:szCs w:val="14"/>
        </w:rPr>
        <w:t>omdat bepaalde aangif</w:t>
      </w:r>
      <w:r w:rsidRPr="00C114EB">
        <w:rPr>
          <w:sz w:val="14"/>
          <w:szCs w:val="14"/>
        </w:rPr>
        <w:t>ten nog in de behandelfase van de aanslagregeling zitten of als er nog een aangifte wordt ingediend.</w:t>
      </w:r>
    </w:p>
  </w:footnote>
  <w:footnote w:id="7">
    <w:p w14:paraId="7C925FC0" w14:textId="77777777" w:rsidR="007B2CBB" w:rsidRPr="00D54734" w:rsidRDefault="007B2CBB" w:rsidP="007B2CBB">
      <w:pPr>
        <w:pStyle w:val="Voetnoottekst"/>
        <w:rPr>
          <w:sz w:val="14"/>
          <w:szCs w:val="14"/>
        </w:rPr>
      </w:pPr>
      <w:r w:rsidRPr="00D54734">
        <w:rPr>
          <w:rStyle w:val="Voetnootmarkering"/>
          <w:sz w:val="14"/>
          <w:szCs w:val="14"/>
        </w:rPr>
        <w:footnoteRef/>
      </w:r>
      <w:r w:rsidRPr="00D54734">
        <w:rPr>
          <w:sz w:val="14"/>
          <w:szCs w:val="14"/>
        </w:rPr>
        <w:t xml:space="preserve"> De genoemde aantallen in deze sectie zien op unieke formulieren OWR per belastingplichtige per belastingjaar</w:t>
      </w:r>
    </w:p>
  </w:footnote>
  <w:footnote w:id="8">
    <w:p w14:paraId="16704655" w14:textId="77777777" w:rsidR="00E77E9E" w:rsidRPr="00A8410C" w:rsidRDefault="00E77E9E">
      <w:pPr>
        <w:pStyle w:val="Voetnoottekst"/>
        <w:rPr>
          <w:sz w:val="14"/>
          <w:szCs w:val="14"/>
        </w:rPr>
      </w:pPr>
      <w:r w:rsidRPr="00A8410C">
        <w:rPr>
          <w:rStyle w:val="Voetnootmarkering"/>
          <w:sz w:val="14"/>
          <w:szCs w:val="14"/>
        </w:rPr>
        <w:footnoteRef/>
      </w:r>
      <w:r w:rsidRPr="00A8410C">
        <w:rPr>
          <w:sz w:val="14"/>
          <w:szCs w:val="14"/>
        </w:rPr>
        <w:t xml:space="preserve"> Verwerking van formulieren OWR in werkstroom 2 voor belastingjaren 2021 en later is opgestart na een programmatuuraanpassing in week 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083F" w14:textId="77777777" w:rsidR="00112A19" w:rsidRDefault="00340568">
    <w:r>
      <w:rPr>
        <w:noProof/>
      </w:rPr>
      <mc:AlternateContent>
        <mc:Choice Requires="wps">
          <w:drawing>
            <wp:anchor distT="0" distB="0" distL="0" distR="0" simplePos="0" relativeHeight="251652096" behindDoc="0" locked="1" layoutInCell="1" allowOverlap="1" wp14:anchorId="672FEF77" wp14:editId="3502955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457E47" w14:textId="77777777" w:rsidR="00112A19" w:rsidRDefault="00340568">
                          <w:pPr>
                            <w:pStyle w:val="StandaardReferentiegegevensKop"/>
                          </w:pPr>
                          <w:r>
                            <w:t>Ons kenmerk</w:t>
                          </w:r>
                        </w:p>
                        <w:p w14:paraId="1D0A516C" w14:textId="77777777" w:rsidR="00F74A9C" w:rsidRDefault="00137B00">
                          <w:pPr>
                            <w:pStyle w:val="StandaardReferentiegegevens"/>
                          </w:pPr>
                          <w:fldSimple w:instr=" DOCPROPERTY  &quot;Kenmerk&quot;  \* MERGEFORMAT ">
                            <w:r w:rsidR="00EE4549">
                              <w:t>2026-0000272782</w:t>
                            </w:r>
                          </w:fldSimple>
                        </w:p>
                      </w:txbxContent>
                    </wps:txbx>
                    <wps:bodyPr vert="horz" wrap="square" lIns="0" tIns="0" rIns="0" bIns="0" anchor="t" anchorCtr="0"/>
                  </wps:wsp>
                </a:graphicData>
              </a:graphic>
            </wp:anchor>
          </w:drawing>
        </mc:Choice>
        <mc:Fallback>
          <w:pict>
            <v:shapetype w14:anchorId="672FEF7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8457E47" w14:textId="77777777" w:rsidR="00112A19" w:rsidRDefault="00340568">
                    <w:pPr>
                      <w:pStyle w:val="StandaardReferentiegegevensKop"/>
                    </w:pPr>
                    <w:r>
                      <w:t>Ons kenmerk</w:t>
                    </w:r>
                  </w:p>
                  <w:p w14:paraId="1D0A516C" w14:textId="77777777" w:rsidR="00F74A9C" w:rsidRDefault="00137B00">
                    <w:pPr>
                      <w:pStyle w:val="StandaardReferentiegegevens"/>
                    </w:pPr>
                    <w:fldSimple w:instr=" DOCPROPERTY  &quot;Kenmerk&quot;  \* MERGEFORMAT ">
                      <w:r w:rsidR="00EE4549">
                        <w:t>2026-0000272782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F277CF9" wp14:editId="68F244E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4F3CD3" w14:textId="77777777" w:rsidR="00A67612" w:rsidRDefault="00EE45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277CF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94F3CD3" w14:textId="77777777" w:rsidR="00A67612" w:rsidRDefault="00EE45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14A5A10" wp14:editId="0C6DF33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12D00E" w14:textId="77777777" w:rsidR="00A67612" w:rsidRDefault="00EE45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4A5A1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12D00E" w14:textId="77777777" w:rsidR="00A67612" w:rsidRDefault="00EE454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1B57" w14:textId="77777777" w:rsidR="00112A19" w:rsidRDefault="00340568">
    <w:pPr>
      <w:spacing w:after="7029" w:line="14" w:lineRule="exact"/>
    </w:pPr>
    <w:r>
      <w:rPr>
        <w:noProof/>
      </w:rPr>
      <mc:AlternateContent>
        <mc:Choice Requires="wps">
          <w:drawing>
            <wp:anchor distT="0" distB="0" distL="0" distR="0" simplePos="0" relativeHeight="251655168" behindDoc="0" locked="1" layoutInCell="1" allowOverlap="1" wp14:anchorId="7118C29F" wp14:editId="5DEF43B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341A264" w14:textId="77777777" w:rsidR="00112A19" w:rsidRDefault="00340568">
                          <w:pPr>
                            <w:spacing w:line="240" w:lineRule="auto"/>
                          </w:pPr>
                          <w:r>
                            <w:rPr>
                              <w:noProof/>
                            </w:rPr>
                            <w:drawing>
                              <wp:inline distT="0" distB="0" distL="0" distR="0" wp14:anchorId="639A4627" wp14:editId="308238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18C29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341A264" w14:textId="77777777" w:rsidR="00112A19" w:rsidRDefault="00340568">
                    <w:pPr>
                      <w:spacing w:line="240" w:lineRule="auto"/>
                    </w:pPr>
                    <w:r>
                      <w:rPr>
                        <w:noProof/>
                      </w:rPr>
                      <w:drawing>
                        <wp:inline distT="0" distB="0" distL="0" distR="0" wp14:anchorId="639A4627" wp14:editId="308238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F050045" wp14:editId="3DE8338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BC94C6" w14:textId="77777777" w:rsidR="00340568" w:rsidRDefault="00340568"/>
                      </w:txbxContent>
                    </wps:txbx>
                    <wps:bodyPr vert="horz" wrap="square" lIns="0" tIns="0" rIns="0" bIns="0" anchor="t" anchorCtr="0"/>
                  </wps:wsp>
                </a:graphicData>
              </a:graphic>
            </wp:anchor>
          </w:drawing>
        </mc:Choice>
        <mc:Fallback>
          <w:pict>
            <v:shape w14:anchorId="3F05004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BC94C6" w14:textId="77777777" w:rsidR="00340568" w:rsidRDefault="0034056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00DA16E" wp14:editId="75F6B53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198344B" w14:textId="77777777" w:rsidR="00112A19" w:rsidRDefault="00340568">
                          <w:pPr>
                            <w:pStyle w:val="StandaardReferentiegegevens"/>
                          </w:pPr>
                          <w:r>
                            <w:t>Korte Voorhout 7</w:t>
                          </w:r>
                        </w:p>
                        <w:p w14:paraId="571AF9E3" w14:textId="77777777" w:rsidR="00112A19" w:rsidRDefault="00340568">
                          <w:pPr>
                            <w:pStyle w:val="StandaardReferentiegegevens"/>
                          </w:pPr>
                          <w:r>
                            <w:t>2511 CW  's-Gravenhage</w:t>
                          </w:r>
                        </w:p>
                        <w:p w14:paraId="40F14EBC" w14:textId="77777777" w:rsidR="00112A19" w:rsidRDefault="00340568">
                          <w:pPr>
                            <w:pStyle w:val="StandaardReferentiegegevens"/>
                          </w:pPr>
                          <w:r>
                            <w:t>POSTBUS 20201</w:t>
                          </w:r>
                        </w:p>
                        <w:p w14:paraId="046650E7" w14:textId="77777777" w:rsidR="00112A19" w:rsidRPr="006916B9" w:rsidRDefault="00340568">
                          <w:pPr>
                            <w:pStyle w:val="StandaardReferentiegegevens"/>
                            <w:rPr>
                              <w:lang w:val="es-ES"/>
                            </w:rPr>
                          </w:pPr>
                          <w:r w:rsidRPr="006916B9">
                            <w:rPr>
                              <w:lang w:val="es-ES"/>
                            </w:rPr>
                            <w:t xml:space="preserve">2500 </w:t>
                          </w:r>
                          <w:proofErr w:type="gramStart"/>
                          <w:r w:rsidRPr="006916B9">
                            <w:rPr>
                              <w:lang w:val="es-ES"/>
                            </w:rPr>
                            <w:t>EE  '</w:t>
                          </w:r>
                          <w:proofErr w:type="gramEnd"/>
                          <w:r w:rsidRPr="006916B9">
                            <w:rPr>
                              <w:lang w:val="es-ES"/>
                            </w:rPr>
                            <w:t>s-</w:t>
                          </w:r>
                          <w:proofErr w:type="spellStart"/>
                          <w:r w:rsidRPr="006916B9">
                            <w:rPr>
                              <w:lang w:val="es-ES"/>
                            </w:rPr>
                            <w:t>Gravenhage</w:t>
                          </w:r>
                          <w:proofErr w:type="spellEnd"/>
                        </w:p>
                        <w:p w14:paraId="643A4FC9" w14:textId="77777777" w:rsidR="00112A19" w:rsidRPr="006916B9" w:rsidRDefault="00340568">
                          <w:pPr>
                            <w:pStyle w:val="StandaardReferentiegegevens"/>
                            <w:rPr>
                              <w:lang w:val="es-ES"/>
                            </w:rPr>
                          </w:pPr>
                          <w:r w:rsidRPr="006916B9">
                            <w:rPr>
                              <w:lang w:val="es-ES"/>
                            </w:rPr>
                            <w:t>www.rijksoverheid.nl/fin</w:t>
                          </w:r>
                        </w:p>
                        <w:p w14:paraId="2C13AFC2" w14:textId="77777777" w:rsidR="00112A19" w:rsidRPr="006916B9" w:rsidRDefault="00112A19">
                          <w:pPr>
                            <w:pStyle w:val="WitregelW2"/>
                            <w:rPr>
                              <w:lang w:val="es-ES"/>
                            </w:rPr>
                          </w:pPr>
                        </w:p>
                        <w:p w14:paraId="0A4A61DF" w14:textId="77777777" w:rsidR="00112A19" w:rsidRDefault="00340568">
                          <w:pPr>
                            <w:pStyle w:val="StandaardReferentiegegevensKop"/>
                          </w:pPr>
                          <w:r>
                            <w:t>Ons kenmerk</w:t>
                          </w:r>
                        </w:p>
                        <w:p w14:paraId="62996AEC" w14:textId="77777777" w:rsidR="00F74A9C" w:rsidRDefault="00137B00">
                          <w:pPr>
                            <w:pStyle w:val="StandaardReferentiegegevens"/>
                          </w:pPr>
                          <w:fldSimple w:instr=" DOCPROPERTY  &quot;Kenmerk&quot;  \* MERGEFORMAT ">
                            <w:r w:rsidR="00EE4549">
                              <w:t>2026-0000272782</w:t>
                            </w:r>
                          </w:fldSimple>
                        </w:p>
                        <w:p w14:paraId="32A7C171" w14:textId="77777777" w:rsidR="00112A19" w:rsidRDefault="00112A19">
                          <w:pPr>
                            <w:pStyle w:val="WitregelW1"/>
                          </w:pPr>
                        </w:p>
                        <w:p w14:paraId="68B4E07E" w14:textId="77777777" w:rsidR="00112A19" w:rsidRDefault="00340568">
                          <w:pPr>
                            <w:pStyle w:val="StandaardReferentiegegevensKop"/>
                          </w:pPr>
                          <w:r>
                            <w:t>Uw brief (kenmerk)</w:t>
                          </w:r>
                        </w:p>
                        <w:p w14:paraId="7E1536CF" w14:textId="77777777" w:rsidR="00A67612" w:rsidRDefault="00EE4549">
                          <w:pPr>
                            <w:pStyle w:val="StandaardReferentiegegevens"/>
                          </w:pPr>
                          <w:r>
                            <w:fldChar w:fldCharType="begin"/>
                          </w:r>
                          <w:r>
                            <w:instrText xml:space="preserve"> DOCPROPERTY  "UwKenmerk"  \* MERGEFORMAT </w:instrText>
                          </w:r>
                          <w:r>
                            <w:fldChar w:fldCharType="end"/>
                          </w:r>
                        </w:p>
                        <w:p w14:paraId="0EE498C4" w14:textId="77777777" w:rsidR="00112A19" w:rsidRDefault="00112A19">
                          <w:pPr>
                            <w:pStyle w:val="WitregelW1"/>
                          </w:pPr>
                        </w:p>
                        <w:p w14:paraId="72C54A87" w14:textId="77777777" w:rsidR="00112A19" w:rsidRDefault="00340568">
                          <w:pPr>
                            <w:pStyle w:val="StandaardReferentiegegevensKop"/>
                          </w:pPr>
                          <w:r>
                            <w:t>Bijlagen</w:t>
                          </w:r>
                        </w:p>
                        <w:p w14:paraId="15C90725" w14:textId="77777777" w:rsidR="00112A19" w:rsidRDefault="00ED4E2B">
                          <w:pPr>
                            <w:pStyle w:val="StandaardReferentiegegevens"/>
                          </w:pPr>
                          <w:r>
                            <w:t>-</w:t>
                          </w:r>
                        </w:p>
                      </w:txbxContent>
                    </wps:txbx>
                    <wps:bodyPr vert="horz" wrap="square" lIns="0" tIns="0" rIns="0" bIns="0" anchor="t" anchorCtr="0"/>
                  </wps:wsp>
                </a:graphicData>
              </a:graphic>
            </wp:anchor>
          </w:drawing>
        </mc:Choice>
        <mc:Fallback>
          <w:pict>
            <v:shape w14:anchorId="100DA16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198344B" w14:textId="77777777" w:rsidR="00112A19" w:rsidRDefault="00340568">
                    <w:pPr>
                      <w:pStyle w:val="StandaardReferentiegegevens"/>
                    </w:pPr>
                    <w:r>
                      <w:t>Korte Voorhout 7</w:t>
                    </w:r>
                  </w:p>
                  <w:p w14:paraId="571AF9E3" w14:textId="77777777" w:rsidR="00112A19" w:rsidRDefault="00340568">
                    <w:pPr>
                      <w:pStyle w:val="StandaardReferentiegegevens"/>
                    </w:pPr>
                    <w:r>
                      <w:t>2511 CW  's-Gravenhage</w:t>
                    </w:r>
                  </w:p>
                  <w:p w14:paraId="40F14EBC" w14:textId="77777777" w:rsidR="00112A19" w:rsidRDefault="00340568">
                    <w:pPr>
                      <w:pStyle w:val="StandaardReferentiegegevens"/>
                    </w:pPr>
                    <w:r>
                      <w:t>POSTBUS 20201</w:t>
                    </w:r>
                  </w:p>
                  <w:p w14:paraId="046650E7" w14:textId="77777777" w:rsidR="00112A19" w:rsidRPr="006916B9" w:rsidRDefault="00340568">
                    <w:pPr>
                      <w:pStyle w:val="StandaardReferentiegegevens"/>
                      <w:rPr>
                        <w:lang w:val="es-ES"/>
                      </w:rPr>
                    </w:pPr>
                    <w:r w:rsidRPr="006916B9">
                      <w:rPr>
                        <w:lang w:val="es-ES"/>
                      </w:rPr>
                      <w:t xml:space="preserve">2500 </w:t>
                    </w:r>
                    <w:proofErr w:type="gramStart"/>
                    <w:r w:rsidRPr="006916B9">
                      <w:rPr>
                        <w:lang w:val="es-ES"/>
                      </w:rPr>
                      <w:t>EE  '</w:t>
                    </w:r>
                    <w:proofErr w:type="gramEnd"/>
                    <w:r w:rsidRPr="006916B9">
                      <w:rPr>
                        <w:lang w:val="es-ES"/>
                      </w:rPr>
                      <w:t>s-</w:t>
                    </w:r>
                    <w:proofErr w:type="spellStart"/>
                    <w:r w:rsidRPr="006916B9">
                      <w:rPr>
                        <w:lang w:val="es-ES"/>
                      </w:rPr>
                      <w:t>Gravenhage</w:t>
                    </w:r>
                    <w:proofErr w:type="spellEnd"/>
                  </w:p>
                  <w:p w14:paraId="643A4FC9" w14:textId="77777777" w:rsidR="00112A19" w:rsidRPr="006916B9" w:rsidRDefault="00340568">
                    <w:pPr>
                      <w:pStyle w:val="StandaardReferentiegegevens"/>
                      <w:rPr>
                        <w:lang w:val="es-ES"/>
                      </w:rPr>
                    </w:pPr>
                    <w:r w:rsidRPr="006916B9">
                      <w:rPr>
                        <w:lang w:val="es-ES"/>
                      </w:rPr>
                      <w:t>www.rijksoverheid.nl/fin</w:t>
                    </w:r>
                  </w:p>
                  <w:p w14:paraId="2C13AFC2" w14:textId="77777777" w:rsidR="00112A19" w:rsidRPr="006916B9" w:rsidRDefault="00112A19">
                    <w:pPr>
                      <w:pStyle w:val="WitregelW2"/>
                      <w:rPr>
                        <w:lang w:val="es-ES"/>
                      </w:rPr>
                    </w:pPr>
                  </w:p>
                  <w:p w14:paraId="0A4A61DF" w14:textId="77777777" w:rsidR="00112A19" w:rsidRDefault="00340568">
                    <w:pPr>
                      <w:pStyle w:val="StandaardReferentiegegevensKop"/>
                    </w:pPr>
                    <w:r>
                      <w:t>Ons kenmerk</w:t>
                    </w:r>
                  </w:p>
                  <w:p w14:paraId="62996AEC" w14:textId="77777777" w:rsidR="00F74A9C" w:rsidRDefault="00137B00">
                    <w:pPr>
                      <w:pStyle w:val="StandaardReferentiegegevens"/>
                    </w:pPr>
                    <w:fldSimple w:instr=" DOCPROPERTY  &quot;Kenmerk&quot;  \* MERGEFORMAT ">
                      <w:r w:rsidR="00EE4549">
                        <w:t>2026-0000272782</w:t>
                      </w:r>
                    </w:fldSimple>
                  </w:p>
                  <w:p w14:paraId="32A7C171" w14:textId="77777777" w:rsidR="00112A19" w:rsidRDefault="00112A19">
                    <w:pPr>
                      <w:pStyle w:val="WitregelW1"/>
                    </w:pPr>
                  </w:p>
                  <w:p w14:paraId="68B4E07E" w14:textId="77777777" w:rsidR="00112A19" w:rsidRDefault="00340568">
                    <w:pPr>
                      <w:pStyle w:val="StandaardReferentiegegevensKop"/>
                    </w:pPr>
                    <w:r>
                      <w:t>Uw brief (kenmerk)</w:t>
                    </w:r>
                  </w:p>
                  <w:p w14:paraId="7E1536CF" w14:textId="77777777" w:rsidR="00A67612" w:rsidRDefault="00EE4549">
                    <w:pPr>
                      <w:pStyle w:val="StandaardReferentiegegevens"/>
                    </w:pPr>
                    <w:r>
                      <w:fldChar w:fldCharType="begin"/>
                    </w:r>
                    <w:r>
                      <w:instrText xml:space="preserve"> DOCPROPERTY  "UwKenmerk"  \* MERGEFORMAT </w:instrText>
                    </w:r>
                    <w:r>
                      <w:fldChar w:fldCharType="end"/>
                    </w:r>
                  </w:p>
                  <w:p w14:paraId="0EE498C4" w14:textId="77777777" w:rsidR="00112A19" w:rsidRDefault="00112A19">
                    <w:pPr>
                      <w:pStyle w:val="WitregelW1"/>
                    </w:pPr>
                  </w:p>
                  <w:p w14:paraId="72C54A87" w14:textId="77777777" w:rsidR="00112A19" w:rsidRDefault="00340568">
                    <w:pPr>
                      <w:pStyle w:val="StandaardReferentiegegevensKop"/>
                    </w:pPr>
                    <w:r>
                      <w:t>Bijlagen</w:t>
                    </w:r>
                  </w:p>
                  <w:p w14:paraId="15C90725" w14:textId="77777777" w:rsidR="00112A19" w:rsidRDefault="00ED4E2B">
                    <w:pPr>
                      <w:pStyle w:val="StandaardReferentiegegevens"/>
                    </w:pPr>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492673B" wp14:editId="4F8F061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5310097" w14:textId="77777777" w:rsidR="00112A19" w:rsidRDefault="0034056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492673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5310097" w14:textId="77777777" w:rsidR="00112A19" w:rsidRDefault="0034056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CE9A162" wp14:editId="69E0FE3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0515A47" w14:textId="77777777" w:rsidR="00A67612" w:rsidRDefault="00EE4549">
                          <w:pPr>
                            <w:pStyle w:val="Rubricering"/>
                          </w:pPr>
                          <w:r>
                            <w:fldChar w:fldCharType="begin"/>
                          </w:r>
                          <w:r>
                            <w:instrText xml:space="preserve"> DOCPROPERTY  "Rubricering"  \* MERGEFORMAT </w:instrText>
                          </w:r>
                          <w:r>
                            <w:fldChar w:fldCharType="end"/>
                          </w:r>
                        </w:p>
                        <w:p w14:paraId="2C0132EE" w14:textId="77777777" w:rsidR="00EE4549" w:rsidRDefault="00340568">
                          <w:r>
                            <w:fldChar w:fldCharType="begin"/>
                          </w:r>
                          <w:r w:rsidR="00EE4549">
                            <w:instrText xml:space="preserve"> DOCPROPERTY  "Aan"  \* MERGEFORMAT </w:instrText>
                          </w:r>
                          <w:r>
                            <w:fldChar w:fldCharType="separate"/>
                          </w:r>
                          <w:r w:rsidR="00EE4549">
                            <w:t>Voorzitter van de Tweede Kamer der Staten-Generaal</w:t>
                          </w:r>
                        </w:p>
                        <w:p w14:paraId="450BA5D5" w14:textId="77777777" w:rsidR="00EE4549" w:rsidRDefault="00EE4549">
                          <w:r>
                            <w:t>Postbus 20018</w:t>
                          </w:r>
                        </w:p>
                        <w:p w14:paraId="6AE5C042" w14:textId="77777777" w:rsidR="00EE4549" w:rsidRDefault="00EE4549">
                          <w:r>
                            <w:t>2500 EA  DEN HAAG</w:t>
                          </w:r>
                        </w:p>
                        <w:p w14:paraId="0B0D82B1" w14:textId="77777777" w:rsidR="00EE4549" w:rsidRDefault="00EE4549"/>
                        <w:p w14:paraId="205B6432" w14:textId="77777777" w:rsidR="00112A19" w:rsidRDefault="00340568">
                          <w:r>
                            <w:fldChar w:fldCharType="end"/>
                          </w:r>
                        </w:p>
                      </w:txbxContent>
                    </wps:txbx>
                    <wps:bodyPr vert="horz" wrap="square" lIns="0" tIns="0" rIns="0" bIns="0" anchor="t" anchorCtr="0"/>
                  </wps:wsp>
                </a:graphicData>
              </a:graphic>
            </wp:anchor>
          </w:drawing>
        </mc:Choice>
        <mc:Fallback>
          <w:pict>
            <v:shape w14:anchorId="3CE9A16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0515A47" w14:textId="77777777" w:rsidR="00A67612" w:rsidRDefault="00EE4549">
                    <w:pPr>
                      <w:pStyle w:val="Rubricering"/>
                    </w:pPr>
                    <w:r>
                      <w:fldChar w:fldCharType="begin"/>
                    </w:r>
                    <w:r>
                      <w:instrText xml:space="preserve"> DOCPROPERTY  "Rubricering"  \* MERGEFORMAT </w:instrText>
                    </w:r>
                    <w:r>
                      <w:fldChar w:fldCharType="end"/>
                    </w:r>
                  </w:p>
                  <w:p w14:paraId="2C0132EE" w14:textId="77777777" w:rsidR="00EE4549" w:rsidRDefault="00340568">
                    <w:r>
                      <w:fldChar w:fldCharType="begin"/>
                    </w:r>
                    <w:r w:rsidR="00EE4549">
                      <w:instrText xml:space="preserve"> DOCPROPERTY  "Aan"  \* MERGEFORMAT </w:instrText>
                    </w:r>
                    <w:r>
                      <w:fldChar w:fldCharType="separate"/>
                    </w:r>
                    <w:r w:rsidR="00EE4549">
                      <w:t>Voorzitter van de Tweede Kamer der Staten-Generaal</w:t>
                    </w:r>
                  </w:p>
                  <w:p w14:paraId="450BA5D5" w14:textId="77777777" w:rsidR="00EE4549" w:rsidRDefault="00EE4549">
                    <w:r>
                      <w:t>Postbus 20018</w:t>
                    </w:r>
                  </w:p>
                  <w:p w14:paraId="6AE5C042" w14:textId="77777777" w:rsidR="00EE4549" w:rsidRDefault="00EE4549">
                    <w:r>
                      <w:t>2500 EA  DEN HAAG</w:t>
                    </w:r>
                  </w:p>
                  <w:p w14:paraId="0B0D82B1" w14:textId="77777777" w:rsidR="00EE4549" w:rsidRDefault="00EE4549"/>
                  <w:p w14:paraId="205B6432" w14:textId="77777777" w:rsidR="00112A19" w:rsidRDefault="0034056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784BCF2" wp14:editId="3A5188A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D5F55DC" w14:textId="77777777" w:rsidR="00A67612" w:rsidRDefault="00EE45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84BCF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D5F55DC" w14:textId="77777777" w:rsidR="00A67612" w:rsidRDefault="00EE45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F32D93" wp14:editId="60285D3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12A19" w14:paraId="4DEF8097" w14:textId="77777777">
                            <w:trPr>
                              <w:trHeight w:val="200"/>
                            </w:trPr>
                            <w:tc>
                              <w:tcPr>
                                <w:tcW w:w="1140" w:type="dxa"/>
                              </w:tcPr>
                              <w:p w14:paraId="7846C85B" w14:textId="77777777" w:rsidR="00112A19" w:rsidRDefault="00112A19"/>
                            </w:tc>
                            <w:tc>
                              <w:tcPr>
                                <w:tcW w:w="5400" w:type="dxa"/>
                              </w:tcPr>
                              <w:p w14:paraId="4E813588" w14:textId="77777777" w:rsidR="00112A19" w:rsidRDefault="00112A19"/>
                            </w:tc>
                          </w:tr>
                          <w:tr w:rsidR="00112A19" w14:paraId="10230CAB" w14:textId="77777777">
                            <w:trPr>
                              <w:trHeight w:val="240"/>
                            </w:trPr>
                            <w:tc>
                              <w:tcPr>
                                <w:tcW w:w="1140" w:type="dxa"/>
                              </w:tcPr>
                              <w:p w14:paraId="7825070E" w14:textId="77777777" w:rsidR="00112A19" w:rsidRDefault="00340568">
                                <w:r>
                                  <w:t>Datum</w:t>
                                </w:r>
                              </w:p>
                            </w:tc>
                            <w:tc>
                              <w:tcPr>
                                <w:tcW w:w="5400" w:type="dxa"/>
                              </w:tcPr>
                              <w:p w14:paraId="3F8C9AFF" w14:textId="74F85EF9" w:rsidR="00112A19" w:rsidRDefault="00EE4549">
                                <w:r>
                                  <w:t>30 juni 2026</w:t>
                                </w:r>
                              </w:p>
                            </w:tc>
                          </w:tr>
                          <w:tr w:rsidR="00112A19" w14:paraId="03E43390" w14:textId="77777777">
                            <w:trPr>
                              <w:trHeight w:val="240"/>
                            </w:trPr>
                            <w:tc>
                              <w:tcPr>
                                <w:tcW w:w="1140" w:type="dxa"/>
                              </w:tcPr>
                              <w:p w14:paraId="2BA9C268" w14:textId="77777777" w:rsidR="00112A19" w:rsidRDefault="00340568">
                                <w:r>
                                  <w:t>Betreft</w:t>
                                </w:r>
                              </w:p>
                            </w:tc>
                            <w:tc>
                              <w:tcPr>
                                <w:tcW w:w="5400" w:type="dxa"/>
                              </w:tcPr>
                              <w:p w14:paraId="2A93D1CB" w14:textId="77777777" w:rsidR="00F74A9C" w:rsidRDefault="00137B00">
                                <w:fldSimple w:instr=" DOCPROPERTY  &quot;Onderwerp&quot;  \* MERGEFORMAT ">
                                  <w:r w:rsidR="00EE4549">
                                    <w:t>Voortgang herstel box 3</w:t>
                                  </w:r>
                                </w:fldSimple>
                              </w:p>
                            </w:tc>
                          </w:tr>
                          <w:tr w:rsidR="00112A19" w14:paraId="15A97B2B" w14:textId="77777777">
                            <w:trPr>
                              <w:trHeight w:val="200"/>
                            </w:trPr>
                            <w:tc>
                              <w:tcPr>
                                <w:tcW w:w="1140" w:type="dxa"/>
                              </w:tcPr>
                              <w:p w14:paraId="649AD47B" w14:textId="77777777" w:rsidR="00112A19" w:rsidRDefault="00112A19"/>
                            </w:tc>
                            <w:tc>
                              <w:tcPr>
                                <w:tcW w:w="4738" w:type="dxa"/>
                              </w:tcPr>
                              <w:p w14:paraId="22D6633A" w14:textId="77777777" w:rsidR="00112A19" w:rsidRDefault="00112A19"/>
                            </w:tc>
                          </w:tr>
                        </w:tbl>
                        <w:p w14:paraId="21E6E4F5" w14:textId="77777777" w:rsidR="00340568" w:rsidRDefault="00340568"/>
                      </w:txbxContent>
                    </wps:txbx>
                    <wps:bodyPr vert="horz" wrap="square" lIns="0" tIns="0" rIns="0" bIns="0" anchor="t" anchorCtr="0"/>
                  </wps:wsp>
                </a:graphicData>
              </a:graphic>
            </wp:anchor>
          </w:drawing>
        </mc:Choice>
        <mc:Fallback>
          <w:pict>
            <v:shape w14:anchorId="64F32D9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12A19" w14:paraId="4DEF8097" w14:textId="77777777">
                      <w:trPr>
                        <w:trHeight w:val="200"/>
                      </w:trPr>
                      <w:tc>
                        <w:tcPr>
                          <w:tcW w:w="1140" w:type="dxa"/>
                        </w:tcPr>
                        <w:p w14:paraId="7846C85B" w14:textId="77777777" w:rsidR="00112A19" w:rsidRDefault="00112A19"/>
                      </w:tc>
                      <w:tc>
                        <w:tcPr>
                          <w:tcW w:w="5400" w:type="dxa"/>
                        </w:tcPr>
                        <w:p w14:paraId="4E813588" w14:textId="77777777" w:rsidR="00112A19" w:rsidRDefault="00112A19"/>
                      </w:tc>
                    </w:tr>
                    <w:tr w:rsidR="00112A19" w14:paraId="10230CAB" w14:textId="77777777">
                      <w:trPr>
                        <w:trHeight w:val="240"/>
                      </w:trPr>
                      <w:tc>
                        <w:tcPr>
                          <w:tcW w:w="1140" w:type="dxa"/>
                        </w:tcPr>
                        <w:p w14:paraId="7825070E" w14:textId="77777777" w:rsidR="00112A19" w:rsidRDefault="00340568">
                          <w:r>
                            <w:t>Datum</w:t>
                          </w:r>
                        </w:p>
                      </w:tc>
                      <w:tc>
                        <w:tcPr>
                          <w:tcW w:w="5400" w:type="dxa"/>
                        </w:tcPr>
                        <w:p w14:paraId="3F8C9AFF" w14:textId="74F85EF9" w:rsidR="00112A19" w:rsidRDefault="00EE4549">
                          <w:r>
                            <w:t>30 juni 2026</w:t>
                          </w:r>
                        </w:p>
                      </w:tc>
                    </w:tr>
                    <w:tr w:rsidR="00112A19" w14:paraId="03E43390" w14:textId="77777777">
                      <w:trPr>
                        <w:trHeight w:val="240"/>
                      </w:trPr>
                      <w:tc>
                        <w:tcPr>
                          <w:tcW w:w="1140" w:type="dxa"/>
                        </w:tcPr>
                        <w:p w14:paraId="2BA9C268" w14:textId="77777777" w:rsidR="00112A19" w:rsidRDefault="00340568">
                          <w:r>
                            <w:t>Betreft</w:t>
                          </w:r>
                        </w:p>
                      </w:tc>
                      <w:tc>
                        <w:tcPr>
                          <w:tcW w:w="5400" w:type="dxa"/>
                        </w:tcPr>
                        <w:p w14:paraId="2A93D1CB" w14:textId="77777777" w:rsidR="00F74A9C" w:rsidRDefault="00137B00">
                          <w:fldSimple w:instr=" DOCPROPERTY  &quot;Onderwerp&quot;  \* MERGEFORMAT ">
                            <w:r w:rsidR="00EE4549">
                              <w:t>Voortgang herstel box 3</w:t>
                            </w:r>
                          </w:fldSimple>
                        </w:p>
                      </w:tc>
                    </w:tr>
                    <w:tr w:rsidR="00112A19" w14:paraId="15A97B2B" w14:textId="77777777">
                      <w:trPr>
                        <w:trHeight w:val="200"/>
                      </w:trPr>
                      <w:tc>
                        <w:tcPr>
                          <w:tcW w:w="1140" w:type="dxa"/>
                        </w:tcPr>
                        <w:p w14:paraId="649AD47B" w14:textId="77777777" w:rsidR="00112A19" w:rsidRDefault="00112A19"/>
                      </w:tc>
                      <w:tc>
                        <w:tcPr>
                          <w:tcW w:w="4738" w:type="dxa"/>
                        </w:tcPr>
                        <w:p w14:paraId="22D6633A" w14:textId="77777777" w:rsidR="00112A19" w:rsidRDefault="00112A19"/>
                      </w:tc>
                    </w:tr>
                  </w:tbl>
                  <w:p w14:paraId="21E6E4F5" w14:textId="77777777" w:rsidR="00340568" w:rsidRDefault="0034056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78D91CE" wp14:editId="5D1F387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319AE8" w14:textId="77777777" w:rsidR="00A67612" w:rsidRDefault="00EE45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8D91C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319AE8" w14:textId="77777777" w:rsidR="00A67612" w:rsidRDefault="00EE454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1C71D82" wp14:editId="1EC3AEA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81AD021" w14:textId="77777777" w:rsidR="00340568" w:rsidRDefault="00340568"/>
                      </w:txbxContent>
                    </wps:txbx>
                    <wps:bodyPr vert="horz" wrap="square" lIns="0" tIns="0" rIns="0" bIns="0" anchor="t" anchorCtr="0"/>
                  </wps:wsp>
                </a:graphicData>
              </a:graphic>
            </wp:anchor>
          </w:drawing>
        </mc:Choice>
        <mc:Fallback>
          <w:pict>
            <v:shape w14:anchorId="11C71D8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81AD021" w14:textId="77777777" w:rsidR="00340568" w:rsidRDefault="0034056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6399B"/>
    <w:multiLevelType w:val="multilevel"/>
    <w:tmpl w:val="C4F9024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107D8A"/>
    <w:multiLevelType w:val="multilevel"/>
    <w:tmpl w:val="83D3B2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49E137A"/>
    <w:multiLevelType w:val="hybridMultilevel"/>
    <w:tmpl w:val="78085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9A6343"/>
    <w:multiLevelType w:val="hybridMultilevel"/>
    <w:tmpl w:val="69008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584ED7"/>
    <w:multiLevelType w:val="multilevel"/>
    <w:tmpl w:val="6E8D67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E6B7D2F"/>
    <w:multiLevelType w:val="hybridMultilevel"/>
    <w:tmpl w:val="02D87BF4"/>
    <w:lvl w:ilvl="0" w:tplc="DCB84290">
      <w:start w:val="1"/>
      <w:numFmt w:val="bullet"/>
      <w:lvlText w:val="-"/>
      <w:lvlJc w:val="left"/>
      <w:pPr>
        <w:ind w:left="720" w:hanging="360"/>
      </w:pPr>
      <w:rPr>
        <w:rFonts w:ascii="Arial" w:eastAsia="DejaVu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D47F9A"/>
    <w:multiLevelType w:val="multilevel"/>
    <w:tmpl w:val="4862820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82357D"/>
    <w:multiLevelType w:val="hybridMultilevel"/>
    <w:tmpl w:val="50822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B3044C"/>
    <w:multiLevelType w:val="multilevel"/>
    <w:tmpl w:val="FDE2A1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BD51AF"/>
    <w:multiLevelType w:val="hybridMultilevel"/>
    <w:tmpl w:val="C27A7EA4"/>
    <w:lvl w:ilvl="0" w:tplc="669022D2">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6218FE"/>
    <w:multiLevelType w:val="hybridMultilevel"/>
    <w:tmpl w:val="F4168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9E7132"/>
    <w:multiLevelType w:val="hybridMultilevel"/>
    <w:tmpl w:val="B87608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8021901"/>
    <w:multiLevelType w:val="multilevel"/>
    <w:tmpl w:val="FAA9C93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876F2C"/>
    <w:multiLevelType w:val="hybridMultilevel"/>
    <w:tmpl w:val="B6B6E06A"/>
    <w:lvl w:ilvl="0" w:tplc="D42C1512">
      <w:start w:val="7"/>
      <w:numFmt w:val="bullet"/>
      <w:lvlText w:val="-"/>
      <w:lvlJc w:val="left"/>
      <w:pPr>
        <w:ind w:left="720" w:hanging="360"/>
      </w:pPr>
      <w:rPr>
        <w:rFonts w:ascii="Arial" w:eastAsia="DejaVu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A84F30"/>
    <w:multiLevelType w:val="hybridMultilevel"/>
    <w:tmpl w:val="EBE0B6E4"/>
    <w:lvl w:ilvl="0" w:tplc="57163F26">
      <w:numFmt w:val="bullet"/>
      <w:lvlText w:val="-"/>
      <w:lvlJc w:val="left"/>
      <w:pPr>
        <w:ind w:left="720" w:hanging="360"/>
      </w:pPr>
      <w:rPr>
        <w:rFonts w:ascii="Arial" w:eastAsia="DejaVu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FD5DBE"/>
    <w:multiLevelType w:val="hybridMultilevel"/>
    <w:tmpl w:val="CC068282"/>
    <w:lvl w:ilvl="0" w:tplc="5B6226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4565364">
    <w:abstractNumId w:val="0"/>
  </w:num>
  <w:num w:numId="2" w16cid:durableId="1544052959">
    <w:abstractNumId w:val="6"/>
  </w:num>
  <w:num w:numId="3" w16cid:durableId="1872307005">
    <w:abstractNumId w:val="4"/>
  </w:num>
  <w:num w:numId="4" w16cid:durableId="365377357">
    <w:abstractNumId w:val="1"/>
  </w:num>
  <w:num w:numId="5" w16cid:durableId="655378490">
    <w:abstractNumId w:val="8"/>
  </w:num>
  <w:num w:numId="6" w16cid:durableId="980305982">
    <w:abstractNumId w:val="12"/>
  </w:num>
  <w:num w:numId="7" w16cid:durableId="298612976">
    <w:abstractNumId w:val="13"/>
  </w:num>
  <w:num w:numId="8" w16cid:durableId="752626015">
    <w:abstractNumId w:val="5"/>
  </w:num>
  <w:num w:numId="9" w16cid:durableId="14893091">
    <w:abstractNumId w:val="3"/>
  </w:num>
  <w:num w:numId="10" w16cid:durableId="521479804">
    <w:abstractNumId w:val="2"/>
  </w:num>
  <w:num w:numId="11" w16cid:durableId="947003548">
    <w:abstractNumId w:val="15"/>
  </w:num>
  <w:num w:numId="12" w16cid:durableId="713888219">
    <w:abstractNumId w:val="9"/>
  </w:num>
  <w:num w:numId="13" w16cid:durableId="2102751807">
    <w:abstractNumId w:val="7"/>
  </w:num>
  <w:num w:numId="14" w16cid:durableId="49813479">
    <w:abstractNumId w:val="14"/>
  </w:num>
  <w:num w:numId="15" w16cid:durableId="1053700671">
    <w:abstractNumId w:val="11"/>
  </w:num>
  <w:num w:numId="16" w16cid:durableId="197208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19"/>
    <w:rsid w:val="00011829"/>
    <w:rsid w:val="000449D8"/>
    <w:rsid w:val="00073EA8"/>
    <w:rsid w:val="000A54C2"/>
    <w:rsid w:val="000B623C"/>
    <w:rsid w:val="000C3253"/>
    <w:rsid w:val="000C6CE7"/>
    <w:rsid w:val="000F4FEE"/>
    <w:rsid w:val="000F5BB8"/>
    <w:rsid w:val="00102C06"/>
    <w:rsid w:val="00111680"/>
    <w:rsid w:val="00112A19"/>
    <w:rsid w:val="00124118"/>
    <w:rsid w:val="00132F19"/>
    <w:rsid w:val="00134184"/>
    <w:rsid w:val="00134A4A"/>
    <w:rsid w:val="00137B00"/>
    <w:rsid w:val="00142D5B"/>
    <w:rsid w:val="00171700"/>
    <w:rsid w:val="00180829"/>
    <w:rsid w:val="001853B5"/>
    <w:rsid w:val="0019218F"/>
    <w:rsid w:val="001945EB"/>
    <w:rsid w:val="001A358F"/>
    <w:rsid w:val="001C38CF"/>
    <w:rsid w:val="002128CF"/>
    <w:rsid w:val="00216B34"/>
    <w:rsid w:val="002203E0"/>
    <w:rsid w:val="00250773"/>
    <w:rsid w:val="00252568"/>
    <w:rsid w:val="0025400D"/>
    <w:rsid w:val="00260601"/>
    <w:rsid w:val="002747CD"/>
    <w:rsid w:val="00285555"/>
    <w:rsid w:val="00292EDA"/>
    <w:rsid w:val="002938E9"/>
    <w:rsid w:val="002975EC"/>
    <w:rsid w:val="002A6853"/>
    <w:rsid w:val="002B4CC4"/>
    <w:rsid w:val="002C6043"/>
    <w:rsid w:val="002D645E"/>
    <w:rsid w:val="002D7378"/>
    <w:rsid w:val="002E65A7"/>
    <w:rsid w:val="002F6E9D"/>
    <w:rsid w:val="00304489"/>
    <w:rsid w:val="003131E6"/>
    <w:rsid w:val="00340568"/>
    <w:rsid w:val="00346CDA"/>
    <w:rsid w:val="00364599"/>
    <w:rsid w:val="003B1216"/>
    <w:rsid w:val="003B3026"/>
    <w:rsid w:val="003B7082"/>
    <w:rsid w:val="003B734A"/>
    <w:rsid w:val="003C72DC"/>
    <w:rsid w:val="003D09AB"/>
    <w:rsid w:val="003D6BA0"/>
    <w:rsid w:val="00404D92"/>
    <w:rsid w:val="00411328"/>
    <w:rsid w:val="004437D1"/>
    <w:rsid w:val="00444740"/>
    <w:rsid w:val="0045161A"/>
    <w:rsid w:val="00455ADF"/>
    <w:rsid w:val="00484BF8"/>
    <w:rsid w:val="00485B5C"/>
    <w:rsid w:val="00490AA2"/>
    <w:rsid w:val="0049461E"/>
    <w:rsid w:val="004A3B4F"/>
    <w:rsid w:val="004C1934"/>
    <w:rsid w:val="004E1AAA"/>
    <w:rsid w:val="004F4816"/>
    <w:rsid w:val="0050736C"/>
    <w:rsid w:val="00515919"/>
    <w:rsid w:val="00524F62"/>
    <w:rsid w:val="00526403"/>
    <w:rsid w:val="00526BF7"/>
    <w:rsid w:val="0055665F"/>
    <w:rsid w:val="00570F8C"/>
    <w:rsid w:val="00597448"/>
    <w:rsid w:val="005A1D7B"/>
    <w:rsid w:val="005C1EA1"/>
    <w:rsid w:val="005C2038"/>
    <w:rsid w:val="005C64D6"/>
    <w:rsid w:val="005D089A"/>
    <w:rsid w:val="005D1880"/>
    <w:rsid w:val="005E2A01"/>
    <w:rsid w:val="00600C38"/>
    <w:rsid w:val="00600D6C"/>
    <w:rsid w:val="00602325"/>
    <w:rsid w:val="006027DF"/>
    <w:rsid w:val="00624126"/>
    <w:rsid w:val="00652CA7"/>
    <w:rsid w:val="00654E50"/>
    <w:rsid w:val="00664CF5"/>
    <w:rsid w:val="00670BC0"/>
    <w:rsid w:val="006733E4"/>
    <w:rsid w:val="00675CA0"/>
    <w:rsid w:val="00681758"/>
    <w:rsid w:val="00684A9E"/>
    <w:rsid w:val="006916B9"/>
    <w:rsid w:val="00696754"/>
    <w:rsid w:val="006A1464"/>
    <w:rsid w:val="006B509A"/>
    <w:rsid w:val="006C0460"/>
    <w:rsid w:val="006C219C"/>
    <w:rsid w:val="006C2334"/>
    <w:rsid w:val="006C558E"/>
    <w:rsid w:val="006D1E29"/>
    <w:rsid w:val="006F151C"/>
    <w:rsid w:val="006F4F98"/>
    <w:rsid w:val="00710CB1"/>
    <w:rsid w:val="00714D44"/>
    <w:rsid w:val="00721191"/>
    <w:rsid w:val="00726DA1"/>
    <w:rsid w:val="007339D8"/>
    <w:rsid w:val="007366F0"/>
    <w:rsid w:val="00751B2D"/>
    <w:rsid w:val="00753523"/>
    <w:rsid w:val="00760A7B"/>
    <w:rsid w:val="00762546"/>
    <w:rsid w:val="00763383"/>
    <w:rsid w:val="00766639"/>
    <w:rsid w:val="00786AA2"/>
    <w:rsid w:val="007A16BB"/>
    <w:rsid w:val="007A18A9"/>
    <w:rsid w:val="007A1E58"/>
    <w:rsid w:val="007A3202"/>
    <w:rsid w:val="007B2CBB"/>
    <w:rsid w:val="007B7F73"/>
    <w:rsid w:val="007C4990"/>
    <w:rsid w:val="007D014C"/>
    <w:rsid w:val="007D0437"/>
    <w:rsid w:val="007D11D0"/>
    <w:rsid w:val="007E2FD0"/>
    <w:rsid w:val="007E772B"/>
    <w:rsid w:val="007F37DA"/>
    <w:rsid w:val="008023C0"/>
    <w:rsid w:val="00804BF2"/>
    <w:rsid w:val="008127A7"/>
    <w:rsid w:val="0081344F"/>
    <w:rsid w:val="00832833"/>
    <w:rsid w:val="00837507"/>
    <w:rsid w:val="00837F8C"/>
    <w:rsid w:val="008447D0"/>
    <w:rsid w:val="0085589E"/>
    <w:rsid w:val="00870C41"/>
    <w:rsid w:val="00875BB0"/>
    <w:rsid w:val="00876158"/>
    <w:rsid w:val="00884AF2"/>
    <w:rsid w:val="008961B7"/>
    <w:rsid w:val="008A51D0"/>
    <w:rsid w:val="008D29F4"/>
    <w:rsid w:val="00903D02"/>
    <w:rsid w:val="009151CD"/>
    <w:rsid w:val="00915E1F"/>
    <w:rsid w:val="00952844"/>
    <w:rsid w:val="00957C26"/>
    <w:rsid w:val="009623E1"/>
    <w:rsid w:val="0096455F"/>
    <w:rsid w:val="009720E7"/>
    <w:rsid w:val="009750E6"/>
    <w:rsid w:val="009A0538"/>
    <w:rsid w:val="009A7C66"/>
    <w:rsid w:val="009B0FE1"/>
    <w:rsid w:val="009C7410"/>
    <w:rsid w:val="009D39D0"/>
    <w:rsid w:val="009F7F81"/>
    <w:rsid w:val="00A013BC"/>
    <w:rsid w:val="00A07424"/>
    <w:rsid w:val="00A1309A"/>
    <w:rsid w:val="00A16348"/>
    <w:rsid w:val="00A2498C"/>
    <w:rsid w:val="00A511EC"/>
    <w:rsid w:val="00A51949"/>
    <w:rsid w:val="00A55B59"/>
    <w:rsid w:val="00A60592"/>
    <w:rsid w:val="00A64E37"/>
    <w:rsid w:val="00A67612"/>
    <w:rsid w:val="00A75F4D"/>
    <w:rsid w:val="00A802B9"/>
    <w:rsid w:val="00A8410C"/>
    <w:rsid w:val="00A9258C"/>
    <w:rsid w:val="00AA1877"/>
    <w:rsid w:val="00AC438D"/>
    <w:rsid w:val="00AD673B"/>
    <w:rsid w:val="00AD6A0B"/>
    <w:rsid w:val="00AD799E"/>
    <w:rsid w:val="00AE03B1"/>
    <w:rsid w:val="00AE328B"/>
    <w:rsid w:val="00AF1005"/>
    <w:rsid w:val="00AF3484"/>
    <w:rsid w:val="00AF4307"/>
    <w:rsid w:val="00AF7772"/>
    <w:rsid w:val="00B0284A"/>
    <w:rsid w:val="00B07D14"/>
    <w:rsid w:val="00B132CF"/>
    <w:rsid w:val="00B23CA2"/>
    <w:rsid w:val="00B31B8C"/>
    <w:rsid w:val="00B6312F"/>
    <w:rsid w:val="00B67887"/>
    <w:rsid w:val="00B76F2E"/>
    <w:rsid w:val="00BB6718"/>
    <w:rsid w:val="00BC2D96"/>
    <w:rsid w:val="00BE0A3C"/>
    <w:rsid w:val="00BE322E"/>
    <w:rsid w:val="00BE73D2"/>
    <w:rsid w:val="00BF2C0F"/>
    <w:rsid w:val="00BF2FDC"/>
    <w:rsid w:val="00C110C8"/>
    <w:rsid w:val="00C31092"/>
    <w:rsid w:val="00C379AE"/>
    <w:rsid w:val="00C47E74"/>
    <w:rsid w:val="00C60B0B"/>
    <w:rsid w:val="00C978A8"/>
    <w:rsid w:val="00CA236F"/>
    <w:rsid w:val="00CA4128"/>
    <w:rsid w:val="00CA7E3A"/>
    <w:rsid w:val="00CD0AD9"/>
    <w:rsid w:val="00CD2A4D"/>
    <w:rsid w:val="00CD43A0"/>
    <w:rsid w:val="00D038A1"/>
    <w:rsid w:val="00D071D6"/>
    <w:rsid w:val="00D115A5"/>
    <w:rsid w:val="00D15135"/>
    <w:rsid w:val="00D3066E"/>
    <w:rsid w:val="00D40E37"/>
    <w:rsid w:val="00D4156C"/>
    <w:rsid w:val="00D50D0A"/>
    <w:rsid w:val="00D552FE"/>
    <w:rsid w:val="00D7172B"/>
    <w:rsid w:val="00D71F91"/>
    <w:rsid w:val="00D72451"/>
    <w:rsid w:val="00D76A6A"/>
    <w:rsid w:val="00D96946"/>
    <w:rsid w:val="00DC24D0"/>
    <w:rsid w:val="00DC6740"/>
    <w:rsid w:val="00DC77DE"/>
    <w:rsid w:val="00DD2F03"/>
    <w:rsid w:val="00DE5C67"/>
    <w:rsid w:val="00DE6E9D"/>
    <w:rsid w:val="00DF0599"/>
    <w:rsid w:val="00DF4248"/>
    <w:rsid w:val="00E421ED"/>
    <w:rsid w:val="00E45D43"/>
    <w:rsid w:val="00E621CF"/>
    <w:rsid w:val="00E632D5"/>
    <w:rsid w:val="00E77E9E"/>
    <w:rsid w:val="00E8086B"/>
    <w:rsid w:val="00E85536"/>
    <w:rsid w:val="00ED4E2B"/>
    <w:rsid w:val="00ED4E7F"/>
    <w:rsid w:val="00ED67E2"/>
    <w:rsid w:val="00EE4549"/>
    <w:rsid w:val="00EF18FA"/>
    <w:rsid w:val="00F33175"/>
    <w:rsid w:val="00F360DF"/>
    <w:rsid w:val="00F36EBD"/>
    <w:rsid w:val="00F413C8"/>
    <w:rsid w:val="00F4261C"/>
    <w:rsid w:val="00F51839"/>
    <w:rsid w:val="00F53340"/>
    <w:rsid w:val="00F61394"/>
    <w:rsid w:val="00F62D4A"/>
    <w:rsid w:val="00F6427E"/>
    <w:rsid w:val="00F73741"/>
    <w:rsid w:val="00F74A9C"/>
    <w:rsid w:val="00F773A9"/>
    <w:rsid w:val="00F94C48"/>
    <w:rsid w:val="00FA1AD5"/>
    <w:rsid w:val="00FB63E0"/>
    <w:rsid w:val="00FD15C9"/>
    <w:rsid w:val="00FD1993"/>
    <w:rsid w:val="00FD7C65"/>
    <w:rsid w:val="00FE675F"/>
    <w:rsid w:val="00FE6F9B"/>
    <w:rsid w:val="00FF3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27E5A"/>
  <w15:docId w15:val="{1E0C2EC7-8A13-4559-AAB0-5751817A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D673B"/>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E2A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2A01"/>
    <w:rPr>
      <w:rFonts w:ascii="Verdana" w:hAnsi="Verdana"/>
      <w:color w:val="000000"/>
      <w:sz w:val="18"/>
      <w:szCs w:val="18"/>
    </w:rPr>
  </w:style>
  <w:style w:type="paragraph" w:styleId="Voettekst">
    <w:name w:val="footer"/>
    <w:basedOn w:val="Standaard"/>
    <w:link w:val="VoettekstChar"/>
    <w:uiPriority w:val="99"/>
    <w:unhideWhenUsed/>
    <w:rsid w:val="005E2A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2A01"/>
    <w:rPr>
      <w:rFonts w:ascii="Verdana" w:hAnsi="Verdana"/>
      <w:color w:val="000000"/>
      <w:sz w:val="18"/>
      <w:szCs w:val="18"/>
    </w:rPr>
  </w:style>
  <w:style w:type="paragraph" w:styleId="Voetnoottekst">
    <w:name w:val="footnote text"/>
    <w:basedOn w:val="Standaard"/>
    <w:link w:val="VoetnoottekstChar"/>
    <w:uiPriority w:val="99"/>
    <w:unhideWhenUsed/>
    <w:qFormat/>
    <w:rsid w:val="00710CB1"/>
    <w:pPr>
      <w:spacing w:line="240" w:lineRule="auto"/>
    </w:pPr>
    <w:rPr>
      <w:sz w:val="20"/>
      <w:szCs w:val="20"/>
    </w:rPr>
  </w:style>
  <w:style w:type="character" w:customStyle="1" w:styleId="VoetnoottekstChar">
    <w:name w:val="Voetnoottekst Char"/>
    <w:basedOn w:val="Standaardalinea-lettertype"/>
    <w:link w:val="Voetnoottekst"/>
    <w:uiPriority w:val="99"/>
    <w:rsid w:val="00710CB1"/>
    <w:rPr>
      <w:rFonts w:ascii="Verdana" w:hAnsi="Verdana"/>
      <w:color w:val="000000"/>
    </w:rPr>
  </w:style>
  <w:style w:type="character" w:styleId="Voetnootmarkering">
    <w:name w:val="footnote reference"/>
    <w:basedOn w:val="Standaardalinea-lettertype"/>
    <w:uiPriority w:val="99"/>
    <w:semiHidden/>
    <w:unhideWhenUsed/>
    <w:qFormat/>
    <w:rsid w:val="00710CB1"/>
    <w:rPr>
      <w:vertAlign w:val="superscript"/>
    </w:rPr>
  </w:style>
  <w:style w:type="character" w:styleId="Verwijzingopmerking">
    <w:name w:val="annotation reference"/>
    <w:basedOn w:val="Standaardalinea-lettertype"/>
    <w:uiPriority w:val="99"/>
    <w:semiHidden/>
    <w:unhideWhenUsed/>
    <w:rsid w:val="007366F0"/>
    <w:rPr>
      <w:sz w:val="16"/>
      <w:szCs w:val="16"/>
    </w:rPr>
  </w:style>
  <w:style w:type="paragraph" w:styleId="Tekstopmerking">
    <w:name w:val="annotation text"/>
    <w:basedOn w:val="Standaard"/>
    <w:link w:val="TekstopmerkingChar"/>
    <w:uiPriority w:val="99"/>
    <w:unhideWhenUsed/>
    <w:rsid w:val="007366F0"/>
    <w:pPr>
      <w:spacing w:line="240" w:lineRule="auto"/>
    </w:pPr>
    <w:rPr>
      <w:sz w:val="20"/>
      <w:szCs w:val="20"/>
    </w:rPr>
  </w:style>
  <w:style w:type="character" w:customStyle="1" w:styleId="TekstopmerkingChar">
    <w:name w:val="Tekst opmerking Char"/>
    <w:basedOn w:val="Standaardalinea-lettertype"/>
    <w:link w:val="Tekstopmerking"/>
    <w:uiPriority w:val="99"/>
    <w:rsid w:val="007366F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66F0"/>
    <w:rPr>
      <w:b/>
      <w:bCs/>
    </w:rPr>
  </w:style>
  <w:style w:type="character" w:customStyle="1" w:styleId="OnderwerpvanopmerkingChar">
    <w:name w:val="Onderwerp van opmerking Char"/>
    <w:basedOn w:val="TekstopmerkingChar"/>
    <w:link w:val="Onderwerpvanopmerking"/>
    <w:uiPriority w:val="99"/>
    <w:semiHidden/>
    <w:rsid w:val="007366F0"/>
    <w:rPr>
      <w:rFonts w:ascii="Verdana" w:hAnsi="Verdana"/>
      <w:b/>
      <w:bCs/>
      <w:color w:val="000000"/>
    </w:rPr>
  </w:style>
  <w:style w:type="paragraph" w:styleId="Revisie">
    <w:name w:val="Revision"/>
    <w:hidden/>
    <w:uiPriority w:val="99"/>
    <w:semiHidden/>
    <w:rsid w:val="00485B5C"/>
    <w:pPr>
      <w:autoSpaceDN/>
      <w:textAlignment w:val="auto"/>
    </w:pPr>
    <w:rPr>
      <w:rFonts w:ascii="Verdana" w:hAnsi="Verdana"/>
      <w:color w:val="000000"/>
      <w:sz w:val="18"/>
      <w:szCs w:val="18"/>
    </w:rPr>
  </w:style>
  <w:style w:type="paragraph" w:styleId="Lijstalinea">
    <w:name w:val="List Paragraph"/>
    <w:basedOn w:val="Standaard"/>
    <w:uiPriority w:val="34"/>
    <w:rsid w:val="000F4FEE"/>
    <w:pPr>
      <w:ind w:left="720"/>
      <w:contextualSpacing/>
    </w:pPr>
  </w:style>
  <w:style w:type="character" w:styleId="Onopgelostemelding">
    <w:name w:val="Unresolved Mention"/>
    <w:basedOn w:val="Standaardalinea-lettertype"/>
    <w:uiPriority w:val="99"/>
    <w:semiHidden/>
    <w:unhideWhenUsed/>
    <w:rsid w:val="0036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960">
      <w:bodyDiv w:val="1"/>
      <w:marLeft w:val="0"/>
      <w:marRight w:val="0"/>
      <w:marTop w:val="0"/>
      <w:marBottom w:val="0"/>
      <w:divBdr>
        <w:top w:val="none" w:sz="0" w:space="0" w:color="auto"/>
        <w:left w:val="none" w:sz="0" w:space="0" w:color="auto"/>
        <w:bottom w:val="none" w:sz="0" w:space="0" w:color="auto"/>
        <w:right w:val="none" w:sz="0" w:space="0" w:color="auto"/>
      </w:divBdr>
    </w:div>
    <w:div w:id="195656593">
      <w:bodyDiv w:val="1"/>
      <w:marLeft w:val="0"/>
      <w:marRight w:val="0"/>
      <w:marTop w:val="0"/>
      <w:marBottom w:val="0"/>
      <w:divBdr>
        <w:top w:val="none" w:sz="0" w:space="0" w:color="auto"/>
        <w:left w:val="none" w:sz="0" w:space="0" w:color="auto"/>
        <w:bottom w:val="none" w:sz="0" w:space="0" w:color="auto"/>
        <w:right w:val="none" w:sz="0" w:space="0" w:color="auto"/>
      </w:divBdr>
    </w:div>
    <w:div w:id="221720095">
      <w:bodyDiv w:val="1"/>
      <w:marLeft w:val="0"/>
      <w:marRight w:val="0"/>
      <w:marTop w:val="0"/>
      <w:marBottom w:val="0"/>
      <w:divBdr>
        <w:top w:val="none" w:sz="0" w:space="0" w:color="auto"/>
        <w:left w:val="none" w:sz="0" w:space="0" w:color="auto"/>
        <w:bottom w:val="none" w:sz="0" w:space="0" w:color="auto"/>
        <w:right w:val="none" w:sz="0" w:space="0" w:color="auto"/>
      </w:divBdr>
    </w:div>
    <w:div w:id="256253121">
      <w:bodyDiv w:val="1"/>
      <w:marLeft w:val="0"/>
      <w:marRight w:val="0"/>
      <w:marTop w:val="0"/>
      <w:marBottom w:val="0"/>
      <w:divBdr>
        <w:top w:val="none" w:sz="0" w:space="0" w:color="auto"/>
        <w:left w:val="none" w:sz="0" w:space="0" w:color="auto"/>
        <w:bottom w:val="none" w:sz="0" w:space="0" w:color="auto"/>
        <w:right w:val="none" w:sz="0" w:space="0" w:color="auto"/>
      </w:divBdr>
    </w:div>
    <w:div w:id="377633698">
      <w:bodyDiv w:val="1"/>
      <w:marLeft w:val="0"/>
      <w:marRight w:val="0"/>
      <w:marTop w:val="0"/>
      <w:marBottom w:val="0"/>
      <w:divBdr>
        <w:top w:val="none" w:sz="0" w:space="0" w:color="auto"/>
        <w:left w:val="none" w:sz="0" w:space="0" w:color="auto"/>
        <w:bottom w:val="none" w:sz="0" w:space="0" w:color="auto"/>
        <w:right w:val="none" w:sz="0" w:space="0" w:color="auto"/>
      </w:divBdr>
    </w:div>
    <w:div w:id="465776856">
      <w:bodyDiv w:val="1"/>
      <w:marLeft w:val="0"/>
      <w:marRight w:val="0"/>
      <w:marTop w:val="0"/>
      <w:marBottom w:val="0"/>
      <w:divBdr>
        <w:top w:val="none" w:sz="0" w:space="0" w:color="auto"/>
        <w:left w:val="none" w:sz="0" w:space="0" w:color="auto"/>
        <w:bottom w:val="none" w:sz="0" w:space="0" w:color="auto"/>
        <w:right w:val="none" w:sz="0" w:space="0" w:color="auto"/>
      </w:divBdr>
    </w:div>
    <w:div w:id="499538869">
      <w:bodyDiv w:val="1"/>
      <w:marLeft w:val="0"/>
      <w:marRight w:val="0"/>
      <w:marTop w:val="0"/>
      <w:marBottom w:val="0"/>
      <w:divBdr>
        <w:top w:val="none" w:sz="0" w:space="0" w:color="auto"/>
        <w:left w:val="none" w:sz="0" w:space="0" w:color="auto"/>
        <w:bottom w:val="none" w:sz="0" w:space="0" w:color="auto"/>
        <w:right w:val="none" w:sz="0" w:space="0" w:color="auto"/>
      </w:divBdr>
    </w:div>
    <w:div w:id="543372493">
      <w:bodyDiv w:val="1"/>
      <w:marLeft w:val="0"/>
      <w:marRight w:val="0"/>
      <w:marTop w:val="0"/>
      <w:marBottom w:val="0"/>
      <w:divBdr>
        <w:top w:val="none" w:sz="0" w:space="0" w:color="auto"/>
        <w:left w:val="none" w:sz="0" w:space="0" w:color="auto"/>
        <w:bottom w:val="none" w:sz="0" w:space="0" w:color="auto"/>
        <w:right w:val="none" w:sz="0" w:space="0" w:color="auto"/>
      </w:divBdr>
    </w:div>
    <w:div w:id="577859307">
      <w:bodyDiv w:val="1"/>
      <w:marLeft w:val="0"/>
      <w:marRight w:val="0"/>
      <w:marTop w:val="0"/>
      <w:marBottom w:val="0"/>
      <w:divBdr>
        <w:top w:val="none" w:sz="0" w:space="0" w:color="auto"/>
        <w:left w:val="none" w:sz="0" w:space="0" w:color="auto"/>
        <w:bottom w:val="none" w:sz="0" w:space="0" w:color="auto"/>
        <w:right w:val="none" w:sz="0" w:space="0" w:color="auto"/>
      </w:divBdr>
    </w:div>
    <w:div w:id="641155306">
      <w:bodyDiv w:val="1"/>
      <w:marLeft w:val="0"/>
      <w:marRight w:val="0"/>
      <w:marTop w:val="0"/>
      <w:marBottom w:val="0"/>
      <w:divBdr>
        <w:top w:val="none" w:sz="0" w:space="0" w:color="auto"/>
        <w:left w:val="none" w:sz="0" w:space="0" w:color="auto"/>
        <w:bottom w:val="none" w:sz="0" w:space="0" w:color="auto"/>
        <w:right w:val="none" w:sz="0" w:space="0" w:color="auto"/>
      </w:divBdr>
    </w:div>
    <w:div w:id="670760965">
      <w:bodyDiv w:val="1"/>
      <w:marLeft w:val="0"/>
      <w:marRight w:val="0"/>
      <w:marTop w:val="0"/>
      <w:marBottom w:val="0"/>
      <w:divBdr>
        <w:top w:val="none" w:sz="0" w:space="0" w:color="auto"/>
        <w:left w:val="none" w:sz="0" w:space="0" w:color="auto"/>
        <w:bottom w:val="none" w:sz="0" w:space="0" w:color="auto"/>
        <w:right w:val="none" w:sz="0" w:space="0" w:color="auto"/>
      </w:divBdr>
    </w:div>
    <w:div w:id="831213943">
      <w:bodyDiv w:val="1"/>
      <w:marLeft w:val="0"/>
      <w:marRight w:val="0"/>
      <w:marTop w:val="0"/>
      <w:marBottom w:val="0"/>
      <w:divBdr>
        <w:top w:val="none" w:sz="0" w:space="0" w:color="auto"/>
        <w:left w:val="none" w:sz="0" w:space="0" w:color="auto"/>
        <w:bottom w:val="none" w:sz="0" w:space="0" w:color="auto"/>
        <w:right w:val="none" w:sz="0" w:space="0" w:color="auto"/>
      </w:divBdr>
    </w:div>
    <w:div w:id="915357956">
      <w:bodyDiv w:val="1"/>
      <w:marLeft w:val="0"/>
      <w:marRight w:val="0"/>
      <w:marTop w:val="0"/>
      <w:marBottom w:val="0"/>
      <w:divBdr>
        <w:top w:val="none" w:sz="0" w:space="0" w:color="auto"/>
        <w:left w:val="none" w:sz="0" w:space="0" w:color="auto"/>
        <w:bottom w:val="none" w:sz="0" w:space="0" w:color="auto"/>
        <w:right w:val="none" w:sz="0" w:space="0" w:color="auto"/>
      </w:divBdr>
    </w:div>
    <w:div w:id="927888813">
      <w:bodyDiv w:val="1"/>
      <w:marLeft w:val="0"/>
      <w:marRight w:val="0"/>
      <w:marTop w:val="0"/>
      <w:marBottom w:val="0"/>
      <w:divBdr>
        <w:top w:val="none" w:sz="0" w:space="0" w:color="auto"/>
        <w:left w:val="none" w:sz="0" w:space="0" w:color="auto"/>
        <w:bottom w:val="none" w:sz="0" w:space="0" w:color="auto"/>
        <w:right w:val="none" w:sz="0" w:space="0" w:color="auto"/>
      </w:divBdr>
    </w:div>
    <w:div w:id="991056138">
      <w:bodyDiv w:val="1"/>
      <w:marLeft w:val="0"/>
      <w:marRight w:val="0"/>
      <w:marTop w:val="0"/>
      <w:marBottom w:val="0"/>
      <w:divBdr>
        <w:top w:val="none" w:sz="0" w:space="0" w:color="auto"/>
        <w:left w:val="none" w:sz="0" w:space="0" w:color="auto"/>
        <w:bottom w:val="none" w:sz="0" w:space="0" w:color="auto"/>
        <w:right w:val="none" w:sz="0" w:space="0" w:color="auto"/>
      </w:divBdr>
    </w:div>
    <w:div w:id="1008288904">
      <w:bodyDiv w:val="1"/>
      <w:marLeft w:val="0"/>
      <w:marRight w:val="0"/>
      <w:marTop w:val="0"/>
      <w:marBottom w:val="0"/>
      <w:divBdr>
        <w:top w:val="none" w:sz="0" w:space="0" w:color="auto"/>
        <w:left w:val="none" w:sz="0" w:space="0" w:color="auto"/>
        <w:bottom w:val="none" w:sz="0" w:space="0" w:color="auto"/>
        <w:right w:val="none" w:sz="0" w:space="0" w:color="auto"/>
      </w:divBdr>
    </w:div>
    <w:div w:id="1009520934">
      <w:bodyDiv w:val="1"/>
      <w:marLeft w:val="0"/>
      <w:marRight w:val="0"/>
      <w:marTop w:val="0"/>
      <w:marBottom w:val="0"/>
      <w:divBdr>
        <w:top w:val="none" w:sz="0" w:space="0" w:color="auto"/>
        <w:left w:val="none" w:sz="0" w:space="0" w:color="auto"/>
        <w:bottom w:val="none" w:sz="0" w:space="0" w:color="auto"/>
        <w:right w:val="none" w:sz="0" w:space="0" w:color="auto"/>
      </w:divBdr>
    </w:div>
    <w:div w:id="1105076194">
      <w:bodyDiv w:val="1"/>
      <w:marLeft w:val="0"/>
      <w:marRight w:val="0"/>
      <w:marTop w:val="0"/>
      <w:marBottom w:val="0"/>
      <w:divBdr>
        <w:top w:val="none" w:sz="0" w:space="0" w:color="auto"/>
        <w:left w:val="none" w:sz="0" w:space="0" w:color="auto"/>
        <w:bottom w:val="none" w:sz="0" w:space="0" w:color="auto"/>
        <w:right w:val="none" w:sz="0" w:space="0" w:color="auto"/>
      </w:divBdr>
    </w:div>
    <w:div w:id="1125151172">
      <w:bodyDiv w:val="1"/>
      <w:marLeft w:val="0"/>
      <w:marRight w:val="0"/>
      <w:marTop w:val="0"/>
      <w:marBottom w:val="0"/>
      <w:divBdr>
        <w:top w:val="none" w:sz="0" w:space="0" w:color="auto"/>
        <w:left w:val="none" w:sz="0" w:space="0" w:color="auto"/>
        <w:bottom w:val="none" w:sz="0" w:space="0" w:color="auto"/>
        <w:right w:val="none" w:sz="0" w:space="0" w:color="auto"/>
      </w:divBdr>
    </w:div>
    <w:div w:id="1251623830">
      <w:bodyDiv w:val="1"/>
      <w:marLeft w:val="0"/>
      <w:marRight w:val="0"/>
      <w:marTop w:val="0"/>
      <w:marBottom w:val="0"/>
      <w:divBdr>
        <w:top w:val="none" w:sz="0" w:space="0" w:color="auto"/>
        <w:left w:val="none" w:sz="0" w:space="0" w:color="auto"/>
        <w:bottom w:val="none" w:sz="0" w:space="0" w:color="auto"/>
        <w:right w:val="none" w:sz="0" w:space="0" w:color="auto"/>
      </w:divBdr>
    </w:div>
    <w:div w:id="1279069001">
      <w:bodyDiv w:val="1"/>
      <w:marLeft w:val="0"/>
      <w:marRight w:val="0"/>
      <w:marTop w:val="0"/>
      <w:marBottom w:val="0"/>
      <w:divBdr>
        <w:top w:val="none" w:sz="0" w:space="0" w:color="auto"/>
        <w:left w:val="none" w:sz="0" w:space="0" w:color="auto"/>
        <w:bottom w:val="none" w:sz="0" w:space="0" w:color="auto"/>
        <w:right w:val="none" w:sz="0" w:space="0" w:color="auto"/>
      </w:divBdr>
    </w:div>
    <w:div w:id="1500580508">
      <w:bodyDiv w:val="1"/>
      <w:marLeft w:val="0"/>
      <w:marRight w:val="0"/>
      <w:marTop w:val="0"/>
      <w:marBottom w:val="0"/>
      <w:divBdr>
        <w:top w:val="none" w:sz="0" w:space="0" w:color="auto"/>
        <w:left w:val="none" w:sz="0" w:space="0" w:color="auto"/>
        <w:bottom w:val="none" w:sz="0" w:space="0" w:color="auto"/>
        <w:right w:val="none" w:sz="0" w:space="0" w:color="auto"/>
      </w:divBdr>
    </w:div>
    <w:div w:id="1505628105">
      <w:bodyDiv w:val="1"/>
      <w:marLeft w:val="0"/>
      <w:marRight w:val="0"/>
      <w:marTop w:val="0"/>
      <w:marBottom w:val="0"/>
      <w:divBdr>
        <w:top w:val="none" w:sz="0" w:space="0" w:color="auto"/>
        <w:left w:val="none" w:sz="0" w:space="0" w:color="auto"/>
        <w:bottom w:val="none" w:sz="0" w:space="0" w:color="auto"/>
        <w:right w:val="none" w:sz="0" w:space="0" w:color="auto"/>
      </w:divBdr>
    </w:div>
    <w:div w:id="1595747720">
      <w:bodyDiv w:val="1"/>
      <w:marLeft w:val="0"/>
      <w:marRight w:val="0"/>
      <w:marTop w:val="0"/>
      <w:marBottom w:val="0"/>
      <w:divBdr>
        <w:top w:val="none" w:sz="0" w:space="0" w:color="auto"/>
        <w:left w:val="none" w:sz="0" w:space="0" w:color="auto"/>
        <w:bottom w:val="none" w:sz="0" w:space="0" w:color="auto"/>
        <w:right w:val="none" w:sz="0" w:space="0" w:color="auto"/>
      </w:divBdr>
    </w:div>
    <w:div w:id="1672021940">
      <w:bodyDiv w:val="1"/>
      <w:marLeft w:val="0"/>
      <w:marRight w:val="0"/>
      <w:marTop w:val="0"/>
      <w:marBottom w:val="0"/>
      <w:divBdr>
        <w:top w:val="none" w:sz="0" w:space="0" w:color="auto"/>
        <w:left w:val="none" w:sz="0" w:space="0" w:color="auto"/>
        <w:bottom w:val="none" w:sz="0" w:space="0" w:color="auto"/>
        <w:right w:val="none" w:sz="0" w:space="0" w:color="auto"/>
      </w:divBdr>
    </w:div>
    <w:div w:id="1786273098">
      <w:bodyDiv w:val="1"/>
      <w:marLeft w:val="0"/>
      <w:marRight w:val="0"/>
      <w:marTop w:val="0"/>
      <w:marBottom w:val="0"/>
      <w:divBdr>
        <w:top w:val="none" w:sz="0" w:space="0" w:color="auto"/>
        <w:left w:val="none" w:sz="0" w:space="0" w:color="auto"/>
        <w:bottom w:val="none" w:sz="0" w:space="0" w:color="auto"/>
        <w:right w:val="none" w:sz="0" w:space="0" w:color="auto"/>
      </w:divBdr>
    </w:div>
    <w:div w:id="1792629352">
      <w:bodyDiv w:val="1"/>
      <w:marLeft w:val="0"/>
      <w:marRight w:val="0"/>
      <w:marTop w:val="0"/>
      <w:marBottom w:val="0"/>
      <w:divBdr>
        <w:top w:val="none" w:sz="0" w:space="0" w:color="auto"/>
        <w:left w:val="none" w:sz="0" w:space="0" w:color="auto"/>
        <w:bottom w:val="none" w:sz="0" w:space="0" w:color="auto"/>
        <w:right w:val="none" w:sz="0" w:space="0" w:color="auto"/>
      </w:divBdr>
    </w:div>
    <w:div w:id="1819230035">
      <w:bodyDiv w:val="1"/>
      <w:marLeft w:val="0"/>
      <w:marRight w:val="0"/>
      <w:marTop w:val="0"/>
      <w:marBottom w:val="0"/>
      <w:divBdr>
        <w:top w:val="none" w:sz="0" w:space="0" w:color="auto"/>
        <w:left w:val="none" w:sz="0" w:space="0" w:color="auto"/>
        <w:bottom w:val="none" w:sz="0" w:space="0" w:color="auto"/>
        <w:right w:val="none" w:sz="0" w:space="0" w:color="auto"/>
      </w:divBdr>
    </w:div>
    <w:div w:id="1887183789">
      <w:bodyDiv w:val="1"/>
      <w:marLeft w:val="0"/>
      <w:marRight w:val="0"/>
      <w:marTop w:val="0"/>
      <w:marBottom w:val="0"/>
      <w:divBdr>
        <w:top w:val="none" w:sz="0" w:space="0" w:color="auto"/>
        <w:left w:val="none" w:sz="0" w:space="0" w:color="auto"/>
        <w:bottom w:val="none" w:sz="0" w:space="0" w:color="auto"/>
        <w:right w:val="none" w:sz="0" w:space="0" w:color="auto"/>
      </w:divBdr>
    </w:div>
    <w:div w:id="1917082976">
      <w:bodyDiv w:val="1"/>
      <w:marLeft w:val="0"/>
      <w:marRight w:val="0"/>
      <w:marTop w:val="0"/>
      <w:marBottom w:val="0"/>
      <w:divBdr>
        <w:top w:val="none" w:sz="0" w:space="0" w:color="auto"/>
        <w:left w:val="none" w:sz="0" w:space="0" w:color="auto"/>
        <w:bottom w:val="none" w:sz="0" w:space="0" w:color="auto"/>
        <w:right w:val="none" w:sz="0" w:space="0" w:color="auto"/>
      </w:divBdr>
    </w:div>
    <w:div w:id="1956983098">
      <w:bodyDiv w:val="1"/>
      <w:marLeft w:val="0"/>
      <w:marRight w:val="0"/>
      <w:marTop w:val="0"/>
      <w:marBottom w:val="0"/>
      <w:divBdr>
        <w:top w:val="none" w:sz="0" w:space="0" w:color="auto"/>
        <w:left w:val="none" w:sz="0" w:space="0" w:color="auto"/>
        <w:bottom w:val="none" w:sz="0" w:space="0" w:color="auto"/>
        <w:right w:val="none" w:sz="0" w:space="0" w:color="auto"/>
      </w:divBdr>
    </w:div>
    <w:div w:id="1979188513">
      <w:bodyDiv w:val="1"/>
      <w:marLeft w:val="0"/>
      <w:marRight w:val="0"/>
      <w:marTop w:val="0"/>
      <w:marBottom w:val="0"/>
      <w:divBdr>
        <w:top w:val="none" w:sz="0" w:space="0" w:color="auto"/>
        <w:left w:val="none" w:sz="0" w:space="0" w:color="auto"/>
        <w:bottom w:val="none" w:sz="0" w:space="0" w:color="auto"/>
        <w:right w:val="none" w:sz="0" w:space="0" w:color="auto"/>
      </w:divBdr>
    </w:div>
    <w:div w:id="2133865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30"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3086</ap:Words>
  <ap:Characters>16976</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Brief aan Eerste of Tweede Kamer - Voortgang herstel box 3</vt:lpstr>
    </vt:vector>
  </ap:TitlesOfParts>
  <ap:LinksUpToDate>false</ap:LinksUpToDate>
  <ap:CharactersWithSpaces>20022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2026-06-23T08:23:00.0000000Z</lastPrinted>
  <dcterms:created xsi:type="dcterms:W3CDTF">2026-06-30T08:34:00.0000000Z</dcterms:created>
  <dcterms:modified xsi:type="dcterms:W3CDTF">2026-06-30T08:34:00.0000000Z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 herstel box 3</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2026-0000272782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 herstel box 3</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2026-05-13T12:59:58Z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8b9751cb-34eb-4b90-ae05-1e384c05c7bf</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