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BF4CB0" w:rsidR="00E35991" w:rsidTr="002731F1" w14:paraId="223DD8D7" w14:textId="77777777">
        <w:trPr>
          <w:trHeight w:val="1514"/>
        </w:trPr>
        <w:tc>
          <w:tcPr>
            <w:tcW w:w="7522" w:type="dxa"/>
            <w:tcBorders>
              <w:top w:val="nil"/>
              <w:left w:val="nil"/>
              <w:bottom w:val="nil"/>
              <w:right w:val="nil"/>
            </w:tcBorders>
            <w:tcMar>
              <w:left w:w="0" w:type="dxa"/>
              <w:right w:w="0" w:type="dxa"/>
            </w:tcMar>
          </w:tcPr>
          <w:p w:rsidRPr="00BF4CB0" w:rsidR="00E35991" w:rsidP="00E35991" w:rsidRDefault="00E35991" w14:paraId="22BB0611" w14:textId="77777777">
            <w:r w:rsidRPr="00BF4CB0">
              <w:t>De voorzitter van de Tweede Kamer der Staten-Generaal</w:t>
            </w:r>
          </w:p>
          <w:p w:rsidRPr="00BF4CB0" w:rsidR="00E35991" w:rsidP="00E35991" w:rsidRDefault="00E35991" w14:paraId="7BE47823" w14:textId="77777777">
            <w:r w:rsidRPr="00BF4CB0">
              <w:t>Postbus 20018</w:t>
            </w:r>
          </w:p>
          <w:p w:rsidRPr="00BF4CB0" w:rsidR="00E35991" w:rsidP="00E35991" w:rsidRDefault="00E35991" w14:paraId="06E1DF3D" w14:textId="77777777">
            <w:r w:rsidRPr="00BF4CB0">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BF4CB0" w:rsidR="00E35991" w:rsidTr="002731F1" w14:paraId="5D6353EA" w14:textId="77777777">
        <w:trPr>
          <w:trHeight w:val="289" w:hRule="exact"/>
        </w:trPr>
        <w:tc>
          <w:tcPr>
            <w:tcW w:w="929" w:type="dxa"/>
          </w:tcPr>
          <w:p w:rsidRPr="00BF4CB0" w:rsidR="00E35991" w:rsidP="00E35991" w:rsidRDefault="00E35991" w14:paraId="39B473FE" w14:textId="77777777">
            <w:pPr>
              <w:rPr>
                <w:lang w:eastAsia="en-US"/>
              </w:rPr>
            </w:pPr>
            <w:r w:rsidRPr="00BF4CB0">
              <w:rPr>
                <w:lang w:eastAsia="en-US"/>
              </w:rPr>
              <w:t>Datum</w:t>
            </w:r>
          </w:p>
        </w:tc>
        <w:tc>
          <w:tcPr>
            <w:tcW w:w="6581" w:type="dxa"/>
          </w:tcPr>
          <w:p w:rsidRPr="00BF4CB0" w:rsidR="00E35991" w:rsidP="00E35991" w:rsidRDefault="008B4172" w14:paraId="5AD2A07A" w14:textId="212ABECF">
            <w:pPr>
              <w:tabs>
                <w:tab w:val="left" w:pos="1822"/>
              </w:tabs>
              <w:rPr>
                <w:lang w:eastAsia="en-US"/>
              </w:rPr>
            </w:pPr>
            <w:r>
              <w:rPr>
                <w:lang w:eastAsia="en-US"/>
              </w:rPr>
              <w:t>29 juni 2026</w:t>
            </w:r>
          </w:p>
        </w:tc>
      </w:tr>
      <w:tr w:rsidRPr="00BF4CB0" w:rsidR="00E35991" w:rsidTr="002731F1" w14:paraId="363ECE75" w14:textId="77777777">
        <w:trPr>
          <w:trHeight w:val="368"/>
        </w:trPr>
        <w:tc>
          <w:tcPr>
            <w:tcW w:w="929" w:type="dxa"/>
          </w:tcPr>
          <w:p w:rsidRPr="00BF4CB0" w:rsidR="00E35991" w:rsidP="00E35991" w:rsidRDefault="00E35991" w14:paraId="469731EB" w14:textId="77777777">
            <w:pPr>
              <w:rPr>
                <w:lang w:eastAsia="en-US"/>
              </w:rPr>
            </w:pPr>
            <w:r w:rsidRPr="00BF4CB0">
              <w:rPr>
                <w:lang w:eastAsia="en-US"/>
              </w:rPr>
              <w:t>Betreft</w:t>
            </w:r>
          </w:p>
        </w:tc>
        <w:tc>
          <w:tcPr>
            <w:tcW w:w="6581" w:type="dxa"/>
          </w:tcPr>
          <w:p w:rsidRPr="00BF4CB0" w:rsidR="00E35991" w:rsidP="00E35991" w:rsidRDefault="00E35991" w14:paraId="3162CC27" w14:textId="77777777">
            <w:pPr>
              <w:rPr>
                <w:lang w:eastAsia="en-US"/>
              </w:rPr>
            </w:pPr>
            <w:r w:rsidRPr="00BF4CB0">
              <w:rPr>
                <w:lang w:eastAsia="en-US"/>
              </w:rPr>
              <w:t xml:space="preserve">Afronding en evaluatie subsidieregeling Incidentele </w:t>
            </w:r>
            <w:r>
              <w:rPr>
                <w:lang w:eastAsia="en-US"/>
              </w:rPr>
              <w:t>M</w:t>
            </w:r>
            <w:r w:rsidRPr="00BF4CB0">
              <w:rPr>
                <w:lang w:eastAsia="en-US"/>
              </w:rPr>
              <w:t xml:space="preserve">iddelen </w:t>
            </w:r>
            <w:r>
              <w:rPr>
                <w:lang w:eastAsia="en-US"/>
              </w:rPr>
              <w:t>L</w:t>
            </w:r>
            <w:r w:rsidRPr="00BF4CB0">
              <w:rPr>
                <w:lang w:eastAsia="en-US"/>
              </w:rPr>
              <w:t xml:space="preserve">eerlingendaling </w:t>
            </w:r>
            <w:r>
              <w:rPr>
                <w:lang w:eastAsia="en-US"/>
              </w:rPr>
              <w:t>vo</w:t>
            </w:r>
            <w:r w:rsidRPr="00BF4CB0">
              <w:rPr>
                <w:lang w:eastAsia="en-US"/>
              </w:rPr>
              <w:t xml:space="preserve"> (IML)</w:t>
            </w:r>
          </w:p>
        </w:tc>
      </w:tr>
    </w:tbl>
    <w:p w:rsidRPr="00BF4CB0" w:rsidR="00E35991" w:rsidP="00E35991" w:rsidRDefault="00E35991" w14:paraId="228333A0" w14:textId="77777777">
      <w:r w:rsidRPr="00BF4CB0">
        <w:t>Leerlingendaling treft niet alle regio</w:t>
      </w:r>
      <w:r>
        <w:t>’</w:t>
      </w:r>
      <w:r w:rsidRPr="00BF4CB0">
        <w:t>s in gelijke mate. De demografische verschillen tussen regio</w:t>
      </w:r>
      <w:r>
        <w:t>’</w:t>
      </w:r>
      <w:r w:rsidRPr="00BF4CB0">
        <w:t>s zijn groot: de ene regio</w:t>
      </w:r>
      <w:r>
        <w:t xml:space="preserve"> heeft</w:t>
      </w:r>
      <w:r w:rsidRPr="00BF4CB0">
        <w:t xml:space="preserve"> al jaren te maken met structurele krimp,</w:t>
      </w:r>
      <w:r>
        <w:t xml:space="preserve"> terwijl in andere regio’s het aantal schoolgaande kinderen juist groeit. Bij krimp kunnen de beschikbaarheid en bereikbaarheid van het onderwijsaanbod onder druk komen te staan. </w:t>
      </w:r>
      <w:r w:rsidRPr="002D513E">
        <w:t>Het is dan ook essentieel dat bestuurders in een regio gezamenlijk</w:t>
      </w:r>
      <w:r>
        <w:t xml:space="preserve"> nadenken over en werken aan hoe goed onderwijs beschikbaar en bereikbaar blijft</w:t>
      </w:r>
      <w:r w:rsidRPr="002D513E">
        <w:t>, vanuit hun gedeelde verantwoordelijkheid voor alle leerlingen in de regio.</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02E94" w:rsidR="00E35991" w:rsidTr="002731F1" w14:paraId="2E7544DD" w14:textId="77777777">
        <w:tc>
          <w:tcPr>
            <w:tcW w:w="2160" w:type="dxa"/>
          </w:tcPr>
          <w:p w:rsidRPr="00BF4CB0" w:rsidR="00E35991" w:rsidP="00E35991" w:rsidRDefault="00E35991" w14:paraId="1E6041CA" w14:textId="77777777">
            <w:pPr>
              <w:pStyle w:val="Colofonkop"/>
              <w:framePr w:hSpace="0" w:wrap="auto" w:hAnchor="text" w:vAnchor="margin" w:xAlign="left" w:yAlign="inline"/>
            </w:pPr>
            <w:r w:rsidRPr="00BF4CB0">
              <w:t>Onderwijsprestaties en Voortgezet Onderwijs</w:t>
            </w:r>
          </w:p>
          <w:p w:rsidRPr="00BF4CB0" w:rsidR="00E35991" w:rsidP="00E35991" w:rsidRDefault="00E35991" w14:paraId="6DC8B2DA" w14:textId="77777777">
            <w:pPr>
              <w:pStyle w:val="Huisstijl-Gegeven"/>
              <w:spacing w:after="0"/>
            </w:pPr>
            <w:r w:rsidRPr="00BF4CB0">
              <w:t xml:space="preserve">Rijnstraat 50 </w:t>
            </w:r>
          </w:p>
          <w:p w:rsidRPr="00BF4CB0" w:rsidR="00E35991" w:rsidP="00E35991" w:rsidRDefault="00E35991" w14:paraId="4782588B" w14:textId="77777777">
            <w:pPr>
              <w:pStyle w:val="Huisstijl-Gegeven"/>
              <w:spacing w:after="0"/>
            </w:pPr>
            <w:r w:rsidRPr="00BF4CB0">
              <w:t>Den Haag</w:t>
            </w:r>
          </w:p>
          <w:p w:rsidRPr="00BF4CB0" w:rsidR="00E35991" w:rsidP="00E35991" w:rsidRDefault="00E35991" w14:paraId="6E8BB65E" w14:textId="77777777">
            <w:pPr>
              <w:pStyle w:val="Huisstijl-Gegeven"/>
              <w:spacing w:after="0"/>
            </w:pPr>
            <w:r w:rsidRPr="00BF4CB0">
              <w:t>Postbus 16375</w:t>
            </w:r>
          </w:p>
          <w:p w:rsidRPr="00BF4CB0" w:rsidR="00E35991" w:rsidP="00E35991" w:rsidRDefault="00E35991" w14:paraId="00E0273E" w14:textId="77777777">
            <w:pPr>
              <w:pStyle w:val="Huisstijl-Gegeven"/>
              <w:spacing w:after="0"/>
            </w:pPr>
            <w:r w:rsidRPr="00BF4CB0">
              <w:t>2500 BJ Den Haag</w:t>
            </w:r>
          </w:p>
          <w:p w:rsidRPr="009859A2" w:rsidR="00E35991" w:rsidP="00E35991" w:rsidRDefault="00E35991" w14:paraId="324E2900" w14:textId="77777777">
            <w:pPr>
              <w:pStyle w:val="Huisstijl-Gegeven"/>
              <w:spacing w:after="90"/>
            </w:pPr>
            <w:r w:rsidRPr="009859A2">
              <w:t>www.rijksoverheid.nl</w:t>
            </w:r>
          </w:p>
          <w:p w:rsidRPr="009859A2" w:rsidR="00E35991" w:rsidP="00E35991" w:rsidRDefault="00E35991" w14:paraId="7B87B6AB" w14:textId="77777777">
            <w:pPr>
              <w:spacing w:line="180" w:lineRule="exact"/>
              <w:rPr>
                <w:b/>
                <w:sz w:val="13"/>
                <w:szCs w:val="13"/>
              </w:rPr>
            </w:pPr>
            <w:r w:rsidRPr="009859A2">
              <w:rPr>
                <w:b/>
                <w:sz w:val="13"/>
                <w:szCs w:val="13"/>
              </w:rPr>
              <w:t>Contactpersoon</w:t>
            </w:r>
          </w:p>
          <w:p w:rsidRPr="0085498C" w:rsidR="00E35991" w:rsidP="00E35991" w:rsidRDefault="00E35991" w14:paraId="2077C961" w14:textId="70D2C05B">
            <w:pPr>
              <w:spacing w:after="90" w:line="180" w:lineRule="exact"/>
              <w:rPr>
                <w:sz w:val="13"/>
                <w:szCs w:val="13"/>
              </w:rPr>
            </w:pPr>
          </w:p>
        </w:tc>
      </w:tr>
      <w:tr w:rsidRPr="00F02E94" w:rsidR="00E35991" w:rsidTr="002731F1" w14:paraId="137F9FF8" w14:textId="77777777">
        <w:trPr>
          <w:trHeight w:val="200" w:hRule="exact"/>
        </w:trPr>
        <w:tc>
          <w:tcPr>
            <w:tcW w:w="2160" w:type="dxa"/>
          </w:tcPr>
          <w:p w:rsidRPr="009859A2" w:rsidR="00E35991" w:rsidP="00E35991" w:rsidRDefault="00E35991" w14:paraId="63DF95B8" w14:textId="77777777">
            <w:pPr>
              <w:spacing w:after="90" w:line="180" w:lineRule="exact"/>
              <w:rPr>
                <w:sz w:val="13"/>
                <w:szCs w:val="13"/>
              </w:rPr>
            </w:pPr>
          </w:p>
        </w:tc>
      </w:tr>
      <w:tr w:rsidRPr="00BF4CB0" w:rsidR="00E35991" w:rsidTr="002731F1" w14:paraId="7E55297D" w14:textId="77777777">
        <w:trPr>
          <w:trHeight w:val="450"/>
        </w:trPr>
        <w:tc>
          <w:tcPr>
            <w:tcW w:w="2160" w:type="dxa"/>
          </w:tcPr>
          <w:p w:rsidRPr="00BF4CB0" w:rsidR="00E35991" w:rsidP="00E35991" w:rsidRDefault="00E35991" w14:paraId="2228A4B1" w14:textId="77777777">
            <w:pPr>
              <w:spacing w:line="180" w:lineRule="exact"/>
              <w:rPr>
                <w:b/>
                <w:sz w:val="13"/>
                <w:szCs w:val="13"/>
              </w:rPr>
            </w:pPr>
            <w:r w:rsidRPr="00BF4CB0">
              <w:rPr>
                <w:b/>
                <w:sz w:val="13"/>
                <w:szCs w:val="13"/>
              </w:rPr>
              <w:t>Onze referentie</w:t>
            </w:r>
          </w:p>
          <w:p w:rsidRPr="00BF4CB0" w:rsidR="00E35991" w:rsidP="00E35991" w:rsidRDefault="00E35991" w14:paraId="0C42EB9A" w14:textId="77777777">
            <w:pPr>
              <w:spacing w:line="180" w:lineRule="exact"/>
              <w:rPr>
                <w:sz w:val="13"/>
                <w:szCs w:val="13"/>
              </w:rPr>
            </w:pPr>
            <w:r w:rsidRPr="00BF4CB0">
              <w:rPr>
                <w:sz w:val="13"/>
                <w:szCs w:val="13"/>
              </w:rPr>
              <w:t>63924607</w:t>
            </w:r>
          </w:p>
        </w:tc>
      </w:tr>
      <w:tr w:rsidRPr="00BF4CB0" w:rsidR="00E35991" w:rsidTr="002731F1" w14:paraId="53E86943" w14:textId="77777777">
        <w:trPr>
          <w:trHeight w:val="113"/>
        </w:trPr>
        <w:tc>
          <w:tcPr>
            <w:tcW w:w="2160" w:type="dxa"/>
          </w:tcPr>
          <w:p w:rsidRPr="00BF4CB0" w:rsidR="00E35991" w:rsidP="00E35991" w:rsidRDefault="00E35991" w14:paraId="2425A99B" w14:textId="77777777">
            <w:pPr>
              <w:tabs>
                <w:tab w:val="center" w:pos="1080"/>
              </w:tabs>
              <w:spacing w:line="180" w:lineRule="exact"/>
              <w:rPr>
                <w:sz w:val="13"/>
                <w:szCs w:val="13"/>
              </w:rPr>
            </w:pPr>
            <w:r w:rsidRPr="00BF4CB0">
              <w:rPr>
                <w:b/>
                <w:sz w:val="13"/>
                <w:szCs w:val="13"/>
              </w:rPr>
              <w:t>Bijlagen</w:t>
            </w:r>
          </w:p>
        </w:tc>
      </w:tr>
      <w:tr w:rsidRPr="00BF4CB0" w:rsidR="00E35991" w:rsidTr="002731F1" w14:paraId="27D708E4" w14:textId="77777777">
        <w:trPr>
          <w:trHeight w:val="113"/>
        </w:trPr>
        <w:tc>
          <w:tcPr>
            <w:tcW w:w="2160" w:type="dxa"/>
          </w:tcPr>
          <w:p w:rsidRPr="00BF4CB0" w:rsidR="00E35991" w:rsidP="00E35991" w:rsidRDefault="00E35991" w14:paraId="161B13E6" w14:textId="77777777">
            <w:pPr>
              <w:spacing w:after="90" w:line="180" w:lineRule="exact"/>
              <w:rPr>
                <w:sz w:val="13"/>
              </w:rPr>
            </w:pPr>
            <w:r w:rsidRPr="00BF4CB0">
              <w:rPr>
                <w:sz w:val="13"/>
              </w:rPr>
              <w:t>1</w:t>
            </w:r>
          </w:p>
        </w:tc>
      </w:tr>
    </w:tbl>
    <w:p w:rsidRPr="00BF4CB0" w:rsidR="00E35991" w:rsidP="00E35991" w:rsidRDefault="00E35991" w14:paraId="7F7CDE5A" w14:textId="77777777"/>
    <w:p w:rsidR="00E35991" w:rsidP="00E35991" w:rsidRDefault="00E35991" w14:paraId="746B267E" w14:textId="77777777">
      <w:r w:rsidRPr="00A30889">
        <w:t>Om scholen en besturen</w:t>
      </w:r>
      <w:r>
        <w:t xml:space="preserve"> </w:t>
      </w:r>
      <w:r w:rsidRPr="00A30889">
        <w:t xml:space="preserve">te ondersteunen bij het regionaal en gezamenlijk oppakken van deze uitdaging, is via de subsidieregeling Incidentele </w:t>
      </w:r>
      <w:r>
        <w:t>M</w:t>
      </w:r>
      <w:r w:rsidRPr="00A30889">
        <w:t xml:space="preserve">iddelen </w:t>
      </w:r>
      <w:r>
        <w:t>L</w:t>
      </w:r>
      <w:r w:rsidRPr="00A30889">
        <w:t>eerlingendaling vo</w:t>
      </w:r>
      <w:r>
        <w:t>ortgezet onderwijs (vo)</w:t>
      </w:r>
      <w:r w:rsidRPr="00A30889">
        <w:t xml:space="preserve"> (</w:t>
      </w:r>
      <w:r>
        <w:t xml:space="preserve">hierna: </w:t>
      </w:r>
      <w:r w:rsidRPr="00A30889">
        <w:t>IML) voor de periode 2021-2025 in totaal €</w:t>
      </w:r>
      <w:r>
        <w:t> </w:t>
      </w:r>
      <w:r w:rsidRPr="00A30889">
        <w:t>22,7 miljoen beschikbaar gesteld voor veertig regio</w:t>
      </w:r>
      <w:r>
        <w:t>’</w:t>
      </w:r>
      <w:r w:rsidRPr="00A30889">
        <w:t xml:space="preserve">s. </w:t>
      </w:r>
      <w:r w:rsidRPr="002D513E">
        <w:t xml:space="preserve">Onderzoeksbureaus Oberon en KBA hebben de uitvoering van de subsidieregeling doorgaand gemonitord en op </w:t>
      </w:r>
      <w:r>
        <w:t xml:space="preserve">12 mei 2026 </w:t>
      </w:r>
      <w:r w:rsidRPr="002D513E">
        <w:t>hun eindrapportage opgeleverd</w:t>
      </w:r>
      <w:r w:rsidRPr="00A30889">
        <w:t xml:space="preserve">: </w:t>
      </w:r>
      <w:r w:rsidRPr="00A30889">
        <w:rPr>
          <w:i/>
          <w:iCs/>
        </w:rPr>
        <w:t>Klaar voor de toekomst? Onderzoek naar de subsidieregeling Incidentele Middelen Leerlingendaling</w:t>
      </w:r>
      <w:r w:rsidRPr="00A30889">
        <w:t xml:space="preserve">. </w:t>
      </w:r>
      <w:r>
        <w:t>Zoals toegezegd bied ik uw Kamer hierbij het onderzoek aan en geef ik een reactie op de aanbevelingen. Ook schets ik hoe de verdere inzet vanuit mijn ministerie op het onderwerp leerlingendaling vo eruitziet.</w:t>
      </w:r>
    </w:p>
    <w:p w:rsidRPr="00BF4CB0" w:rsidR="00E35991" w:rsidP="00E35991" w:rsidRDefault="00E35991" w14:paraId="4DB09D18" w14:textId="77777777"/>
    <w:p w:rsidRPr="00BF4CB0" w:rsidR="00E35991" w:rsidP="00E35991" w:rsidRDefault="00E35991" w14:paraId="0B877C29" w14:textId="77777777">
      <w:r>
        <w:rPr>
          <w:b/>
          <w:bCs/>
        </w:rPr>
        <w:t>Stimuleren goed onderwijsaanbod</w:t>
      </w:r>
    </w:p>
    <w:p w:rsidRPr="00BF4CB0" w:rsidR="00E35991" w:rsidP="00E35991" w:rsidRDefault="00E35991" w14:paraId="67B2ED96" w14:textId="77777777">
      <w:r>
        <w:t>De</w:t>
      </w:r>
      <w:r w:rsidRPr="00BF4CB0">
        <w:t xml:space="preserve"> rapport</w:t>
      </w:r>
      <w:r>
        <w:t>age</w:t>
      </w:r>
      <w:r w:rsidRPr="00BF4CB0">
        <w:t xml:space="preserve"> </w:t>
      </w:r>
      <w:r>
        <w:t>beschrijft</w:t>
      </w:r>
      <w:r w:rsidRPr="00BF4CB0">
        <w:t xml:space="preserve"> vier categorieën maatregelen die regio’s hebben ingezet: governance en samenwerking (waaronder fusies en juridische samenvoeging), onderwijsinhoudelijke samenwerking (zoals gedeelde keuzevakken en doorlopende leerroutes), personeel en organisatie (zoals het samenvoegen van ondersteunende diensten) en huisvesting en bereikbaarheid (veelal in samenwerking met gemeenten).</w:t>
      </w:r>
      <w:r>
        <w:t xml:space="preserve"> Het belangrijkste resultaat van de diverse maatregelen is het kunnen blijven ondersteunen van </w:t>
      </w:r>
      <w:r w:rsidRPr="00BF4CB0">
        <w:t>toegankelijk, bereikbaar en kwalitatief goed onderwijs. Concre</w:t>
      </w:r>
      <w:r>
        <w:t xml:space="preserve">te opbrengsten daarbij zijn minder </w:t>
      </w:r>
      <w:r w:rsidRPr="00BF4CB0">
        <w:t>versnippering van leerlingen en opleidingen, behoud van kwetsbare vakken en profielen, stabiele leerling</w:t>
      </w:r>
      <w:r>
        <w:t>en</w:t>
      </w:r>
      <w:r w:rsidRPr="00BF4CB0">
        <w:t>stromen en het voorkomen van een neerwaartse spiraal</w:t>
      </w:r>
      <w:r>
        <w:t xml:space="preserve"> van krimp</w:t>
      </w:r>
      <w:r w:rsidRPr="00BF4CB0">
        <w:t xml:space="preserve">. Oberon en KBA stellen dat </w:t>
      </w:r>
      <w:r>
        <w:t xml:space="preserve">de </w:t>
      </w:r>
      <w:r w:rsidRPr="00BF4CB0">
        <w:t xml:space="preserve">krimp zonder de IML-middelen in veel regio’s waarschijnlijk had geleid tot ongecoördineerde verschraling. De subsidie </w:t>
      </w:r>
      <w:r>
        <w:t>bood de regio’s</w:t>
      </w:r>
      <w:r w:rsidRPr="00BF4CB0">
        <w:t xml:space="preserve"> tijd, procesbegeleiding en een veilige ruimte om </w:t>
      </w:r>
      <w:r>
        <w:t xml:space="preserve">de </w:t>
      </w:r>
      <w:r w:rsidRPr="00BF4CB0">
        <w:t>krimp proactief en regionaal op te vangen.</w:t>
      </w:r>
      <w:r>
        <w:t xml:space="preserve"> Ik ben blij dat we met deze subsidie hebben </w:t>
      </w:r>
      <w:r>
        <w:lastRenderedPageBreak/>
        <w:t>kunnen stimuleren dat samenwerking leidt tot behoud van goed onderwijsaanbod, ondanks afname van leerlingaantallen.</w:t>
      </w:r>
    </w:p>
    <w:p w:rsidR="00E35991" w:rsidP="00E35991" w:rsidRDefault="00E35991" w14:paraId="56517247" w14:textId="77777777"/>
    <w:p w:rsidR="00E35991" w:rsidP="00E35991" w:rsidRDefault="00E35991" w14:paraId="0D99DF05" w14:textId="77777777">
      <w:r>
        <w:t>Om het krimpvraagstuk in de subsidieregio’s ook in de toekomst het hoofd te kunnen bieden is duurzame borging essentieel. Sommige regio’s hebben deze borging stevig verankerd via formele fusies, terwijl het elders projectmatig of persoonsafhankelijk blijft. Uit het rapport blijkt dat de</w:t>
      </w:r>
      <w:r w:rsidRPr="00BF4CB0">
        <w:t xml:space="preserve"> kwaliteit van samenwerking en bestuurlijk leiderschap</w:t>
      </w:r>
      <w:r>
        <w:t xml:space="preserve"> de mate van duurzame borging beïnvloeden en dat deze</w:t>
      </w:r>
      <w:r w:rsidRPr="00BF4CB0">
        <w:t xml:space="preserve"> verschil</w:t>
      </w:r>
      <w:r>
        <w:t>len</w:t>
      </w:r>
      <w:r w:rsidRPr="00BF4CB0">
        <w:t xml:space="preserve"> per regio. Succesfactoren zijn bestuurlijke stabiliteit, onderling vertrouwen, inhoudelijke focus en professionele procesregie. Ook een coöperatieve gemeente en </w:t>
      </w:r>
      <w:r>
        <w:t>het benadrukken van het gezamenlijke belang</w:t>
      </w:r>
      <w:r w:rsidRPr="00BF4CB0">
        <w:t xml:space="preserve"> </w:t>
      </w:r>
      <w:r>
        <w:t>voor</w:t>
      </w:r>
      <w:r w:rsidRPr="00BF4CB0">
        <w:t xml:space="preserve"> personeel, ouders en omgeving spelen een rol. </w:t>
      </w:r>
    </w:p>
    <w:p w:rsidRPr="00BF4CB0" w:rsidR="00E35991" w:rsidP="00E35991" w:rsidRDefault="00E35991" w14:paraId="630D7265" w14:textId="77777777"/>
    <w:p w:rsidR="00E35991" w:rsidP="00E35991" w:rsidRDefault="00E35991" w14:paraId="15EA73A5" w14:textId="77777777">
      <w:r>
        <w:t>De rapportage concludeert</w:t>
      </w:r>
      <w:r w:rsidRPr="00BF4CB0">
        <w:t xml:space="preserve"> </w:t>
      </w:r>
      <w:r>
        <w:t xml:space="preserve">dat de </w:t>
      </w:r>
      <w:r w:rsidRPr="00BF4CB0">
        <w:t xml:space="preserve">einddoelen </w:t>
      </w:r>
      <w:r>
        <w:t>die met de subsidie beoogd werden ten dele</w:t>
      </w:r>
      <w:r w:rsidRPr="00BF4CB0">
        <w:t xml:space="preserve"> gerealiseerd</w:t>
      </w:r>
      <w:r>
        <w:t xml:space="preserve"> zijn</w:t>
      </w:r>
      <w:r w:rsidRPr="00BF4CB0">
        <w:t xml:space="preserve">. </w:t>
      </w:r>
      <w:r>
        <w:t xml:space="preserve">Een neerwaartse spiraal is voorkomen. Tegelijkertijd vergt de borging aandacht. </w:t>
      </w:r>
      <w:r w:rsidRPr="00BF4CB0">
        <w:t>Stevige keuzes zijn vastgelegd in fusiebesluiten, integrale huisvestingsplannen en bestuursakkoorden</w:t>
      </w:r>
      <w:r>
        <w:t>, maar</w:t>
      </w:r>
      <w:r w:rsidRPr="00BF4CB0">
        <w:t xml:space="preserve"> </w:t>
      </w:r>
      <w:r>
        <w:t>v</w:t>
      </w:r>
      <w:r w:rsidRPr="00BF4CB0">
        <w:t xml:space="preserve">olledige implementatie vergt </w:t>
      </w:r>
      <w:r>
        <w:t xml:space="preserve">volgens de onderzoekers </w:t>
      </w:r>
      <w:r w:rsidRPr="00BF4CB0">
        <w:t>een langere tijdshorizo</w:t>
      </w:r>
      <w:r>
        <w:t>n waarin deze ingezette bestuurlijke trajecten worden geformaliseerd. Ook op het gebied van vernieuwingen in het onderwijsaanbod is weinig voortgang geboekt.</w:t>
      </w:r>
    </w:p>
    <w:p w:rsidR="00E35991" w:rsidP="00E35991" w:rsidRDefault="00E35991" w14:paraId="5E634A72" w14:textId="77777777"/>
    <w:p w:rsidRPr="003B06C3" w:rsidR="00E35991" w:rsidP="00E35991" w:rsidRDefault="00E35991" w14:paraId="222BD886" w14:textId="77777777">
      <w:pPr>
        <w:rPr>
          <w:i/>
          <w:iCs/>
        </w:rPr>
      </w:pPr>
      <w:r w:rsidRPr="004F19EB">
        <w:t xml:space="preserve">De rapportage doet aanbevelingen aan mijn </w:t>
      </w:r>
      <w:r>
        <w:t>ministerie</w:t>
      </w:r>
      <w:r w:rsidRPr="004F19EB">
        <w:t xml:space="preserve">, onder andere over het explicieter investeren in samenwerking als voorwaarde bij nieuwe regelingen, het beter zichtbaar maken van samenhang tussen gelijklopende regelingen en het expliciet meenemen van borging in de opzet van toekomstige regelingen. </w:t>
      </w:r>
      <w:r w:rsidRPr="00A30889">
        <w:t xml:space="preserve">Ik zal deze betrekken bij </w:t>
      </w:r>
      <w:r>
        <w:t>de vormgeving van toekomstige regelingen waarbij samenwerking centraal staat.</w:t>
      </w:r>
    </w:p>
    <w:p w:rsidR="00E35991" w:rsidP="00E35991" w:rsidRDefault="00E35991" w14:paraId="071E4FBF" w14:textId="77777777"/>
    <w:p w:rsidR="00E35991" w:rsidP="00E35991" w:rsidRDefault="00E35991" w14:paraId="30E5F54E" w14:textId="77777777">
      <w:r>
        <w:t xml:space="preserve">De komende jaren zal demografische krimp in sommige regio’s leiden tot verdere leerlingendaling. Een </w:t>
      </w:r>
      <w:r w:rsidRPr="00BF4CB0">
        <w:t>actueel</w:t>
      </w:r>
      <w:r>
        <w:t>, t</w:t>
      </w:r>
      <w:r w:rsidRPr="00BF4CB0">
        <w:t xml:space="preserve">ransparant </w:t>
      </w:r>
      <w:r>
        <w:t xml:space="preserve">en toekomstig </w:t>
      </w:r>
      <w:r w:rsidRPr="00BF4CB0">
        <w:t>beeld van de demografische ontwikkelingen per regio</w:t>
      </w:r>
      <w:r>
        <w:t xml:space="preserve"> is inmiddels te vinden in het </w:t>
      </w:r>
      <w:r w:rsidRPr="002D513E">
        <w:rPr>
          <w:i/>
          <w:iCs/>
        </w:rPr>
        <w:t xml:space="preserve">Dynamisch Rapport leerlingenaantallen </w:t>
      </w:r>
      <w:r>
        <w:rPr>
          <w:i/>
          <w:iCs/>
        </w:rPr>
        <w:t>vo</w:t>
      </w:r>
      <w:r>
        <w:t>.</w:t>
      </w:r>
      <w:r w:rsidRPr="0085498C">
        <w:rPr>
          <w:rStyle w:val="Voetnootmarkering"/>
        </w:rPr>
        <w:footnoteReference w:id="1"/>
      </w:r>
      <w:r>
        <w:t xml:space="preserve"> Dit dashboard, dat was aangekondigd in de vorige brief rondom leerlingendaling</w:t>
      </w:r>
      <w:r>
        <w:rPr>
          <w:rStyle w:val="Voetnootmarkering"/>
        </w:rPr>
        <w:footnoteReference w:id="2"/>
      </w:r>
      <w:r>
        <w:t xml:space="preserve">, helpt bij het inzichtelijk maken van regionale opgaven en is zo een belangrijk hulpmiddel voor besturen en lokale overheden. </w:t>
      </w:r>
      <w:r w:rsidRPr="002E253E">
        <w:t>Ook is er een dashboard voor het primair onderwijs</w:t>
      </w:r>
      <w:r>
        <w:rPr>
          <w:rStyle w:val="Voetnootmarkering"/>
        </w:rPr>
        <w:footnoteReference w:id="3"/>
      </w:r>
      <w:r>
        <w:t xml:space="preserve"> </w:t>
      </w:r>
      <w:r w:rsidRPr="002E253E">
        <w:t>(po) ontwikkel</w:t>
      </w:r>
      <w:r>
        <w:t>d</w:t>
      </w:r>
      <w:r w:rsidRPr="002E253E">
        <w:t xml:space="preserve"> </w:t>
      </w:r>
      <w:r>
        <w:t>dat</w:t>
      </w:r>
      <w:r w:rsidRPr="002E253E">
        <w:t xml:space="preserve"> de bredere beleidsvorming rond dunbevolktheid en behoud van goed onderwijsaanbod ondersteun</w:t>
      </w:r>
      <w:r>
        <w:t>t</w:t>
      </w:r>
      <w:r w:rsidRPr="002E253E">
        <w:t>.</w:t>
      </w:r>
    </w:p>
    <w:p w:rsidR="00E35991" w:rsidP="00E35991" w:rsidRDefault="00E35991" w14:paraId="01007D8B" w14:textId="77777777"/>
    <w:p w:rsidRPr="00B47A9E" w:rsidR="00E35991" w:rsidP="00E35991" w:rsidRDefault="00E35991" w14:paraId="0ADCE68F" w14:textId="77777777">
      <w:r w:rsidRPr="00BF4CB0">
        <w:t xml:space="preserve">Regionale samenwerking </w:t>
      </w:r>
      <w:r>
        <w:t>tussen schoolbestuurders blijft essentieel</w:t>
      </w:r>
      <w:r w:rsidRPr="00BF4CB0">
        <w:t>.</w:t>
      </w:r>
      <w:r>
        <w:t xml:space="preserve"> </w:t>
      </w:r>
      <w:r w:rsidRPr="00BF4CB0">
        <w:t xml:space="preserve">Het </w:t>
      </w:r>
      <w:r>
        <w:t>eind</w:t>
      </w:r>
      <w:r w:rsidRPr="00BF4CB0">
        <w:t>rapport</w:t>
      </w:r>
      <w:r>
        <w:t xml:space="preserve"> bij de regeling IML</w:t>
      </w:r>
      <w:r w:rsidRPr="00BF4CB0">
        <w:t xml:space="preserve"> stelt dat vervolgbeleid en continuering van regionale regie </w:t>
      </w:r>
      <w:r>
        <w:t>noodzakelijk is</w:t>
      </w:r>
      <w:r w:rsidRPr="00BF4CB0">
        <w:t xml:space="preserve">. Daarom blijven de regiocoördinatoren Funderend Onderwijs, die namens mijn ministerie in heel Nederland actief zijn, </w:t>
      </w:r>
      <w:r>
        <w:t>zich onverminderd inzetten voor</w:t>
      </w:r>
      <w:r w:rsidRPr="00BF4CB0">
        <w:t xml:space="preserve"> toegankelijk, bereikbaar en kwalitatief goed onderwijs. Zij worden</w:t>
      </w:r>
      <w:r>
        <w:t xml:space="preserve"> daarbij</w:t>
      </w:r>
      <w:r w:rsidRPr="00BF4CB0">
        <w:t xml:space="preserve"> ondersteund door een extern adviesbureau dat procesbegeleiding biedt </w:t>
      </w:r>
      <w:r>
        <w:t xml:space="preserve">daar </w:t>
      </w:r>
      <w:r w:rsidRPr="00BF4CB0">
        <w:t xml:space="preserve">waar complexe problematiek </w:t>
      </w:r>
      <w:r>
        <w:t>zich voordoet</w:t>
      </w:r>
      <w:r w:rsidRPr="00BF4CB0">
        <w:t>.</w:t>
      </w:r>
      <w:r>
        <w:t xml:space="preserve"> </w:t>
      </w:r>
      <w:r w:rsidRPr="002E253E">
        <w:t xml:space="preserve">Voor </w:t>
      </w:r>
      <w:r w:rsidRPr="002E253E">
        <w:lastRenderedPageBreak/>
        <w:t>deze procesbegeleiding zijn tussen 2023 en 2027 middelen gereserveerd op de OCW-begroting.</w:t>
      </w:r>
      <w:r>
        <w:t xml:space="preserve"> </w:t>
      </w:r>
      <w:r w:rsidRPr="00B47A9E">
        <w:t xml:space="preserve">Daarnaast ondersteunt de Realisatie-Eenheid van het ministerie de onderwijsregio’s waarin schoolbesturen, opleiders en de beroepsgroep samenwerken aan goed en voldoende opgeleid onderwijspersoneel voor alle scholen in alle regio’s van Nederland. </w:t>
      </w:r>
    </w:p>
    <w:p w:rsidR="00E35991" w:rsidP="00E35991" w:rsidRDefault="00E35991" w14:paraId="5785C41B" w14:textId="77777777"/>
    <w:p w:rsidRPr="00C66CD2" w:rsidR="00E35991" w:rsidP="00E35991" w:rsidRDefault="00E35991" w14:paraId="41C12214" w14:textId="77777777">
      <w:pPr>
        <w:rPr>
          <w:b/>
          <w:bCs/>
        </w:rPr>
      </w:pPr>
      <w:r>
        <w:rPr>
          <w:b/>
          <w:bCs/>
        </w:rPr>
        <w:t>Behoud</w:t>
      </w:r>
      <w:r w:rsidRPr="00C66CD2">
        <w:rPr>
          <w:b/>
          <w:bCs/>
        </w:rPr>
        <w:t xml:space="preserve"> vmbo-aanbod</w:t>
      </w:r>
    </w:p>
    <w:p w:rsidR="00E35991" w:rsidP="00E35991" w:rsidRDefault="00E35991" w14:paraId="29452864" w14:textId="77777777">
      <w:r>
        <w:t>Binnen de brede opgave en inzet rondom leerlingendaling vraagt het vmbo specifieke aandacht, omdat</w:t>
      </w:r>
      <w:r w:rsidRPr="0064067E">
        <w:t xml:space="preserve"> krimp</w:t>
      </w:r>
      <w:r>
        <w:t xml:space="preserve"> en leerlingendaling in de beroepsgerichte leerwegen van het vmbo tot groeiende </w:t>
      </w:r>
      <w:r w:rsidRPr="0064067E">
        <w:t>verschraling van het profielenaanbod</w:t>
      </w:r>
      <w:r>
        <w:t xml:space="preserve"> leiden</w:t>
      </w:r>
      <w:r w:rsidRPr="0064067E">
        <w:t>.</w:t>
      </w:r>
      <w:r>
        <w:rPr>
          <w:rStyle w:val="Voetnootmarkering"/>
        </w:rPr>
        <w:footnoteReference w:id="4"/>
      </w:r>
      <w:r w:rsidRPr="0064067E">
        <w:t xml:space="preserve"> </w:t>
      </w:r>
      <w:r>
        <w:t xml:space="preserve">Daarom neem ik, in het kader van de </w:t>
      </w:r>
      <w:r w:rsidRPr="0064067E">
        <w:t>verkenning naar een toekomstbestendige profielenstructuur</w:t>
      </w:r>
      <w:r>
        <w:t xml:space="preserve"> voor het vmbo, verschillende maatregelen, zoals de verschillende experimenten rondom het combineren van beroepsgerichte profielen, </w:t>
      </w:r>
      <w:r w:rsidRPr="0064067E">
        <w:t>het schrappen van de opheffingsnorm voor vbo-licenties</w:t>
      </w:r>
      <w:r>
        <w:t xml:space="preserve"> en de verkenning naar de structurele, regionale verankering van het technisch profielenaanbod in Sterk techniekonderwijs (STO). Deze maatregelen dragen bij </w:t>
      </w:r>
      <w:r w:rsidRPr="0064067E">
        <w:t>aan een duurzaam en bereikbaar vmbo-aanbod in alle regio</w:t>
      </w:r>
      <w:r>
        <w:t>’</w:t>
      </w:r>
      <w:r w:rsidRPr="0064067E">
        <w:t>s.</w:t>
      </w:r>
      <w:r>
        <w:t xml:space="preserve"> Uw Kamer wordt eind 2027 geïnformeerd over deze maatregelen.</w:t>
      </w:r>
    </w:p>
    <w:p w:rsidR="00E35991" w:rsidP="00E35991" w:rsidRDefault="00E35991" w14:paraId="5D2B56F9" w14:textId="77777777"/>
    <w:p w:rsidRPr="00BF4CB0" w:rsidR="00E35991" w:rsidP="00E35991" w:rsidRDefault="00E35991" w14:paraId="62B475B5" w14:textId="77777777">
      <w:r>
        <w:t>Het</w:t>
      </w:r>
      <w:r w:rsidRPr="0064067E">
        <w:t xml:space="preserve"> ministerie </w:t>
      </w:r>
      <w:r>
        <w:t xml:space="preserve">van OCW </w:t>
      </w:r>
      <w:r w:rsidRPr="0064067E">
        <w:t xml:space="preserve">is </w:t>
      </w:r>
      <w:r>
        <w:t>verder</w:t>
      </w:r>
      <w:r w:rsidRPr="0064067E">
        <w:t xml:space="preserve"> structureel betrokken bij onder andere de RegioDeals en het Nationaal Programma Vitale Regio’s (NPVR). Het doel van deze</w:t>
      </w:r>
      <w:r>
        <w:t xml:space="preserve"> </w:t>
      </w:r>
      <w:r w:rsidRPr="0064067E">
        <w:t>programma’s is om regio’s een bredere impuls te geven m</w:t>
      </w:r>
      <w:r>
        <w:t>et betrekking tot</w:t>
      </w:r>
      <w:r w:rsidRPr="0064067E">
        <w:t xml:space="preserve"> de brede welvaart</w:t>
      </w:r>
      <w:r>
        <w:t>,</w:t>
      </w:r>
      <w:r w:rsidRPr="0064067E">
        <w:t xml:space="preserve"> waari</w:t>
      </w:r>
      <w:r>
        <w:t>n</w:t>
      </w:r>
      <w:r w:rsidRPr="00A94FCC">
        <w:t xml:space="preserve"> beschikbaar en bereikbaar</w:t>
      </w:r>
      <w:r w:rsidRPr="0064067E">
        <w:t xml:space="preserve"> onderwijs een belangrijke pijler is.</w:t>
      </w:r>
    </w:p>
    <w:p w:rsidRPr="00BF4CB0" w:rsidR="00E35991" w:rsidP="00E35991" w:rsidRDefault="00E35991" w14:paraId="40148622" w14:textId="77777777"/>
    <w:p w:rsidRPr="00BF4CB0" w:rsidR="00E35991" w:rsidP="00E35991" w:rsidRDefault="00E35991" w14:paraId="6E6A96F9" w14:textId="77777777"/>
    <w:p w:rsidRPr="00BF4CB0" w:rsidR="00E35991" w:rsidP="00E35991" w:rsidRDefault="00E35991" w14:paraId="0A2EB962" w14:textId="77777777">
      <w:r w:rsidRPr="00BF4CB0">
        <w:t>Hoogachtend,</w:t>
      </w:r>
    </w:p>
    <w:p w:rsidRPr="00BF4CB0" w:rsidR="00E35991" w:rsidP="00E35991" w:rsidRDefault="00E35991" w14:paraId="3D8A9FDF" w14:textId="77777777"/>
    <w:p w:rsidRPr="00BF4CB0" w:rsidR="00E35991" w:rsidP="00E35991" w:rsidRDefault="00E35991" w14:paraId="0A23FB7E" w14:textId="77777777">
      <w:r w:rsidRPr="00BF4CB0">
        <w:t>de staatssecretaris van Onderwijs en Emancipatie,</w:t>
      </w:r>
    </w:p>
    <w:p w:rsidRPr="00BF4CB0" w:rsidR="00E35991" w:rsidP="00E35991" w:rsidRDefault="00E35991" w14:paraId="2173BD35" w14:textId="77777777"/>
    <w:p w:rsidRPr="00BF4CB0" w:rsidR="00E35991" w:rsidP="00E35991" w:rsidRDefault="00E35991" w14:paraId="702E6913" w14:textId="77777777"/>
    <w:p w:rsidRPr="00BF4CB0" w:rsidR="00E35991" w:rsidP="00E35991" w:rsidRDefault="00E35991" w14:paraId="3F820167" w14:textId="77777777"/>
    <w:p w:rsidRPr="00BF4CB0" w:rsidR="00E35991" w:rsidP="00E35991" w:rsidRDefault="00E35991" w14:paraId="797C9DDD" w14:textId="77777777"/>
    <w:p w:rsidRPr="00BF4CB0" w:rsidR="00E35991" w:rsidP="00E35991" w:rsidRDefault="00E35991" w14:paraId="3CC11222" w14:textId="77777777"/>
    <w:p w:rsidRPr="00BF4CB0" w:rsidR="00E35991" w:rsidP="00E35991" w:rsidRDefault="00E35991" w14:paraId="55E17D17" w14:textId="77777777"/>
    <w:p w:rsidRPr="00BF4CB0" w:rsidR="00E35991" w:rsidP="00E35991" w:rsidRDefault="00E35991" w14:paraId="4688B3EC" w14:textId="77777777">
      <w:r w:rsidRPr="00BF4CB0">
        <w:t>Judith Zs.C.M. Tielen</w:t>
      </w:r>
    </w:p>
    <w:p w:rsidRPr="00BF4CB0" w:rsidR="00E35991" w:rsidP="00E35991" w:rsidRDefault="00E35991" w14:paraId="056B330A" w14:textId="77777777"/>
    <w:p w:rsidRPr="00BF4CB0" w:rsidR="00E35991" w:rsidP="00E35991" w:rsidRDefault="00E35991" w14:paraId="7C91B2FD" w14:textId="77777777"/>
    <w:p w:rsidRPr="00BF4CB0" w:rsidR="00E35991" w:rsidP="00E35991" w:rsidRDefault="00E35991" w14:paraId="7C8C8220" w14:textId="77777777">
      <w:pPr>
        <w:spacing w:line="240" w:lineRule="auto"/>
      </w:pPr>
    </w:p>
    <w:p w:rsidRPr="00E35991" w:rsidR="00820DDA" w:rsidP="00E35991" w:rsidRDefault="00820DDA" w14:paraId="70233778" w14:textId="77777777"/>
    <w:sectPr w:rsidRPr="00E35991"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0128" w14:textId="77777777" w:rsidR="005E1573" w:rsidRDefault="005E1573">
      <w:r>
        <w:separator/>
      </w:r>
    </w:p>
    <w:p w14:paraId="3F643A04" w14:textId="77777777" w:rsidR="005E1573" w:rsidRDefault="005E1573"/>
  </w:endnote>
  <w:endnote w:type="continuationSeparator" w:id="0">
    <w:p w14:paraId="78D83CAF" w14:textId="77777777" w:rsidR="005E1573" w:rsidRDefault="005E1573">
      <w:r>
        <w:continuationSeparator/>
      </w:r>
    </w:p>
    <w:p w14:paraId="1A9CEB08" w14:textId="77777777" w:rsidR="005E1573" w:rsidRDefault="005E1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E94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AD5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C360A" w14:paraId="79B4BE44" w14:textId="77777777" w:rsidTr="004C7E1D">
      <w:trPr>
        <w:trHeight w:hRule="exact" w:val="357"/>
      </w:trPr>
      <w:tc>
        <w:tcPr>
          <w:tcW w:w="7603" w:type="dxa"/>
        </w:tcPr>
        <w:p w14:paraId="662638F1" w14:textId="77777777" w:rsidR="002F71BB" w:rsidRPr="004C7E1D" w:rsidRDefault="002F71BB" w:rsidP="004C7E1D">
          <w:pPr>
            <w:spacing w:line="180" w:lineRule="exact"/>
            <w:rPr>
              <w:sz w:val="13"/>
              <w:szCs w:val="13"/>
            </w:rPr>
          </w:pPr>
        </w:p>
      </w:tc>
      <w:tc>
        <w:tcPr>
          <w:tcW w:w="2172" w:type="dxa"/>
        </w:tcPr>
        <w:p w14:paraId="6363760D" w14:textId="312B2DED" w:rsidR="002F71BB" w:rsidRPr="004C7E1D" w:rsidRDefault="006139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B4172">
            <w:rPr>
              <w:szCs w:val="13"/>
            </w:rPr>
            <w:t>3</w:t>
          </w:r>
          <w:r w:rsidRPr="004C7E1D">
            <w:rPr>
              <w:szCs w:val="13"/>
            </w:rPr>
            <w:fldChar w:fldCharType="end"/>
          </w:r>
        </w:p>
      </w:tc>
    </w:tr>
  </w:tbl>
  <w:p w14:paraId="25F425F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C360A" w14:paraId="24CA0FC8" w14:textId="77777777" w:rsidTr="004C7E1D">
      <w:trPr>
        <w:trHeight w:hRule="exact" w:val="357"/>
      </w:trPr>
      <w:tc>
        <w:tcPr>
          <w:tcW w:w="7709" w:type="dxa"/>
        </w:tcPr>
        <w:p w14:paraId="2B2C8AB5" w14:textId="77777777" w:rsidR="00D17084" w:rsidRPr="004C7E1D" w:rsidRDefault="00D17084" w:rsidP="004C7E1D">
          <w:pPr>
            <w:spacing w:line="180" w:lineRule="exact"/>
            <w:rPr>
              <w:sz w:val="13"/>
              <w:szCs w:val="13"/>
            </w:rPr>
          </w:pPr>
        </w:p>
      </w:tc>
      <w:tc>
        <w:tcPr>
          <w:tcW w:w="2060" w:type="dxa"/>
        </w:tcPr>
        <w:p w14:paraId="66D21705" w14:textId="0E05AECB" w:rsidR="00D17084" w:rsidRPr="004C7E1D" w:rsidRDefault="006139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B4172">
            <w:rPr>
              <w:szCs w:val="13"/>
            </w:rPr>
            <w:t>3</w:t>
          </w:r>
          <w:r w:rsidRPr="004C7E1D">
            <w:rPr>
              <w:szCs w:val="13"/>
            </w:rPr>
            <w:fldChar w:fldCharType="end"/>
          </w:r>
        </w:p>
      </w:tc>
    </w:tr>
  </w:tbl>
  <w:p w14:paraId="76CC33E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452F" w14:textId="77777777" w:rsidR="005E1573" w:rsidRDefault="005E1573">
      <w:r>
        <w:separator/>
      </w:r>
    </w:p>
    <w:p w14:paraId="38FDE07C" w14:textId="77777777" w:rsidR="005E1573" w:rsidRDefault="005E1573"/>
  </w:footnote>
  <w:footnote w:type="continuationSeparator" w:id="0">
    <w:p w14:paraId="6CB416DE" w14:textId="77777777" w:rsidR="005E1573" w:rsidRDefault="005E1573">
      <w:r>
        <w:continuationSeparator/>
      </w:r>
    </w:p>
    <w:p w14:paraId="53DE3F41" w14:textId="77777777" w:rsidR="005E1573" w:rsidRDefault="005E1573"/>
  </w:footnote>
  <w:footnote w:id="1">
    <w:p w14:paraId="35690D52" w14:textId="77777777" w:rsidR="00E35991" w:rsidRDefault="00E35991" w:rsidP="00E35991">
      <w:pPr>
        <w:pStyle w:val="Voetnoottekst"/>
      </w:pPr>
      <w:r>
        <w:rPr>
          <w:rStyle w:val="Voetnootmarkering"/>
        </w:rPr>
        <w:footnoteRef/>
      </w:r>
      <w:r>
        <w:t xml:space="preserve"> Zie </w:t>
      </w:r>
      <w:hyperlink r:id="rId1" w:history="1">
        <w:r w:rsidRPr="00966064">
          <w:rPr>
            <w:rStyle w:val="Hyperlink"/>
          </w:rPr>
          <w:t>https://informatieproducten.duo.rijkscloud.nl/public/dynamisch_rapport_leerlingaantallen_vo/</w:t>
        </w:r>
      </w:hyperlink>
    </w:p>
  </w:footnote>
  <w:footnote w:id="2">
    <w:p w14:paraId="1A30DAD5" w14:textId="77777777" w:rsidR="00E35991" w:rsidRDefault="00E35991" w:rsidP="00E35991">
      <w:pPr>
        <w:pStyle w:val="Voetnoottekst"/>
      </w:pPr>
      <w:r>
        <w:rPr>
          <w:rStyle w:val="Voetnootmarkering"/>
        </w:rPr>
        <w:footnoteRef/>
      </w:r>
      <w:r>
        <w:t xml:space="preserve"> </w:t>
      </w:r>
      <w:r w:rsidRPr="0001373E">
        <w:rPr>
          <w:i/>
          <w:iCs/>
        </w:rPr>
        <w:t>Kamerstukken II</w:t>
      </w:r>
      <w:r>
        <w:t xml:space="preserve">, 2023-2024, 31 289, nr. 557. Zie ook: </w:t>
      </w:r>
      <w:hyperlink r:id="rId2" w:history="1">
        <w:r w:rsidRPr="00FB5C5A">
          <w:rPr>
            <w:rStyle w:val="Hyperlink"/>
          </w:rPr>
          <w:t>Voortgang aanpak gevolgen leerlingendaling in het voortgezet onderwijs | Rijksoverheid.nl</w:t>
        </w:r>
      </w:hyperlink>
    </w:p>
  </w:footnote>
  <w:footnote w:id="3">
    <w:p w14:paraId="5F47E143" w14:textId="77777777" w:rsidR="00E35991" w:rsidRDefault="00E35991" w:rsidP="00E35991">
      <w:pPr>
        <w:pStyle w:val="Voetnoottekst"/>
      </w:pPr>
      <w:r>
        <w:rPr>
          <w:rStyle w:val="Voetnootmarkering"/>
        </w:rPr>
        <w:footnoteRef/>
      </w:r>
      <w:r>
        <w:t xml:space="preserve"> Zie </w:t>
      </w:r>
      <w:hyperlink r:id="rId3" w:history="1">
        <w:r w:rsidRPr="00874FC5">
          <w:rPr>
            <w:rStyle w:val="Hyperlink"/>
          </w:rPr>
          <w:t>https://informatieproducten.duo.rijkscloud.nl/public/dynamisch_rapport_po/</w:t>
        </w:r>
      </w:hyperlink>
    </w:p>
  </w:footnote>
  <w:footnote w:id="4">
    <w:p w14:paraId="6399B6E8" w14:textId="77777777" w:rsidR="00E35991" w:rsidRDefault="00E35991" w:rsidP="00E35991">
      <w:pPr>
        <w:pStyle w:val="Voetnoottekst"/>
      </w:pPr>
      <w:r>
        <w:rPr>
          <w:rStyle w:val="Voetnootmarkering"/>
        </w:rPr>
        <w:footnoteRef/>
      </w:r>
      <w:r>
        <w:t xml:space="preserve"> </w:t>
      </w:r>
      <w:r w:rsidRPr="0001373E">
        <w:rPr>
          <w:i/>
          <w:iCs/>
        </w:rPr>
        <w:t>Kamerstukken II</w:t>
      </w:r>
      <w:r>
        <w:t>, 2025-2026, 30 079, nr. 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B21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C360A" w14:paraId="680BDBDF" w14:textId="77777777" w:rsidTr="006D2D53">
      <w:trPr>
        <w:trHeight w:hRule="exact" w:val="400"/>
      </w:trPr>
      <w:tc>
        <w:tcPr>
          <w:tcW w:w="7518" w:type="dxa"/>
        </w:tcPr>
        <w:p w14:paraId="0B12B73A" w14:textId="77777777" w:rsidR="00527BD4" w:rsidRPr="00275984" w:rsidRDefault="00527BD4" w:rsidP="00BF4427">
          <w:pPr>
            <w:pStyle w:val="Huisstijl-Rubricering"/>
          </w:pPr>
        </w:p>
      </w:tc>
    </w:tr>
  </w:tbl>
  <w:p w14:paraId="29FEF5D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C360A" w14:paraId="53D69F66" w14:textId="77777777" w:rsidTr="003B528D">
      <w:tc>
        <w:tcPr>
          <w:tcW w:w="2160" w:type="dxa"/>
        </w:tcPr>
        <w:p w14:paraId="352B2927" w14:textId="77777777" w:rsidR="002F71BB" w:rsidRPr="000407BB" w:rsidRDefault="00613977" w:rsidP="005D283A">
          <w:pPr>
            <w:pStyle w:val="Colofonkop"/>
            <w:framePr w:hSpace="0" w:wrap="auto" w:vAnchor="margin" w:hAnchor="text" w:xAlign="left" w:yAlign="inline"/>
          </w:pPr>
          <w:r>
            <w:t>Onze referentie</w:t>
          </w:r>
        </w:p>
      </w:tc>
    </w:tr>
    <w:tr w:rsidR="000C360A" w14:paraId="0A19EB34" w14:textId="77777777" w:rsidTr="002F71BB">
      <w:trPr>
        <w:trHeight w:val="259"/>
      </w:trPr>
      <w:tc>
        <w:tcPr>
          <w:tcW w:w="2160" w:type="dxa"/>
        </w:tcPr>
        <w:p w14:paraId="6BADEAE9" w14:textId="77777777" w:rsidR="00E35CF4" w:rsidRPr="005D283A" w:rsidRDefault="00613977" w:rsidP="0049501A">
          <w:pPr>
            <w:spacing w:line="180" w:lineRule="exact"/>
            <w:rPr>
              <w:sz w:val="13"/>
              <w:szCs w:val="13"/>
            </w:rPr>
          </w:pPr>
          <w:r>
            <w:rPr>
              <w:sz w:val="13"/>
              <w:szCs w:val="13"/>
            </w:rPr>
            <w:t>63924607</w:t>
          </w:r>
        </w:p>
      </w:tc>
    </w:tr>
  </w:tbl>
  <w:p w14:paraId="1F60D56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360A" w14:paraId="2ECEF04D" w14:textId="77777777" w:rsidTr="001377D4">
      <w:trPr>
        <w:trHeight w:val="2636"/>
      </w:trPr>
      <w:tc>
        <w:tcPr>
          <w:tcW w:w="737" w:type="dxa"/>
        </w:tcPr>
        <w:p w14:paraId="140E559D" w14:textId="77777777" w:rsidR="00704845" w:rsidRDefault="00704845" w:rsidP="0047126E">
          <w:pPr>
            <w:framePr w:w="6339" w:h="2750" w:hRule="exact" w:hSpace="181" w:wrap="around" w:vAnchor="page" w:hAnchor="page" w:x="5586" w:y="1"/>
            <w:spacing w:line="240" w:lineRule="auto"/>
          </w:pPr>
        </w:p>
      </w:tc>
      <w:tc>
        <w:tcPr>
          <w:tcW w:w="5156" w:type="dxa"/>
        </w:tcPr>
        <w:p w14:paraId="04F72A33" w14:textId="77777777" w:rsidR="00704845" w:rsidRDefault="00613977" w:rsidP="0047126E">
          <w:pPr>
            <w:framePr w:w="3873" w:h="2625" w:hRule="exact" w:wrap="around" w:vAnchor="page" w:hAnchor="page" w:x="6323" w:y="1"/>
          </w:pPr>
          <w:r>
            <w:rPr>
              <w:noProof/>
              <w:lang w:val="en-US" w:eastAsia="en-US"/>
            </w:rPr>
            <w:drawing>
              <wp:inline distT="0" distB="0" distL="0" distR="0" wp14:anchorId="73180F4C" wp14:editId="7D0FDA8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91AA8EB" w14:textId="77777777" w:rsidR="00483ECA" w:rsidRDefault="00483ECA" w:rsidP="00D037A9"/>
      </w:tc>
    </w:tr>
  </w:tbl>
  <w:p w14:paraId="53E584E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C360A" w14:paraId="52A9DAF2" w14:textId="77777777" w:rsidTr="0008539E">
      <w:trPr>
        <w:trHeight w:hRule="exact" w:val="572"/>
      </w:trPr>
      <w:tc>
        <w:tcPr>
          <w:tcW w:w="7520" w:type="dxa"/>
        </w:tcPr>
        <w:p w14:paraId="27285DF9" w14:textId="77777777" w:rsidR="00527BD4" w:rsidRPr="00963440" w:rsidRDefault="00613977" w:rsidP="00210BA3">
          <w:pPr>
            <w:pStyle w:val="Huisstijl-Adres"/>
            <w:spacing w:after="0"/>
          </w:pPr>
          <w:r w:rsidRPr="009E3B07">
            <w:t>&gt;Retouradres </w:t>
          </w:r>
          <w:r>
            <w:t>Postbus 16375 2500 BJ Den Haag</w:t>
          </w:r>
          <w:r w:rsidRPr="009E3B07">
            <w:t xml:space="preserve"> </w:t>
          </w:r>
        </w:p>
      </w:tc>
    </w:tr>
    <w:tr w:rsidR="000C360A" w14:paraId="38334115" w14:textId="77777777" w:rsidTr="00E776C6">
      <w:trPr>
        <w:cantSplit/>
        <w:trHeight w:hRule="exact" w:val="238"/>
      </w:trPr>
      <w:tc>
        <w:tcPr>
          <w:tcW w:w="7520" w:type="dxa"/>
        </w:tcPr>
        <w:p w14:paraId="59414650" w14:textId="77777777" w:rsidR="00093ABC" w:rsidRPr="00963440" w:rsidRDefault="00093ABC" w:rsidP="00963440"/>
      </w:tc>
    </w:tr>
    <w:tr w:rsidR="000C360A" w14:paraId="434618D2" w14:textId="77777777" w:rsidTr="00E776C6">
      <w:trPr>
        <w:cantSplit/>
        <w:trHeight w:hRule="exact" w:val="1520"/>
      </w:trPr>
      <w:tc>
        <w:tcPr>
          <w:tcW w:w="7520" w:type="dxa"/>
        </w:tcPr>
        <w:p w14:paraId="21548A30" w14:textId="77777777" w:rsidR="00A604D3" w:rsidRPr="00963440" w:rsidRDefault="00A604D3" w:rsidP="00963440"/>
      </w:tc>
    </w:tr>
    <w:tr w:rsidR="000C360A" w14:paraId="093D9879" w14:textId="77777777" w:rsidTr="00E776C6">
      <w:trPr>
        <w:trHeight w:hRule="exact" w:val="1077"/>
      </w:trPr>
      <w:tc>
        <w:tcPr>
          <w:tcW w:w="7520" w:type="dxa"/>
        </w:tcPr>
        <w:p w14:paraId="733311C5" w14:textId="77777777" w:rsidR="00892BA5" w:rsidRPr="00035E67" w:rsidRDefault="00892BA5" w:rsidP="00892BA5">
          <w:pPr>
            <w:tabs>
              <w:tab w:val="left" w:pos="740"/>
            </w:tabs>
            <w:autoSpaceDE w:val="0"/>
            <w:autoSpaceDN w:val="0"/>
            <w:adjustRightInd w:val="0"/>
            <w:rPr>
              <w:rFonts w:cs="Verdana"/>
              <w:szCs w:val="18"/>
            </w:rPr>
          </w:pPr>
        </w:p>
      </w:tc>
    </w:tr>
  </w:tbl>
  <w:p w14:paraId="1B0F0EA2" w14:textId="77777777" w:rsidR="006F273B" w:rsidRDefault="006F273B" w:rsidP="00BC4AE3">
    <w:pPr>
      <w:pStyle w:val="Koptekst"/>
    </w:pPr>
  </w:p>
  <w:p w14:paraId="2BB12AEE" w14:textId="77777777" w:rsidR="00153BD0" w:rsidRDefault="00153BD0" w:rsidP="00BC4AE3">
    <w:pPr>
      <w:pStyle w:val="Koptekst"/>
    </w:pPr>
  </w:p>
  <w:p w14:paraId="46C8AA47" w14:textId="77777777" w:rsidR="0044605E" w:rsidRDefault="0044605E" w:rsidP="00BC4AE3">
    <w:pPr>
      <w:pStyle w:val="Koptekst"/>
    </w:pPr>
  </w:p>
  <w:p w14:paraId="1B393A04" w14:textId="77777777" w:rsidR="0044605E" w:rsidRDefault="0044605E" w:rsidP="00BC4AE3">
    <w:pPr>
      <w:pStyle w:val="Koptekst"/>
    </w:pPr>
  </w:p>
  <w:p w14:paraId="7D73653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581436F"/>
    <w:multiLevelType w:val="hybridMultilevel"/>
    <w:tmpl w:val="770A27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9A88E5E">
      <w:start w:val="1"/>
      <w:numFmt w:val="bullet"/>
      <w:pStyle w:val="Lijstopsomteken"/>
      <w:lvlText w:val="•"/>
      <w:lvlJc w:val="left"/>
      <w:pPr>
        <w:tabs>
          <w:tab w:val="num" w:pos="227"/>
        </w:tabs>
        <w:ind w:left="227" w:hanging="227"/>
      </w:pPr>
      <w:rPr>
        <w:rFonts w:ascii="Verdana" w:hAnsi="Verdana" w:hint="default"/>
        <w:sz w:val="18"/>
        <w:szCs w:val="18"/>
      </w:rPr>
    </w:lvl>
    <w:lvl w:ilvl="1" w:tplc="2F80919C" w:tentative="1">
      <w:start w:val="1"/>
      <w:numFmt w:val="bullet"/>
      <w:lvlText w:val="o"/>
      <w:lvlJc w:val="left"/>
      <w:pPr>
        <w:tabs>
          <w:tab w:val="num" w:pos="1440"/>
        </w:tabs>
        <w:ind w:left="1440" w:hanging="360"/>
      </w:pPr>
      <w:rPr>
        <w:rFonts w:ascii="Courier New" w:hAnsi="Courier New" w:cs="Courier New" w:hint="default"/>
      </w:rPr>
    </w:lvl>
    <w:lvl w:ilvl="2" w:tplc="87BE2342" w:tentative="1">
      <w:start w:val="1"/>
      <w:numFmt w:val="bullet"/>
      <w:lvlText w:val=""/>
      <w:lvlJc w:val="left"/>
      <w:pPr>
        <w:tabs>
          <w:tab w:val="num" w:pos="2160"/>
        </w:tabs>
        <w:ind w:left="2160" w:hanging="360"/>
      </w:pPr>
      <w:rPr>
        <w:rFonts w:ascii="Wingdings" w:hAnsi="Wingdings" w:hint="default"/>
      </w:rPr>
    </w:lvl>
    <w:lvl w:ilvl="3" w:tplc="EB0CBC56" w:tentative="1">
      <w:start w:val="1"/>
      <w:numFmt w:val="bullet"/>
      <w:lvlText w:val=""/>
      <w:lvlJc w:val="left"/>
      <w:pPr>
        <w:tabs>
          <w:tab w:val="num" w:pos="2880"/>
        </w:tabs>
        <w:ind w:left="2880" w:hanging="360"/>
      </w:pPr>
      <w:rPr>
        <w:rFonts w:ascii="Symbol" w:hAnsi="Symbol" w:hint="default"/>
      </w:rPr>
    </w:lvl>
    <w:lvl w:ilvl="4" w:tplc="CDAE17C2" w:tentative="1">
      <w:start w:val="1"/>
      <w:numFmt w:val="bullet"/>
      <w:lvlText w:val="o"/>
      <w:lvlJc w:val="left"/>
      <w:pPr>
        <w:tabs>
          <w:tab w:val="num" w:pos="3600"/>
        </w:tabs>
        <w:ind w:left="3600" w:hanging="360"/>
      </w:pPr>
      <w:rPr>
        <w:rFonts w:ascii="Courier New" w:hAnsi="Courier New" w:cs="Courier New" w:hint="default"/>
      </w:rPr>
    </w:lvl>
    <w:lvl w:ilvl="5" w:tplc="CBB6B7D0" w:tentative="1">
      <w:start w:val="1"/>
      <w:numFmt w:val="bullet"/>
      <w:lvlText w:val=""/>
      <w:lvlJc w:val="left"/>
      <w:pPr>
        <w:tabs>
          <w:tab w:val="num" w:pos="4320"/>
        </w:tabs>
        <w:ind w:left="4320" w:hanging="360"/>
      </w:pPr>
      <w:rPr>
        <w:rFonts w:ascii="Wingdings" w:hAnsi="Wingdings" w:hint="default"/>
      </w:rPr>
    </w:lvl>
    <w:lvl w:ilvl="6" w:tplc="591A9812" w:tentative="1">
      <w:start w:val="1"/>
      <w:numFmt w:val="bullet"/>
      <w:lvlText w:val=""/>
      <w:lvlJc w:val="left"/>
      <w:pPr>
        <w:tabs>
          <w:tab w:val="num" w:pos="5040"/>
        </w:tabs>
        <w:ind w:left="5040" w:hanging="360"/>
      </w:pPr>
      <w:rPr>
        <w:rFonts w:ascii="Symbol" w:hAnsi="Symbol" w:hint="default"/>
      </w:rPr>
    </w:lvl>
    <w:lvl w:ilvl="7" w:tplc="72C09260" w:tentative="1">
      <w:start w:val="1"/>
      <w:numFmt w:val="bullet"/>
      <w:lvlText w:val="o"/>
      <w:lvlJc w:val="left"/>
      <w:pPr>
        <w:tabs>
          <w:tab w:val="num" w:pos="5760"/>
        </w:tabs>
        <w:ind w:left="5760" w:hanging="360"/>
      </w:pPr>
      <w:rPr>
        <w:rFonts w:ascii="Courier New" w:hAnsi="Courier New" w:cs="Courier New" w:hint="default"/>
      </w:rPr>
    </w:lvl>
    <w:lvl w:ilvl="8" w:tplc="FB3A8D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720A4E2">
      <w:start w:val="1"/>
      <w:numFmt w:val="bullet"/>
      <w:pStyle w:val="Lijstopsomteken2"/>
      <w:lvlText w:val="–"/>
      <w:lvlJc w:val="left"/>
      <w:pPr>
        <w:tabs>
          <w:tab w:val="num" w:pos="227"/>
        </w:tabs>
        <w:ind w:left="227" w:firstLine="0"/>
      </w:pPr>
      <w:rPr>
        <w:rFonts w:ascii="Verdana" w:hAnsi="Verdana" w:hint="default"/>
      </w:rPr>
    </w:lvl>
    <w:lvl w:ilvl="1" w:tplc="F8EE85E8" w:tentative="1">
      <w:start w:val="1"/>
      <w:numFmt w:val="bullet"/>
      <w:lvlText w:val="o"/>
      <w:lvlJc w:val="left"/>
      <w:pPr>
        <w:tabs>
          <w:tab w:val="num" w:pos="1440"/>
        </w:tabs>
        <w:ind w:left="1440" w:hanging="360"/>
      </w:pPr>
      <w:rPr>
        <w:rFonts w:ascii="Courier New" w:hAnsi="Courier New" w:cs="Courier New" w:hint="default"/>
      </w:rPr>
    </w:lvl>
    <w:lvl w:ilvl="2" w:tplc="8C7CDC2E" w:tentative="1">
      <w:start w:val="1"/>
      <w:numFmt w:val="bullet"/>
      <w:lvlText w:val=""/>
      <w:lvlJc w:val="left"/>
      <w:pPr>
        <w:tabs>
          <w:tab w:val="num" w:pos="2160"/>
        </w:tabs>
        <w:ind w:left="2160" w:hanging="360"/>
      </w:pPr>
      <w:rPr>
        <w:rFonts w:ascii="Wingdings" w:hAnsi="Wingdings" w:hint="default"/>
      </w:rPr>
    </w:lvl>
    <w:lvl w:ilvl="3" w:tplc="761CB3D0" w:tentative="1">
      <w:start w:val="1"/>
      <w:numFmt w:val="bullet"/>
      <w:lvlText w:val=""/>
      <w:lvlJc w:val="left"/>
      <w:pPr>
        <w:tabs>
          <w:tab w:val="num" w:pos="2880"/>
        </w:tabs>
        <w:ind w:left="2880" w:hanging="360"/>
      </w:pPr>
      <w:rPr>
        <w:rFonts w:ascii="Symbol" w:hAnsi="Symbol" w:hint="default"/>
      </w:rPr>
    </w:lvl>
    <w:lvl w:ilvl="4" w:tplc="BE8EF6C8" w:tentative="1">
      <w:start w:val="1"/>
      <w:numFmt w:val="bullet"/>
      <w:lvlText w:val="o"/>
      <w:lvlJc w:val="left"/>
      <w:pPr>
        <w:tabs>
          <w:tab w:val="num" w:pos="3600"/>
        </w:tabs>
        <w:ind w:left="3600" w:hanging="360"/>
      </w:pPr>
      <w:rPr>
        <w:rFonts w:ascii="Courier New" w:hAnsi="Courier New" w:cs="Courier New" w:hint="default"/>
      </w:rPr>
    </w:lvl>
    <w:lvl w:ilvl="5" w:tplc="DDC8D20E" w:tentative="1">
      <w:start w:val="1"/>
      <w:numFmt w:val="bullet"/>
      <w:lvlText w:val=""/>
      <w:lvlJc w:val="left"/>
      <w:pPr>
        <w:tabs>
          <w:tab w:val="num" w:pos="4320"/>
        </w:tabs>
        <w:ind w:left="4320" w:hanging="360"/>
      </w:pPr>
      <w:rPr>
        <w:rFonts w:ascii="Wingdings" w:hAnsi="Wingdings" w:hint="default"/>
      </w:rPr>
    </w:lvl>
    <w:lvl w:ilvl="6" w:tplc="1878F8BA" w:tentative="1">
      <w:start w:val="1"/>
      <w:numFmt w:val="bullet"/>
      <w:lvlText w:val=""/>
      <w:lvlJc w:val="left"/>
      <w:pPr>
        <w:tabs>
          <w:tab w:val="num" w:pos="5040"/>
        </w:tabs>
        <w:ind w:left="5040" w:hanging="360"/>
      </w:pPr>
      <w:rPr>
        <w:rFonts w:ascii="Symbol" w:hAnsi="Symbol" w:hint="default"/>
      </w:rPr>
    </w:lvl>
    <w:lvl w:ilvl="7" w:tplc="95EC0782" w:tentative="1">
      <w:start w:val="1"/>
      <w:numFmt w:val="bullet"/>
      <w:lvlText w:val="o"/>
      <w:lvlJc w:val="left"/>
      <w:pPr>
        <w:tabs>
          <w:tab w:val="num" w:pos="5760"/>
        </w:tabs>
        <w:ind w:left="5760" w:hanging="360"/>
      </w:pPr>
      <w:rPr>
        <w:rFonts w:ascii="Courier New" w:hAnsi="Courier New" w:cs="Courier New" w:hint="default"/>
      </w:rPr>
    </w:lvl>
    <w:lvl w:ilvl="8" w:tplc="7B6091C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77948"/>
    <w:multiLevelType w:val="hybridMultilevel"/>
    <w:tmpl w:val="DEAE69A0"/>
    <w:lvl w:ilvl="0" w:tplc="458A30E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1011109">
    <w:abstractNumId w:val="11"/>
  </w:num>
  <w:num w:numId="2" w16cid:durableId="516233790">
    <w:abstractNumId w:val="7"/>
  </w:num>
  <w:num w:numId="3" w16cid:durableId="1983264675">
    <w:abstractNumId w:val="6"/>
  </w:num>
  <w:num w:numId="4" w16cid:durableId="1789856016">
    <w:abstractNumId w:val="5"/>
  </w:num>
  <w:num w:numId="5" w16cid:durableId="2104691318">
    <w:abstractNumId w:val="4"/>
  </w:num>
  <w:num w:numId="6" w16cid:durableId="278071651">
    <w:abstractNumId w:val="8"/>
  </w:num>
  <w:num w:numId="7" w16cid:durableId="332295806">
    <w:abstractNumId w:val="3"/>
  </w:num>
  <w:num w:numId="8" w16cid:durableId="747843321">
    <w:abstractNumId w:val="2"/>
  </w:num>
  <w:num w:numId="9" w16cid:durableId="465856786">
    <w:abstractNumId w:val="1"/>
  </w:num>
  <w:num w:numId="10" w16cid:durableId="539321698">
    <w:abstractNumId w:val="0"/>
  </w:num>
  <w:num w:numId="11" w16cid:durableId="1387874918">
    <w:abstractNumId w:val="10"/>
  </w:num>
  <w:num w:numId="12" w16cid:durableId="2136022144">
    <w:abstractNumId w:val="12"/>
  </w:num>
  <w:num w:numId="13" w16cid:durableId="1208375448">
    <w:abstractNumId w:val="15"/>
  </w:num>
  <w:num w:numId="14" w16cid:durableId="1302734800">
    <w:abstractNumId w:val="13"/>
  </w:num>
  <w:num w:numId="15" w16cid:durableId="2056074937">
    <w:abstractNumId w:val="9"/>
  </w:num>
  <w:num w:numId="16" w16cid:durableId="155322434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15C"/>
    <w:rsid w:val="00001D16"/>
    <w:rsid w:val="000020F0"/>
    <w:rsid w:val="00003185"/>
    <w:rsid w:val="00006C55"/>
    <w:rsid w:val="0001373E"/>
    <w:rsid w:val="00013862"/>
    <w:rsid w:val="00014599"/>
    <w:rsid w:val="00016012"/>
    <w:rsid w:val="00020189"/>
    <w:rsid w:val="00020EE4"/>
    <w:rsid w:val="00020FCB"/>
    <w:rsid w:val="000217E8"/>
    <w:rsid w:val="00023906"/>
    <w:rsid w:val="00023E9A"/>
    <w:rsid w:val="00025A42"/>
    <w:rsid w:val="000269D9"/>
    <w:rsid w:val="00033C2F"/>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18BD"/>
    <w:rsid w:val="0008289C"/>
    <w:rsid w:val="0008539E"/>
    <w:rsid w:val="00092799"/>
    <w:rsid w:val="00092A99"/>
    <w:rsid w:val="00092C5F"/>
    <w:rsid w:val="00093ABC"/>
    <w:rsid w:val="00096680"/>
    <w:rsid w:val="000A0F36"/>
    <w:rsid w:val="000A174A"/>
    <w:rsid w:val="000A3E0A"/>
    <w:rsid w:val="000A65AC"/>
    <w:rsid w:val="000A79EB"/>
    <w:rsid w:val="000B7281"/>
    <w:rsid w:val="000B7FAB"/>
    <w:rsid w:val="000C1BA1"/>
    <w:rsid w:val="000C360A"/>
    <w:rsid w:val="000C3EA9"/>
    <w:rsid w:val="000C4A32"/>
    <w:rsid w:val="000C65BB"/>
    <w:rsid w:val="000C7119"/>
    <w:rsid w:val="000D0225"/>
    <w:rsid w:val="000D249E"/>
    <w:rsid w:val="000D6399"/>
    <w:rsid w:val="000E04A1"/>
    <w:rsid w:val="000E5886"/>
    <w:rsid w:val="000E6621"/>
    <w:rsid w:val="000E7895"/>
    <w:rsid w:val="000F161D"/>
    <w:rsid w:val="000F1B4E"/>
    <w:rsid w:val="000F1FFF"/>
    <w:rsid w:val="000F2DE7"/>
    <w:rsid w:val="00100203"/>
    <w:rsid w:val="001032FF"/>
    <w:rsid w:val="00104B4D"/>
    <w:rsid w:val="00105677"/>
    <w:rsid w:val="001177B4"/>
    <w:rsid w:val="00122CF9"/>
    <w:rsid w:val="00123704"/>
    <w:rsid w:val="001270C7"/>
    <w:rsid w:val="00132540"/>
    <w:rsid w:val="001377D4"/>
    <w:rsid w:val="00141618"/>
    <w:rsid w:val="00142E41"/>
    <w:rsid w:val="0014786A"/>
    <w:rsid w:val="00147A49"/>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A36"/>
    <w:rsid w:val="001C4D5A"/>
    <w:rsid w:val="001E0256"/>
    <w:rsid w:val="001E2023"/>
    <w:rsid w:val="001E34C6"/>
    <w:rsid w:val="001E5581"/>
    <w:rsid w:val="001F3C70"/>
    <w:rsid w:val="001F6268"/>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1C15"/>
    <w:rsid w:val="00236CFE"/>
    <w:rsid w:val="002428E3"/>
    <w:rsid w:val="0024430A"/>
    <w:rsid w:val="00245FF7"/>
    <w:rsid w:val="00253B65"/>
    <w:rsid w:val="0026060B"/>
    <w:rsid w:val="00260BAF"/>
    <w:rsid w:val="002610A6"/>
    <w:rsid w:val="00263400"/>
    <w:rsid w:val="00263FD6"/>
    <w:rsid w:val="002650F7"/>
    <w:rsid w:val="0026686B"/>
    <w:rsid w:val="00273F3B"/>
    <w:rsid w:val="00274DB7"/>
    <w:rsid w:val="00275984"/>
    <w:rsid w:val="00276199"/>
    <w:rsid w:val="002768F3"/>
    <w:rsid w:val="00276DA4"/>
    <w:rsid w:val="00280F74"/>
    <w:rsid w:val="00286998"/>
    <w:rsid w:val="00291AB7"/>
    <w:rsid w:val="00294157"/>
    <w:rsid w:val="0029422B"/>
    <w:rsid w:val="00294DCB"/>
    <w:rsid w:val="0029793D"/>
    <w:rsid w:val="00297AE8"/>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2"/>
    <w:rsid w:val="002D502D"/>
    <w:rsid w:val="002D513E"/>
    <w:rsid w:val="002D6C72"/>
    <w:rsid w:val="002E0F69"/>
    <w:rsid w:val="002E1572"/>
    <w:rsid w:val="002E2142"/>
    <w:rsid w:val="002E2DA3"/>
    <w:rsid w:val="002E4CF2"/>
    <w:rsid w:val="002E6FC0"/>
    <w:rsid w:val="002F258D"/>
    <w:rsid w:val="002F3F37"/>
    <w:rsid w:val="002F493B"/>
    <w:rsid w:val="002F4ED5"/>
    <w:rsid w:val="002F5147"/>
    <w:rsid w:val="002F5A0B"/>
    <w:rsid w:val="002F687E"/>
    <w:rsid w:val="002F71BB"/>
    <w:rsid w:val="002F7ABD"/>
    <w:rsid w:val="00300AD6"/>
    <w:rsid w:val="00307B3C"/>
    <w:rsid w:val="003102DF"/>
    <w:rsid w:val="00310EF2"/>
    <w:rsid w:val="003115A6"/>
    <w:rsid w:val="00312597"/>
    <w:rsid w:val="00322836"/>
    <w:rsid w:val="003312F7"/>
    <w:rsid w:val="00334154"/>
    <w:rsid w:val="003341D0"/>
    <w:rsid w:val="00336699"/>
    <w:rsid w:val="003372C4"/>
    <w:rsid w:val="00341FA0"/>
    <w:rsid w:val="00342374"/>
    <w:rsid w:val="00344F3D"/>
    <w:rsid w:val="00345299"/>
    <w:rsid w:val="00347221"/>
    <w:rsid w:val="00351A8D"/>
    <w:rsid w:val="003526BB"/>
    <w:rsid w:val="00352BCF"/>
    <w:rsid w:val="00353932"/>
    <w:rsid w:val="0035464B"/>
    <w:rsid w:val="00356D2B"/>
    <w:rsid w:val="003607F4"/>
    <w:rsid w:val="00360C61"/>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12AC"/>
    <w:rsid w:val="003A7160"/>
    <w:rsid w:val="003B0155"/>
    <w:rsid w:val="003B06C3"/>
    <w:rsid w:val="003B09DB"/>
    <w:rsid w:val="003B4551"/>
    <w:rsid w:val="003B528D"/>
    <w:rsid w:val="003B7EE7"/>
    <w:rsid w:val="003C2CCB"/>
    <w:rsid w:val="003C3C02"/>
    <w:rsid w:val="003C4A1C"/>
    <w:rsid w:val="003C5BCB"/>
    <w:rsid w:val="003D39EC"/>
    <w:rsid w:val="003D40EA"/>
    <w:rsid w:val="003E3DD5"/>
    <w:rsid w:val="003F07C6"/>
    <w:rsid w:val="003F1F6B"/>
    <w:rsid w:val="003F3757"/>
    <w:rsid w:val="003F44B7"/>
    <w:rsid w:val="003F62C0"/>
    <w:rsid w:val="004008E9"/>
    <w:rsid w:val="00407991"/>
    <w:rsid w:val="0041019E"/>
    <w:rsid w:val="00412AB2"/>
    <w:rsid w:val="00413D48"/>
    <w:rsid w:val="00424A60"/>
    <w:rsid w:val="0043021F"/>
    <w:rsid w:val="00434042"/>
    <w:rsid w:val="00434500"/>
    <w:rsid w:val="00441AC2"/>
    <w:rsid w:val="0044249B"/>
    <w:rsid w:val="004425A7"/>
    <w:rsid w:val="0044605E"/>
    <w:rsid w:val="0045023C"/>
    <w:rsid w:val="00451A5B"/>
    <w:rsid w:val="00452BCD"/>
    <w:rsid w:val="00452CEA"/>
    <w:rsid w:val="004638AC"/>
    <w:rsid w:val="00463A63"/>
    <w:rsid w:val="00465B52"/>
    <w:rsid w:val="0046708E"/>
    <w:rsid w:val="00467D61"/>
    <w:rsid w:val="0047126E"/>
    <w:rsid w:val="004719CB"/>
    <w:rsid w:val="004722BE"/>
    <w:rsid w:val="00472A65"/>
    <w:rsid w:val="00474463"/>
    <w:rsid w:val="00474B75"/>
    <w:rsid w:val="00483ECA"/>
    <w:rsid w:val="00483F0B"/>
    <w:rsid w:val="0049501A"/>
    <w:rsid w:val="00496319"/>
    <w:rsid w:val="0049657E"/>
    <w:rsid w:val="00497279"/>
    <w:rsid w:val="004A010B"/>
    <w:rsid w:val="004A089B"/>
    <w:rsid w:val="004A3186"/>
    <w:rsid w:val="004A419C"/>
    <w:rsid w:val="004A670A"/>
    <w:rsid w:val="004A7F95"/>
    <w:rsid w:val="004B5465"/>
    <w:rsid w:val="004B6487"/>
    <w:rsid w:val="004B70F0"/>
    <w:rsid w:val="004C0035"/>
    <w:rsid w:val="004C0CB9"/>
    <w:rsid w:val="004C1299"/>
    <w:rsid w:val="004C78FA"/>
    <w:rsid w:val="004C7E1D"/>
    <w:rsid w:val="004D065C"/>
    <w:rsid w:val="004D33FE"/>
    <w:rsid w:val="004D39A8"/>
    <w:rsid w:val="004D4703"/>
    <w:rsid w:val="004D505E"/>
    <w:rsid w:val="004D5AD7"/>
    <w:rsid w:val="004D67E8"/>
    <w:rsid w:val="004D6ECA"/>
    <w:rsid w:val="004D72CA"/>
    <w:rsid w:val="004E2242"/>
    <w:rsid w:val="004F0F6D"/>
    <w:rsid w:val="004F131E"/>
    <w:rsid w:val="004F19EB"/>
    <w:rsid w:val="004F2483"/>
    <w:rsid w:val="004F42FF"/>
    <w:rsid w:val="004F44C2"/>
    <w:rsid w:val="004F60BC"/>
    <w:rsid w:val="00505262"/>
    <w:rsid w:val="005107B1"/>
    <w:rsid w:val="00516022"/>
    <w:rsid w:val="00521CEE"/>
    <w:rsid w:val="00527BD4"/>
    <w:rsid w:val="00533061"/>
    <w:rsid w:val="00533FA1"/>
    <w:rsid w:val="00534C77"/>
    <w:rsid w:val="00535573"/>
    <w:rsid w:val="005403C8"/>
    <w:rsid w:val="00541AD9"/>
    <w:rsid w:val="005429DC"/>
    <w:rsid w:val="00543C5C"/>
    <w:rsid w:val="005565F9"/>
    <w:rsid w:val="005639D2"/>
    <w:rsid w:val="00565739"/>
    <w:rsid w:val="00571C7E"/>
    <w:rsid w:val="00573041"/>
    <w:rsid w:val="00575B80"/>
    <w:rsid w:val="00577559"/>
    <w:rsid w:val="005819CE"/>
    <w:rsid w:val="0058298D"/>
    <w:rsid w:val="00586D03"/>
    <w:rsid w:val="00590595"/>
    <w:rsid w:val="00593C2B"/>
    <w:rsid w:val="00595231"/>
    <w:rsid w:val="00595CBB"/>
    <w:rsid w:val="00595D58"/>
    <w:rsid w:val="00596166"/>
    <w:rsid w:val="00597F64"/>
    <w:rsid w:val="005A1AF5"/>
    <w:rsid w:val="005A207F"/>
    <w:rsid w:val="005A2F35"/>
    <w:rsid w:val="005A7512"/>
    <w:rsid w:val="005B0D88"/>
    <w:rsid w:val="005B3441"/>
    <w:rsid w:val="005B463E"/>
    <w:rsid w:val="005B4FAC"/>
    <w:rsid w:val="005B5D8B"/>
    <w:rsid w:val="005B6F63"/>
    <w:rsid w:val="005C0983"/>
    <w:rsid w:val="005C34E1"/>
    <w:rsid w:val="005C3FE0"/>
    <w:rsid w:val="005C4C82"/>
    <w:rsid w:val="005C740C"/>
    <w:rsid w:val="005D283A"/>
    <w:rsid w:val="005D427D"/>
    <w:rsid w:val="005D625B"/>
    <w:rsid w:val="005E1573"/>
    <w:rsid w:val="005E3322"/>
    <w:rsid w:val="005E436C"/>
    <w:rsid w:val="005E64E2"/>
    <w:rsid w:val="005E7133"/>
    <w:rsid w:val="005F62D3"/>
    <w:rsid w:val="005F6D11"/>
    <w:rsid w:val="00600CF0"/>
    <w:rsid w:val="006048F4"/>
    <w:rsid w:val="0060660A"/>
    <w:rsid w:val="00610A24"/>
    <w:rsid w:val="00613977"/>
    <w:rsid w:val="00613B1D"/>
    <w:rsid w:val="00617311"/>
    <w:rsid w:val="00617A44"/>
    <w:rsid w:val="006202B6"/>
    <w:rsid w:val="006205C0"/>
    <w:rsid w:val="00623CB2"/>
    <w:rsid w:val="00625CD0"/>
    <w:rsid w:val="0062627D"/>
    <w:rsid w:val="00627432"/>
    <w:rsid w:val="00635031"/>
    <w:rsid w:val="0064067E"/>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6A07"/>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6015"/>
    <w:rsid w:val="006E2DC0"/>
    <w:rsid w:val="006E3546"/>
    <w:rsid w:val="006E3FA9"/>
    <w:rsid w:val="006E419B"/>
    <w:rsid w:val="006E7D82"/>
    <w:rsid w:val="006F038F"/>
    <w:rsid w:val="006F0F93"/>
    <w:rsid w:val="006F2472"/>
    <w:rsid w:val="006F273B"/>
    <w:rsid w:val="006F31F2"/>
    <w:rsid w:val="00704087"/>
    <w:rsid w:val="00704845"/>
    <w:rsid w:val="00706699"/>
    <w:rsid w:val="00706AB3"/>
    <w:rsid w:val="0071000C"/>
    <w:rsid w:val="00714DC5"/>
    <w:rsid w:val="00715237"/>
    <w:rsid w:val="00715B44"/>
    <w:rsid w:val="007174F4"/>
    <w:rsid w:val="00721D2E"/>
    <w:rsid w:val="007242CC"/>
    <w:rsid w:val="00724A8B"/>
    <w:rsid w:val="007254A5"/>
    <w:rsid w:val="00725748"/>
    <w:rsid w:val="00727AAC"/>
    <w:rsid w:val="00735D88"/>
    <w:rsid w:val="0073720D"/>
    <w:rsid w:val="00737507"/>
    <w:rsid w:val="00740712"/>
    <w:rsid w:val="00741309"/>
    <w:rsid w:val="00742AB9"/>
    <w:rsid w:val="0074371A"/>
    <w:rsid w:val="00745AE0"/>
    <w:rsid w:val="00751A6A"/>
    <w:rsid w:val="00754AD6"/>
    <w:rsid w:val="00754FBF"/>
    <w:rsid w:val="007615AC"/>
    <w:rsid w:val="00764585"/>
    <w:rsid w:val="00767FEF"/>
    <w:rsid w:val="007709EF"/>
    <w:rsid w:val="00783559"/>
    <w:rsid w:val="007846ED"/>
    <w:rsid w:val="007851C4"/>
    <w:rsid w:val="00785C3B"/>
    <w:rsid w:val="00797AA5"/>
    <w:rsid w:val="007A0E58"/>
    <w:rsid w:val="007A26BD"/>
    <w:rsid w:val="007A4105"/>
    <w:rsid w:val="007A4F0E"/>
    <w:rsid w:val="007A514C"/>
    <w:rsid w:val="007B0D8E"/>
    <w:rsid w:val="007B4503"/>
    <w:rsid w:val="007C03C9"/>
    <w:rsid w:val="007C16D8"/>
    <w:rsid w:val="007C406E"/>
    <w:rsid w:val="007C5183"/>
    <w:rsid w:val="007C7573"/>
    <w:rsid w:val="007D43F6"/>
    <w:rsid w:val="007E14E4"/>
    <w:rsid w:val="007E2B20"/>
    <w:rsid w:val="007E7734"/>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3D67"/>
    <w:rsid w:val="008547BA"/>
    <w:rsid w:val="0085498C"/>
    <w:rsid w:val="008553C7"/>
    <w:rsid w:val="00857FEB"/>
    <w:rsid w:val="008601AF"/>
    <w:rsid w:val="00872271"/>
    <w:rsid w:val="008731F6"/>
    <w:rsid w:val="00874982"/>
    <w:rsid w:val="008762B6"/>
    <w:rsid w:val="00883137"/>
    <w:rsid w:val="00892BA5"/>
    <w:rsid w:val="008A08AC"/>
    <w:rsid w:val="008A1F5D"/>
    <w:rsid w:val="008A28F5"/>
    <w:rsid w:val="008A40BE"/>
    <w:rsid w:val="008B0E6F"/>
    <w:rsid w:val="008B1198"/>
    <w:rsid w:val="008B2349"/>
    <w:rsid w:val="008B2D62"/>
    <w:rsid w:val="008B3471"/>
    <w:rsid w:val="008B3929"/>
    <w:rsid w:val="008B3BAB"/>
    <w:rsid w:val="008B4125"/>
    <w:rsid w:val="008B4172"/>
    <w:rsid w:val="008B4CB3"/>
    <w:rsid w:val="008B567B"/>
    <w:rsid w:val="008B7B24"/>
    <w:rsid w:val="008C09BA"/>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5FDF"/>
    <w:rsid w:val="0092611E"/>
    <w:rsid w:val="00926F1F"/>
    <w:rsid w:val="00926F4B"/>
    <w:rsid w:val="00930B13"/>
    <w:rsid w:val="009311C8"/>
    <w:rsid w:val="0093199F"/>
    <w:rsid w:val="00933376"/>
    <w:rsid w:val="00933A2F"/>
    <w:rsid w:val="00935201"/>
    <w:rsid w:val="0094000D"/>
    <w:rsid w:val="00940206"/>
    <w:rsid w:val="00941B16"/>
    <w:rsid w:val="00946703"/>
    <w:rsid w:val="009519CE"/>
    <w:rsid w:val="009528B2"/>
    <w:rsid w:val="009607C4"/>
    <w:rsid w:val="00962F2A"/>
    <w:rsid w:val="00963440"/>
    <w:rsid w:val="00971301"/>
    <w:rsid w:val="009716D8"/>
    <w:rsid w:val="009718F9"/>
    <w:rsid w:val="009724E4"/>
    <w:rsid w:val="00972FB9"/>
    <w:rsid w:val="00975112"/>
    <w:rsid w:val="009812EB"/>
    <w:rsid w:val="00981768"/>
    <w:rsid w:val="009838BB"/>
    <w:rsid w:val="00983E8F"/>
    <w:rsid w:val="009859A2"/>
    <w:rsid w:val="00992338"/>
    <w:rsid w:val="00992D20"/>
    <w:rsid w:val="00994FDA"/>
    <w:rsid w:val="0099709C"/>
    <w:rsid w:val="00997D15"/>
    <w:rsid w:val="009A31BF"/>
    <w:rsid w:val="009A3B71"/>
    <w:rsid w:val="009A5914"/>
    <w:rsid w:val="009A61BC"/>
    <w:rsid w:val="009B0138"/>
    <w:rsid w:val="009B0FE9"/>
    <w:rsid w:val="009B173A"/>
    <w:rsid w:val="009B1BE9"/>
    <w:rsid w:val="009B2BDD"/>
    <w:rsid w:val="009B5846"/>
    <w:rsid w:val="009B601B"/>
    <w:rsid w:val="009C0281"/>
    <w:rsid w:val="009C26D9"/>
    <w:rsid w:val="009C3F20"/>
    <w:rsid w:val="009C64FB"/>
    <w:rsid w:val="009C7CA1"/>
    <w:rsid w:val="009D043D"/>
    <w:rsid w:val="009D716F"/>
    <w:rsid w:val="009E3B07"/>
    <w:rsid w:val="009F3259"/>
    <w:rsid w:val="009F541F"/>
    <w:rsid w:val="00A00660"/>
    <w:rsid w:val="00A056DE"/>
    <w:rsid w:val="00A0678A"/>
    <w:rsid w:val="00A1289E"/>
    <w:rsid w:val="00A128AD"/>
    <w:rsid w:val="00A20730"/>
    <w:rsid w:val="00A21E76"/>
    <w:rsid w:val="00A23BC8"/>
    <w:rsid w:val="00A2531F"/>
    <w:rsid w:val="00A30889"/>
    <w:rsid w:val="00A30E68"/>
    <w:rsid w:val="00A31933"/>
    <w:rsid w:val="00A32073"/>
    <w:rsid w:val="00A34AA0"/>
    <w:rsid w:val="00A41FE2"/>
    <w:rsid w:val="00A421A1"/>
    <w:rsid w:val="00A46FEF"/>
    <w:rsid w:val="00A47948"/>
    <w:rsid w:val="00A50CF6"/>
    <w:rsid w:val="00A51C81"/>
    <w:rsid w:val="00A558CC"/>
    <w:rsid w:val="00A56850"/>
    <w:rsid w:val="00A56946"/>
    <w:rsid w:val="00A604D3"/>
    <w:rsid w:val="00A6170E"/>
    <w:rsid w:val="00A63B8C"/>
    <w:rsid w:val="00A67AC7"/>
    <w:rsid w:val="00A70633"/>
    <w:rsid w:val="00A715F8"/>
    <w:rsid w:val="00A73727"/>
    <w:rsid w:val="00A741BA"/>
    <w:rsid w:val="00A773CC"/>
    <w:rsid w:val="00A77F6F"/>
    <w:rsid w:val="00A831FD"/>
    <w:rsid w:val="00A83352"/>
    <w:rsid w:val="00A850A2"/>
    <w:rsid w:val="00A91FA3"/>
    <w:rsid w:val="00A927D3"/>
    <w:rsid w:val="00A9429A"/>
    <w:rsid w:val="00A94FCC"/>
    <w:rsid w:val="00AA0E8F"/>
    <w:rsid w:val="00AA6A6A"/>
    <w:rsid w:val="00AA70B0"/>
    <w:rsid w:val="00AA7FC9"/>
    <w:rsid w:val="00AB0119"/>
    <w:rsid w:val="00AB03AA"/>
    <w:rsid w:val="00AB237D"/>
    <w:rsid w:val="00AB50E6"/>
    <w:rsid w:val="00AB5933"/>
    <w:rsid w:val="00AB7EC0"/>
    <w:rsid w:val="00AC2AA4"/>
    <w:rsid w:val="00AD34B3"/>
    <w:rsid w:val="00AD5B44"/>
    <w:rsid w:val="00AD7608"/>
    <w:rsid w:val="00AE013D"/>
    <w:rsid w:val="00AE11B7"/>
    <w:rsid w:val="00AE18BA"/>
    <w:rsid w:val="00AE18CC"/>
    <w:rsid w:val="00AE7130"/>
    <w:rsid w:val="00AE7F68"/>
    <w:rsid w:val="00AF2321"/>
    <w:rsid w:val="00AF52F6"/>
    <w:rsid w:val="00AF7237"/>
    <w:rsid w:val="00B0043A"/>
    <w:rsid w:val="00B00D75"/>
    <w:rsid w:val="00B0552A"/>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0F68"/>
    <w:rsid w:val="00B81AD2"/>
    <w:rsid w:val="00B81AEC"/>
    <w:rsid w:val="00B820C0"/>
    <w:rsid w:val="00B85A66"/>
    <w:rsid w:val="00B85BDC"/>
    <w:rsid w:val="00B85ED4"/>
    <w:rsid w:val="00B85F07"/>
    <w:rsid w:val="00B91CFC"/>
    <w:rsid w:val="00B925AC"/>
    <w:rsid w:val="00B93893"/>
    <w:rsid w:val="00B94658"/>
    <w:rsid w:val="00BA439D"/>
    <w:rsid w:val="00BA7E0A"/>
    <w:rsid w:val="00BB61B0"/>
    <w:rsid w:val="00BC0D9E"/>
    <w:rsid w:val="00BC3B53"/>
    <w:rsid w:val="00BC3B96"/>
    <w:rsid w:val="00BC4AE3"/>
    <w:rsid w:val="00BC5B28"/>
    <w:rsid w:val="00BC64BD"/>
    <w:rsid w:val="00BC7264"/>
    <w:rsid w:val="00BE17D4"/>
    <w:rsid w:val="00BE2863"/>
    <w:rsid w:val="00BE2C5B"/>
    <w:rsid w:val="00BE3F88"/>
    <w:rsid w:val="00BE4756"/>
    <w:rsid w:val="00BE5ED9"/>
    <w:rsid w:val="00BE7B41"/>
    <w:rsid w:val="00BF4427"/>
    <w:rsid w:val="00BF46B6"/>
    <w:rsid w:val="00BF4CB0"/>
    <w:rsid w:val="00BF5675"/>
    <w:rsid w:val="00BF6E10"/>
    <w:rsid w:val="00C01A54"/>
    <w:rsid w:val="00C15A91"/>
    <w:rsid w:val="00C17EA1"/>
    <w:rsid w:val="00C206F1"/>
    <w:rsid w:val="00C2159D"/>
    <w:rsid w:val="00C217E1"/>
    <w:rsid w:val="00C219B1"/>
    <w:rsid w:val="00C231E2"/>
    <w:rsid w:val="00C2703D"/>
    <w:rsid w:val="00C32F8E"/>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4AE2"/>
    <w:rsid w:val="00C965EF"/>
    <w:rsid w:val="00C97C80"/>
    <w:rsid w:val="00CA1D00"/>
    <w:rsid w:val="00CA35E4"/>
    <w:rsid w:val="00CA47D3"/>
    <w:rsid w:val="00CA4BD6"/>
    <w:rsid w:val="00CA6533"/>
    <w:rsid w:val="00CA6A25"/>
    <w:rsid w:val="00CA6A3F"/>
    <w:rsid w:val="00CA7C99"/>
    <w:rsid w:val="00CB1D9B"/>
    <w:rsid w:val="00CB408C"/>
    <w:rsid w:val="00CB6C13"/>
    <w:rsid w:val="00CC15DE"/>
    <w:rsid w:val="00CC6290"/>
    <w:rsid w:val="00CC738F"/>
    <w:rsid w:val="00CD233D"/>
    <w:rsid w:val="00CD362D"/>
    <w:rsid w:val="00CD6C1C"/>
    <w:rsid w:val="00CE101D"/>
    <w:rsid w:val="00CE1C84"/>
    <w:rsid w:val="00CE3F57"/>
    <w:rsid w:val="00CE4E63"/>
    <w:rsid w:val="00CE5055"/>
    <w:rsid w:val="00CE6426"/>
    <w:rsid w:val="00CF053F"/>
    <w:rsid w:val="00CF1A17"/>
    <w:rsid w:val="00D0140D"/>
    <w:rsid w:val="00D01C92"/>
    <w:rsid w:val="00D030AB"/>
    <w:rsid w:val="00D037A9"/>
    <w:rsid w:val="00D0609E"/>
    <w:rsid w:val="00D074E2"/>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260F"/>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00C"/>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3E8F"/>
    <w:rsid w:val="00E0622C"/>
    <w:rsid w:val="00E0675E"/>
    <w:rsid w:val="00E10DC6"/>
    <w:rsid w:val="00E11F8E"/>
    <w:rsid w:val="00E121AC"/>
    <w:rsid w:val="00E13D95"/>
    <w:rsid w:val="00E14AA3"/>
    <w:rsid w:val="00E15881"/>
    <w:rsid w:val="00E16A8F"/>
    <w:rsid w:val="00E17CA2"/>
    <w:rsid w:val="00E20C1B"/>
    <w:rsid w:val="00E20C25"/>
    <w:rsid w:val="00E21DE3"/>
    <w:rsid w:val="00E233D5"/>
    <w:rsid w:val="00E24175"/>
    <w:rsid w:val="00E307D1"/>
    <w:rsid w:val="00E31DEC"/>
    <w:rsid w:val="00E35710"/>
    <w:rsid w:val="00E35991"/>
    <w:rsid w:val="00E35CF4"/>
    <w:rsid w:val="00E3731D"/>
    <w:rsid w:val="00E37811"/>
    <w:rsid w:val="00E468E4"/>
    <w:rsid w:val="00E51469"/>
    <w:rsid w:val="00E54114"/>
    <w:rsid w:val="00E62709"/>
    <w:rsid w:val="00E63376"/>
    <w:rsid w:val="00E634E3"/>
    <w:rsid w:val="00E717C4"/>
    <w:rsid w:val="00E74D10"/>
    <w:rsid w:val="00E776C6"/>
    <w:rsid w:val="00E77F89"/>
    <w:rsid w:val="00E80E71"/>
    <w:rsid w:val="00E81589"/>
    <w:rsid w:val="00E822BF"/>
    <w:rsid w:val="00E841C1"/>
    <w:rsid w:val="00E850D3"/>
    <w:rsid w:val="00E853D6"/>
    <w:rsid w:val="00E8544F"/>
    <w:rsid w:val="00E876B9"/>
    <w:rsid w:val="00E91B40"/>
    <w:rsid w:val="00E91F7C"/>
    <w:rsid w:val="00E93891"/>
    <w:rsid w:val="00E94D82"/>
    <w:rsid w:val="00E94DAF"/>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CC9"/>
    <w:rsid w:val="00F00CCE"/>
    <w:rsid w:val="00F00F54"/>
    <w:rsid w:val="00F02E9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2F2"/>
    <w:rsid w:val="00F31111"/>
    <w:rsid w:val="00F40F11"/>
    <w:rsid w:val="00F41A6F"/>
    <w:rsid w:val="00F45A25"/>
    <w:rsid w:val="00F461E2"/>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5C5A"/>
    <w:rsid w:val="00FC08A4"/>
    <w:rsid w:val="00FC202F"/>
    <w:rsid w:val="00FC3165"/>
    <w:rsid w:val="00FC36AB"/>
    <w:rsid w:val="00FC38FF"/>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F54AB"/>
  <w15:docId w15:val="{6B1E69B5-9439-4AFA-A4B0-F63C5125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E121AC"/>
    <w:rPr>
      <w:sz w:val="16"/>
      <w:szCs w:val="16"/>
    </w:rPr>
  </w:style>
  <w:style w:type="paragraph" w:styleId="Tekstopmerking">
    <w:name w:val="annotation text"/>
    <w:basedOn w:val="Standaard"/>
    <w:link w:val="TekstopmerkingChar"/>
    <w:rsid w:val="00E121AC"/>
    <w:pPr>
      <w:spacing w:line="240" w:lineRule="auto"/>
    </w:pPr>
    <w:rPr>
      <w:sz w:val="20"/>
      <w:szCs w:val="20"/>
    </w:rPr>
  </w:style>
  <w:style w:type="character" w:customStyle="1" w:styleId="TekstopmerkingChar">
    <w:name w:val="Tekst opmerking Char"/>
    <w:basedOn w:val="Standaardalinea-lettertype"/>
    <w:link w:val="Tekstopmerking"/>
    <w:rsid w:val="00E121AC"/>
    <w:rPr>
      <w:rFonts w:ascii="Verdana" w:hAnsi="Verdana"/>
      <w:lang w:val="nl-NL" w:eastAsia="nl-NL"/>
    </w:rPr>
  </w:style>
  <w:style w:type="paragraph" w:styleId="Onderwerpvanopmerking">
    <w:name w:val="annotation subject"/>
    <w:basedOn w:val="Tekstopmerking"/>
    <w:next w:val="Tekstopmerking"/>
    <w:link w:val="OnderwerpvanopmerkingChar"/>
    <w:rsid w:val="00E121AC"/>
    <w:rPr>
      <w:b/>
      <w:bCs/>
    </w:rPr>
  </w:style>
  <w:style w:type="character" w:customStyle="1" w:styleId="OnderwerpvanopmerkingChar">
    <w:name w:val="Onderwerp van opmerking Char"/>
    <w:basedOn w:val="TekstopmerkingChar"/>
    <w:link w:val="Onderwerpvanopmerking"/>
    <w:rsid w:val="00E121AC"/>
    <w:rPr>
      <w:rFonts w:ascii="Verdana" w:hAnsi="Verdana"/>
      <w:b/>
      <w:bCs/>
      <w:lang w:val="nl-NL" w:eastAsia="nl-NL"/>
    </w:rPr>
  </w:style>
  <w:style w:type="paragraph" w:styleId="Revisie">
    <w:name w:val="Revision"/>
    <w:hidden/>
    <w:uiPriority w:val="99"/>
    <w:semiHidden/>
    <w:rsid w:val="00715B44"/>
    <w:rPr>
      <w:rFonts w:ascii="Verdana" w:hAnsi="Verdana"/>
      <w:sz w:val="18"/>
      <w:szCs w:val="24"/>
      <w:lang w:val="nl-NL" w:eastAsia="nl-NL"/>
    </w:rPr>
  </w:style>
  <w:style w:type="paragraph" w:styleId="Lijstalinea">
    <w:name w:val="List Paragraph"/>
    <w:basedOn w:val="Standaard"/>
    <w:uiPriority w:val="34"/>
    <w:qFormat/>
    <w:rsid w:val="00AE18CC"/>
    <w:pPr>
      <w:ind w:left="720"/>
      <w:contextualSpacing/>
    </w:pPr>
  </w:style>
  <w:style w:type="character" w:styleId="Voetnootmarkering">
    <w:name w:val="footnote reference"/>
    <w:basedOn w:val="Standaardalinea-lettertype"/>
    <w:rsid w:val="00A30889"/>
    <w:rPr>
      <w:vertAlign w:val="superscript"/>
    </w:rPr>
  </w:style>
  <w:style w:type="character" w:styleId="Onopgelostemelding">
    <w:name w:val="Unresolved Mention"/>
    <w:basedOn w:val="Standaardalinea-lettertype"/>
    <w:uiPriority w:val="99"/>
    <w:semiHidden/>
    <w:unhideWhenUsed/>
    <w:rsid w:val="00A30889"/>
    <w:rPr>
      <w:color w:val="605E5C"/>
      <w:shd w:val="clear" w:color="auto" w:fill="E1DFDD"/>
    </w:rPr>
  </w:style>
  <w:style w:type="character" w:customStyle="1" w:styleId="VoetnoottekstChar">
    <w:name w:val="Voetnoottekst Char"/>
    <w:basedOn w:val="Standaardalinea-lettertype"/>
    <w:link w:val="Voetnoottekst"/>
    <w:semiHidden/>
    <w:rsid w:val="00FB5C5A"/>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formatieproducten.duo.rijkscloud.nl/public/dynamisch_rapport_po/" TargetMode="External"/><Relationship Id="rId2" Type="http://schemas.openxmlformats.org/officeDocument/2006/relationships/hyperlink" Target="https://www.rijksoverheid.nl/documenten/2023/10/17/voortgang-aanpak-gevolgen-leerlingendaling-in-het-voortgezet-onderwijs" TargetMode="External"/><Relationship Id="rId1" Type="http://schemas.openxmlformats.org/officeDocument/2006/relationships/hyperlink" Target="https://informatieproducten.duo.rijkscloud.nl/public/dynamisch_rapport_leerlingaantallen_v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1113</ap:Words>
  <ap:Characters>6127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2026-06-29T14:42:00.0000000Z</dcterms:created>
  <dcterms:modified xsi:type="dcterms:W3CDTF">2026-06-29T14:42:00.0000000Z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O202AUS</vt:lpwstr>
  </property>
  <property fmtid="{D5CDD505-2E9C-101B-9397-08002B2CF9AE}" pid="3" name="Author">
    <vt:lpwstr>O202AUS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Afronding traject Incidentele Middelen Leerlingendaling (IML)</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O202AUS</vt:lpwstr>
  </property>
</Properties>
</file>