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856" w:rsidP="003E6856" w:rsidRDefault="003E6856" w14:paraId="385A2D15" w14:textId="77777777">
      <w:r>
        <w:t>Geachte Voorzitter,</w:t>
      </w:r>
    </w:p>
    <w:p w:rsidR="003E6856" w:rsidP="003E6856" w:rsidRDefault="003E6856" w14:paraId="76803E64" w14:textId="77777777"/>
    <w:p w:rsidR="00E22756" w:rsidP="003E6856" w:rsidRDefault="003E6856" w14:paraId="1464AB5E" w14:textId="77777777">
      <w:bookmarkStart w:name="_Hlk138243579" w:id="0"/>
      <w:r>
        <w:t xml:space="preserve">Hierbij informeer ik u over twee jaarlijkse rapportages over het mestbeleid in relatie tot de derogatie. Het rapport «Landbouwpraktijk en waterkwaliteit op landbouwbedrijven aangemeld voor derogatie 2024», opgesteld door het Rijksinstituut voor Volksgezondheid en Milieu (RIVM) en Wageningen Social &amp; Economic Research </w:t>
      </w:r>
      <w:r w:rsidRPr="00C05D19">
        <w:t>(bijlage 1),</w:t>
      </w:r>
      <w:r>
        <w:t xml:space="preserve"> stuur ik u mede namens de Minister van Infrastructuur en Waterstaat toe. </w:t>
      </w:r>
    </w:p>
    <w:p w:rsidR="00E22756" w:rsidP="003E6856" w:rsidRDefault="00E22756" w14:paraId="4E164014" w14:textId="77777777"/>
    <w:p w:rsidR="00E22756" w:rsidP="003E6856" w:rsidRDefault="003E6856" w14:paraId="560089DE" w14:textId="02ACA3E0">
      <w:r>
        <w:t>Daarnaast stuur ik u ook de «Rapportage Nederlands mestbeleid 2025», opgesteld door het Ministerie van Landbouw, Visserij, Voedselzekerheid en Natuur in samenwerking met de Rijksdienst voor Ondernemend Nederland (RVO) en de Nederlandse Voedsel- en Warenautoriteit (NVWA) (</w:t>
      </w:r>
      <w:r w:rsidRPr="00C05D19">
        <w:t>bijlage 2). Met</w:t>
      </w:r>
      <w:r>
        <w:t xml:space="preserve"> deze rapporten wordt invulling gegeven aan de rapportageverplichting uit de derogatiebeschikking (nr. </w:t>
      </w:r>
      <w:r w:rsidRPr="008B3A71">
        <w:t>2022</w:t>
      </w:r>
      <w:r>
        <w:t>-</w:t>
      </w:r>
      <w:r w:rsidRPr="008B3A71">
        <w:t>2069</w:t>
      </w:r>
      <w:r>
        <w:t xml:space="preserve"> EU). </w:t>
      </w:r>
      <w:r w:rsidR="00E22756">
        <w:rPr>
          <w:rStyle w:val="normaltextrun"/>
          <w:rFonts w:eastAsiaTheme="majorEastAsia"/>
          <w:color w:val="000000"/>
          <w:szCs w:val="18"/>
          <w:shd w:val="clear" w:color="auto" w:fill="FFFFFF"/>
        </w:rPr>
        <w:t>O</w:t>
      </w:r>
      <w:r w:rsidRPr="00BB0D68">
        <w:rPr>
          <w:rStyle w:val="normaltextrun"/>
          <w:rFonts w:eastAsiaTheme="majorEastAsia"/>
          <w:color w:val="000000"/>
          <w:szCs w:val="18"/>
          <w:shd w:val="clear" w:color="auto" w:fill="FFFFFF"/>
        </w:rPr>
        <w:t>ok</w:t>
      </w:r>
      <w:r w:rsidR="00E22756">
        <w:rPr>
          <w:rStyle w:val="normaltextrun"/>
          <w:rFonts w:eastAsiaTheme="majorEastAsia"/>
          <w:color w:val="000000"/>
          <w:szCs w:val="18"/>
          <w:shd w:val="clear" w:color="auto" w:fill="FFFFFF"/>
        </w:rPr>
        <w:t xml:space="preserve"> wordt</w:t>
      </w:r>
      <w:r w:rsidRPr="00BB0D68">
        <w:rPr>
          <w:rStyle w:val="normaltextrun"/>
          <w:rFonts w:eastAsiaTheme="majorEastAsia"/>
          <w:color w:val="000000"/>
          <w:szCs w:val="18"/>
          <w:shd w:val="clear" w:color="auto" w:fill="FFFFFF"/>
        </w:rPr>
        <w:t xml:space="preserve"> invulling gegeven aan de rapportageverplichting van de goedkeuringsbeschikking fosfaatrechten (C(2017) 8483).</w:t>
      </w:r>
      <w:r>
        <w:t xml:space="preserve"> </w:t>
      </w:r>
    </w:p>
    <w:p w:rsidR="00E22756" w:rsidP="003E6856" w:rsidRDefault="00E22756" w14:paraId="27975C7D" w14:textId="77777777"/>
    <w:p w:rsidR="003E6856" w:rsidP="003E6856" w:rsidRDefault="003E6856" w14:paraId="30E67246" w14:textId="689141D4">
      <w:r>
        <w:t xml:space="preserve">Tot slot informeer ik u over de voortzetting van de jaarlijkse rapportages mestbeleid, nu de monitorings- en rapportageverplichting uit de derogatiebeschikking komen te vervallen. </w:t>
      </w:r>
    </w:p>
    <w:p w:rsidR="003E6856" w:rsidP="003E6856" w:rsidRDefault="003E6856" w14:paraId="13BAA94B" w14:textId="77777777"/>
    <w:p w:rsidR="003E6856" w:rsidP="003E6856" w:rsidRDefault="003E6856" w14:paraId="7AFD6F1F" w14:textId="77777777">
      <w:pPr>
        <w:pStyle w:val="Normaalweb"/>
        <w:spacing w:before="0" w:beforeAutospacing="0" w:after="0" w:afterAutospacing="0" w:line="240" w:lineRule="atLeast"/>
        <w:rPr>
          <w:rFonts w:ascii="Verdana" w:hAnsi="Verdana" w:cs="Calibri"/>
          <w:sz w:val="18"/>
          <w:szCs w:val="18"/>
        </w:rPr>
      </w:pPr>
      <w:r>
        <w:rPr>
          <w:rFonts w:ascii="Verdana" w:hAnsi="Verdana" w:cs="Calibri"/>
          <w:b/>
          <w:bCs/>
          <w:sz w:val="18"/>
          <w:szCs w:val="18"/>
        </w:rPr>
        <w:t>Landbouwpraktijk en waterkwaliteit op landbouwbedrijven aangemeld voor derogatie in 2024</w:t>
      </w:r>
    </w:p>
    <w:p w:rsidR="003E6856" w:rsidP="003E6856" w:rsidRDefault="003E6856" w14:paraId="679CE009" w14:textId="61AD7308">
      <w:pPr>
        <w:pStyle w:val="Normaalweb"/>
        <w:spacing w:before="0" w:beforeAutospacing="0" w:after="0" w:afterAutospacing="0" w:line="240" w:lineRule="atLeast"/>
        <w:rPr>
          <w:rFonts w:ascii="Verdana" w:hAnsi="Verdana" w:cs="Calibri"/>
          <w:sz w:val="18"/>
          <w:szCs w:val="18"/>
        </w:rPr>
      </w:pPr>
      <w:r>
        <w:rPr>
          <w:rFonts w:ascii="Verdana" w:hAnsi="Verdana" w:cs="Calibri"/>
          <w:sz w:val="18"/>
          <w:szCs w:val="18"/>
        </w:rPr>
        <w:t xml:space="preserve">Het RIVM-rapport 'Landbouwpraktijk en waterkwaliteit op landbouwbedrijven aangemeld voor derogatie in 2024' </w:t>
      </w:r>
      <w:r w:rsidR="00E22756">
        <w:rPr>
          <w:rFonts w:ascii="Verdana" w:hAnsi="Verdana" w:cs="Calibri"/>
          <w:sz w:val="18"/>
          <w:szCs w:val="18"/>
        </w:rPr>
        <w:t xml:space="preserve">bevat </w:t>
      </w:r>
      <w:r>
        <w:rPr>
          <w:rFonts w:ascii="Verdana" w:hAnsi="Verdana" w:cs="Calibri"/>
          <w:sz w:val="18"/>
          <w:szCs w:val="18"/>
        </w:rPr>
        <w:t xml:space="preserve">een analyse over het effect van </w:t>
      </w:r>
      <w:r w:rsidR="00E22756">
        <w:rPr>
          <w:rFonts w:ascii="Verdana" w:hAnsi="Verdana" w:cs="Calibri"/>
          <w:sz w:val="18"/>
          <w:szCs w:val="18"/>
        </w:rPr>
        <w:t xml:space="preserve">de </w:t>
      </w:r>
      <w:r>
        <w:rPr>
          <w:rFonts w:ascii="Verdana" w:hAnsi="Verdana" w:cs="Calibri"/>
          <w:sz w:val="18"/>
          <w:szCs w:val="18"/>
        </w:rPr>
        <w:t xml:space="preserve">derogatie op de waterkwaliteit in 2024 en 2025. Een bedrijf met een derogatievergunning mocht onder voorwaarden meer dan 170 kg stikstof uit graasdiermest per hectare aanwenden, waarvoor de belangrijkste voorwaarde is dat het areaal van een landbouwbedrijf met derogatie voor minimaal 80% uit grasland bestaat. </w:t>
      </w:r>
    </w:p>
    <w:p w:rsidR="003E6856" w:rsidP="003E6856" w:rsidRDefault="003E6856" w14:paraId="084BA924" w14:textId="77777777">
      <w:pPr>
        <w:pStyle w:val="Normaalweb"/>
        <w:spacing w:before="0" w:beforeAutospacing="0" w:after="0" w:afterAutospacing="0" w:line="240" w:lineRule="atLeast"/>
        <w:rPr>
          <w:rFonts w:ascii="Verdana" w:hAnsi="Verdana" w:cs="Calibri"/>
          <w:sz w:val="18"/>
          <w:szCs w:val="18"/>
        </w:rPr>
      </w:pPr>
    </w:p>
    <w:p w:rsidR="003E6856" w:rsidP="003E6856" w:rsidRDefault="003E6856" w14:paraId="59A484D2" w14:textId="77777777">
      <w:pPr>
        <w:pStyle w:val="Normaalweb"/>
        <w:spacing w:before="0" w:beforeAutospacing="0" w:after="0" w:afterAutospacing="0" w:line="240" w:lineRule="atLeast"/>
        <w:rPr>
          <w:rFonts w:ascii="Verdana" w:hAnsi="Verdana" w:cs="Calibri"/>
          <w:sz w:val="18"/>
          <w:szCs w:val="18"/>
        </w:rPr>
      </w:pPr>
      <w:r>
        <w:rPr>
          <w:rFonts w:ascii="Verdana" w:hAnsi="Verdana" w:cs="Calibri"/>
          <w:sz w:val="18"/>
          <w:szCs w:val="18"/>
        </w:rPr>
        <w:t xml:space="preserve">In de rapportage komt naar voren dat de kwaliteit van het grondwater onder bedrijven met een derogatievergunning in 2024 verbeterde ten opzichte van voorgaande jaren. Op bedrijfsniveau zijn nog overschrijdingen van boven de 50 mg/l, al namen deze af ten opzichte van 2023. </w:t>
      </w:r>
      <w:r w:rsidRPr="006B65B9">
        <w:rPr>
          <w:rFonts w:ascii="Verdana" w:hAnsi="Verdana" w:cs="Calibri"/>
          <w:sz w:val="18"/>
          <w:szCs w:val="18"/>
        </w:rPr>
        <w:t>In Zand</w:t>
      </w:r>
      <w:r>
        <w:rPr>
          <w:rFonts w:ascii="Verdana" w:hAnsi="Verdana" w:cs="Calibri"/>
          <w:sz w:val="18"/>
          <w:szCs w:val="18"/>
        </w:rPr>
        <w:t>-</w:t>
      </w:r>
      <w:r w:rsidRPr="006B65B9">
        <w:rPr>
          <w:rFonts w:ascii="Verdana" w:hAnsi="Verdana" w:cs="Calibri"/>
          <w:sz w:val="18"/>
          <w:szCs w:val="18"/>
        </w:rPr>
        <w:t xml:space="preserve">Midden/Zuid had </w:t>
      </w:r>
      <w:r>
        <w:rPr>
          <w:rFonts w:ascii="Verdana" w:hAnsi="Verdana" w:cs="Calibri"/>
          <w:sz w:val="18"/>
          <w:szCs w:val="18"/>
        </w:rPr>
        <w:t>10</w:t>
      </w:r>
      <w:r w:rsidRPr="006B65B9">
        <w:rPr>
          <w:rFonts w:ascii="Verdana" w:hAnsi="Verdana" w:cs="Calibri"/>
          <w:sz w:val="18"/>
          <w:szCs w:val="18"/>
        </w:rPr>
        <w:t xml:space="preserve"> procent van de bedrijven een concentratie hoger dan 50 mg/l.</w:t>
      </w:r>
      <w:r>
        <w:rPr>
          <w:rFonts w:ascii="Verdana" w:hAnsi="Verdana" w:cs="Calibri"/>
          <w:sz w:val="18"/>
          <w:szCs w:val="18"/>
        </w:rPr>
        <w:t xml:space="preserve"> </w:t>
      </w:r>
      <w:r w:rsidRPr="006B65B9">
        <w:rPr>
          <w:rFonts w:ascii="Verdana" w:hAnsi="Verdana" w:cs="Calibri"/>
          <w:sz w:val="18"/>
          <w:szCs w:val="18"/>
        </w:rPr>
        <w:t xml:space="preserve">In de andere </w:t>
      </w:r>
      <w:r w:rsidRPr="006B65B9">
        <w:rPr>
          <w:rFonts w:ascii="Verdana" w:hAnsi="Verdana" w:cs="Calibri"/>
          <w:sz w:val="18"/>
          <w:szCs w:val="18"/>
        </w:rPr>
        <w:lastRenderedPageBreak/>
        <w:t>uitspoelingsgevoelige regio, de Lössregio, hadden in 202</w:t>
      </w:r>
      <w:r>
        <w:rPr>
          <w:rFonts w:ascii="Verdana" w:hAnsi="Verdana" w:cs="Calibri"/>
          <w:sz w:val="18"/>
          <w:szCs w:val="18"/>
        </w:rPr>
        <w:t>4</w:t>
      </w:r>
      <w:r w:rsidRPr="006B65B9">
        <w:rPr>
          <w:rFonts w:ascii="Verdana" w:hAnsi="Verdana" w:cs="Calibri"/>
          <w:sz w:val="18"/>
          <w:szCs w:val="18"/>
        </w:rPr>
        <w:t xml:space="preserve"> </w:t>
      </w:r>
      <w:r>
        <w:rPr>
          <w:rFonts w:ascii="Verdana" w:hAnsi="Verdana" w:cs="Calibri"/>
          <w:sz w:val="18"/>
          <w:szCs w:val="18"/>
        </w:rPr>
        <w:t>zo’n 12</w:t>
      </w:r>
      <w:r w:rsidRPr="006B65B9">
        <w:rPr>
          <w:rFonts w:ascii="Verdana" w:hAnsi="Verdana" w:cs="Calibri"/>
          <w:sz w:val="18"/>
          <w:szCs w:val="18"/>
        </w:rPr>
        <w:t xml:space="preserve"> procent van de bedrijven een concentratie hoger dan de norm.</w:t>
      </w:r>
      <w:r>
        <w:rPr>
          <w:rFonts w:ascii="Verdana" w:hAnsi="Verdana" w:cs="Calibri"/>
          <w:sz w:val="18"/>
          <w:szCs w:val="18"/>
        </w:rPr>
        <w:t xml:space="preserve"> Daarmee is de Lössregio de enige regio waar een stijging werd gemeten van het aantal bedrijven dat de norm van 50 mg/l overschrijdt, ook al daalde de gemiddelde nitraatconcentratie in deze regio (36 mg/l). </w:t>
      </w:r>
      <w:r w:rsidRPr="006B65B9">
        <w:rPr>
          <w:rFonts w:ascii="Verdana" w:hAnsi="Verdana" w:cs="Calibri"/>
          <w:sz w:val="18"/>
          <w:szCs w:val="18"/>
        </w:rPr>
        <w:t>In de Veenregio had</w:t>
      </w:r>
      <w:r>
        <w:rPr>
          <w:rFonts w:ascii="Verdana" w:hAnsi="Verdana" w:cs="Calibri"/>
          <w:sz w:val="18"/>
          <w:szCs w:val="18"/>
        </w:rPr>
        <w:t xml:space="preserve"> geen enkel bemonsterd bedrijf een overschrijding, wel werden hier hogere concentraties van totaal-stikstof en totaal-fosfor gemeten ten opzichte van 2023</w:t>
      </w:r>
      <w:r w:rsidRPr="006B65B9">
        <w:rPr>
          <w:rFonts w:ascii="Verdana" w:hAnsi="Verdana" w:cs="Calibri"/>
          <w:sz w:val="18"/>
          <w:szCs w:val="18"/>
        </w:rPr>
        <w:t>. In de Kleiregio</w:t>
      </w:r>
      <w:r>
        <w:rPr>
          <w:rFonts w:ascii="Verdana" w:hAnsi="Verdana" w:cs="Calibri"/>
          <w:sz w:val="18"/>
          <w:szCs w:val="18"/>
        </w:rPr>
        <w:t xml:space="preserve"> en Zand-Noord lag het percentage overschrijdingen onder de 5 procent.</w:t>
      </w:r>
    </w:p>
    <w:p w:rsidR="003E6856" w:rsidP="003E6856" w:rsidRDefault="003E6856" w14:paraId="178855B7" w14:textId="77777777">
      <w:pPr>
        <w:pStyle w:val="Normaalweb"/>
        <w:spacing w:before="0" w:beforeAutospacing="0" w:after="0" w:afterAutospacing="0" w:line="240" w:lineRule="atLeast"/>
        <w:rPr>
          <w:rFonts w:ascii="Verdana" w:hAnsi="Verdana" w:cs="Calibri"/>
          <w:sz w:val="18"/>
          <w:szCs w:val="18"/>
        </w:rPr>
      </w:pPr>
      <w:r>
        <w:rPr>
          <w:rFonts w:ascii="Verdana" w:hAnsi="Verdana" w:cs="Calibri"/>
          <w:sz w:val="18"/>
          <w:szCs w:val="18"/>
        </w:rPr>
        <w:t> </w:t>
      </w:r>
    </w:p>
    <w:p w:rsidR="003E6856" w:rsidP="003E6856" w:rsidRDefault="003E6856" w14:paraId="644D16C2" w14:textId="77777777">
      <w:pPr>
        <w:pStyle w:val="Normaalweb"/>
        <w:spacing w:before="0" w:beforeAutospacing="0" w:after="0" w:afterAutospacing="0" w:line="240" w:lineRule="atLeast"/>
        <w:rPr>
          <w:rFonts w:ascii="Verdana" w:hAnsi="Verdana" w:cs="Calibri"/>
          <w:sz w:val="18"/>
          <w:szCs w:val="18"/>
        </w:rPr>
      </w:pPr>
      <w:r w:rsidRPr="006B65B9">
        <w:rPr>
          <w:rFonts w:ascii="Verdana" w:hAnsi="Verdana" w:cs="Calibri"/>
          <w:sz w:val="18"/>
          <w:szCs w:val="18"/>
        </w:rPr>
        <w:t>In 202</w:t>
      </w:r>
      <w:r>
        <w:rPr>
          <w:rFonts w:ascii="Verdana" w:hAnsi="Verdana" w:cs="Calibri"/>
          <w:sz w:val="18"/>
          <w:szCs w:val="18"/>
        </w:rPr>
        <w:t>5</w:t>
      </w:r>
      <w:r w:rsidRPr="006B65B9">
        <w:rPr>
          <w:rFonts w:ascii="Verdana" w:hAnsi="Verdana" w:cs="Calibri"/>
          <w:sz w:val="18"/>
          <w:szCs w:val="18"/>
        </w:rPr>
        <w:t xml:space="preserve"> </w:t>
      </w:r>
      <w:r>
        <w:rPr>
          <w:rFonts w:ascii="Verdana" w:hAnsi="Verdana" w:cs="Calibri"/>
          <w:sz w:val="18"/>
          <w:szCs w:val="18"/>
        </w:rPr>
        <w:t xml:space="preserve">(voorlopige cijfers) </w:t>
      </w:r>
      <w:r w:rsidRPr="006B65B9">
        <w:rPr>
          <w:rFonts w:ascii="Verdana" w:hAnsi="Verdana" w:cs="Calibri"/>
          <w:sz w:val="18"/>
          <w:szCs w:val="18"/>
        </w:rPr>
        <w:t>lag de gemiddelde concentratie nitraat in de bovenste meter van het grondwater op derogatiebedrijven in alle regio’s ruim onder de norm van 50 milligram per liter grondwater. Van de bedrijven in Zand</w:t>
      </w:r>
      <w:r>
        <w:rPr>
          <w:rFonts w:ascii="Verdana" w:hAnsi="Verdana" w:cs="Calibri"/>
          <w:sz w:val="18"/>
          <w:szCs w:val="18"/>
        </w:rPr>
        <w:t>-</w:t>
      </w:r>
      <w:r w:rsidRPr="006B65B9">
        <w:rPr>
          <w:rFonts w:ascii="Verdana" w:hAnsi="Verdana" w:cs="Calibri"/>
          <w:sz w:val="18"/>
          <w:szCs w:val="18"/>
        </w:rPr>
        <w:t>Midden/Zuid had 9</w:t>
      </w:r>
      <w:r>
        <w:rPr>
          <w:rFonts w:ascii="Verdana" w:hAnsi="Verdana" w:cs="Calibri"/>
          <w:sz w:val="18"/>
          <w:szCs w:val="18"/>
        </w:rPr>
        <w:t>4</w:t>
      </w:r>
      <w:r w:rsidRPr="006B65B9">
        <w:rPr>
          <w:rFonts w:ascii="Verdana" w:hAnsi="Verdana" w:cs="Calibri"/>
          <w:sz w:val="18"/>
          <w:szCs w:val="18"/>
        </w:rPr>
        <w:t xml:space="preserve"> procent een lagere concentratie dan 50 mg/l. </w:t>
      </w:r>
      <w:r>
        <w:rPr>
          <w:rFonts w:ascii="Verdana" w:hAnsi="Verdana" w:cs="Calibri"/>
          <w:sz w:val="18"/>
          <w:szCs w:val="18"/>
        </w:rPr>
        <w:t xml:space="preserve">In Zand-Noord hadden alle bedrijven een gemiddelde nitraatconcentratie die lager was dan de norm van 50 mg/l. </w:t>
      </w:r>
      <w:r w:rsidRPr="006B65B9">
        <w:rPr>
          <w:rFonts w:ascii="Verdana" w:hAnsi="Verdana" w:cs="Calibri"/>
          <w:sz w:val="18"/>
          <w:szCs w:val="18"/>
        </w:rPr>
        <w:t>In de Kleiregio daalde de nitraatconcentratie van 1</w:t>
      </w:r>
      <w:r>
        <w:rPr>
          <w:rFonts w:ascii="Verdana" w:hAnsi="Verdana" w:cs="Calibri"/>
          <w:sz w:val="18"/>
          <w:szCs w:val="18"/>
        </w:rPr>
        <w:t>1</w:t>
      </w:r>
      <w:r w:rsidRPr="006B65B9">
        <w:rPr>
          <w:rFonts w:ascii="Verdana" w:hAnsi="Verdana" w:cs="Calibri"/>
          <w:sz w:val="18"/>
          <w:szCs w:val="18"/>
        </w:rPr>
        <w:t xml:space="preserve"> mg/l in 202</w:t>
      </w:r>
      <w:r>
        <w:rPr>
          <w:rFonts w:ascii="Verdana" w:hAnsi="Verdana" w:cs="Calibri"/>
          <w:sz w:val="18"/>
          <w:szCs w:val="18"/>
        </w:rPr>
        <w:t>4</w:t>
      </w:r>
      <w:r w:rsidRPr="006B65B9">
        <w:rPr>
          <w:rFonts w:ascii="Verdana" w:hAnsi="Verdana" w:cs="Calibri"/>
          <w:sz w:val="18"/>
          <w:szCs w:val="18"/>
        </w:rPr>
        <w:t xml:space="preserve"> naar </w:t>
      </w:r>
      <w:r>
        <w:rPr>
          <w:rFonts w:ascii="Verdana" w:hAnsi="Verdana" w:cs="Calibri"/>
          <w:sz w:val="18"/>
          <w:szCs w:val="18"/>
        </w:rPr>
        <w:t>8,5</w:t>
      </w:r>
      <w:r w:rsidRPr="006B65B9">
        <w:rPr>
          <w:rFonts w:ascii="Verdana" w:hAnsi="Verdana" w:cs="Calibri"/>
          <w:sz w:val="18"/>
          <w:szCs w:val="18"/>
        </w:rPr>
        <w:t xml:space="preserve"> mg/l in 202</w:t>
      </w:r>
      <w:r>
        <w:rPr>
          <w:rFonts w:ascii="Verdana" w:hAnsi="Verdana" w:cs="Calibri"/>
          <w:sz w:val="18"/>
          <w:szCs w:val="18"/>
        </w:rPr>
        <w:t>5</w:t>
      </w:r>
      <w:r w:rsidRPr="006B65B9">
        <w:rPr>
          <w:rFonts w:ascii="Verdana" w:hAnsi="Verdana" w:cs="Calibri"/>
          <w:sz w:val="18"/>
          <w:szCs w:val="18"/>
        </w:rPr>
        <w:t>. In deze regio had 98 procent van de bedrijven in 202</w:t>
      </w:r>
      <w:r>
        <w:rPr>
          <w:rFonts w:ascii="Verdana" w:hAnsi="Verdana" w:cs="Calibri"/>
          <w:sz w:val="18"/>
          <w:szCs w:val="18"/>
        </w:rPr>
        <w:t>5</w:t>
      </w:r>
      <w:r w:rsidRPr="006B65B9">
        <w:rPr>
          <w:rFonts w:ascii="Verdana" w:hAnsi="Verdana" w:cs="Calibri"/>
          <w:sz w:val="18"/>
          <w:szCs w:val="18"/>
        </w:rPr>
        <w:t xml:space="preserve"> een lagere nitraatconcentratie dan 50 mg/l. In de Veenregio daalde de nitraatconcentratie van </w:t>
      </w:r>
      <w:r>
        <w:rPr>
          <w:rFonts w:ascii="Verdana" w:hAnsi="Verdana" w:cs="Calibri"/>
          <w:sz w:val="18"/>
          <w:szCs w:val="18"/>
        </w:rPr>
        <w:t>5,3</w:t>
      </w:r>
      <w:r w:rsidRPr="006B65B9">
        <w:rPr>
          <w:rFonts w:ascii="Verdana" w:hAnsi="Verdana" w:cs="Calibri"/>
          <w:sz w:val="18"/>
          <w:szCs w:val="18"/>
        </w:rPr>
        <w:t xml:space="preserve"> naar </w:t>
      </w:r>
      <w:r>
        <w:rPr>
          <w:rFonts w:ascii="Verdana" w:hAnsi="Verdana" w:cs="Calibri"/>
          <w:sz w:val="18"/>
          <w:szCs w:val="18"/>
        </w:rPr>
        <w:t>4,3</w:t>
      </w:r>
      <w:r w:rsidRPr="006B65B9">
        <w:rPr>
          <w:rFonts w:ascii="Verdana" w:hAnsi="Verdana" w:cs="Calibri"/>
          <w:sz w:val="18"/>
          <w:szCs w:val="18"/>
        </w:rPr>
        <w:t xml:space="preserve"> mg/l. </w:t>
      </w:r>
      <w:r>
        <w:rPr>
          <w:rFonts w:ascii="Verdana" w:hAnsi="Verdana" w:cs="Calibri"/>
          <w:sz w:val="18"/>
          <w:szCs w:val="18"/>
        </w:rPr>
        <w:t xml:space="preserve">Geen enkel </w:t>
      </w:r>
      <w:r w:rsidRPr="006B65B9">
        <w:rPr>
          <w:rFonts w:ascii="Verdana" w:hAnsi="Verdana" w:cs="Calibri"/>
          <w:sz w:val="18"/>
          <w:szCs w:val="18"/>
        </w:rPr>
        <w:t>bedri</w:t>
      </w:r>
      <w:r>
        <w:rPr>
          <w:rFonts w:ascii="Verdana" w:hAnsi="Verdana" w:cs="Calibri"/>
          <w:sz w:val="18"/>
          <w:szCs w:val="18"/>
        </w:rPr>
        <w:t>jf</w:t>
      </w:r>
      <w:r w:rsidRPr="006B65B9">
        <w:rPr>
          <w:rFonts w:ascii="Verdana" w:hAnsi="Verdana" w:cs="Calibri"/>
          <w:sz w:val="18"/>
          <w:szCs w:val="18"/>
        </w:rPr>
        <w:t xml:space="preserve"> in de Veenregio had een nitraatconcentratie </w:t>
      </w:r>
      <w:r>
        <w:rPr>
          <w:rFonts w:ascii="Verdana" w:hAnsi="Verdana" w:cs="Calibri"/>
          <w:sz w:val="18"/>
          <w:szCs w:val="18"/>
        </w:rPr>
        <w:t>hoger dan 40</w:t>
      </w:r>
      <w:r w:rsidRPr="006B65B9">
        <w:rPr>
          <w:rFonts w:ascii="Verdana" w:hAnsi="Verdana" w:cs="Calibri"/>
          <w:sz w:val="18"/>
          <w:szCs w:val="18"/>
        </w:rPr>
        <w:t xml:space="preserve"> mg/l.</w:t>
      </w:r>
      <w:r>
        <w:rPr>
          <w:rFonts w:ascii="Verdana" w:hAnsi="Verdana" w:cs="Calibri"/>
          <w:sz w:val="18"/>
          <w:szCs w:val="18"/>
        </w:rPr>
        <w:t xml:space="preserve"> Naast de ontwikkelingen in de landbouwpraktijk had het weer, met de vele neerslag in 2023 en 2024, invloed op de nitraatconcentraties in het grondwater in 2025. Veel neerslag zorgt voor een natuurlijke verdunning van nitraat en verhoogt de afbraak ervan in de bodem.</w:t>
      </w:r>
    </w:p>
    <w:p w:rsidR="003E6856" w:rsidP="003E6856" w:rsidRDefault="003E6856" w14:paraId="7C6F030A" w14:textId="77777777">
      <w:pPr>
        <w:pStyle w:val="Normaalweb"/>
        <w:spacing w:before="0" w:beforeAutospacing="0" w:after="0" w:afterAutospacing="0" w:line="240" w:lineRule="atLeast"/>
        <w:rPr>
          <w:rFonts w:ascii="Verdana" w:hAnsi="Verdana" w:cs="Calibri"/>
          <w:sz w:val="18"/>
          <w:szCs w:val="18"/>
        </w:rPr>
      </w:pPr>
    </w:p>
    <w:p w:rsidR="003E6856" w:rsidP="003E6856" w:rsidRDefault="003E6856" w14:paraId="49D48C6B" w14:textId="77777777">
      <w:pPr>
        <w:pStyle w:val="Normaalweb"/>
        <w:spacing w:before="0" w:beforeAutospacing="0" w:after="0" w:afterAutospacing="0" w:line="240" w:lineRule="atLeast"/>
        <w:rPr>
          <w:rFonts w:ascii="Verdana" w:hAnsi="Verdana" w:cs="Calibri"/>
          <w:sz w:val="18"/>
          <w:szCs w:val="18"/>
        </w:rPr>
      </w:pPr>
      <w:r w:rsidRPr="008404BF">
        <w:rPr>
          <w:rFonts w:ascii="Verdana" w:hAnsi="Verdana" w:cs="Calibri"/>
          <w:sz w:val="18"/>
          <w:szCs w:val="18"/>
        </w:rPr>
        <w:t xml:space="preserve">In het slootwater daalde de voor de winter gemiddelde stikstofconcentratie in de sloot in 2025 ten opzichte van 2024. De gemiddelde totaal-stikstofconcentratie was het hoogst in Zand-Midden/Zuid, met 5,5 mg/l. De laagste gemiddelde totaal-stikstofconcentratie werd gemeten in de Kleiregio, met 2,8 mg/l. Omdat in de derogatierapportage alleen de wintergegevens worden gebruikt, zijn de totaal-stikstofconcentraties in dit rapport niet </w:t>
      </w:r>
      <w:r>
        <w:rPr>
          <w:rFonts w:ascii="Verdana" w:hAnsi="Verdana" w:cs="Calibri"/>
          <w:sz w:val="18"/>
          <w:szCs w:val="18"/>
        </w:rPr>
        <w:t>éé</w:t>
      </w:r>
      <w:r w:rsidRPr="008404BF">
        <w:rPr>
          <w:rFonts w:ascii="Verdana" w:hAnsi="Verdana" w:cs="Calibri"/>
          <w:sz w:val="18"/>
          <w:szCs w:val="18"/>
        </w:rPr>
        <w:t>n-op-</w:t>
      </w:r>
      <w:r>
        <w:rPr>
          <w:rFonts w:ascii="Verdana" w:hAnsi="Verdana" w:cs="Calibri"/>
          <w:sz w:val="18"/>
          <w:szCs w:val="18"/>
        </w:rPr>
        <w:t>éé</w:t>
      </w:r>
      <w:r w:rsidRPr="008404BF">
        <w:rPr>
          <w:rFonts w:ascii="Verdana" w:hAnsi="Verdana" w:cs="Calibri"/>
          <w:sz w:val="18"/>
          <w:szCs w:val="18"/>
        </w:rPr>
        <w:t>n te vergelijken met de zomernormen die gelden voor totaal-stikstof in waterlichamen. Wel kan worden opgemerkt dat bovenstaande resultaten boven de gemiddelde waterkwaliteitsnorm van 2,5 mg/l stikstof liggen.</w:t>
      </w:r>
    </w:p>
    <w:p w:rsidR="003E6856" w:rsidP="003E6856" w:rsidRDefault="003E6856" w14:paraId="7A1BD363" w14:textId="77777777">
      <w:pPr>
        <w:pStyle w:val="Normaalweb"/>
        <w:spacing w:before="0" w:beforeAutospacing="0" w:after="0" w:afterAutospacing="0" w:line="240" w:lineRule="atLeast"/>
        <w:rPr>
          <w:rFonts w:ascii="Verdana" w:hAnsi="Verdana" w:cs="Calibri"/>
          <w:sz w:val="18"/>
          <w:szCs w:val="18"/>
        </w:rPr>
      </w:pPr>
      <w:r>
        <w:rPr>
          <w:rFonts w:ascii="Verdana" w:hAnsi="Verdana" w:cs="Calibri"/>
          <w:sz w:val="18"/>
          <w:szCs w:val="18"/>
        </w:rPr>
        <w:t> </w:t>
      </w:r>
    </w:p>
    <w:p w:rsidR="003E6856" w:rsidP="003E6856" w:rsidRDefault="003E6856" w14:paraId="18897A19" w14:textId="77777777">
      <w:pPr>
        <w:pStyle w:val="Normaalweb"/>
        <w:spacing w:before="0" w:beforeAutospacing="0" w:after="0" w:afterAutospacing="0" w:line="240" w:lineRule="atLeast"/>
      </w:pPr>
      <w:r>
        <w:rPr>
          <w:rFonts w:ascii="Verdana" w:hAnsi="Verdana" w:cs="Calibri"/>
          <w:sz w:val="18"/>
          <w:szCs w:val="18"/>
        </w:rPr>
        <w:t>Dit rapport is gebaseerd op metingen van grondwater onder derogatiebedrijven, metingen van grondwater onder andere type landbouwbedrijven (uit het Landelijk Meetnet effecten Mestbeleid) maken geen onderdeel uit van dit rapport. Onder een derogatiebedrijf is de grondwaterkwaliteit veelal beter dan onder andere landbouwbedrijven vanwege het hoge aandeel grasland.</w:t>
      </w:r>
    </w:p>
    <w:p w:rsidR="003E6856" w:rsidP="003E6856" w:rsidRDefault="003E6856" w14:paraId="6D1DD1BE" w14:textId="77777777"/>
    <w:p w:rsidRPr="001A1354" w:rsidR="003E6856" w:rsidP="003E6856" w:rsidRDefault="003E6856" w14:paraId="2C045CDC" w14:textId="77777777">
      <w:pPr>
        <w:rPr>
          <w:b/>
          <w:bCs/>
        </w:rPr>
      </w:pPr>
      <w:r w:rsidRPr="001A1354">
        <w:rPr>
          <w:b/>
          <w:bCs/>
        </w:rPr>
        <w:t>Rapportage Nederlands Mestbeleid 2025</w:t>
      </w:r>
    </w:p>
    <w:p w:rsidRPr="001A1354" w:rsidR="003E6856" w:rsidP="003E6856" w:rsidRDefault="003E6856" w14:paraId="3E6B410F" w14:textId="77777777">
      <w:pPr>
        <w:rPr>
          <w:i/>
          <w:iCs/>
        </w:rPr>
      </w:pPr>
    </w:p>
    <w:p w:rsidRPr="001A1354" w:rsidR="003E6856" w:rsidP="003E6856" w:rsidRDefault="003E6856" w14:paraId="33ABADD3" w14:textId="77777777">
      <w:pPr>
        <w:rPr>
          <w:i/>
          <w:iCs/>
        </w:rPr>
      </w:pPr>
      <w:r w:rsidRPr="001A1354">
        <w:rPr>
          <w:i/>
          <w:iCs/>
        </w:rPr>
        <w:t>Mestproductie</w:t>
      </w:r>
    </w:p>
    <w:p w:rsidR="003E6856" w:rsidP="003E6856" w:rsidRDefault="00F139EC" w14:paraId="5C38352B" w14:textId="13295553">
      <w:r w:rsidRPr="00DE245C">
        <w:t>Uw Kamer is op 8 april jl.</w:t>
      </w:r>
      <w:r w:rsidRPr="00DE245C">
        <w:rPr>
          <w:rStyle w:val="Voetnootmarkering"/>
        </w:rPr>
        <w:footnoteReference w:id="1"/>
      </w:r>
      <w:r w:rsidRPr="00DE245C">
        <w:t xml:space="preserve"> geïnformeerd dat het Centraal Bureau voor de Statistiek (CBS) de vierde kwartaalrapportage 2025 over de fosfaat- en stikstofexcretie door de Nederlandse veestapel heeft gepubliceerd. In de ‘Rapportage Nederlands mestbeleid 2025’ zijn de voorlopige</w:t>
      </w:r>
      <w:r w:rsidRPr="00DE245C">
        <w:rPr>
          <w:rStyle w:val="Voetnootmarkering"/>
        </w:rPr>
        <w:footnoteReference w:id="2"/>
      </w:r>
      <w:r w:rsidRPr="00DE245C">
        <w:t xml:space="preserve"> cijfers opgenomen van de fosfaat- en stikstofexcretie door de Nederlandse veehouderij in 2025, zoals samengesteld door het CBS.</w:t>
      </w:r>
      <w:r w:rsidRPr="001A1354">
        <w:t xml:space="preserve"> </w:t>
      </w:r>
      <w:r w:rsidRPr="001A1354" w:rsidR="003E6856">
        <w:t>Uit de</w:t>
      </w:r>
      <w:r w:rsidR="003E6856">
        <w:t xml:space="preserve"> voorlopige</w:t>
      </w:r>
      <w:r w:rsidRPr="001A1354" w:rsidR="003E6856">
        <w:t xml:space="preserve"> cijfers blijkt dat de totale mestproductie in Nederland, uitgedrukt in kilogrammen mest, in 2025 iets is afgenomen ten opzichte van 2024. Daarbij is het gehalte stikstof en fosfaat in de </w:t>
      </w:r>
      <w:r w:rsidRPr="001A1354" w:rsidR="003E6856">
        <w:lastRenderedPageBreak/>
        <w:t>mest verder gedaald.</w:t>
      </w:r>
      <w:r w:rsidRPr="001A1354" w:rsidR="003E6856">
        <w:rPr>
          <w:rStyle w:val="Voetnootmarkering"/>
        </w:rPr>
        <w:footnoteReference w:id="3"/>
      </w:r>
      <w:r w:rsidRPr="001A1354" w:rsidR="003E6856">
        <w:t xml:space="preserve"> De totale stikstofproductie is verder gedaald naar 439,6 miljoen kg en ligt daarmee onder het plafond van 440,0 miljoen kg stikstof als neergelegd in </w:t>
      </w:r>
      <w:r w:rsidR="003E6856">
        <w:t xml:space="preserve">artikel 18a, eerste lid, van de Meststoffenwet en </w:t>
      </w:r>
      <w:r w:rsidRPr="001A1354" w:rsidR="003E6856">
        <w:t xml:space="preserve">artikel 4, tweede lid, van de derogatiebeschikking (2022/2069/EU). Daarnaast is sprake van een daling van de productie van fosfaat in dierlijke mest naar 141,5 miljoen kg fosfaat. Ondanks deze daling ligt de totale fosfaatproductie boven het </w:t>
      </w:r>
      <w:r w:rsidR="003E6856">
        <w:t xml:space="preserve">plafond </w:t>
      </w:r>
      <w:r w:rsidRPr="001A1354" w:rsidR="003E6856">
        <w:t>van 135.0 miljoen kg fosfaat, als beschreven in de derogatiebeschikking</w:t>
      </w:r>
      <w:r w:rsidR="003E6856">
        <w:t xml:space="preserve"> en artikel 18a, eerste lid, van de Meststoffenwet</w:t>
      </w:r>
      <w:r w:rsidRPr="001A1354" w:rsidR="003E6856">
        <w:t xml:space="preserve">. </w:t>
      </w:r>
    </w:p>
    <w:p w:rsidR="00DF44B6" w:rsidP="003E6856" w:rsidRDefault="00DF44B6" w14:paraId="6722CF56" w14:textId="77777777"/>
    <w:p w:rsidRPr="001A1354" w:rsidR="00DF44B6" w:rsidP="00DF44B6" w:rsidRDefault="00DF44B6" w14:paraId="2B062DA2" w14:textId="278E42B1">
      <w:r w:rsidRPr="00DF44B6">
        <w:rPr>
          <w:rFonts w:eastAsia="Verdana" w:cs="Verdana"/>
          <w:szCs w:val="18"/>
        </w:rPr>
        <w:t xml:space="preserve">Zoals vermeld in de brief </w:t>
      </w:r>
      <w:r w:rsidRPr="00DF44B6">
        <w:rPr>
          <w:rFonts w:eastAsia="Verdana" w:cs="Verdana"/>
          <w:i/>
          <w:iCs/>
          <w:szCs w:val="18"/>
        </w:rPr>
        <w:t>“</w:t>
      </w:r>
      <w:r w:rsidRPr="00DF44B6">
        <w:rPr>
          <w:i/>
          <w:iCs/>
        </w:rPr>
        <w:t>Weer ruimte voor boer, natuur en bouw: maatregelpakket voor landbouw, natuur en stikstof</w:t>
      </w:r>
      <w:r w:rsidRPr="00DF44B6">
        <w:t>”</w:t>
      </w:r>
      <w:r w:rsidR="00F02BD0">
        <w:rPr>
          <w:rStyle w:val="Voetnootmarkering"/>
        </w:rPr>
        <w:footnoteReference w:id="4"/>
      </w:r>
      <w:r w:rsidRPr="00DF44B6">
        <w:rPr>
          <w:rFonts w:eastAsia="Verdana" w:cs="Verdana"/>
          <w:szCs w:val="18"/>
        </w:rPr>
        <w:t xml:space="preserve"> van 26 juni 2026 zal het kabinet op basis van de tweede kwartaalcijfers 2026 van het CBS in augustus besluiten over het opnieuw introduceren van afroming in de varkens- en pluimveehouderij.  </w:t>
      </w:r>
    </w:p>
    <w:p w:rsidRPr="001A1354" w:rsidR="003E6856" w:rsidP="003E6856" w:rsidRDefault="003E6856" w14:paraId="735C9154" w14:textId="77777777"/>
    <w:p w:rsidRPr="001A1354" w:rsidR="003E6856" w:rsidP="003E6856" w:rsidRDefault="003E6856" w14:paraId="41403422" w14:textId="4B69B6DB">
      <w:r w:rsidRPr="001A1354">
        <w:t xml:space="preserve">De productie van stikstof door melkvee is afgenomen naar 260,5 miljoen kg stikstof. </w:t>
      </w:r>
      <w:r>
        <w:t xml:space="preserve">Dit is onder het sectorplafond van 267,8 miljoen kg stikstof dat is neergelegd in artikel 18a, tweede lid van de Meststoffenwet. </w:t>
      </w:r>
      <w:r w:rsidRPr="001A1354">
        <w:t>De fosfaatproductie van melkvee is in 2025 gedaald naar 75.1 miljoen kg fosfaat</w:t>
      </w:r>
      <w:r>
        <w:t>, wat hoger is dan het sectorplafond van 71,8 miljoen kg fosfaat in artikel 18a, tweede lid, van de Meststoffenwet</w:t>
      </w:r>
      <w:r w:rsidRPr="001A1354">
        <w:t xml:space="preserve">. In 2025 is de stikstof- en fosfaatproductie van varkens verder gedaald naar respectievelijk 77,7 miljoen kg stikstof en 30,2 miljoen kg fosfaat. Ondanks de afname </w:t>
      </w:r>
      <w:r>
        <w:t>overschreden</w:t>
      </w:r>
      <w:r w:rsidRPr="001A1354">
        <w:t xml:space="preserve"> de stikstofproductie </w:t>
      </w:r>
      <w:r>
        <w:t xml:space="preserve">en de fosfaatproductie </w:t>
      </w:r>
      <w:r w:rsidRPr="001A1354">
        <w:t>in de varkenssector</w:t>
      </w:r>
      <w:r>
        <w:t xml:space="preserve"> het sectorplafond van 70,3 miljoen kg stikstof en 27,8 miljoen kg fosfaat (artikel 18a, derde lid, Meststoffenwet)</w:t>
      </w:r>
      <w:r w:rsidRPr="001A1354">
        <w:t xml:space="preserve">. De stikstofproductie van pluimvee is in 2025 gedaald naar 48,1 miljoen kg stikstof. De fosfaatproductie van pluimvee nam in 2024 af naar 20,0 miljoen kg fosfaat. </w:t>
      </w:r>
      <w:r>
        <w:t>Zowel</w:t>
      </w:r>
      <w:r w:rsidRPr="001A1354">
        <w:t xml:space="preserve"> de stikstofproductie</w:t>
      </w:r>
      <w:r>
        <w:t xml:space="preserve"> als de fosfaatproductie bleef bij pluimvee dus </w:t>
      </w:r>
      <w:r w:rsidRPr="001A1354">
        <w:t>onder de sectorale plafonds</w:t>
      </w:r>
      <w:r>
        <w:t xml:space="preserve"> van 48,4 miljoen kg stikstof en 20,3 miljoen kg fosfaat (artikel 18a, vierde lid, Meststoffenwet)</w:t>
      </w:r>
      <w:r w:rsidRPr="001A1354">
        <w:t xml:space="preserve">. </w:t>
      </w:r>
    </w:p>
    <w:p w:rsidRPr="001A1354" w:rsidR="003E6856" w:rsidP="003E6856" w:rsidRDefault="003E6856" w14:paraId="085D66F6" w14:textId="77777777"/>
    <w:p w:rsidRPr="001A1354" w:rsidR="003E6856" w:rsidP="003E6856" w:rsidRDefault="00BF0139" w14:paraId="02438DEA" w14:textId="0012A20F">
      <w:r>
        <w:t>Voorlopige</w:t>
      </w:r>
      <w:r w:rsidRPr="001A1354" w:rsidR="003E6856">
        <w:t xml:space="preserve"> stikstofexcretie per sector (in miljoen kg stikstof)</w:t>
      </w:r>
      <w:r w:rsidRPr="001A1354" w:rsidR="003E6856">
        <w:rPr>
          <w:rStyle w:val="Voetnootmarkering"/>
        </w:rPr>
        <w:footnoteReference w:id="5"/>
      </w:r>
    </w:p>
    <w:tbl>
      <w:tblPr>
        <w:tblStyle w:val="Tabelraster1"/>
        <w:tblW w:w="0" w:type="auto"/>
        <w:tblLook w:val="04A0" w:firstRow="1" w:lastRow="0" w:firstColumn="1" w:lastColumn="0" w:noHBand="0" w:noVBand="1"/>
      </w:tblPr>
      <w:tblGrid>
        <w:gridCol w:w="1165"/>
        <w:gridCol w:w="1156"/>
        <w:gridCol w:w="1076"/>
        <w:gridCol w:w="1076"/>
        <w:gridCol w:w="895"/>
        <w:gridCol w:w="942"/>
      </w:tblGrid>
      <w:tr w:rsidRPr="001A1354" w:rsidR="003E6856" w:rsidTr="00EF6F9E" w14:paraId="1A8C7ACA" w14:textId="77777777">
        <w:tc>
          <w:tcPr>
            <w:tcW w:w="1165" w:type="dxa"/>
          </w:tcPr>
          <w:p w:rsidRPr="001A1354" w:rsidR="003E6856" w:rsidP="00EF6F9E" w:rsidRDefault="003E6856" w14:paraId="74A7F35E" w14:textId="77777777"/>
        </w:tc>
        <w:tc>
          <w:tcPr>
            <w:tcW w:w="1156" w:type="dxa"/>
          </w:tcPr>
          <w:p w:rsidRPr="00C05D19" w:rsidR="003E6856" w:rsidP="00EF6F9E" w:rsidRDefault="003E6856" w14:paraId="6A30412E" w14:textId="77777777">
            <w:pPr>
              <w:jc w:val="center"/>
              <w:rPr>
                <w:b/>
                <w:bCs/>
              </w:rPr>
            </w:pPr>
            <w:r w:rsidRPr="00C05D19">
              <w:rPr>
                <w:b/>
                <w:bCs/>
              </w:rPr>
              <w:t>Plafond</w:t>
            </w:r>
            <w:r w:rsidRPr="00C05D19">
              <w:rPr>
                <w:b/>
                <w:bCs/>
                <w:vertAlign w:val="superscript"/>
              </w:rPr>
              <w:footnoteReference w:id="6"/>
            </w:r>
          </w:p>
        </w:tc>
        <w:tc>
          <w:tcPr>
            <w:tcW w:w="1076" w:type="dxa"/>
          </w:tcPr>
          <w:p w:rsidRPr="00C05D19" w:rsidR="003E6856" w:rsidP="00EF6F9E" w:rsidRDefault="003E6856" w14:paraId="58415EFF" w14:textId="77777777">
            <w:pPr>
              <w:jc w:val="center"/>
              <w:rPr>
                <w:b/>
                <w:bCs/>
              </w:rPr>
            </w:pPr>
            <w:r w:rsidRPr="00C05D19">
              <w:rPr>
                <w:b/>
                <w:bCs/>
              </w:rPr>
              <w:t>2018</w:t>
            </w:r>
          </w:p>
        </w:tc>
        <w:tc>
          <w:tcPr>
            <w:tcW w:w="1076" w:type="dxa"/>
          </w:tcPr>
          <w:p w:rsidRPr="00C05D19" w:rsidR="003E6856" w:rsidP="00EF6F9E" w:rsidRDefault="003E6856" w14:paraId="5EE63BF2" w14:textId="77777777">
            <w:pPr>
              <w:jc w:val="center"/>
              <w:rPr>
                <w:b/>
                <w:bCs/>
              </w:rPr>
            </w:pPr>
            <w:r w:rsidRPr="00C05D19">
              <w:rPr>
                <w:b/>
                <w:bCs/>
              </w:rPr>
              <w:t>2023</w:t>
            </w:r>
          </w:p>
        </w:tc>
        <w:tc>
          <w:tcPr>
            <w:tcW w:w="895" w:type="dxa"/>
          </w:tcPr>
          <w:p w:rsidRPr="00C05D19" w:rsidR="003E6856" w:rsidP="00EF6F9E" w:rsidRDefault="003E6856" w14:paraId="41968E8D" w14:textId="77777777">
            <w:pPr>
              <w:jc w:val="center"/>
              <w:rPr>
                <w:b/>
                <w:bCs/>
              </w:rPr>
            </w:pPr>
            <w:r w:rsidRPr="00C05D19">
              <w:rPr>
                <w:b/>
                <w:bCs/>
              </w:rPr>
              <w:t>2024</w:t>
            </w:r>
          </w:p>
        </w:tc>
        <w:tc>
          <w:tcPr>
            <w:tcW w:w="895" w:type="dxa"/>
          </w:tcPr>
          <w:p w:rsidRPr="00C05D19" w:rsidR="003E6856" w:rsidP="00EF6F9E" w:rsidRDefault="003E6856" w14:paraId="47E796AE" w14:textId="4B7E225C">
            <w:pPr>
              <w:jc w:val="center"/>
              <w:rPr>
                <w:b/>
                <w:bCs/>
                <w:vertAlign w:val="superscript"/>
              </w:rPr>
            </w:pPr>
            <w:r w:rsidRPr="00C05D19">
              <w:rPr>
                <w:b/>
                <w:bCs/>
              </w:rPr>
              <w:t>2025</w:t>
            </w:r>
            <w:r w:rsidRPr="00C05D19" w:rsidR="003918D3">
              <w:rPr>
                <w:b/>
                <w:bCs/>
                <w:vertAlign w:val="superscript"/>
              </w:rPr>
              <w:t>1,2</w:t>
            </w:r>
          </w:p>
        </w:tc>
      </w:tr>
      <w:tr w:rsidRPr="001A1354" w:rsidR="003E6856" w:rsidTr="00EF6F9E" w14:paraId="117272BC" w14:textId="77777777">
        <w:tc>
          <w:tcPr>
            <w:tcW w:w="1165" w:type="dxa"/>
          </w:tcPr>
          <w:p w:rsidRPr="001A1354" w:rsidR="003E6856" w:rsidP="00EF6F9E" w:rsidRDefault="003E6856" w14:paraId="1A4F483D" w14:textId="77777777">
            <w:r w:rsidRPr="001A1354">
              <w:t>Melkvee</w:t>
            </w:r>
          </w:p>
        </w:tc>
        <w:tc>
          <w:tcPr>
            <w:tcW w:w="1156" w:type="dxa"/>
          </w:tcPr>
          <w:p w:rsidRPr="001A1354" w:rsidR="003E6856" w:rsidP="00EF6F9E" w:rsidRDefault="003E6856" w14:paraId="6E93101E" w14:textId="77777777">
            <w:pPr>
              <w:jc w:val="center"/>
            </w:pPr>
            <w:r w:rsidRPr="001A1354">
              <w:t>267,8</w:t>
            </w:r>
          </w:p>
        </w:tc>
        <w:tc>
          <w:tcPr>
            <w:tcW w:w="1076" w:type="dxa"/>
          </w:tcPr>
          <w:p w:rsidRPr="001A1354" w:rsidR="003E6856" w:rsidP="00EF6F9E" w:rsidRDefault="003E6856" w14:paraId="1ADE4570" w14:textId="77777777">
            <w:pPr>
              <w:jc w:val="center"/>
            </w:pPr>
            <w:r w:rsidRPr="001A1354">
              <w:t>289,9</w:t>
            </w:r>
          </w:p>
        </w:tc>
        <w:tc>
          <w:tcPr>
            <w:tcW w:w="1076" w:type="dxa"/>
          </w:tcPr>
          <w:p w:rsidRPr="001A1354" w:rsidR="003E6856" w:rsidP="00EF6F9E" w:rsidRDefault="003E6856" w14:paraId="5C1A9AF3" w14:textId="77777777">
            <w:pPr>
              <w:jc w:val="center"/>
            </w:pPr>
            <w:r w:rsidRPr="001A1354">
              <w:t>273,8</w:t>
            </w:r>
          </w:p>
        </w:tc>
        <w:tc>
          <w:tcPr>
            <w:tcW w:w="895" w:type="dxa"/>
          </w:tcPr>
          <w:p w:rsidRPr="001A1354" w:rsidR="003E6856" w:rsidP="00EF6F9E" w:rsidRDefault="003E6856" w14:paraId="03B73E23" w14:textId="77777777">
            <w:pPr>
              <w:jc w:val="center"/>
            </w:pPr>
            <w:r w:rsidRPr="001A1354">
              <w:t>265,2</w:t>
            </w:r>
          </w:p>
        </w:tc>
        <w:tc>
          <w:tcPr>
            <w:tcW w:w="895" w:type="dxa"/>
          </w:tcPr>
          <w:p w:rsidRPr="001A1354" w:rsidR="003E6856" w:rsidP="00EF6F9E" w:rsidRDefault="003E6856" w14:paraId="27D780BC" w14:textId="77777777">
            <w:pPr>
              <w:jc w:val="center"/>
            </w:pPr>
            <w:r w:rsidRPr="001A1354">
              <w:t>260,5</w:t>
            </w:r>
          </w:p>
        </w:tc>
      </w:tr>
      <w:tr w:rsidRPr="001A1354" w:rsidR="003E6856" w:rsidTr="00EF6F9E" w14:paraId="6C122F3A" w14:textId="77777777">
        <w:tc>
          <w:tcPr>
            <w:tcW w:w="1165" w:type="dxa"/>
          </w:tcPr>
          <w:p w:rsidRPr="001A1354" w:rsidR="003E6856" w:rsidP="00EF6F9E" w:rsidRDefault="003E6856" w14:paraId="6EA83FE1" w14:textId="77777777">
            <w:r w:rsidRPr="001A1354">
              <w:t>Varkens</w:t>
            </w:r>
          </w:p>
        </w:tc>
        <w:tc>
          <w:tcPr>
            <w:tcW w:w="1156" w:type="dxa"/>
          </w:tcPr>
          <w:p w:rsidRPr="001A1354" w:rsidR="003E6856" w:rsidP="00EF6F9E" w:rsidRDefault="003E6856" w14:paraId="47A793AC" w14:textId="77777777">
            <w:pPr>
              <w:jc w:val="center"/>
            </w:pPr>
            <w:r w:rsidRPr="001A1354">
              <w:t>70,3</w:t>
            </w:r>
          </w:p>
        </w:tc>
        <w:tc>
          <w:tcPr>
            <w:tcW w:w="1076" w:type="dxa"/>
          </w:tcPr>
          <w:p w:rsidRPr="001A1354" w:rsidR="003E6856" w:rsidP="00EF6F9E" w:rsidRDefault="003E6856" w14:paraId="02D90DEC" w14:textId="77777777">
            <w:pPr>
              <w:jc w:val="center"/>
            </w:pPr>
            <w:r w:rsidRPr="001A1354">
              <w:t>96,6</w:t>
            </w:r>
          </w:p>
        </w:tc>
        <w:tc>
          <w:tcPr>
            <w:tcW w:w="1076" w:type="dxa"/>
          </w:tcPr>
          <w:p w:rsidRPr="001A1354" w:rsidR="003E6856" w:rsidP="00EF6F9E" w:rsidRDefault="003E6856" w14:paraId="5BF7C171" w14:textId="77777777">
            <w:pPr>
              <w:jc w:val="center"/>
            </w:pPr>
            <w:r w:rsidRPr="001A1354">
              <w:t>81,7</w:t>
            </w:r>
          </w:p>
        </w:tc>
        <w:tc>
          <w:tcPr>
            <w:tcW w:w="895" w:type="dxa"/>
          </w:tcPr>
          <w:p w:rsidRPr="001A1354" w:rsidR="003E6856" w:rsidP="00EF6F9E" w:rsidRDefault="003E6856" w14:paraId="4AC4FA6C" w14:textId="77777777">
            <w:pPr>
              <w:jc w:val="center"/>
            </w:pPr>
            <w:r w:rsidRPr="001A1354">
              <w:t>80,1</w:t>
            </w:r>
          </w:p>
        </w:tc>
        <w:tc>
          <w:tcPr>
            <w:tcW w:w="895" w:type="dxa"/>
          </w:tcPr>
          <w:p w:rsidRPr="001A1354" w:rsidR="003E6856" w:rsidP="00EF6F9E" w:rsidRDefault="003E6856" w14:paraId="01C7E112" w14:textId="77777777">
            <w:pPr>
              <w:jc w:val="center"/>
            </w:pPr>
            <w:r w:rsidRPr="001A1354">
              <w:t>77,7</w:t>
            </w:r>
          </w:p>
        </w:tc>
      </w:tr>
      <w:tr w:rsidRPr="001A1354" w:rsidR="003E6856" w:rsidTr="00EF6F9E" w14:paraId="1A713FE3" w14:textId="77777777">
        <w:tc>
          <w:tcPr>
            <w:tcW w:w="1165" w:type="dxa"/>
          </w:tcPr>
          <w:p w:rsidRPr="001A1354" w:rsidR="003E6856" w:rsidP="00EF6F9E" w:rsidRDefault="003E6856" w14:paraId="10AAAD0D" w14:textId="77777777">
            <w:r w:rsidRPr="001A1354">
              <w:t>Pluimvee</w:t>
            </w:r>
          </w:p>
        </w:tc>
        <w:tc>
          <w:tcPr>
            <w:tcW w:w="1156" w:type="dxa"/>
          </w:tcPr>
          <w:p w:rsidRPr="001A1354" w:rsidR="003E6856" w:rsidP="00EF6F9E" w:rsidRDefault="003E6856" w14:paraId="7EBD8231" w14:textId="77777777">
            <w:pPr>
              <w:jc w:val="center"/>
            </w:pPr>
            <w:r w:rsidRPr="001A1354">
              <w:t>48,4</w:t>
            </w:r>
          </w:p>
        </w:tc>
        <w:tc>
          <w:tcPr>
            <w:tcW w:w="1076" w:type="dxa"/>
          </w:tcPr>
          <w:p w:rsidRPr="001A1354" w:rsidR="003E6856" w:rsidP="00EF6F9E" w:rsidRDefault="003E6856" w14:paraId="47389407" w14:textId="77777777">
            <w:pPr>
              <w:jc w:val="center"/>
            </w:pPr>
            <w:r w:rsidRPr="001A1354">
              <w:t>56,8</w:t>
            </w:r>
          </w:p>
        </w:tc>
        <w:tc>
          <w:tcPr>
            <w:tcW w:w="1076" w:type="dxa"/>
          </w:tcPr>
          <w:p w:rsidRPr="001A1354" w:rsidR="003E6856" w:rsidP="00EF6F9E" w:rsidRDefault="003E6856" w14:paraId="60939EB1" w14:textId="77777777">
            <w:pPr>
              <w:jc w:val="center"/>
            </w:pPr>
            <w:r w:rsidRPr="001A1354">
              <w:t>52,6</w:t>
            </w:r>
          </w:p>
        </w:tc>
        <w:tc>
          <w:tcPr>
            <w:tcW w:w="895" w:type="dxa"/>
          </w:tcPr>
          <w:p w:rsidRPr="001A1354" w:rsidR="003E6856" w:rsidP="00EF6F9E" w:rsidRDefault="003E6856" w14:paraId="1A3BD773" w14:textId="77777777">
            <w:pPr>
              <w:jc w:val="center"/>
            </w:pPr>
            <w:r w:rsidRPr="001A1354">
              <w:t>48,7</w:t>
            </w:r>
          </w:p>
        </w:tc>
        <w:tc>
          <w:tcPr>
            <w:tcW w:w="895" w:type="dxa"/>
          </w:tcPr>
          <w:p w:rsidRPr="001A1354" w:rsidR="003E6856" w:rsidP="00EF6F9E" w:rsidRDefault="003E6856" w14:paraId="04C526E1" w14:textId="77777777">
            <w:pPr>
              <w:jc w:val="center"/>
            </w:pPr>
            <w:r w:rsidRPr="001A1354">
              <w:t>48,1</w:t>
            </w:r>
          </w:p>
        </w:tc>
      </w:tr>
      <w:tr w:rsidRPr="001A1354" w:rsidR="003E6856" w:rsidTr="00EF6F9E" w14:paraId="78D7D5F1" w14:textId="77777777">
        <w:tc>
          <w:tcPr>
            <w:tcW w:w="1165" w:type="dxa"/>
          </w:tcPr>
          <w:p w:rsidRPr="001A1354" w:rsidR="003E6856" w:rsidP="00EF6F9E" w:rsidRDefault="003E6856" w14:paraId="05AC9925" w14:textId="77777777">
            <w:r w:rsidRPr="001A1354">
              <w:t>Overig</w:t>
            </w:r>
          </w:p>
        </w:tc>
        <w:tc>
          <w:tcPr>
            <w:tcW w:w="1156" w:type="dxa"/>
          </w:tcPr>
          <w:p w:rsidRPr="001A1354" w:rsidR="003E6856" w:rsidP="00EF6F9E" w:rsidRDefault="003E6856" w14:paraId="497BE454" w14:textId="77777777">
            <w:pPr>
              <w:jc w:val="center"/>
            </w:pPr>
            <w:r w:rsidRPr="001A1354">
              <w:t>53,5</w:t>
            </w:r>
          </w:p>
        </w:tc>
        <w:tc>
          <w:tcPr>
            <w:tcW w:w="1076" w:type="dxa"/>
          </w:tcPr>
          <w:p w:rsidRPr="001A1354" w:rsidR="003E6856" w:rsidP="00EF6F9E" w:rsidRDefault="003E6856" w14:paraId="30F333B9" w14:textId="77777777">
            <w:pPr>
              <w:jc w:val="center"/>
            </w:pPr>
            <w:r w:rsidRPr="001A1354">
              <w:t>60,0</w:t>
            </w:r>
          </w:p>
        </w:tc>
        <w:tc>
          <w:tcPr>
            <w:tcW w:w="1076" w:type="dxa"/>
          </w:tcPr>
          <w:p w:rsidRPr="001A1354" w:rsidR="003E6856" w:rsidP="00EF6F9E" w:rsidRDefault="003E6856" w14:paraId="7D140570" w14:textId="77777777">
            <w:pPr>
              <w:jc w:val="center"/>
            </w:pPr>
            <w:r w:rsidRPr="001A1354">
              <w:t>55,4</w:t>
            </w:r>
          </w:p>
        </w:tc>
        <w:tc>
          <w:tcPr>
            <w:tcW w:w="895" w:type="dxa"/>
          </w:tcPr>
          <w:p w:rsidRPr="001A1354" w:rsidR="003E6856" w:rsidP="00EF6F9E" w:rsidRDefault="003E6856" w14:paraId="0421939A" w14:textId="77777777">
            <w:pPr>
              <w:jc w:val="center"/>
            </w:pPr>
            <w:r w:rsidRPr="001A1354">
              <w:t>55</w:t>
            </w:r>
          </w:p>
        </w:tc>
        <w:tc>
          <w:tcPr>
            <w:tcW w:w="895" w:type="dxa"/>
          </w:tcPr>
          <w:p w:rsidRPr="001A1354" w:rsidR="003E6856" w:rsidP="00EF6F9E" w:rsidRDefault="003E6856" w14:paraId="17281C71" w14:textId="77777777">
            <w:pPr>
              <w:jc w:val="center"/>
            </w:pPr>
            <w:r w:rsidRPr="001A1354">
              <w:t>53,4</w:t>
            </w:r>
          </w:p>
        </w:tc>
      </w:tr>
      <w:tr w:rsidRPr="001A1354" w:rsidR="003E6856" w:rsidTr="00EF6F9E" w14:paraId="0E55E9C7" w14:textId="77777777">
        <w:tc>
          <w:tcPr>
            <w:tcW w:w="1165" w:type="dxa"/>
          </w:tcPr>
          <w:p w:rsidRPr="001A1354" w:rsidR="003E6856" w:rsidP="00EF6F9E" w:rsidRDefault="003E6856" w14:paraId="0B3775EA" w14:textId="77777777">
            <w:r w:rsidRPr="001A1354">
              <w:t>Totaal</w:t>
            </w:r>
          </w:p>
        </w:tc>
        <w:tc>
          <w:tcPr>
            <w:tcW w:w="1156" w:type="dxa"/>
          </w:tcPr>
          <w:p w:rsidRPr="001A1354" w:rsidR="003E6856" w:rsidP="00EF6F9E" w:rsidRDefault="003E6856" w14:paraId="69B3531E" w14:textId="77777777">
            <w:pPr>
              <w:jc w:val="center"/>
            </w:pPr>
            <w:r w:rsidRPr="001A1354">
              <w:t>440</w:t>
            </w:r>
          </w:p>
        </w:tc>
        <w:tc>
          <w:tcPr>
            <w:tcW w:w="1076" w:type="dxa"/>
          </w:tcPr>
          <w:p w:rsidRPr="001A1354" w:rsidR="003E6856" w:rsidP="00EF6F9E" w:rsidRDefault="003E6856" w14:paraId="1F88A02F" w14:textId="77777777">
            <w:pPr>
              <w:jc w:val="center"/>
            </w:pPr>
            <w:r w:rsidRPr="001A1354">
              <w:t>503,4</w:t>
            </w:r>
          </w:p>
        </w:tc>
        <w:tc>
          <w:tcPr>
            <w:tcW w:w="1076" w:type="dxa"/>
          </w:tcPr>
          <w:p w:rsidRPr="001A1354" w:rsidR="003E6856" w:rsidP="00EF6F9E" w:rsidRDefault="003E6856" w14:paraId="5775EF55" w14:textId="77777777">
            <w:pPr>
              <w:jc w:val="center"/>
            </w:pPr>
            <w:r w:rsidRPr="001A1354">
              <w:t>463,5</w:t>
            </w:r>
          </w:p>
        </w:tc>
        <w:tc>
          <w:tcPr>
            <w:tcW w:w="895" w:type="dxa"/>
          </w:tcPr>
          <w:p w:rsidRPr="001A1354" w:rsidR="003E6856" w:rsidP="00EF6F9E" w:rsidRDefault="003E6856" w14:paraId="626B7BEC" w14:textId="77777777">
            <w:pPr>
              <w:jc w:val="center"/>
            </w:pPr>
            <w:r w:rsidRPr="001A1354">
              <w:t>448,9</w:t>
            </w:r>
          </w:p>
        </w:tc>
        <w:tc>
          <w:tcPr>
            <w:tcW w:w="895" w:type="dxa"/>
          </w:tcPr>
          <w:p w:rsidRPr="001A1354" w:rsidR="003E6856" w:rsidP="00EF6F9E" w:rsidRDefault="003E6856" w14:paraId="507E0A17" w14:textId="77777777">
            <w:pPr>
              <w:jc w:val="center"/>
            </w:pPr>
            <w:r w:rsidRPr="001A1354">
              <w:t>439,6</w:t>
            </w:r>
          </w:p>
        </w:tc>
      </w:tr>
    </w:tbl>
    <w:p w:rsidRPr="001A1354" w:rsidR="003E6856" w:rsidP="003E6856" w:rsidRDefault="003E6856" w14:paraId="10F62D78" w14:textId="77777777"/>
    <w:p w:rsidRPr="001A1354" w:rsidR="003E6856" w:rsidP="003E6856" w:rsidRDefault="00540504" w14:paraId="4F3B1495" w14:textId="299CCCEC">
      <w:r>
        <w:t>Voorlopige</w:t>
      </w:r>
      <w:r w:rsidRPr="001A1354" w:rsidR="003E6856">
        <w:t xml:space="preserve"> fosfaatexcretie per sector (in miljoen kg fosfaat)</w:t>
      </w:r>
      <w:r w:rsidRPr="001A1354" w:rsidR="003E6856">
        <w:rPr>
          <w:rStyle w:val="Voetnootmarkering"/>
        </w:rPr>
        <w:footnoteReference w:id="7"/>
      </w:r>
    </w:p>
    <w:tbl>
      <w:tblPr>
        <w:tblStyle w:val="Tabelraster1"/>
        <w:tblW w:w="0" w:type="auto"/>
        <w:tblLook w:val="04A0" w:firstRow="1" w:lastRow="0" w:firstColumn="1" w:lastColumn="0" w:noHBand="0" w:noVBand="1"/>
      </w:tblPr>
      <w:tblGrid>
        <w:gridCol w:w="1165"/>
        <w:gridCol w:w="1156"/>
        <w:gridCol w:w="1076"/>
        <w:gridCol w:w="1076"/>
        <w:gridCol w:w="895"/>
        <w:gridCol w:w="942"/>
      </w:tblGrid>
      <w:tr w:rsidRPr="001A1354" w:rsidR="003E6856" w:rsidTr="00EF6F9E" w14:paraId="76CB833E" w14:textId="77777777">
        <w:tc>
          <w:tcPr>
            <w:tcW w:w="1165" w:type="dxa"/>
          </w:tcPr>
          <w:p w:rsidRPr="001A1354" w:rsidR="003E6856" w:rsidP="00EF6F9E" w:rsidRDefault="003E6856" w14:paraId="2891769E" w14:textId="77777777"/>
        </w:tc>
        <w:tc>
          <w:tcPr>
            <w:tcW w:w="1156" w:type="dxa"/>
          </w:tcPr>
          <w:p w:rsidRPr="00C05D19" w:rsidR="003E6856" w:rsidP="00EF6F9E" w:rsidRDefault="003E6856" w14:paraId="6F8040BF" w14:textId="77777777">
            <w:pPr>
              <w:jc w:val="center"/>
              <w:rPr>
                <w:b/>
                <w:bCs/>
              </w:rPr>
            </w:pPr>
            <w:r w:rsidRPr="00C05D19">
              <w:rPr>
                <w:b/>
                <w:bCs/>
              </w:rPr>
              <w:t>Plafond</w:t>
            </w:r>
            <w:r w:rsidRPr="00C05D19">
              <w:rPr>
                <w:b/>
                <w:bCs/>
                <w:vertAlign w:val="superscript"/>
              </w:rPr>
              <w:footnoteReference w:id="8"/>
            </w:r>
          </w:p>
        </w:tc>
        <w:tc>
          <w:tcPr>
            <w:tcW w:w="1076" w:type="dxa"/>
          </w:tcPr>
          <w:p w:rsidRPr="00C05D19" w:rsidR="003E6856" w:rsidP="00EF6F9E" w:rsidRDefault="003E6856" w14:paraId="2640C5D1" w14:textId="77777777">
            <w:pPr>
              <w:jc w:val="center"/>
              <w:rPr>
                <w:b/>
                <w:bCs/>
              </w:rPr>
            </w:pPr>
            <w:r w:rsidRPr="00C05D19">
              <w:rPr>
                <w:b/>
                <w:bCs/>
              </w:rPr>
              <w:t>2018</w:t>
            </w:r>
          </w:p>
        </w:tc>
        <w:tc>
          <w:tcPr>
            <w:tcW w:w="1076" w:type="dxa"/>
          </w:tcPr>
          <w:p w:rsidRPr="00C05D19" w:rsidR="003E6856" w:rsidP="00EF6F9E" w:rsidRDefault="003E6856" w14:paraId="1DF1A218" w14:textId="77777777">
            <w:pPr>
              <w:jc w:val="center"/>
              <w:rPr>
                <w:b/>
                <w:bCs/>
              </w:rPr>
            </w:pPr>
            <w:r w:rsidRPr="00C05D19">
              <w:rPr>
                <w:b/>
                <w:bCs/>
              </w:rPr>
              <w:t>2023</w:t>
            </w:r>
          </w:p>
        </w:tc>
        <w:tc>
          <w:tcPr>
            <w:tcW w:w="895" w:type="dxa"/>
          </w:tcPr>
          <w:p w:rsidRPr="00C05D19" w:rsidR="003E6856" w:rsidP="00EF6F9E" w:rsidRDefault="003E6856" w14:paraId="59E42AEA" w14:textId="77777777">
            <w:pPr>
              <w:jc w:val="center"/>
              <w:rPr>
                <w:b/>
                <w:bCs/>
              </w:rPr>
            </w:pPr>
            <w:r w:rsidRPr="00C05D19">
              <w:rPr>
                <w:b/>
                <w:bCs/>
              </w:rPr>
              <w:t>2024</w:t>
            </w:r>
          </w:p>
        </w:tc>
        <w:tc>
          <w:tcPr>
            <w:tcW w:w="895" w:type="dxa"/>
          </w:tcPr>
          <w:p w:rsidRPr="00C05D19" w:rsidR="003E6856" w:rsidP="00EF6F9E" w:rsidRDefault="003E6856" w14:paraId="214F35B1" w14:textId="25F80BDC">
            <w:pPr>
              <w:jc w:val="center"/>
              <w:rPr>
                <w:b/>
                <w:bCs/>
                <w:vertAlign w:val="superscript"/>
              </w:rPr>
            </w:pPr>
            <w:r w:rsidRPr="00C05D19">
              <w:rPr>
                <w:b/>
                <w:bCs/>
              </w:rPr>
              <w:t>2025</w:t>
            </w:r>
            <w:r w:rsidRPr="00C05D19" w:rsidR="003918D3">
              <w:rPr>
                <w:b/>
                <w:bCs/>
                <w:vertAlign w:val="superscript"/>
              </w:rPr>
              <w:t>1,2</w:t>
            </w:r>
          </w:p>
        </w:tc>
      </w:tr>
      <w:tr w:rsidRPr="001A1354" w:rsidR="003E6856" w:rsidTr="00EF6F9E" w14:paraId="1A436786" w14:textId="77777777">
        <w:tc>
          <w:tcPr>
            <w:tcW w:w="1165" w:type="dxa"/>
          </w:tcPr>
          <w:p w:rsidRPr="001A1354" w:rsidR="003E6856" w:rsidP="00EF6F9E" w:rsidRDefault="003E6856" w14:paraId="7876C759" w14:textId="77777777">
            <w:r w:rsidRPr="001A1354">
              <w:t>Melkvee</w:t>
            </w:r>
          </w:p>
        </w:tc>
        <w:tc>
          <w:tcPr>
            <w:tcW w:w="1156" w:type="dxa"/>
          </w:tcPr>
          <w:p w:rsidRPr="001A1354" w:rsidR="003E6856" w:rsidP="00EF6F9E" w:rsidRDefault="003E6856" w14:paraId="7FCA9BD6" w14:textId="77777777">
            <w:pPr>
              <w:jc w:val="center"/>
            </w:pPr>
            <w:r w:rsidRPr="001A1354">
              <w:t>71,8</w:t>
            </w:r>
          </w:p>
        </w:tc>
        <w:tc>
          <w:tcPr>
            <w:tcW w:w="1076" w:type="dxa"/>
          </w:tcPr>
          <w:p w:rsidRPr="001A1354" w:rsidR="003E6856" w:rsidP="00EF6F9E" w:rsidRDefault="003E6856" w14:paraId="1AC96059" w14:textId="77777777">
            <w:pPr>
              <w:jc w:val="center"/>
            </w:pPr>
            <w:r w:rsidRPr="001A1354">
              <w:t>78,7</w:t>
            </w:r>
          </w:p>
        </w:tc>
        <w:tc>
          <w:tcPr>
            <w:tcW w:w="1076" w:type="dxa"/>
          </w:tcPr>
          <w:p w:rsidRPr="001A1354" w:rsidR="003E6856" w:rsidP="00EF6F9E" w:rsidRDefault="003E6856" w14:paraId="3A81F6B2" w14:textId="77777777">
            <w:pPr>
              <w:jc w:val="center"/>
            </w:pPr>
            <w:r w:rsidRPr="001A1354">
              <w:t>75,6</w:t>
            </w:r>
          </w:p>
        </w:tc>
        <w:tc>
          <w:tcPr>
            <w:tcW w:w="895" w:type="dxa"/>
          </w:tcPr>
          <w:p w:rsidRPr="001A1354" w:rsidR="003E6856" w:rsidP="00EF6F9E" w:rsidRDefault="003E6856" w14:paraId="26E1E5A1" w14:textId="77777777">
            <w:pPr>
              <w:jc w:val="center"/>
            </w:pPr>
            <w:r w:rsidRPr="001A1354">
              <w:t>76,7</w:t>
            </w:r>
          </w:p>
        </w:tc>
        <w:tc>
          <w:tcPr>
            <w:tcW w:w="895" w:type="dxa"/>
          </w:tcPr>
          <w:p w:rsidRPr="001A1354" w:rsidR="003E6856" w:rsidP="00EF6F9E" w:rsidRDefault="003E6856" w14:paraId="43331898" w14:textId="77777777">
            <w:pPr>
              <w:jc w:val="center"/>
            </w:pPr>
            <w:r w:rsidRPr="001A1354">
              <w:t>75,1</w:t>
            </w:r>
          </w:p>
        </w:tc>
      </w:tr>
      <w:tr w:rsidRPr="001A1354" w:rsidR="003E6856" w:rsidTr="00EF6F9E" w14:paraId="4F437ACB" w14:textId="77777777">
        <w:tc>
          <w:tcPr>
            <w:tcW w:w="1165" w:type="dxa"/>
          </w:tcPr>
          <w:p w:rsidRPr="001A1354" w:rsidR="003E6856" w:rsidP="00EF6F9E" w:rsidRDefault="003E6856" w14:paraId="26E72D2A" w14:textId="77777777">
            <w:r w:rsidRPr="001A1354">
              <w:t>Varkens</w:t>
            </w:r>
          </w:p>
        </w:tc>
        <w:tc>
          <w:tcPr>
            <w:tcW w:w="1156" w:type="dxa"/>
          </w:tcPr>
          <w:p w:rsidRPr="001A1354" w:rsidR="003E6856" w:rsidP="00EF6F9E" w:rsidRDefault="003E6856" w14:paraId="0DBC618D" w14:textId="77777777">
            <w:pPr>
              <w:jc w:val="center"/>
            </w:pPr>
            <w:r w:rsidRPr="001A1354">
              <w:t>27,8</w:t>
            </w:r>
          </w:p>
        </w:tc>
        <w:tc>
          <w:tcPr>
            <w:tcW w:w="1076" w:type="dxa"/>
          </w:tcPr>
          <w:p w:rsidRPr="001A1354" w:rsidR="003E6856" w:rsidP="00EF6F9E" w:rsidRDefault="003E6856" w14:paraId="0EF72808" w14:textId="77777777">
            <w:pPr>
              <w:jc w:val="center"/>
            </w:pPr>
            <w:r w:rsidRPr="001A1354">
              <w:t>37,6</w:t>
            </w:r>
          </w:p>
        </w:tc>
        <w:tc>
          <w:tcPr>
            <w:tcW w:w="1076" w:type="dxa"/>
          </w:tcPr>
          <w:p w:rsidRPr="001A1354" w:rsidR="003E6856" w:rsidP="00EF6F9E" w:rsidRDefault="003E6856" w14:paraId="3AC76B29" w14:textId="77777777">
            <w:pPr>
              <w:jc w:val="center"/>
            </w:pPr>
            <w:r w:rsidRPr="001A1354">
              <w:t>32,8</w:t>
            </w:r>
          </w:p>
        </w:tc>
        <w:tc>
          <w:tcPr>
            <w:tcW w:w="895" w:type="dxa"/>
          </w:tcPr>
          <w:p w:rsidRPr="001A1354" w:rsidR="003E6856" w:rsidP="00EF6F9E" w:rsidRDefault="003E6856" w14:paraId="0F66DCD6" w14:textId="77777777">
            <w:pPr>
              <w:jc w:val="center"/>
            </w:pPr>
            <w:r w:rsidRPr="001A1354">
              <w:t>32,3</w:t>
            </w:r>
          </w:p>
        </w:tc>
        <w:tc>
          <w:tcPr>
            <w:tcW w:w="895" w:type="dxa"/>
          </w:tcPr>
          <w:p w:rsidRPr="001A1354" w:rsidR="003E6856" w:rsidP="00EF6F9E" w:rsidRDefault="003E6856" w14:paraId="7832C884" w14:textId="77777777">
            <w:pPr>
              <w:jc w:val="center"/>
            </w:pPr>
            <w:r w:rsidRPr="001A1354">
              <w:t>30,2</w:t>
            </w:r>
          </w:p>
        </w:tc>
      </w:tr>
      <w:tr w:rsidRPr="001A1354" w:rsidR="003E6856" w:rsidTr="00EF6F9E" w14:paraId="4727CB21" w14:textId="77777777">
        <w:tc>
          <w:tcPr>
            <w:tcW w:w="1165" w:type="dxa"/>
          </w:tcPr>
          <w:p w:rsidRPr="001A1354" w:rsidR="003E6856" w:rsidP="00EF6F9E" w:rsidRDefault="003E6856" w14:paraId="6ACAADE9" w14:textId="77777777">
            <w:r w:rsidRPr="001A1354">
              <w:t>Pluimvee</w:t>
            </w:r>
          </w:p>
        </w:tc>
        <w:tc>
          <w:tcPr>
            <w:tcW w:w="1156" w:type="dxa"/>
          </w:tcPr>
          <w:p w:rsidRPr="001A1354" w:rsidR="003E6856" w:rsidP="00EF6F9E" w:rsidRDefault="003E6856" w14:paraId="7C7EC09F" w14:textId="77777777">
            <w:pPr>
              <w:jc w:val="center"/>
            </w:pPr>
            <w:r w:rsidRPr="001A1354">
              <w:t>20,3</w:t>
            </w:r>
          </w:p>
        </w:tc>
        <w:tc>
          <w:tcPr>
            <w:tcW w:w="1076" w:type="dxa"/>
          </w:tcPr>
          <w:p w:rsidRPr="001A1354" w:rsidR="003E6856" w:rsidP="00EF6F9E" w:rsidRDefault="003E6856" w14:paraId="25B09311" w14:textId="77777777">
            <w:pPr>
              <w:jc w:val="center"/>
            </w:pPr>
            <w:r w:rsidRPr="001A1354">
              <w:t>25,8</w:t>
            </w:r>
          </w:p>
        </w:tc>
        <w:tc>
          <w:tcPr>
            <w:tcW w:w="1076" w:type="dxa"/>
          </w:tcPr>
          <w:p w:rsidRPr="001A1354" w:rsidR="003E6856" w:rsidP="00EF6F9E" w:rsidRDefault="003E6856" w14:paraId="0206BE09" w14:textId="77777777">
            <w:pPr>
              <w:jc w:val="center"/>
            </w:pPr>
            <w:r w:rsidRPr="001A1354">
              <w:t>23,0</w:t>
            </w:r>
          </w:p>
        </w:tc>
        <w:tc>
          <w:tcPr>
            <w:tcW w:w="895" w:type="dxa"/>
          </w:tcPr>
          <w:p w:rsidRPr="001A1354" w:rsidR="003E6856" w:rsidP="00EF6F9E" w:rsidRDefault="003E6856" w14:paraId="57B4FDFD" w14:textId="77777777">
            <w:pPr>
              <w:jc w:val="center"/>
            </w:pPr>
            <w:r w:rsidRPr="001A1354">
              <w:t>20,8</w:t>
            </w:r>
          </w:p>
        </w:tc>
        <w:tc>
          <w:tcPr>
            <w:tcW w:w="895" w:type="dxa"/>
          </w:tcPr>
          <w:p w:rsidRPr="001A1354" w:rsidR="003E6856" w:rsidP="00EF6F9E" w:rsidRDefault="003E6856" w14:paraId="5580BEE2" w14:textId="77777777">
            <w:pPr>
              <w:jc w:val="center"/>
            </w:pPr>
            <w:r w:rsidRPr="001A1354">
              <w:t>20,0</w:t>
            </w:r>
          </w:p>
        </w:tc>
      </w:tr>
      <w:tr w:rsidRPr="001A1354" w:rsidR="003E6856" w:rsidTr="00EF6F9E" w14:paraId="201703B8" w14:textId="77777777">
        <w:tc>
          <w:tcPr>
            <w:tcW w:w="1165" w:type="dxa"/>
          </w:tcPr>
          <w:p w:rsidRPr="001A1354" w:rsidR="003E6856" w:rsidP="00EF6F9E" w:rsidRDefault="003E6856" w14:paraId="5CA88176" w14:textId="77777777">
            <w:r w:rsidRPr="001A1354">
              <w:t>Overig</w:t>
            </w:r>
          </w:p>
        </w:tc>
        <w:tc>
          <w:tcPr>
            <w:tcW w:w="1156" w:type="dxa"/>
          </w:tcPr>
          <w:p w:rsidRPr="001A1354" w:rsidR="003E6856" w:rsidP="00EF6F9E" w:rsidRDefault="003E6856" w14:paraId="477B68DA" w14:textId="77777777">
            <w:pPr>
              <w:jc w:val="center"/>
            </w:pPr>
            <w:r w:rsidRPr="001A1354">
              <w:t>15,1</w:t>
            </w:r>
          </w:p>
        </w:tc>
        <w:tc>
          <w:tcPr>
            <w:tcW w:w="1076" w:type="dxa"/>
          </w:tcPr>
          <w:p w:rsidRPr="001A1354" w:rsidR="003E6856" w:rsidP="00EF6F9E" w:rsidRDefault="003E6856" w14:paraId="64725CFE" w14:textId="77777777">
            <w:pPr>
              <w:jc w:val="center"/>
            </w:pPr>
            <w:r w:rsidRPr="001A1354">
              <w:t>19,8</w:t>
            </w:r>
          </w:p>
        </w:tc>
        <w:tc>
          <w:tcPr>
            <w:tcW w:w="1076" w:type="dxa"/>
          </w:tcPr>
          <w:p w:rsidRPr="001A1354" w:rsidR="003E6856" w:rsidP="00EF6F9E" w:rsidRDefault="003E6856" w14:paraId="12666866" w14:textId="77777777">
            <w:pPr>
              <w:jc w:val="center"/>
            </w:pPr>
            <w:r w:rsidRPr="001A1354">
              <w:t>16,1</w:t>
            </w:r>
          </w:p>
        </w:tc>
        <w:tc>
          <w:tcPr>
            <w:tcW w:w="895" w:type="dxa"/>
          </w:tcPr>
          <w:p w:rsidRPr="001A1354" w:rsidR="003E6856" w:rsidP="00EF6F9E" w:rsidRDefault="003E6856" w14:paraId="7DBFC8A6" w14:textId="77777777">
            <w:pPr>
              <w:jc w:val="center"/>
            </w:pPr>
            <w:r w:rsidRPr="001A1354">
              <w:t>17</w:t>
            </w:r>
          </w:p>
        </w:tc>
        <w:tc>
          <w:tcPr>
            <w:tcW w:w="895" w:type="dxa"/>
          </w:tcPr>
          <w:p w:rsidRPr="001A1354" w:rsidR="003E6856" w:rsidP="00EF6F9E" w:rsidRDefault="003E6856" w14:paraId="41817FF7" w14:textId="77777777">
            <w:pPr>
              <w:jc w:val="center"/>
            </w:pPr>
            <w:r w:rsidRPr="001A1354">
              <w:t>16,2</w:t>
            </w:r>
          </w:p>
        </w:tc>
      </w:tr>
      <w:tr w:rsidRPr="00CB09E3" w:rsidR="003E6856" w:rsidTr="00EF6F9E" w14:paraId="1092A628" w14:textId="77777777">
        <w:tc>
          <w:tcPr>
            <w:tcW w:w="1165" w:type="dxa"/>
          </w:tcPr>
          <w:p w:rsidRPr="001A1354" w:rsidR="003E6856" w:rsidP="00EF6F9E" w:rsidRDefault="003E6856" w14:paraId="2DF66D48" w14:textId="77777777">
            <w:r w:rsidRPr="001A1354">
              <w:lastRenderedPageBreak/>
              <w:t>Totaal</w:t>
            </w:r>
          </w:p>
        </w:tc>
        <w:tc>
          <w:tcPr>
            <w:tcW w:w="1156" w:type="dxa"/>
          </w:tcPr>
          <w:p w:rsidRPr="001A1354" w:rsidR="003E6856" w:rsidP="00EF6F9E" w:rsidRDefault="003E6856" w14:paraId="61CB28EA" w14:textId="77777777">
            <w:pPr>
              <w:jc w:val="center"/>
            </w:pPr>
            <w:r w:rsidRPr="001A1354">
              <w:t>135</w:t>
            </w:r>
          </w:p>
        </w:tc>
        <w:tc>
          <w:tcPr>
            <w:tcW w:w="1076" w:type="dxa"/>
          </w:tcPr>
          <w:p w:rsidRPr="001A1354" w:rsidR="003E6856" w:rsidP="00EF6F9E" w:rsidRDefault="003E6856" w14:paraId="49ED76F8" w14:textId="77777777">
            <w:pPr>
              <w:jc w:val="center"/>
            </w:pPr>
            <w:r w:rsidRPr="001A1354">
              <w:t>161,8</w:t>
            </w:r>
          </w:p>
        </w:tc>
        <w:tc>
          <w:tcPr>
            <w:tcW w:w="1076" w:type="dxa"/>
          </w:tcPr>
          <w:p w:rsidRPr="001A1354" w:rsidR="003E6856" w:rsidP="00EF6F9E" w:rsidRDefault="003E6856" w14:paraId="35F9D964" w14:textId="77777777">
            <w:pPr>
              <w:jc w:val="center"/>
            </w:pPr>
            <w:r w:rsidRPr="001A1354">
              <w:t>147,5</w:t>
            </w:r>
          </w:p>
        </w:tc>
        <w:tc>
          <w:tcPr>
            <w:tcW w:w="895" w:type="dxa"/>
          </w:tcPr>
          <w:p w:rsidRPr="001A1354" w:rsidR="003E6856" w:rsidP="00EF6F9E" w:rsidRDefault="003E6856" w14:paraId="4D15AE3D" w14:textId="77777777">
            <w:pPr>
              <w:jc w:val="center"/>
            </w:pPr>
            <w:r w:rsidRPr="001A1354">
              <w:t>146,7</w:t>
            </w:r>
          </w:p>
        </w:tc>
        <w:tc>
          <w:tcPr>
            <w:tcW w:w="895" w:type="dxa"/>
          </w:tcPr>
          <w:p w:rsidRPr="00E8699D" w:rsidR="003E6856" w:rsidP="00EF6F9E" w:rsidRDefault="003E6856" w14:paraId="53CA3CFD" w14:textId="77777777">
            <w:pPr>
              <w:jc w:val="center"/>
            </w:pPr>
            <w:r w:rsidRPr="001A1354">
              <w:t>141,5</w:t>
            </w:r>
          </w:p>
        </w:tc>
      </w:tr>
    </w:tbl>
    <w:p w:rsidR="003E6856" w:rsidP="003E6856" w:rsidRDefault="003E6856" w14:paraId="64FD03C0" w14:textId="77777777"/>
    <w:p w:rsidRPr="00520E77" w:rsidR="003E6856" w:rsidP="003E6856" w:rsidRDefault="003E6856" w14:paraId="5985D7EE" w14:textId="77777777">
      <w:pPr>
        <w:rPr>
          <w:i/>
          <w:iCs/>
        </w:rPr>
      </w:pPr>
      <w:r w:rsidRPr="00520E77">
        <w:rPr>
          <w:i/>
          <w:iCs/>
        </w:rPr>
        <w:t>Derogatie deelname</w:t>
      </w:r>
    </w:p>
    <w:p w:rsidRPr="00C3111A" w:rsidR="003E6856" w:rsidP="003E6856" w:rsidRDefault="003E6856" w14:paraId="7EB9B6F9" w14:textId="77777777">
      <w:pPr>
        <w:rPr>
          <w:szCs w:val="18"/>
        </w:rPr>
      </w:pPr>
      <w:r w:rsidRPr="00520E77">
        <w:t xml:space="preserve">In 2025 nam het aantal aanmeldingen voor een derogatievergunning verder af met 4,1% ten opzichte van 2024. </w:t>
      </w:r>
      <w:r w:rsidRPr="00520E77">
        <w:rPr>
          <w:szCs w:val="18"/>
        </w:rPr>
        <w:t xml:space="preserve">Het percentage grasland op derogatiebedrijven in 2025 daalt met 2% ten opzichte van 2024 (naar 88%), maar is daarmee op een stabiel niveau met voorgaande jaren. </w:t>
      </w:r>
      <w:r w:rsidRPr="00520E77">
        <w:t xml:space="preserve">In de Rapportage Nederlands mestbeleid 2025 wordt ook verslag gedaan over de resultaten van controles op bedrijven met een derogatievergunning voor zowel het jaar 2024 als 2025. </w:t>
      </w:r>
      <w:r w:rsidRPr="00520E77">
        <w:rPr>
          <w:szCs w:val="18"/>
        </w:rPr>
        <w:t>De toezichtintensiteit in het jaar 2025 is gelijk gebleven ten opzichte van 2024 (4%). Het handhavingspercentage is in 2025 toegenomen naar 23%.</w:t>
      </w:r>
      <w:r w:rsidRPr="00C3111A">
        <w:t xml:space="preserve"> </w:t>
      </w:r>
    </w:p>
    <w:p w:rsidRPr="00C3111A" w:rsidR="003E6856" w:rsidP="003E6856" w:rsidRDefault="003E6856" w14:paraId="35AD75C7" w14:textId="77777777"/>
    <w:p w:rsidRPr="00520E77" w:rsidR="003E6856" w:rsidP="003E6856" w:rsidRDefault="003E6856" w14:paraId="5A8C2EEE" w14:textId="77777777">
      <w:pPr>
        <w:rPr>
          <w:i/>
          <w:iCs/>
        </w:rPr>
      </w:pPr>
      <w:r w:rsidRPr="00520E77">
        <w:rPr>
          <w:i/>
          <w:iCs/>
        </w:rPr>
        <w:t>Versterkte Handhavingsstrategie Mest (VHS Mest)</w:t>
      </w:r>
    </w:p>
    <w:p w:rsidR="00C01674" w:rsidP="003E6856" w:rsidRDefault="003E6856" w14:paraId="565A2355" w14:textId="75F954F1">
      <w:pPr>
        <w:rPr>
          <w:rFonts w:eastAsia="Calibri" w:cs="Calibri"/>
          <w:szCs w:val="18"/>
        </w:rPr>
      </w:pPr>
      <w:r w:rsidRPr="00520E77">
        <w:rPr>
          <w:rFonts w:eastAsia="Calibri" w:cs="Calibri"/>
          <w:szCs w:val="18"/>
        </w:rPr>
        <w:t>Met de Versterkte Handhavingsstrategie Mest</w:t>
      </w:r>
      <w:r>
        <w:rPr>
          <w:rFonts w:eastAsia="Calibri" w:cs="Calibri"/>
          <w:szCs w:val="18"/>
        </w:rPr>
        <w:t xml:space="preserve"> (VHS Mest)</w:t>
      </w:r>
      <w:r w:rsidRPr="00520E77">
        <w:rPr>
          <w:rFonts w:eastAsia="Calibri" w:cs="Calibri"/>
          <w:szCs w:val="18"/>
        </w:rPr>
        <w:t xml:space="preserve"> wordt</w:t>
      </w:r>
      <w:r>
        <w:rPr>
          <w:rFonts w:eastAsia="Calibri" w:cs="Calibri"/>
          <w:szCs w:val="18"/>
        </w:rPr>
        <w:t xml:space="preserve"> </w:t>
      </w:r>
      <w:r w:rsidRPr="00520E77">
        <w:rPr>
          <w:rFonts w:eastAsia="Calibri" w:cs="Calibri"/>
          <w:szCs w:val="18"/>
        </w:rPr>
        <w:t xml:space="preserve">controle en handhaving risicogericht ingezet om de naleving </w:t>
      </w:r>
      <w:r>
        <w:rPr>
          <w:rFonts w:eastAsia="Calibri" w:cs="Calibri"/>
          <w:szCs w:val="18"/>
        </w:rPr>
        <w:t xml:space="preserve">van regels uit het mestbeleid </w:t>
      </w:r>
      <w:r w:rsidRPr="00520E77">
        <w:rPr>
          <w:rFonts w:eastAsia="Calibri" w:cs="Calibri"/>
          <w:szCs w:val="18"/>
        </w:rPr>
        <w:t>te vergroten.</w:t>
      </w:r>
      <w:r w:rsidRPr="00190FF5">
        <w:t xml:space="preserve"> </w:t>
      </w:r>
      <w:r>
        <w:t>D</w:t>
      </w:r>
      <w:r w:rsidRPr="00190FF5">
        <w:rPr>
          <w:rFonts w:eastAsia="Calibri" w:cs="Calibri"/>
          <w:szCs w:val="18"/>
        </w:rPr>
        <w:t xml:space="preserve">e VHS Mest </w:t>
      </w:r>
      <w:r>
        <w:rPr>
          <w:rFonts w:eastAsia="Calibri" w:cs="Calibri"/>
          <w:szCs w:val="18"/>
        </w:rPr>
        <w:t xml:space="preserve">zet hierbij </w:t>
      </w:r>
      <w:r w:rsidR="00C01674">
        <w:rPr>
          <w:rFonts w:eastAsia="Calibri" w:cs="Calibri"/>
          <w:szCs w:val="18"/>
        </w:rPr>
        <w:t>ook</w:t>
      </w:r>
      <w:r>
        <w:rPr>
          <w:rFonts w:eastAsia="Calibri" w:cs="Calibri"/>
          <w:szCs w:val="18"/>
        </w:rPr>
        <w:t xml:space="preserve"> in op </w:t>
      </w:r>
      <w:r w:rsidRPr="00190FF5">
        <w:rPr>
          <w:rFonts w:eastAsia="Calibri" w:cs="Calibri"/>
          <w:szCs w:val="18"/>
        </w:rPr>
        <w:t>extra handhaving van risicovolle schakels in de mestketens, zoals intermediaire ondernemingen en co-vergisters</w:t>
      </w:r>
      <w:r>
        <w:rPr>
          <w:rFonts w:eastAsia="Calibri" w:cs="Calibri"/>
          <w:szCs w:val="18"/>
        </w:rPr>
        <w:t>.</w:t>
      </w:r>
      <w:r w:rsidRPr="00520E77">
        <w:rPr>
          <w:rFonts w:eastAsia="Calibri" w:cs="Calibri"/>
          <w:szCs w:val="18"/>
        </w:rPr>
        <w:t xml:space="preserve"> </w:t>
      </w:r>
      <w:r>
        <w:rPr>
          <w:rFonts w:eastAsia="Calibri" w:cs="Calibri"/>
          <w:szCs w:val="18"/>
        </w:rPr>
        <w:t>Naast risicogerichte handhaving wordt de handhaving gebiedsgericht ingezet in die gebieden waar de grootste kans is op niet naleving van de regels. Dit gebeurt in de drie geïdentificeerde risicogebieden de Peel, de Gelderse Vallei en Twente. Hierbij wordt</w:t>
      </w:r>
      <w:r w:rsidRPr="00826952">
        <w:rPr>
          <w:rFonts w:eastAsia="Calibri" w:cs="Calibri"/>
          <w:szCs w:val="18"/>
        </w:rPr>
        <w:t xml:space="preserve"> door diverse toezichthoudende organisaties op een risicogerichte manier samengewerkt in de analyse en de controles.</w:t>
      </w:r>
      <w:r>
        <w:rPr>
          <w:rFonts w:eastAsia="Calibri" w:cs="Calibri"/>
          <w:szCs w:val="18"/>
        </w:rPr>
        <w:t xml:space="preserve"> </w:t>
      </w:r>
      <w:r w:rsidRPr="00826952">
        <w:rPr>
          <w:rFonts w:eastAsia="Calibri" w:cs="Calibri"/>
          <w:szCs w:val="18"/>
        </w:rPr>
        <w:t xml:space="preserve">Er wordt in de gebieden samengewerkt tussen de NVWA, RVO, Openbaar Ministerie (OM), </w:t>
      </w:r>
      <w:r>
        <w:rPr>
          <w:rFonts w:eastAsia="Calibri" w:cs="Calibri"/>
          <w:szCs w:val="18"/>
        </w:rPr>
        <w:t>p</w:t>
      </w:r>
      <w:r w:rsidRPr="00826952">
        <w:rPr>
          <w:rFonts w:eastAsia="Calibri" w:cs="Calibri"/>
          <w:szCs w:val="18"/>
        </w:rPr>
        <w:t xml:space="preserve">olitie, de Omgevingsdiensten (OD’s), </w:t>
      </w:r>
      <w:r>
        <w:rPr>
          <w:rFonts w:eastAsia="Calibri" w:cs="Calibri"/>
          <w:szCs w:val="18"/>
        </w:rPr>
        <w:t>w</w:t>
      </w:r>
      <w:r w:rsidRPr="00826952">
        <w:rPr>
          <w:rFonts w:eastAsia="Calibri" w:cs="Calibri"/>
          <w:szCs w:val="18"/>
        </w:rPr>
        <w:t xml:space="preserve">aterschappen en </w:t>
      </w:r>
      <w:r>
        <w:rPr>
          <w:rFonts w:eastAsia="Calibri" w:cs="Calibri"/>
          <w:szCs w:val="18"/>
        </w:rPr>
        <w:t>p</w:t>
      </w:r>
      <w:r w:rsidRPr="00826952">
        <w:rPr>
          <w:rFonts w:eastAsia="Calibri" w:cs="Calibri"/>
          <w:szCs w:val="18"/>
        </w:rPr>
        <w:t>rovincies</w:t>
      </w:r>
      <w:r>
        <w:rPr>
          <w:rFonts w:eastAsia="Calibri" w:cs="Calibri"/>
          <w:szCs w:val="18"/>
        </w:rPr>
        <w:t>.</w:t>
      </w:r>
      <w:r w:rsidRPr="003430CC">
        <w:t xml:space="preserve"> </w:t>
      </w:r>
      <w:r w:rsidRPr="00826952">
        <w:rPr>
          <w:rFonts w:eastAsia="Calibri" w:cs="Calibri"/>
          <w:szCs w:val="18"/>
        </w:rPr>
        <w:t>Dit levert naast het opsporen van niet naleving, inzichten in het gezamenlijk handhaven</w:t>
      </w:r>
      <w:r>
        <w:rPr>
          <w:rFonts w:eastAsia="Calibri" w:cs="Calibri"/>
          <w:szCs w:val="18"/>
        </w:rPr>
        <w:t>.</w:t>
      </w:r>
      <w:r w:rsidRPr="003430CC">
        <w:rPr>
          <w:rFonts w:eastAsia="Calibri" w:cs="Calibri"/>
          <w:szCs w:val="18"/>
        </w:rPr>
        <w:t xml:space="preserve"> </w:t>
      </w:r>
    </w:p>
    <w:p w:rsidR="00C01674" w:rsidP="003E6856" w:rsidRDefault="00C01674" w14:paraId="663AAEB5" w14:textId="77777777">
      <w:pPr>
        <w:rPr>
          <w:rFonts w:eastAsia="Calibri" w:cs="Calibri"/>
          <w:szCs w:val="18"/>
        </w:rPr>
      </w:pPr>
    </w:p>
    <w:p w:rsidR="003E6856" w:rsidP="003E6856" w:rsidRDefault="003E6856" w14:paraId="4EF13FEB" w14:textId="53D67B07">
      <w:pPr>
        <w:rPr>
          <w:rFonts w:eastAsia="Calibri" w:cs="Calibri"/>
          <w:szCs w:val="18"/>
        </w:rPr>
      </w:pPr>
      <w:r w:rsidRPr="003430CC">
        <w:rPr>
          <w:rFonts w:eastAsia="Calibri" w:cs="Calibri"/>
          <w:szCs w:val="18"/>
        </w:rPr>
        <w:t>Vanuit de derogatiebeschikking 2022-2025 is een verplichting opgenomen om de VHS Mest voort te zetten en de gebiedsgerichte handhaving uit te breiden tot alle regio</w:t>
      </w:r>
      <w:r>
        <w:rPr>
          <w:rFonts w:eastAsia="Calibri" w:cs="Calibri"/>
          <w:szCs w:val="18"/>
        </w:rPr>
        <w:t>’</w:t>
      </w:r>
      <w:r w:rsidRPr="003430CC">
        <w:rPr>
          <w:rFonts w:eastAsia="Calibri" w:cs="Calibri"/>
          <w:szCs w:val="18"/>
        </w:rPr>
        <w:t>s waar</w:t>
      </w:r>
      <w:r>
        <w:rPr>
          <w:rFonts w:eastAsia="Calibri" w:cs="Calibri"/>
          <w:szCs w:val="18"/>
        </w:rPr>
        <w:t xml:space="preserve"> waterkwaliteit achterblijft en </w:t>
      </w:r>
      <w:r w:rsidRPr="003430CC">
        <w:rPr>
          <w:rFonts w:eastAsia="Calibri" w:cs="Calibri"/>
          <w:szCs w:val="18"/>
        </w:rPr>
        <w:t>uit de beoordeling blijkt dat een hoog risico op niet-naleving bestaat. De uitbreiding is in 2025 gerealiseerd</w:t>
      </w:r>
      <w:r>
        <w:rPr>
          <w:rFonts w:eastAsia="Calibri" w:cs="Calibri"/>
          <w:szCs w:val="18"/>
        </w:rPr>
        <w:t xml:space="preserve"> waarbij in De Peel een nieuwe omgevingsdienst en waterschap aan de samenwerking is toegevoegd, en bij Twente en de Gelderse Vallei meerdere omgevingsdiensten en waterschappen aan de samenwerking zijn toegevoegd. Voor de drie gebieden zijn in 2025 de afspraken van voorgaande jaren voortgezet. De analyses en de samenwerking hebben in 2025 verhelderende onderzoeken opgeleverd. Daarnaast is samengewerkt aan complexe zaken met een positief resultaat. Ook is in 2024 en 2025 gefocust op het op de juiste wijze verantwoorden van de voorraden mest in opslagen bij stoppende bedrijven.</w:t>
      </w:r>
    </w:p>
    <w:p w:rsidRPr="00F5651B" w:rsidR="003E6856" w:rsidP="003E6856" w:rsidRDefault="003E6856" w14:paraId="182E03F3" w14:textId="77777777">
      <w:pPr>
        <w:rPr>
          <w:rFonts w:eastAsia="Calibri" w:cs="Calibri"/>
          <w:szCs w:val="18"/>
        </w:rPr>
      </w:pPr>
    </w:p>
    <w:p w:rsidR="003E6856" w:rsidP="003E6856" w:rsidRDefault="003E6856" w14:paraId="385A3222" w14:textId="77777777">
      <w:pPr>
        <w:rPr>
          <w:szCs w:val="18"/>
        </w:rPr>
      </w:pPr>
      <w:r>
        <w:rPr>
          <w:rFonts w:eastAsia="Calibri" w:cs="Calibri"/>
          <w:szCs w:val="18"/>
        </w:rPr>
        <w:t>D</w:t>
      </w:r>
      <w:r w:rsidRPr="00520E77">
        <w:rPr>
          <w:rFonts w:eastAsia="Calibri" w:cs="Calibri"/>
          <w:szCs w:val="18"/>
        </w:rPr>
        <w:t>e inzet van de RVO en de NVWA op inspectie van intermediairs</w:t>
      </w:r>
      <w:r>
        <w:rPr>
          <w:rFonts w:eastAsia="Calibri" w:cs="Calibri"/>
          <w:szCs w:val="18"/>
        </w:rPr>
        <w:t>,</w:t>
      </w:r>
      <w:r w:rsidRPr="00520E77">
        <w:rPr>
          <w:rFonts w:eastAsia="Calibri" w:cs="Calibri"/>
          <w:szCs w:val="18"/>
        </w:rPr>
        <w:t xml:space="preserve"> geïdentificeerd als risicovolle schakel in de VHS</w:t>
      </w:r>
      <w:r>
        <w:rPr>
          <w:rFonts w:eastAsia="Calibri" w:cs="Calibri"/>
          <w:szCs w:val="18"/>
        </w:rPr>
        <w:t xml:space="preserve">, blijft </w:t>
      </w:r>
      <w:r w:rsidRPr="00520E77">
        <w:rPr>
          <w:rFonts w:eastAsia="Calibri" w:cs="Calibri"/>
          <w:szCs w:val="18"/>
        </w:rPr>
        <w:t xml:space="preserve">onverminderd hoog. Daarnaast is er in 2025 extra risicogerichte inzet op akkerbouwbedrijven. Ook is voldaan aan de derogatievoorwaarde om minimaal 5% van alle derogatiebedrijven fysiek te controleren: in 2025 zijn in totaal 726 derogatiebedrijven geïnspecteerd. Verder </w:t>
      </w:r>
      <w:r w:rsidRPr="00520E77">
        <w:rPr>
          <w:szCs w:val="18"/>
        </w:rPr>
        <w:t>is in 2025 7% van alle bedrijven met varkens gecontroleerd.</w:t>
      </w:r>
    </w:p>
    <w:p w:rsidR="003E6856" w:rsidP="003E6856" w:rsidRDefault="003E6856" w14:paraId="7742064F" w14:textId="77777777">
      <w:pPr>
        <w:rPr>
          <w:szCs w:val="18"/>
        </w:rPr>
      </w:pPr>
    </w:p>
    <w:p w:rsidRPr="00A013AB" w:rsidR="003E6856" w:rsidP="003E6856" w:rsidRDefault="003E6856" w14:paraId="3AF8FB3D" w14:textId="77777777">
      <w:pPr>
        <w:rPr>
          <w:b/>
          <w:bCs/>
          <w:szCs w:val="18"/>
        </w:rPr>
      </w:pPr>
      <w:r w:rsidRPr="00A013AB">
        <w:rPr>
          <w:b/>
          <w:bCs/>
          <w:szCs w:val="18"/>
        </w:rPr>
        <w:t>Voortzetting jaarlijkse rapportages</w:t>
      </w:r>
    </w:p>
    <w:p w:rsidR="00C01674" w:rsidP="003E6856" w:rsidRDefault="003E6856" w14:paraId="6C18498F" w14:textId="4233E417">
      <w:pPr>
        <w:rPr>
          <w:szCs w:val="18"/>
        </w:rPr>
      </w:pPr>
      <w:r>
        <w:rPr>
          <w:szCs w:val="18"/>
        </w:rPr>
        <w:t xml:space="preserve">Met de afloop van de derogatiebeschikking vervalt ook de monitorings- en rapportageverplichting waaraan op dit moment invulling wordt gegeven middels de derogatierapportage en de rapportage Nederlands mestbeleid. Voor 2027 zal </w:t>
      </w:r>
      <w:r w:rsidR="00C01674">
        <w:rPr>
          <w:szCs w:val="18"/>
        </w:rPr>
        <w:t xml:space="preserve">er </w:t>
      </w:r>
      <w:r>
        <w:rPr>
          <w:szCs w:val="18"/>
        </w:rPr>
        <w:t xml:space="preserve">nog een </w:t>
      </w:r>
      <w:r w:rsidR="00C01674">
        <w:rPr>
          <w:szCs w:val="18"/>
        </w:rPr>
        <w:t>laatste</w:t>
      </w:r>
      <w:r w:rsidR="000E5701">
        <w:rPr>
          <w:szCs w:val="18"/>
        </w:rPr>
        <w:t xml:space="preserve"> </w:t>
      </w:r>
      <w:r>
        <w:rPr>
          <w:szCs w:val="18"/>
        </w:rPr>
        <w:t>derogatierapportage worden opgesteld met de definitieve cijfers over de waterkwaliteit voor het laatste jaar van de derogatie</w:t>
      </w:r>
      <w:r w:rsidR="001F3A0F">
        <w:rPr>
          <w:szCs w:val="18"/>
        </w:rPr>
        <w:t xml:space="preserve"> </w:t>
      </w:r>
      <w:r w:rsidR="00C01674">
        <w:rPr>
          <w:szCs w:val="18"/>
        </w:rPr>
        <w:t>(</w:t>
      </w:r>
      <w:r>
        <w:rPr>
          <w:szCs w:val="18"/>
        </w:rPr>
        <w:t>2025</w:t>
      </w:r>
      <w:r w:rsidR="00C01674">
        <w:rPr>
          <w:szCs w:val="18"/>
        </w:rPr>
        <w:t>)</w:t>
      </w:r>
      <w:r>
        <w:rPr>
          <w:szCs w:val="18"/>
        </w:rPr>
        <w:t xml:space="preserve">. </w:t>
      </w:r>
    </w:p>
    <w:p w:rsidR="00C01674" w:rsidP="003E6856" w:rsidRDefault="00C01674" w14:paraId="6C07F4D1" w14:textId="77777777">
      <w:pPr>
        <w:rPr>
          <w:szCs w:val="18"/>
        </w:rPr>
      </w:pPr>
    </w:p>
    <w:p w:rsidRPr="009D3B07" w:rsidR="003E6856" w:rsidP="003E6856" w:rsidRDefault="003E6856" w14:paraId="7CCB146B" w14:textId="469F658F">
      <w:pPr>
        <w:rPr>
          <w:szCs w:val="18"/>
        </w:rPr>
      </w:pPr>
      <w:r>
        <w:rPr>
          <w:szCs w:val="18"/>
        </w:rPr>
        <w:lastRenderedPageBreak/>
        <w:t>Eerder heeft mijn voorganger u geïnformeerd de derogatierapportage na 2027 te vervangen met een jaarlijkse kennisnotitie over de waterkwaliteit en landbouwpraktijk op bedrijven die onderdeel zijn van het Landelijk Meetnet effecten Mestbeleid (LMM).</w:t>
      </w:r>
      <w:r>
        <w:rPr>
          <w:rStyle w:val="Voetnootmarkering"/>
          <w:szCs w:val="18"/>
        </w:rPr>
        <w:footnoteReference w:id="9"/>
      </w:r>
      <w:r>
        <w:rPr>
          <w:szCs w:val="18"/>
        </w:rPr>
        <w:t xml:space="preserve"> In vergelijking met de derogatierapportage, zal deze kennisnotitie minder omvangrijk zijn. </w:t>
      </w:r>
      <w:r w:rsidRPr="002445A6">
        <w:rPr>
          <w:szCs w:val="18"/>
        </w:rPr>
        <w:t>Omdat ik het van belang acht uw Kamer ook jaarlijks te blijven informeren over de inzet op de toezicht en handhaving van het mestbeleid, heb ik besloten ook de jaarlijkse rapportage Nederlands mestbeleid voort te zetten middels een kennisnotitie. Hierbij zullen enkele aanpassingen worden doorgevoerd ten opzichte van de huidige vorm van rapporteren, nu de rapportage- en monitoringsverplichting vanuit de derogatiebeschikking komen te vervallen.</w:t>
      </w:r>
      <w:r>
        <w:rPr>
          <w:szCs w:val="18"/>
        </w:rPr>
        <w:t xml:space="preserve"> Op deze manier hoop ik de informatievoorziening over de inzet op toezicht en handhaving van het mestbeleid, als ook de waterkwaliteit en landbouwpraktijk op landbouwbedrijven, zo volledig mogelijk voort te zetten. </w:t>
      </w:r>
      <w:r w:rsidR="00F73144">
        <w:rPr>
          <w:szCs w:val="18"/>
        </w:rPr>
        <w:t>De Europese Commissie zal hierover ook op gepaste wijze geïnformeerd worden.</w:t>
      </w:r>
    </w:p>
    <w:bookmarkEnd w:id="0"/>
    <w:p w:rsidRPr="00EC58D9" w:rsidR="003E6856" w:rsidP="003E6856" w:rsidRDefault="003E6856" w14:paraId="15DB5518" w14:textId="77777777"/>
    <w:p w:rsidR="003E6856" w:rsidP="003E6856" w:rsidRDefault="003E6856" w14:paraId="5E8C19D5" w14:textId="23EE53B1"/>
    <w:p w:rsidR="003E6856" w:rsidP="003E6856" w:rsidRDefault="003E6856" w14:paraId="3FC7EE73" w14:textId="77777777"/>
    <w:p w:rsidR="003E6856" w:rsidP="003E6856" w:rsidRDefault="003E6856" w14:paraId="74138518" w14:textId="77777777"/>
    <w:p w:rsidR="003E6856" w:rsidP="003E6856" w:rsidRDefault="003E6856" w14:paraId="2BE5E953" w14:textId="77777777"/>
    <w:p w:rsidRPr="00EC58D9" w:rsidR="003E6856" w:rsidP="003E6856" w:rsidRDefault="003E6856" w14:paraId="2E34D584" w14:textId="77777777"/>
    <w:p w:rsidRPr="006A15A5" w:rsidR="003E6856" w:rsidP="003E6856" w:rsidRDefault="003E6856" w14:paraId="3BF003EB" w14:textId="77777777">
      <w:pPr>
        <w:rPr>
          <w:szCs w:val="18"/>
        </w:rPr>
      </w:pPr>
      <w:r>
        <w:t>Jaimi van Essen</w:t>
      </w:r>
    </w:p>
    <w:p w:rsidR="003E6856" w:rsidP="003E6856" w:rsidRDefault="003E6856" w14:paraId="01D3157B" w14:textId="77777777">
      <w:r w:rsidRPr="00EC58D9">
        <w:t xml:space="preserve">Minister van </w:t>
      </w:r>
      <w:r>
        <w:rPr>
          <w:rFonts w:cs="Calibri"/>
          <w:szCs w:val="18"/>
        </w:rPr>
        <w:t>Landbouw, Visserij, Voedselzekerheid en Natuur</w:t>
      </w:r>
    </w:p>
    <w:p w:rsidRPr="004213FB" w:rsidR="003E6856" w:rsidP="003E6856" w:rsidRDefault="003E6856" w14:paraId="19EBD1A0" w14:textId="77777777">
      <w:pPr>
        <w:rPr>
          <w:szCs w:val="18"/>
        </w:rPr>
      </w:pPr>
    </w:p>
    <w:p w:rsidR="006F04AF" w:rsidP="00D15779" w:rsidRDefault="006F04AF" w14:paraId="6B2BF9CC" w14:textId="77777777"/>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B64B" w14:textId="77777777" w:rsidR="009845F4" w:rsidRDefault="009845F4">
      <w:r>
        <w:separator/>
      </w:r>
    </w:p>
    <w:p w14:paraId="79893CCD" w14:textId="77777777" w:rsidR="009845F4" w:rsidRDefault="009845F4"/>
  </w:endnote>
  <w:endnote w:type="continuationSeparator" w:id="0">
    <w:p w14:paraId="79F18C2E" w14:textId="77777777" w:rsidR="009845F4" w:rsidRDefault="009845F4">
      <w:r>
        <w:continuationSeparator/>
      </w:r>
    </w:p>
    <w:p w14:paraId="429BB659" w14:textId="77777777" w:rsidR="009845F4" w:rsidRDefault="00984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43A2" w14:textId="4D97868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428F1" w14:paraId="609BBAF3" w14:textId="77777777" w:rsidTr="00CA6A25">
      <w:trPr>
        <w:trHeight w:hRule="exact" w:val="240"/>
      </w:trPr>
      <w:tc>
        <w:tcPr>
          <w:tcW w:w="7601" w:type="dxa"/>
        </w:tcPr>
        <w:p w14:paraId="403551ED" w14:textId="77777777" w:rsidR="00527BD4" w:rsidRDefault="00527BD4" w:rsidP="003F1F6B">
          <w:pPr>
            <w:pStyle w:val="Huisstijl-Rubricering"/>
          </w:pPr>
        </w:p>
      </w:tc>
      <w:tc>
        <w:tcPr>
          <w:tcW w:w="2156" w:type="dxa"/>
        </w:tcPr>
        <w:p w14:paraId="5894D427" w14:textId="0E328A6B" w:rsidR="00527BD4" w:rsidRPr="00645414" w:rsidRDefault="009845F4"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030EC4">
              <w:t>5</w:t>
            </w:r>
          </w:fldSimple>
        </w:p>
      </w:tc>
    </w:tr>
  </w:tbl>
  <w:p w14:paraId="515FF3D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428F1" w14:paraId="55CB50FB" w14:textId="77777777" w:rsidTr="00CA6A25">
      <w:trPr>
        <w:trHeight w:hRule="exact" w:val="240"/>
      </w:trPr>
      <w:tc>
        <w:tcPr>
          <w:tcW w:w="7601" w:type="dxa"/>
        </w:tcPr>
        <w:p w14:paraId="4EFE7EE2" w14:textId="155734F6" w:rsidR="00527BD4" w:rsidRDefault="00527BD4" w:rsidP="008C356D">
          <w:pPr>
            <w:pStyle w:val="Huisstijl-Rubricering"/>
          </w:pPr>
        </w:p>
      </w:tc>
      <w:tc>
        <w:tcPr>
          <w:tcW w:w="2170" w:type="dxa"/>
        </w:tcPr>
        <w:p w14:paraId="14568224" w14:textId="4704C018" w:rsidR="00527BD4" w:rsidRPr="00ED539E" w:rsidRDefault="009845F4"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030EC4">
              <w:t>5</w:t>
            </w:r>
          </w:fldSimple>
        </w:p>
      </w:tc>
    </w:tr>
  </w:tbl>
  <w:p w14:paraId="73EE85F9" w14:textId="77777777" w:rsidR="00527BD4" w:rsidRPr="00BC3B53" w:rsidRDefault="00527BD4" w:rsidP="008C356D">
    <w:pPr>
      <w:pStyle w:val="Voettekst"/>
      <w:spacing w:line="240" w:lineRule="auto"/>
      <w:rPr>
        <w:sz w:val="2"/>
        <w:szCs w:val="2"/>
      </w:rPr>
    </w:pPr>
  </w:p>
  <w:p w14:paraId="209684A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9B8D" w14:textId="77777777" w:rsidR="009845F4" w:rsidRDefault="009845F4">
      <w:r>
        <w:separator/>
      </w:r>
    </w:p>
    <w:p w14:paraId="15B165B7" w14:textId="77777777" w:rsidR="009845F4" w:rsidRDefault="009845F4"/>
  </w:footnote>
  <w:footnote w:type="continuationSeparator" w:id="0">
    <w:p w14:paraId="47242517" w14:textId="77777777" w:rsidR="009845F4" w:rsidRDefault="009845F4">
      <w:r>
        <w:continuationSeparator/>
      </w:r>
    </w:p>
    <w:p w14:paraId="50AFC8BC" w14:textId="77777777" w:rsidR="009845F4" w:rsidRDefault="009845F4"/>
  </w:footnote>
  <w:footnote w:id="1">
    <w:p w14:paraId="33BB0C59" w14:textId="77777777" w:rsidR="00F139EC" w:rsidRDefault="00F139EC" w:rsidP="00F139EC">
      <w:pPr>
        <w:pStyle w:val="Voetnoottekst"/>
      </w:pPr>
      <w:r w:rsidRPr="00DE245C">
        <w:rPr>
          <w:rStyle w:val="Voetnootmarkering"/>
        </w:rPr>
        <w:footnoteRef/>
      </w:r>
      <w:r w:rsidRPr="00DE245C">
        <w:t xml:space="preserve"> Kamerstukken II 2025/2026, 33037, nr. 642.</w:t>
      </w:r>
    </w:p>
  </w:footnote>
  <w:footnote w:id="2">
    <w:p w14:paraId="29D578D7" w14:textId="79162151" w:rsidR="00F139EC" w:rsidRDefault="00F139EC" w:rsidP="00F139EC">
      <w:pPr>
        <w:pStyle w:val="Voetnoottekst"/>
      </w:pPr>
      <w:r>
        <w:rPr>
          <w:rStyle w:val="Voetnootmarkering"/>
        </w:rPr>
        <w:footnoteRef/>
      </w:r>
      <w:r>
        <w:t xml:space="preserve"> I</w:t>
      </w:r>
      <w:r w:rsidRPr="00D605FF">
        <w:t xml:space="preserve">n </w:t>
      </w:r>
      <w:r w:rsidR="00DF44B6">
        <w:t xml:space="preserve">najaar </w:t>
      </w:r>
      <w:r w:rsidRPr="00D605FF">
        <w:t xml:space="preserve">zijn de definitieve cijfers bekend. Ze komen in de jaarlijkse CBS-publicatie Dierlijke Mest en Mineralen te staan. </w:t>
      </w:r>
    </w:p>
  </w:footnote>
  <w:footnote w:id="3">
    <w:p w14:paraId="4AB2F8F7" w14:textId="7382DAA0" w:rsidR="003E6856" w:rsidRPr="002270A2" w:rsidRDefault="003E6856" w:rsidP="003E6856">
      <w:pPr>
        <w:pStyle w:val="Voetnoottekst"/>
        <w:rPr>
          <w:szCs w:val="13"/>
        </w:rPr>
      </w:pPr>
      <w:r w:rsidRPr="002270A2">
        <w:rPr>
          <w:rStyle w:val="Voetnootmarkering"/>
          <w:szCs w:val="13"/>
        </w:rPr>
        <w:footnoteRef/>
      </w:r>
      <w:r w:rsidRPr="002270A2">
        <w:rPr>
          <w:szCs w:val="13"/>
        </w:rPr>
        <w:t xml:space="preserve"> In de tabellen in deze Kamerbrief zijn de cijfers over de fosfaat- en stikstofproductie in 202</w:t>
      </w:r>
      <w:r w:rsidR="00BF0139">
        <w:rPr>
          <w:szCs w:val="13"/>
        </w:rPr>
        <w:t>5</w:t>
      </w:r>
      <w:r w:rsidRPr="002270A2">
        <w:rPr>
          <w:szCs w:val="13"/>
        </w:rPr>
        <w:t xml:space="preserve"> opgenomen. Ten opzichte van 202</w:t>
      </w:r>
      <w:r w:rsidR="00BF0139">
        <w:rPr>
          <w:szCs w:val="13"/>
        </w:rPr>
        <w:t>4</w:t>
      </w:r>
      <w:r w:rsidRPr="002270A2">
        <w:rPr>
          <w:szCs w:val="13"/>
        </w:rPr>
        <w:t xml:space="preserve"> </w:t>
      </w:r>
      <w:r>
        <w:rPr>
          <w:szCs w:val="13"/>
        </w:rPr>
        <w:t>zijn zowel de stikstofproductie als de fosfaatproductie verder gedaald. D</w:t>
      </w:r>
      <w:r w:rsidRPr="002270A2">
        <w:rPr>
          <w:szCs w:val="13"/>
        </w:rPr>
        <w:t xml:space="preserve">e totale mestproductie, uitgedrukt in kilogrammen mest, </w:t>
      </w:r>
      <w:r>
        <w:rPr>
          <w:szCs w:val="13"/>
        </w:rPr>
        <w:t>nam af in 2025</w:t>
      </w:r>
      <w:r w:rsidRPr="002270A2">
        <w:rPr>
          <w:szCs w:val="13"/>
        </w:rPr>
        <w:t xml:space="preserve">. Een overzicht hiervan is opgenomen in tabel 2 van de bijgevoegde Rapportage Nederlands </w:t>
      </w:r>
      <w:r>
        <w:rPr>
          <w:szCs w:val="13"/>
        </w:rPr>
        <w:t>m</w:t>
      </w:r>
      <w:r w:rsidRPr="002270A2">
        <w:rPr>
          <w:szCs w:val="13"/>
        </w:rPr>
        <w:t>estbeleid 202</w:t>
      </w:r>
      <w:r>
        <w:rPr>
          <w:szCs w:val="13"/>
        </w:rPr>
        <w:t>5</w:t>
      </w:r>
      <w:r w:rsidRPr="002270A2">
        <w:rPr>
          <w:szCs w:val="13"/>
        </w:rPr>
        <w:t>.</w:t>
      </w:r>
    </w:p>
  </w:footnote>
  <w:footnote w:id="4">
    <w:p w14:paraId="1C1BB78E" w14:textId="0C604E1D" w:rsidR="00F02BD0" w:rsidRDefault="00F02BD0">
      <w:pPr>
        <w:pStyle w:val="Voetnoottekst"/>
      </w:pPr>
      <w:r>
        <w:rPr>
          <w:rStyle w:val="Voetnootmarkering"/>
        </w:rPr>
        <w:footnoteRef/>
      </w:r>
      <w:r>
        <w:t xml:space="preserve"> Kamerstukken </w:t>
      </w:r>
      <w:r w:rsidRPr="00F02BD0">
        <w:t>36800-XIV-87</w:t>
      </w:r>
    </w:p>
  </w:footnote>
  <w:footnote w:id="5">
    <w:p w14:paraId="4F0602D5" w14:textId="77777777" w:rsidR="003E6856" w:rsidRPr="00C3111A" w:rsidRDefault="003E6856" w:rsidP="003E6856">
      <w:pPr>
        <w:pStyle w:val="Voetnoottekst"/>
        <w:rPr>
          <w:szCs w:val="13"/>
        </w:rPr>
      </w:pPr>
      <w:r w:rsidRPr="002270A2">
        <w:rPr>
          <w:rStyle w:val="Voetnootmarkering"/>
          <w:szCs w:val="13"/>
        </w:rPr>
        <w:footnoteRef/>
      </w:r>
      <w:r w:rsidRPr="002270A2">
        <w:rPr>
          <w:szCs w:val="13"/>
        </w:rPr>
        <w:t xml:space="preserve"> </w:t>
      </w:r>
      <w:r w:rsidRPr="00C3111A">
        <w:rPr>
          <w:szCs w:val="13"/>
        </w:rPr>
        <w:t>Door afronding kan de som van de getallen afwijken van het totaal.</w:t>
      </w:r>
    </w:p>
  </w:footnote>
  <w:footnote w:id="6">
    <w:p w14:paraId="34A77CD2" w14:textId="77777777" w:rsidR="003E6856" w:rsidRPr="00520E77" w:rsidRDefault="003E6856" w:rsidP="003E6856">
      <w:pPr>
        <w:pStyle w:val="Voetnoottekst"/>
        <w:rPr>
          <w:szCs w:val="13"/>
        </w:rPr>
      </w:pPr>
      <w:r w:rsidRPr="00C3111A">
        <w:rPr>
          <w:rStyle w:val="Voetnootmarkering"/>
          <w:szCs w:val="13"/>
        </w:rPr>
        <w:footnoteRef/>
      </w:r>
      <w:r w:rsidRPr="00C3111A">
        <w:rPr>
          <w:szCs w:val="13"/>
        </w:rPr>
        <w:t xml:space="preserve"> </w:t>
      </w:r>
      <w:r w:rsidRPr="00520E77">
        <w:rPr>
          <w:szCs w:val="13"/>
        </w:rPr>
        <w:t>Plafonds uit de Meststoffenwet zoals deze golden in 202</w:t>
      </w:r>
      <w:r>
        <w:rPr>
          <w:szCs w:val="13"/>
        </w:rPr>
        <w:t>5</w:t>
      </w:r>
      <w:r w:rsidRPr="00520E77">
        <w:rPr>
          <w:szCs w:val="13"/>
        </w:rPr>
        <w:t>.</w:t>
      </w:r>
    </w:p>
  </w:footnote>
  <w:footnote w:id="7">
    <w:p w14:paraId="186C5D28" w14:textId="77777777" w:rsidR="003E6856" w:rsidRPr="00520E77" w:rsidRDefault="003E6856" w:rsidP="003E6856">
      <w:pPr>
        <w:pStyle w:val="Voetnoottekst"/>
        <w:rPr>
          <w:szCs w:val="13"/>
        </w:rPr>
      </w:pPr>
      <w:r w:rsidRPr="00520E77">
        <w:rPr>
          <w:rStyle w:val="Voetnootmarkering"/>
          <w:szCs w:val="13"/>
        </w:rPr>
        <w:footnoteRef/>
      </w:r>
      <w:r w:rsidRPr="00520E77">
        <w:rPr>
          <w:szCs w:val="13"/>
        </w:rPr>
        <w:t xml:space="preserve"> Door afronding kan de som van de getallen afwijken van het totaal.</w:t>
      </w:r>
    </w:p>
  </w:footnote>
  <w:footnote w:id="8">
    <w:p w14:paraId="103E8B58" w14:textId="77777777" w:rsidR="003E6856" w:rsidRPr="002270A2" w:rsidRDefault="003E6856" w:rsidP="003E6856">
      <w:pPr>
        <w:pStyle w:val="Voetnoottekst"/>
        <w:rPr>
          <w:szCs w:val="13"/>
        </w:rPr>
      </w:pPr>
      <w:r w:rsidRPr="00520E77">
        <w:rPr>
          <w:rStyle w:val="Voetnootmarkering"/>
          <w:szCs w:val="13"/>
        </w:rPr>
        <w:footnoteRef/>
      </w:r>
      <w:r w:rsidRPr="00520E77">
        <w:rPr>
          <w:szCs w:val="13"/>
        </w:rPr>
        <w:t xml:space="preserve"> Plafonds uit de Meststoffenwet zoals deze golden in 202</w:t>
      </w:r>
      <w:r>
        <w:rPr>
          <w:szCs w:val="13"/>
        </w:rPr>
        <w:t>5</w:t>
      </w:r>
      <w:r w:rsidRPr="00520E77">
        <w:rPr>
          <w:szCs w:val="13"/>
        </w:rPr>
        <w:t>.</w:t>
      </w:r>
    </w:p>
  </w:footnote>
  <w:footnote w:id="9">
    <w:p w14:paraId="4A747134" w14:textId="77777777" w:rsidR="003E6856" w:rsidRDefault="003E6856" w:rsidP="003E6856">
      <w:pPr>
        <w:pStyle w:val="Voetnoottekst"/>
      </w:pPr>
      <w:r>
        <w:rPr>
          <w:rStyle w:val="Voetnootmarkering"/>
        </w:rPr>
        <w:footnoteRef/>
      </w:r>
      <w:r>
        <w:t xml:space="preserve"> Kamerstukken II 2025/2026, 33037, nr. 641.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428F1" w14:paraId="59385FEC" w14:textId="77777777" w:rsidTr="00A50CF6">
      <w:tc>
        <w:tcPr>
          <w:tcW w:w="2156" w:type="dxa"/>
        </w:tcPr>
        <w:p w14:paraId="05CB0981" w14:textId="77777777" w:rsidR="00527BD4" w:rsidRPr="005819CE" w:rsidRDefault="009845F4" w:rsidP="00A50CF6">
          <w:pPr>
            <w:pStyle w:val="Huisstijl-Adres"/>
          </w:pPr>
          <w:r>
            <w:rPr>
              <w:b/>
            </w:rPr>
            <w:t>Directoraat-generaal Agro</w:t>
          </w:r>
        </w:p>
      </w:tc>
    </w:tr>
    <w:tr w:rsidR="004428F1" w14:paraId="2F421611" w14:textId="77777777" w:rsidTr="00A50CF6">
      <w:trPr>
        <w:trHeight w:hRule="exact" w:val="200"/>
      </w:trPr>
      <w:tc>
        <w:tcPr>
          <w:tcW w:w="2156" w:type="dxa"/>
        </w:tcPr>
        <w:p w14:paraId="62C4B434" w14:textId="77777777" w:rsidR="00527BD4" w:rsidRPr="005819CE" w:rsidRDefault="00527BD4" w:rsidP="00A50CF6"/>
      </w:tc>
    </w:tr>
    <w:tr w:rsidR="004428F1" w14:paraId="5F766C0C" w14:textId="77777777" w:rsidTr="00502512">
      <w:trPr>
        <w:trHeight w:hRule="exact" w:val="774"/>
      </w:trPr>
      <w:tc>
        <w:tcPr>
          <w:tcW w:w="2156" w:type="dxa"/>
        </w:tcPr>
        <w:p w14:paraId="15556897" w14:textId="77777777" w:rsidR="00527BD4" w:rsidRDefault="00527BD4" w:rsidP="003A5290">
          <w:pPr>
            <w:pStyle w:val="Huisstijl-Kopje"/>
          </w:pPr>
        </w:p>
        <w:p w14:paraId="089A173D" w14:textId="77777777" w:rsidR="00502512" w:rsidRPr="00502512" w:rsidRDefault="009845F4" w:rsidP="003A5290">
          <w:pPr>
            <w:pStyle w:val="Huisstijl-Kopje"/>
            <w:rPr>
              <w:b w:val="0"/>
            </w:rPr>
          </w:pPr>
          <w:r>
            <w:rPr>
              <w:b w:val="0"/>
            </w:rPr>
            <w:t>DGA</w:t>
          </w:r>
          <w:r w:rsidRPr="00502512">
            <w:rPr>
              <w:b w:val="0"/>
            </w:rPr>
            <w:t xml:space="preserve"> / </w:t>
          </w:r>
          <w:r>
            <w:rPr>
              <w:b w:val="0"/>
            </w:rPr>
            <w:t>107078448</w:t>
          </w:r>
        </w:p>
        <w:p w14:paraId="1A7A4359" w14:textId="77777777" w:rsidR="00527BD4" w:rsidRPr="005819CE" w:rsidRDefault="00527BD4" w:rsidP="00361A56">
          <w:pPr>
            <w:pStyle w:val="Huisstijl-Kopje"/>
          </w:pPr>
        </w:p>
      </w:tc>
    </w:tr>
  </w:tbl>
  <w:p w14:paraId="5D1BE379" w14:textId="77777777" w:rsidR="00527BD4" w:rsidRPr="00740712" w:rsidRDefault="00527BD4" w:rsidP="004F44C2"/>
  <w:p w14:paraId="11F26E0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428F1" w14:paraId="014CF8A4" w14:textId="77777777" w:rsidTr="00751A6A">
      <w:trPr>
        <w:trHeight w:val="2636"/>
      </w:trPr>
      <w:tc>
        <w:tcPr>
          <w:tcW w:w="737" w:type="dxa"/>
        </w:tcPr>
        <w:p w14:paraId="54BC0705" w14:textId="77777777" w:rsidR="00527BD4" w:rsidRDefault="00527BD4" w:rsidP="00D0609E">
          <w:pPr>
            <w:framePr w:w="6340" w:h="2750" w:hRule="exact" w:hSpace="180" w:wrap="around" w:vAnchor="page" w:hAnchor="text" w:x="3873" w:y="-140"/>
            <w:spacing w:line="240" w:lineRule="auto"/>
          </w:pPr>
        </w:p>
      </w:tc>
      <w:tc>
        <w:tcPr>
          <w:tcW w:w="5156" w:type="dxa"/>
        </w:tcPr>
        <w:p w14:paraId="4C663AAF" w14:textId="77777777" w:rsidR="003B2E54" w:rsidRDefault="009845F4"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6EFC2E2D" wp14:editId="5B8463B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8E62CAF" w14:textId="77777777" w:rsidR="00527BD4" w:rsidRDefault="00527BD4" w:rsidP="00651CEE">
          <w:pPr>
            <w:framePr w:w="6340" w:h="2750" w:hRule="exact" w:hSpace="180" w:wrap="around" w:vAnchor="page" w:hAnchor="text" w:x="3873" w:y="-140"/>
            <w:spacing w:line="240" w:lineRule="auto"/>
          </w:pPr>
        </w:p>
      </w:tc>
    </w:tr>
  </w:tbl>
  <w:p w14:paraId="00EB4E80" w14:textId="77777777" w:rsidR="00527BD4" w:rsidRDefault="00527BD4" w:rsidP="00D0609E">
    <w:pPr>
      <w:framePr w:w="6340" w:h="2750" w:hRule="exact" w:hSpace="180" w:wrap="around" w:vAnchor="page" w:hAnchor="text" w:x="3873" w:y="-140"/>
    </w:pPr>
  </w:p>
  <w:p w14:paraId="5E2F2A5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428F1" w14:paraId="3EAB13B2" w14:textId="77777777" w:rsidTr="00A50CF6">
      <w:tc>
        <w:tcPr>
          <w:tcW w:w="2160" w:type="dxa"/>
        </w:tcPr>
        <w:p w14:paraId="52782687" w14:textId="77777777" w:rsidR="005C07D1" w:rsidRDefault="009845F4" w:rsidP="00A50CF6">
          <w:pPr>
            <w:pStyle w:val="Huisstijl-Adres"/>
          </w:pPr>
          <w:r>
            <w:rPr>
              <w:b/>
            </w:rPr>
            <w:t>Directoraat-generaal Agro</w:t>
          </w:r>
          <w:r w:rsidR="00527BD4" w:rsidRPr="005819CE">
            <w:rPr>
              <w:b/>
            </w:rPr>
            <w:br/>
          </w:r>
        </w:p>
        <w:p w14:paraId="666AEF3E" w14:textId="77777777" w:rsidR="00527BD4" w:rsidRPr="009000E4" w:rsidRDefault="009845F4" w:rsidP="00A72979">
          <w:pPr>
            <w:pStyle w:val="Huisstijl-Adres"/>
          </w:pPr>
          <w:r>
            <w:rPr>
              <w:b/>
            </w:rPr>
            <w:t>Bezoekadres</w:t>
          </w:r>
          <w:r>
            <w:rPr>
              <w:b/>
            </w:rPr>
            <w:br/>
          </w:r>
          <w:r>
            <w:t>Bezuidenhoutseweg 73</w:t>
          </w:r>
          <w:r w:rsidRPr="005819CE">
            <w:br/>
          </w:r>
          <w:r>
            <w:t>2594 AC Den Haag</w:t>
          </w:r>
        </w:p>
        <w:p w14:paraId="2F691470" w14:textId="77777777" w:rsidR="00EF495B" w:rsidRDefault="009845F4" w:rsidP="0098788A">
          <w:pPr>
            <w:pStyle w:val="Huisstijl-Adres"/>
          </w:pPr>
          <w:r>
            <w:rPr>
              <w:b/>
            </w:rPr>
            <w:t>Postadres</w:t>
          </w:r>
          <w:r>
            <w:rPr>
              <w:b/>
            </w:rPr>
            <w:br/>
          </w:r>
          <w:r>
            <w:t>Postbus 20401</w:t>
          </w:r>
          <w:r w:rsidRPr="005819CE">
            <w:br/>
            <w:t>2500 E</w:t>
          </w:r>
          <w:r>
            <w:t>K</w:t>
          </w:r>
          <w:r w:rsidRPr="005819CE">
            <w:t xml:space="preserve"> Den Haag</w:t>
          </w:r>
        </w:p>
        <w:p w14:paraId="6D41CA47" w14:textId="77777777" w:rsidR="00556BEE" w:rsidRPr="005B3814" w:rsidRDefault="009845F4" w:rsidP="0098788A">
          <w:pPr>
            <w:pStyle w:val="Huisstijl-Adres"/>
          </w:pPr>
          <w:r>
            <w:rPr>
              <w:b/>
            </w:rPr>
            <w:t>Overheidsidentificatienr</w:t>
          </w:r>
          <w:r>
            <w:rPr>
              <w:b/>
            </w:rPr>
            <w:br/>
          </w:r>
          <w:r w:rsidR="00BA129E">
            <w:rPr>
              <w:rFonts w:cs="Agrofont"/>
              <w:iCs/>
            </w:rPr>
            <w:t>00000001858272854000</w:t>
          </w:r>
        </w:p>
        <w:p w14:paraId="6E75F7A9" w14:textId="00499587" w:rsidR="00527BD4" w:rsidRPr="004C721E" w:rsidRDefault="009845F4"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428F1" w14:paraId="033790DE" w14:textId="77777777" w:rsidTr="00A50CF6">
      <w:trPr>
        <w:trHeight w:hRule="exact" w:val="200"/>
      </w:trPr>
      <w:tc>
        <w:tcPr>
          <w:tcW w:w="2160" w:type="dxa"/>
        </w:tcPr>
        <w:p w14:paraId="441F6376" w14:textId="77777777" w:rsidR="00527BD4" w:rsidRPr="00A72979" w:rsidRDefault="00527BD4" w:rsidP="00A50CF6">
          <w:pPr>
            <w:rPr>
              <w:lang w:val="fr-FR"/>
            </w:rPr>
          </w:pPr>
        </w:p>
      </w:tc>
    </w:tr>
    <w:tr w:rsidR="004428F1" w14:paraId="498428D2" w14:textId="77777777" w:rsidTr="00A50CF6">
      <w:tc>
        <w:tcPr>
          <w:tcW w:w="2160" w:type="dxa"/>
        </w:tcPr>
        <w:p w14:paraId="05BD56D0" w14:textId="77777777" w:rsidR="000C0163" w:rsidRPr="005819CE" w:rsidRDefault="009845F4" w:rsidP="000C0163">
          <w:pPr>
            <w:pStyle w:val="Huisstijl-Kopje"/>
          </w:pPr>
          <w:r>
            <w:t>Ons kenmerk</w:t>
          </w:r>
        </w:p>
        <w:p w14:paraId="4F782840" w14:textId="70A8817E" w:rsidR="00527BD4" w:rsidRDefault="009845F4" w:rsidP="00A50CF6">
          <w:pPr>
            <w:pStyle w:val="Huisstijl-Gegeven"/>
          </w:pPr>
          <w:r>
            <w:t>DGA</w:t>
          </w:r>
          <w:r w:rsidR="00926AE2">
            <w:t xml:space="preserve"> / </w:t>
          </w:r>
          <w:r>
            <w:t>107078448</w:t>
          </w:r>
        </w:p>
        <w:p w14:paraId="1A23D772" w14:textId="77777777" w:rsidR="004C721E" w:rsidRPr="005819CE" w:rsidRDefault="004C721E" w:rsidP="00A50CF6">
          <w:pPr>
            <w:pStyle w:val="Huisstijl-Gegeven"/>
          </w:pPr>
        </w:p>
        <w:p w14:paraId="4FAD1077" w14:textId="77777777" w:rsidR="00527BD4" w:rsidRPr="005819CE" w:rsidRDefault="009845F4" w:rsidP="00A50CF6">
          <w:pPr>
            <w:pStyle w:val="Huisstijl-Kopje"/>
          </w:pPr>
          <w:r>
            <w:t>Bijlage(n)</w:t>
          </w:r>
        </w:p>
        <w:p w14:paraId="3D5D90AE" w14:textId="77777777" w:rsidR="00527BD4" w:rsidRPr="005819CE" w:rsidRDefault="009845F4" w:rsidP="00A50CF6">
          <w:pPr>
            <w:pStyle w:val="Huisstijl-Gegeven"/>
          </w:pPr>
          <w:r>
            <w:t>2</w:t>
          </w:r>
        </w:p>
      </w:tc>
    </w:tr>
  </w:tbl>
  <w:p w14:paraId="6E1ED04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428F1" w14:paraId="08AEFE30" w14:textId="77777777" w:rsidTr="001B667E">
      <w:trPr>
        <w:trHeight w:val="400"/>
      </w:trPr>
      <w:tc>
        <w:tcPr>
          <w:tcW w:w="7371" w:type="dxa"/>
          <w:gridSpan w:val="2"/>
        </w:tcPr>
        <w:p w14:paraId="2F2A669A" w14:textId="77777777" w:rsidR="00527BD4" w:rsidRPr="00BC3B53" w:rsidRDefault="009845F4"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4428F1" w14:paraId="67DFDF30" w14:textId="77777777" w:rsidTr="001B667E">
      <w:tc>
        <w:tcPr>
          <w:tcW w:w="7371" w:type="dxa"/>
          <w:gridSpan w:val="2"/>
        </w:tcPr>
        <w:p w14:paraId="3C5A1B8E" w14:textId="77777777" w:rsidR="00527BD4" w:rsidRPr="00983E8F" w:rsidRDefault="00527BD4" w:rsidP="00A50CF6">
          <w:pPr>
            <w:pStyle w:val="Huisstijl-Rubricering"/>
          </w:pPr>
        </w:p>
      </w:tc>
    </w:tr>
    <w:tr w:rsidR="004428F1" w14:paraId="07737970" w14:textId="77777777" w:rsidTr="001B667E">
      <w:trPr>
        <w:trHeight w:hRule="exact" w:val="2440"/>
      </w:trPr>
      <w:tc>
        <w:tcPr>
          <w:tcW w:w="7371" w:type="dxa"/>
          <w:gridSpan w:val="2"/>
        </w:tcPr>
        <w:p w14:paraId="12823504" w14:textId="77777777" w:rsidR="00527BD4" w:rsidRDefault="009845F4" w:rsidP="00A50CF6">
          <w:pPr>
            <w:pStyle w:val="Huisstijl-NAW"/>
          </w:pPr>
          <w:r>
            <w:t xml:space="preserve">De Voorzitter van de Tweede Kamer </w:t>
          </w:r>
        </w:p>
        <w:p w14:paraId="2838A89B" w14:textId="77777777" w:rsidR="00D87195" w:rsidRDefault="009845F4" w:rsidP="00D87195">
          <w:pPr>
            <w:pStyle w:val="Huisstijl-NAW"/>
          </w:pPr>
          <w:r>
            <w:t>der Staten-Generaal</w:t>
          </w:r>
        </w:p>
        <w:p w14:paraId="20A90718" w14:textId="77777777" w:rsidR="005C769E" w:rsidRDefault="009845F4" w:rsidP="005C769E">
          <w:pPr>
            <w:rPr>
              <w:szCs w:val="18"/>
            </w:rPr>
          </w:pPr>
          <w:r>
            <w:rPr>
              <w:szCs w:val="18"/>
            </w:rPr>
            <w:t>Prinses Irenestraat 6</w:t>
          </w:r>
        </w:p>
        <w:p w14:paraId="0F81F3D2" w14:textId="77777777" w:rsidR="005C769E" w:rsidRDefault="009845F4" w:rsidP="005C769E">
          <w:pPr>
            <w:pStyle w:val="Huisstijl-NAW"/>
          </w:pPr>
          <w:r>
            <w:t>2595 BD  DEN HAAG</w:t>
          </w:r>
        </w:p>
      </w:tc>
    </w:tr>
    <w:tr w:rsidR="004428F1" w14:paraId="35EB2D09" w14:textId="77777777" w:rsidTr="001B667E">
      <w:trPr>
        <w:trHeight w:hRule="exact" w:val="400"/>
      </w:trPr>
      <w:tc>
        <w:tcPr>
          <w:tcW w:w="7371" w:type="dxa"/>
          <w:gridSpan w:val="2"/>
        </w:tcPr>
        <w:p w14:paraId="74066F5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428F1" w14:paraId="58D73AE9" w14:textId="77777777" w:rsidTr="001B667E">
      <w:trPr>
        <w:trHeight w:val="240"/>
      </w:trPr>
      <w:tc>
        <w:tcPr>
          <w:tcW w:w="709" w:type="dxa"/>
        </w:tcPr>
        <w:p w14:paraId="1A2B7BA1" w14:textId="77777777" w:rsidR="00527BD4" w:rsidRPr="00C21A01" w:rsidRDefault="009845F4" w:rsidP="00A50CF6">
          <w:pPr>
            <w:rPr>
              <w:szCs w:val="18"/>
            </w:rPr>
          </w:pPr>
          <w:r>
            <w:rPr>
              <w:szCs w:val="18"/>
            </w:rPr>
            <w:t>Datum</w:t>
          </w:r>
        </w:p>
      </w:tc>
      <w:tc>
        <w:tcPr>
          <w:tcW w:w="6662" w:type="dxa"/>
        </w:tcPr>
        <w:p w14:paraId="11327C4C" w14:textId="72A6B898" w:rsidR="00527BD4" w:rsidRPr="007709EF" w:rsidRDefault="00981745" w:rsidP="00A50CF6">
          <w:r>
            <w:t>29 juni 2026</w:t>
          </w:r>
        </w:p>
      </w:tc>
    </w:tr>
    <w:tr w:rsidR="004428F1" w14:paraId="31B7BB83" w14:textId="77777777" w:rsidTr="001B667E">
      <w:trPr>
        <w:trHeight w:val="240"/>
      </w:trPr>
      <w:tc>
        <w:tcPr>
          <w:tcW w:w="709" w:type="dxa"/>
        </w:tcPr>
        <w:p w14:paraId="53FBEB8A" w14:textId="77777777" w:rsidR="00527BD4" w:rsidRPr="00C21A01" w:rsidRDefault="009845F4" w:rsidP="00A50CF6">
          <w:pPr>
            <w:rPr>
              <w:szCs w:val="18"/>
            </w:rPr>
          </w:pPr>
          <w:r>
            <w:rPr>
              <w:szCs w:val="18"/>
            </w:rPr>
            <w:t>Betreft</w:t>
          </w:r>
        </w:p>
      </w:tc>
      <w:tc>
        <w:tcPr>
          <w:tcW w:w="6662" w:type="dxa"/>
        </w:tcPr>
        <w:p w14:paraId="0287E062" w14:textId="77777777" w:rsidR="00527BD4" w:rsidRPr="007709EF" w:rsidRDefault="009845F4" w:rsidP="00A50CF6">
          <w:r>
            <w:t>Rapportage Nederlands mestbeleid 2025</w:t>
          </w:r>
        </w:p>
      </w:tc>
    </w:tr>
  </w:tbl>
  <w:p w14:paraId="70A1550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65C5A88">
      <w:start w:val="1"/>
      <w:numFmt w:val="bullet"/>
      <w:pStyle w:val="Lijstopsomteken"/>
      <w:lvlText w:val="•"/>
      <w:lvlJc w:val="left"/>
      <w:pPr>
        <w:tabs>
          <w:tab w:val="num" w:pos="227"/>
        </w:tabs>
        <w:ind w:left="227" w:hanging="227"/>
      </w:pPr>
      <w:rPr>
        <w:rFonts w:ascii="Verdana" w:hAnsi="Verdana" w:hint="default"/>
        <w:sz w:val="18"/>
        <w:szCs w:val="18"/>
      </w:rPr>
    </w:lvl>
    <w:lvl w:ilvl="1" w:tplc="7CA65F02" w:tentative="1">
      <w:start w:val="1"/>
      <w:numFmt w:val="bullet"/>
      <w:lvlText w:val="o"/>
      <w:lvlJc w:val="left"/>
      <w:pPr>
        <w:tabs>
          <w:tab w:val="num" w:pos="1440"/>
        </w:tabs>
        <w:ind w:left="1440" w:hanging="360"/>
      </w:pPr>
      <w:rPr>
        <w:rFonts w:ascii="Courier New" w:hAnsi="Courier New" w:cs="Courier New" w:hint="default"/>
      </w:rPr>
    </w:lvl>
    <w:lvl w:ilvl="2" w:tplc="367C83D0" w:tentative="1">
      <w:start w:val="1"/>
      <w:numFmt w:val="bullet"/>
      <w:lvlText w:val=""/>
      <w:lvlJc w:val="left"/>
      <w:pPr>
        <w:tabs>
          <w:tab w:val="num" w:pos="2160"/>
        </w:tabs>
        <w:ind w:left="2160" w:hanging="360"/>
      </w:pPr>
      <w:rPr>
        <w:rFonts w:ascii="Wingdings" w:hAnsi="Wingdings" w:hint="default"/>
      </w:rPr>
    </w:lvl>
    <w:lvl w:ilvl="3" w:tplc="4676AC64" w:tentative="1">
      <w:start w:val="1"/>
      <w:numFmt w:val="bullet"/>
      <w:lvlText w:val=""/>
      <w:lvlJc w:val="left"/>
      <w:pPr>
        <w:tabs>
          <w:tab w:val="num" w:pos="2880"/>
        </w:tabs>
        <w:ind w:left="2880" w:hanging="360"/>
      </w:pPr>
      <w:rPr>
        <w:rFonts w:ascii="Symbol" w:hAnsi="Symbol" w:hint="default"/>
      </w:rPr>
    </w:lvl>
    <w:lvl w:ilvl="4" w:tplc="190E7ECC" w:tentative="1">
      <w:start w:val="1"/>
      <w:numFmt w:val="bullet"/>
      <w:lvlText w:val="o"/>
      <w:lvlJc w:val="left"/>
      <w:pPr>
        <w:tabs>
          <w:tab w:val="num" w:pos="3600"/>
        </w:tabs>
        <w:ind w:left="3600" w:hanging="360"/>
      </w:pPr>
      <w:rPr>
        <w:rFonts w:ascii="Courier New" w:hAnsi="Courier New" w:cs="Courier New" w:hint="default"/>
      </w:rPr>
    </w:lvl>
    <w:lvl w:ilvl="5" w:tplc="BE8CA328" w:tentative="1">
      <w:start w:val="1"/>
      <w:numFmt w:val="bullet"/>
      <w:lvlText w:val=""/>
      <w:lvlJc w:val="left"/>
      <w:pPr>
        <w:tabs>
          <w:tab w:val="num" w:pos="4320"/>
        </w:tabs>
        <w:ind w:left="4320" w:hanging="360"/>
      </w:pPr>
      <w:rPr>
        <w:rFonts w:ascii="Wingdings" w:hAnsi="Wingdings" w:hint="default"/>
      </w:rPr>
    </w:lvl>
    <w:lvl w:ilvl="6" w:tplc="C75E1326" w:tentative="1">
      <w:start w:val="1"/>
      <w:numFmt w:val="bullet"/>
      <w:lvlText w:val=""/>
      <w:lvlJc w:val="left"/>
      <w:pPr>
        <w:tabs>
          <w:tab w:val="num" w:pos="5040"/>
        </w:tabs>
        <w:ind w:left="5040" w:hanging="360"/>
      </w:pPr>
      <w:rPr>
        <w:rFonts w:ascii="Symbol" w:hAnsi="Symbol" w:hint="default"/>
      </w:rPr>
    </w:lvl>
    <w:lvl w:ilvl="7" w:tplc="03BCC552" w:tentative="1">
      <w:start w:val="1"/>
      <w:numFmt w:val="bullet"/>
      <w:lvlText w:val="o"/>
      <w:lvlJc w:val="left"/>
      <w:pPr>
        <w:tabs>
          <w:tab w:val="num" w:pos="5760"/>
        </w:tabs>
        <w:ind w:left="5760" w:hanging="360"/>
      </w:pPr>
      <w:rPr>
        <w:rFonts w:ascii="Courier New" w:hAnsi="Courier New" w:cs="Courier New" w:hint="default"/>
      </w:rPr>
    </w:lvl>
    <w:lvl w:ilvl="8" w:tplc="5BA89E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EE86FAC">
      <w:start w:val="1"/>
      <w:numFmt w:val="bullet"/>
      <w:pStyle w:val="Lijstopsomteken2"/>
      <w:lvlText w:val="–"/>
      <w:lvlJc w:val="left"/>
      <w:pPr>
        <w:tabs>
          <w:tab w:val="num" w:pos="227"/>
        </w:tabs>
        <w:ind w:left="227" w:firstLine="0"/>
      </w:pPr>
      <w:rPr>
        <w:rFonts w:ascii="Verdana" w:hAnsi="Verdana" w:hint="default"/>
      </w:rPr>
    </w:lvl>
    <w:lvl w:ilvl="1" w:tplc="A3988F38" w:tentative="1">
      <w:start w:val="1"/>
      <w:numFmt w:val="bullet"/>
      <w:lvlText w:val="o"/>
      <w:lvlJc w:val="left"/>
      <w:pPr>
        <w:tabs>
          <w:tab w:val="num" w:pos="1440"/>
        </w:tabs>
        <w:ind w:left="1440" w:hanging="360"/>
      </w:pPr>
      <w:rPr>
        <w:rFonts w:ascii="Courier New" w:hAnsi="Courier New" w:cs="Courier New" w:hint="default"/>
      </w:rPr>
    </w:lvl>
    <w:lvl w:ilvl="2" w:tplc="F258E0DE" w:tentative="1">
      <w:start w:val="1"/>
      <w:numFmt w:val="bullet"/>
      <w:lvlText w:val=""/>
      <w:lvlJc w:val="left"/>
      <w:pPr>
        <w:tabs>
          <w:tab w:val="num" w:pos="2160"/>
        </w:tabs>
        <w:ind w:left="2160" w:hanging="360"/>
      </w:pPr>
      <w:rPr>
        <w:rFonts w:ascii="Wingdings" w:hAnsi="Wingdings" w:hint="default"/>
      </w:rPr>
    </w:lvl>
    <w:lvl w:ilvl="3" w:tplc="3AB82FE0" w:tentative="1">
      <w:start w:val="1"/>
      <w:numFmt w:val="bullet"/>
      <w:lvlText w:val=""/>
      <w:lvlJc w:val="left"/>
      <w:pPr>
        <w:tabs>
          <w:tab w:val="num" w:pos="2880"/>
        </w:tabs>
        <w:ind w:left="2880" w:hanging="360"/>
      </w:pPr>
      <w:rPr>
        <w:rFonts w:ascii="Symbol" w:hAnsi="Symbol" w:hint="default"/>
      </w:rPr>
    </w:lvl>
    <w:lvl w:ilvl="4" w:tplc="F37EABF8" w:tentative="1">
      <w:start w:val="1"/>
      <w:numFmt w:val="bullet"/>
      <w:lvlText w:val="o"/>
      <w:lvlJc w:val="left"/>
      <w:pPr>
        <w:tabs>
          <w:tab w:val="num" w:pos="3600"/>
        </w:tabs>
        <w:ind w:left="3600" w:hanging="360"/>
      </w:pPr>
      <w:rPr>
        <w:rFonts w:ascii="Courier New" w:hAnsi="Courier New" w:cs="Courier New" w:hint="default"/>
      </w:rPr>
    </w:lvl>
    <w:lvl w:ilvl="5" w:tplc="D4D8109A" w:tentative="1">
      <w:start w:val="1"/>
      <w:numFmt w:val="bullet"/>
      <w:lvlText w:val=""/>
      <w:lvlJc w:val="left"/>
      <w:pPr>
        <w:tabs>
          <w:tab w:val="num" w:pos="4320"/>
        </w:tabs>
        <w:ind w:left="4320" w:hanging="360"/>
      </w:pPr>
      <w:rPr>
        <w:rFonts w:ascii="Wingdings" w:hAnsi="Wingdings" w:hint="default"/>
      </w:rPr>
    </w:lvl>
    <w:lvl w:ilvl="6" w:tplc="330E219E" w:tentative="1">
      <w:start w:val="1"/>
      <w:numFmt w:val="bullet"/>
      <w:lvlText w:val=""/>
      <w:lvlJc w:val="left"/>
      <w:pPr>
        <w:tabs>
          <w:tab w:val="num" w:pos="5040"/>
        </w:tabs>
        <w:ind w:left="5040" w:hanging="360"/>
      </w:pPr>
      <w:rPr>
        <w:rFonts w:ascii="Symbol" w:hAnsi="Symbol" w:hint="default"/>
      </w:rPr>
    </w:lvl>
    <w:lvl w:ilvl="7" w:tplc="F40E6B1A" w:tentative="1">
      <w:start w:val="1"/>
      <w:numFmt w:val="bullet"/>
      <w:lvlText w:val="o"/>
      <w:lvlJc w:val="left"/>
      <w:pPr>
        <w:tabs>
          <w:tab w:val="num" w:pos="5760"/>
        </w:tabs>
        <w:ind w:left="5760" w:hanging="360"/>
      </w:pPr>
      <w:rPr>
        <w:rFonts w:ascii="Courier New" w:hAnsi="Courier New" w:cs="Courier New" w:hint="default"/>
      </w:rPr>
    </w:lvl>
    <w:lvl w:ilvl="8" w:tplc="340298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3841817">
    <w:abstractNumId w:val="10"/>
  </w:num>
  <w:num w:numId="2" w16cid:durableId="546528966">
    <w:abstractNumId w:val="7"/>
  </w:num>
  <w:num w:numId="3" w16cid:durableId="1237588702">
    <w:abstractNumId w:val="6"/>
  </w:num>
  <w:num w:numId="4" w16cid:durableId="540292001">
    <w:abstractNumId w:val="5"/>
  </w:num>
  <w:num w:numId="5" w16cid:durableId="717555751">
    <w:abstractNumId w:val="4"/>
  </w:num>
  <w:num w:numId="6" w16cid:durableId="1362394654">
    <w:abstractNumId w:val="8"/>
  </w:num>
  <w:num w:numId="7" w16cid:durableId="1392147161">
    <w:abstractNumId w:val="3"/>
  </w:num>
  <w:num w:numId="8" w16cid:durableId="640304275">
    <w:abstractNumId w:val="2"/>
  </w:num>
  <w:num w:numId="9" w16cid:durableId="15156681">
    <w:abstractNumId w:val="1"/>
  </w:num>
  <w:num w:numId="10" w16cid:durableId="808206953">
    <w:abstractNumId w:val="0"/>
  </w:num>
  <w:num w:numId="11" w16cid:durableId="1552616698">
    <w:abstractNumId w:val="9"/>
  </w:num>
  <w:num w:numId="12" w16cid:durableId="226960963">
    <w:abstractNumId w:val="11"/>
  </w:num>
  <w:num w:numId="13" w16cid:durableId="652835714">
    <w:abstractNumId w:val="13"/>
  </w:num>
  <w:num w:numId="14" w16cid:durableId="13430952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0EC4"/>
    <w:rsid w:val="00033CDD"/>
    <w:rsid w:val="000340FF"/>
    <w:rsid w:val="00034A84"/>
    <w:rsid w:val="00035E67"/>
    <w:rsid w:val="000366F3"/>
    <w:rsid w:val="0006024D"/>
    <w:rsid w:val="00071F28"/>
    <w:rsid w:val="00074079"/>
    <w:rsid w:val="000752D6"/>
    <w:rsid w:val="00092799"/>
    <w:rsid w:val="00092C5F"/>
    <w:rsid w:val="00096680"/>
    <w:rsid w:val="000A0F36"/>
    <w:rsid w:val="000A174A"/>
    <w:rsid w:val="000A3E0A"/>
    <w:rsid w:val="000A65AC"/>
    <w:rsid w:val="000B2D26"/>
    <w:rsid w:val="000B7281"/>
    <w:rsid w:val="000B7FAB"/>
    <w:rsid w:val="000C0163"/>
    <w:rsid w:val="000C1BA1"/>
    <w:rsid w:val="000C3EA9"/>
    <w:rsid w:val="000C5BA9"/>
    <w:rsid w:val="000C7560"/>
    <w:rsid w:val="000D0225"/>
    <w:rsid w:val="000E5701"/>
    <w:rsid w:val="000E7895"/>
    <w:rsid w:val="000F161D"/>
    <w:rsid w:val="000F3CAA"/>
    <w:rsid w:val="0010417F"/>
    <w:rsid w:val="00121BF0"/>
    <w:rsid w:val="00123704"/>
    <w:rsid w:val="001270C7"/>
    <w:rsid w:val="00132540"/>
    <w:rsid w:val="0014786A"/>
    <w:rsid w:val="001516A4"/>
    <w:rsid w:val="00151E5F"/>
    <w:rsid w:val="00153E28"/>
    <w:rsid w:val="00154908"/>
    <w:rsid w:val="001569AB"/>
    <w:rsid w:val="00157D76"/>
    <w:rsid w:val="00164D63"/>
    <w:rsid w:val="0016725C"/>
    <w:rsid w:val="00167F89"/>
    <w:rsid w:val="00171D02"/>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A0F"/>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CA2"/>
    <w:rsid w:val="00352DFB"/>
    <w:rsid w:val="00353932"/>
    <w:rsid w:val="0035464B"/>
    <w:rsid w:val="00361A56"/>
    <w:rsid w:val="0036252A"/>
    <w:rsid w:val="00364D9D"/>
    <w:rsid w:val="00371048"/>
    <w:rsid w:val="0037396C"/>
    <w:rsid w:val="0037421D"/>
    <w:rsid w:val="00376093"/>
    <w:rsid w:val="00383DA1"/>
    <w:rsid w:val="00385F30"/>
    <w:rsid w:val="003918D3"/>
    <w:rsid w:val="00393696"/>
    <w:rsid w:val="00393963"/>
    <w:rsid w:val="00395575"/>
    <w:rsid w:val="00395672"/>
    <w:rsid w:val="003A06C8"/>
    <w:rsid w:val="003A0D7C"/>
    <w:rsid w:val="003A5290"/>
    <w:rsid w:val="003B0155"/>
    <w:rsid w:val="003B2E54"/>
    <w:rsid w:val="003B7EE7"/>
    <w:rsid w:val="003C2CCB"/>
    <w:rsid w:val="003D39EC"/>
    <w:rsid w:val="003D5DED"/>
    <w:rsid w:val="003E28F6"/>
    <w:rsid w:val="003E3DD5"/>
    <w:rsid w:val="003E6856"/>
    <w:rsid w:val="003F07C6"/>
    <w:rsid w:val="003F1F6B"/>
    <w:rsid w:val="003F3757"/>
    <w:rsid w:val="003F38BD"/>
    <w:rsid w:val="003F44B7"/>
    <w:rsid w:val="003F7EF3"/>
    <w:rsid w:val="004008E9"/>
    <w:rsid w:val="00413D48"/>
    <w:rsid w:val="00421405"/>
    <w:rsid w:val="00441AC2"/>
    <w:rsid w:val="0044249B"/>
    <w:rsid w:val="004428F1"/>
    <w:rsid w:val="00444497"/>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C721E"/>
    <w:rsid w:val="004D505E"/>
    <w:rsid w:val="004D72CA"/>
    <w:rsid w:val="004E2242"/>
    <w:rsid w:val="004E4120"/>
    <w:rsid w:val="004E4776"/>
    <w:rsid w:val="004F42FF"/>
    <w:rsid w:val="004F44C2"/>
    <w:rsid w:val="00502512"/>
    <w:rsid w:val="00503FD2"/>
    <w:rsid w:val="00505262"/>
    <w:rsid w:val="00516022"/>
    <w:rsid w:val="00521CEE"/>
    <w:rsid w:val="00524FB4"/>
    <w:rsid w:val="00527694"/>
    <w:rsid w:val="00527BD4"/>
    <w:rsid w:val="00537095"/>
    <w:rsid w:val="005403C8"/>
    <w:rsid w:val="00540504"/>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0234"/>
    <w:rsid w:val="006441C6"/>
    <w:rsid w:val="006448E4"/>
    <w:rsid w:val="00645414"/>
    <w:rsid w:val="00651CEE"/>
    <w:rsid w:val="00653606"/>
    <w:rsid w:val="00654033"/>
    <w:rsid w:val="006610E9"/>
    <w:rsid w:val="00661591"/>
    <w:rsid w:val="00664678"/>
    <w:rsid w:val="0066632F"/>
    <w:rsid w:val="00674A89"/>
    <w:rsid w:val="00674F3D"/>
    <w:rsid w:val="00685545"/>
    <w:rsid w:val="00685BFF"/>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5F5"/>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30C4"/>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583E"/>
    <w:rsid w:val="00857FEB"/>
    <w:rsid w:val="008601AF"/>
    <w:rsid w:val="00872271"/>
    <w:rsid w:val="00883137"/>
    <w:rsid w:val="00886073"/>
    <w:rsid w:val="00894A3B"/>
    <w:rsid w:val="008A1775"/>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8F7464"/>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45"/>
    <w:rsid w:val="00981768"/>
    <w:rsid w:val="0098218D"/>
    <w:rsid w:val="00983E8F"/>
    <w:rsid w:val="009845F4"/>
    <w:rsid w:val="0098788A"/>
    <w:rsid w:val="00994FDA"/>
    <w:rsid w:val="009A31BF"/>
    <w:rsid w:val="009A3B71"/>
    <w:rsid w:val="009A61BC"/>
    <w:rsid w:val="009B0138"/>
    <w:rsid w:val="009B0FE9"/>
    <w:rsid w:val="009B173A"/>
    <w:rsid w:val="009C3F20"/>
    <w:rsid w:val="009C7CA1"/>
    <w:rsid w:val="009D043D"/>
    <w:rsid w:val="009E4C23"/>
    <w:rsid w:val="009F3259"/>
    <w:rsid w:val="00A056DE"/>
    <w:rsid w:val="00A128AD"/>
    <w:rsid w:val="00A13115"/>
    <w:rsid w:val="00A21E76"/>
    <w:rsid w:val="00A23BC8"/>
    <w:rsid w:val="00A245F8"/>
    <w:rsid w:val="00A30E68"/>
    <w:rsid w:val="00A31933"/>
    <w:rsid w:val="00A329D2"/>
    <w:rsid w:val="00A34AA0"/>
    <w:rsid w:val="00A3715C"/>
    <w:rsid w:val="00A41FE2"/>
    <w:rsid w:val="00A420D2"/>
    <w:rsid w:val="00A468D0"/>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457C"/>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0139"/>
    <w:rsid w:val="00BF2437"/>
    <w:rsid w:val="00C01674"/>
    <w:rsid w:val="00C05D19"/>
    <w:rsid w:val="00C15A91"/>
    <w:rsid w:val="00C17E5B"/>
    <w:rsid w:val="00C206F1"/>
    <w:rsid w:val="00C217E1"/>
    <w:rsid w:val="00C219B1"/>
    <w:rsid w:val="00C21A01"/>
    <w:rsid w:val="00C3752E"/>
    <w:rsid w:val="00C4015B"/>
    <w:rsid w:val="00C40C60"/>
    <w:rsid w:val="00C5258E"/>
    <w:rsid w:val="00C530C9"/>
    <w:rsid w:val="00C55E8B"/>
    <w:rsid w:val="00C57014"/>
    <w:rsid w:val="00C619A7"/>
    <w:rsid w:val="00C72C79"/>
    <w:rsid w:val="00C73D5F"/>
    <w:rsid w:val="00C821C4"/>
    <w:rsid w:val="00C82AFE"/>
    <w:rsid w:val="00C83DBC"/>
    <w:rsid w:val="00C97C80"/>
    <w:rsid w:val="00CA47D3"/>
    <w:rsid w:val="00CA6533"/>
    <w:rsid w:val="00CA6A25"/>
    <w:rsid w:val="00CA6A3F"/>
    <w:rsid w:val="00CA75FD"/>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55B"/>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3798"/>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245C"/>
    <w:rsid w:val="00DE3FE0"/>
    <w:rsid w:val="00DE578A"/>
    <w:rsid w:val="00DE645F"/>
    <w:rsid w:val="00DF2583"/>
    <w:rsid w:val="00DF3E74"/>
    <w:rsid w:val="00DF44B6"/>
    <w:rsid w:val="00DF54D9"/>
    <w:rsid w:val="00DF7283"/>
    <w:rsid w:val="00E01A59"/>
    <w:rsid w:val="00E10DC6"/>
    <w:rsid w:val="00E11F8E"/>
    <w:rsid w:val="00E127F8"/>
    <w:rsid w:val="00E15881"/>
    <w:rsid w:val="00E16A8F"/>
    <w:rsid w:val="00E21DE3"/>
    <w:rsid w:val="00E22756"/>
    <w:rsid w:val="00E273C5"/>
    <w:rsid w:val="00E307D1"/>
    <w:rsid w:val="00E3731D"/>
    <w:rsid w:val="00E51469"/>
    <w:rsid w:val="00E55ED7"/>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2BD0"/>
    <w:rsid w:val="00F03963"/>
    <w:rsid w:val="00F11068"/>
    <w:rsid w:val="00F1256D"/>
    <w:rsid w:val="00F139EC"/>
    <w:rsid w:val="00F13A4E"/>
    <w:rsid w:val="00F15490"/>
    <w:rsid w:val="00F172BB"/>
    <w:rsid w:val="00F17B10"/>
    <w:rsid w:val="00F21BEF"/>
    <w:rsid w:val="00F2315B"/>
    <w:rsid w:val="00F37C71"/>
    <w:rsid w:val="00F41A6F"/>
    <w:rsid w:val="00F45A25"/>
    <w:rsid w:val="00F50F86"/>
    <w:rsid w:val="00F53220"/>
    <w:rsid w:val="00F53F91"/>
    <w:rsid w:val="00F61569"/>
    <w:rsid w:val="00F61A72"/>
    <w:rsid w:val="00F62B67"/>
    <w:rsid w:val="00F66F13"/>
    <w:rsid w:val="00F73144"/>
    <w:rsid w:val="00F74073"/>
    <w:rsid w:val="00F75603"/>
    <w:rsid w:val="00F82C46"/>
    <w:rsid w:val="00F845B4"/>
    <w:rsid w:val="00F8713B"/>
    <w:rsid w:val="00F93F9E"/>
    <w:rsid w:val="00FA2CD7"/>
    <w:rsid w:val="00FB06ED"/>
    <w:rsid w:val="00FB361A"/>
    <w:rsid w:val="00FC2311"/>
    <w:rsid w:val="00FC3165"/>
    <w:rsid w:val="00FC36AB"/>
    <w:rsid w:val="00FC4300"/>
    <w:rsid w:val="00FC7F66"/>
    <w:rsid w:val="00FD5776"/>
    <w:rsid w:val="00FE1CB6"/>
    <w:rsid w:val="00FE486B"/>
    <w:rsid w:val="00FE4F08"/>
    <w:rsid w:val="00FF192E"/>
    <w:rsid w:val="00FF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E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table" w:customStyle="1" w:styleId="Tabelraster1">
    <w:name w:val="Tabelraster1"/>
    <w:basedOn w:val="Standaardtabel"/>
    <w:next w:val="Tabelraster"/>
    <w:rsid w:val="003E6856"/>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3E6856"/>
    <w:rPr>
      <w:vertAlign w:val="superscript"/>
    </w:rPr>
  </w:style>
  <w:style w:type="character" w:customStyle="1" w:styleId="normaltextrun">
    <w:name w:val="normaltextrun"/>
    <w:basedOn w:val="Standaardalinea-lettertype"/>
    <w:rsid w:val="003E6856"/>
  </w:style>
  <w:style w:type="paragraph" w:styleId="Onderwerpvanopmerking">
    <w:name w:val="annotation subject"/>
    <w:basedOn w:val="Tekstopmerking"/>
    <w:next w:val="Tekstopmerking"/>
    <w:link w:val="OnderwerpvanopmerkingChar"/>
    <w:semiHidden/>
    <w:unhideWhenUsed/>
    <w:rsid w:val="003918D3"/>
    <w:rPr>
      <w:b/>
      <w:bCs/>
    </w:rPr>
  </w:style>
  <w:style w:type="character" w:customStyle="1" w:styleId="OnderwerpvanopmerkingChar">
    <w:name w:val="Onderwerp van opmerking Char"/>
    <w:basedOn w:val="TekstopmerkingChar"/>
    <w:link w:val="Onderwerpvanopmerking"/>
    <w:semiHidden/>
    <w:rsid w:val="003918D3"/>
    <w:rPr>
      <w:rFonts w:ascii="Verdana" w:hAnsi="Verdana"/>
      <w:b/>
      <w:bCs/>
      <w:lang w:val="nl-NL" w:eastAsia="nl-NL"/>
    </w:rPr>
  </w:style>
  <w:style w:type="paragraph" w:styleId="Revisie">
    <w:name w:val="Revision"/>
    <w:hidden/>
    <w:uiPriority w:val="99"/>
    <w:semiHidden/>
    <w:rsid w:val="00E2275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1914</ap:Words>
  <ap:Characters>10529</ap:Characters>
  <ap:DocSecurity>0</ap:DocSecurity>
  <ap:Lines>87</ap:Lines>
  <ap:Paragraphs>24</ap:Paragraphs>
  <ap:ScaleCrop>false</ap:ScaleCrop>
  <ap:LinksUpToDate>false</ap:LinksUpToDate>
  <ap:CharactersWithSpaces>12419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2026-06-29T15:11:00.0000000Z</dcterms:created>
  <dcterms:modified xsi:type="dcterms:W3CDTF">2026-06-29T15:11:00.0000000Z</dcterms:modified>
  <dc:description>------------------------</dc:description>
  <dc:subject/>
  <keywords/>
  <version/>
  <category/>
</coreProperties>
</file>