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77" w:rsidRDefault="00B62077" w14:paraId="7A0B0ECC" w14:textId="77777777">
      <w:bookmarkStart w:name="_GoBack" w:id="0"/>
      <w:bookmarkEnd w:id="0"/>
    </w:p>
    <w:p w:rsidR="00D940E6" w:rsidRDefault="0031120D" w14:paraId="0ADC789E" w14:textId="259C58E5">
      <w:r>
        <w:t xml:space="preserve">Geachte voorzitter, </w:t>
      </w:r>
    </w:p>
    <w:p w:rsidR="0031120D" w:rsidRDefault="0031120D" w14:paraId="0E5FCC87" w14:textId="77777777"/>
    <w:p w:rsidR="0031120D" w:rsidP="0031120D" w:rsidRDefault="0031120D" w14:paraId="2BE3E623" w14:textId="7D33720E">
      <w:pPr>
        <w:pStyle w:val="WitregelW1bodytekst"/>
      </w:pPr>
      <w:r>
        <w:t>In de procedurevergadering van de vaste commissie voor Infrastructuur en Waterstaat van 20 mei 2026 is verzocht om een reactie op het CE Delft-rapport 'Chain-of-Custody-systemen voor bio-LNG', alsmede om een toelichting op de stand van zaken en het standpunt van het kabinet inzake de</w:t>
      </w:r>
    </w:p>
    <w:p w:rsidR="0031120D" w:rsidP="0031120D" w:rsidRDefault="0031120D" w14:paraId="6C9B99F3" w14:textId="0B8523B1">
      <w:pPr>
        <w:pStyle w:val="WitregelW1bodytekst"/>
      </w:pPr>
      <w:r>
        <w:t>Uitvoeringsverordening (EU) 2022/996 van 14 juni 2022 betreffende de voorschriften om de duurzaamheids- en broeikasgasemissiereductiecriteria alsmede de criteria inzake laag risico op indirecte veranderingen in landgebruik te</w:t>
      </w:r>
    </w:p>
    <w:p w:rsidR="00D940E6" w:rsidP="0031120D" w:rsidRDefault="0031120D" w14:paraId="470BEF35" w14:textId="1BB7F414">
      <w:pPr>
        <w:pStyle w:val="WitregelW1bodytekst"/>
      </w:pPr>
      <w:r>
        <w:t xml:space="preserve">controleren. </w:t>
      </w:r>
      <w:r w:rsidR="00A437B9">
        <w:t xml:space="preserve">Middels deze brief reageer ik op dit verzoek. </w:t>
      </w:r>
    </w:p>
    <w:p w:rsidR="0031120D" w:rsidP="0031120D" w:rsidRDefault="0031120D" w14:paraId="52AC6A26" w14:textId="77777777"/>
    <w:p w:rsidR="00E00921" w:rsidP="004C1F00" w:rsidRDefault="005527A9" w14:paraId="1EBF0EB1" w14:textId="6FCFCA62">
      <w:pPr>
        <w:pStyle w:val="WitregelW1bodytekst"/>
      </w:pPr>
      <w:r>
        <w:t xml:space="preserve">De afgelopen jaren is er </w:t>
      </w:r>
      <w:r w:rsidR="004A3E22">
        <w:t xml:space="preserve">meermaals </w:t>
      </w:r>
      <w:r w:rsidR="006D1907">
        <w:t xml:space="preserve">met </w:t>
      </w:r>
      <w:r w:rsidR="004A3E22">
        <w:t xml:space="preserve">leden van de Eerste en Tweede </w:t>
      </w:r>
      <w:r w:rsidR="006D1907">
        <w:t>Kamer gesproken over de toepassing van massabalans en/of administratieve verg</w:t>
      </w:r>
      <w:r w:rsidR="004A3E22">
        <w:t>r</w:t>
      </w:r>
      <w:r w:rsidR="006D1907">
        <w:t xml:space="preserve">oening over geïmporteerd fossiel LNG. Op 7 mei </w:t>
      </w:r>
      <w:r>
        <w:t>is</w:t>
      </w:r>
      <w:r w:rsidR="006D1907">
        <w:t xml:space="preserve"> </w:t>
      </w:r>
      <w:r w:rsidR="004A3E22">
        <w:t>de</w:t>
      </w:r>
      <w:r w:rsidR="006D1907">
        <w:t xml:space="preserve"> Kamer nog uitvoerig </w:t>
      </w:r>
      <w:r w:rsidR="004A3E22">
        <w:t xml:space="preserve">geïnformeerd over de laatste stand van zaken, inclusief </w:t>
      </w:r>
      <w:r w:rsidR="006D1907">
        <w:t xml:space="preserve">hoe de Europese regels op dit moment werken en hoe het vervolgproces </w:t>
      </w:r>
      <w:r>
        <w:t>eruitziet</w:t>
      </w:r>
      <w:r w:rsidR="006D1907">
        <w:t>.</w:t>
      </w:r>
    </w:p>
    <w:p w:rsidR="00E00921" w:rsidP="00E00921" w:rsidRDefault="00E00921" w14:paraId="082D6101" w14:textId="77777777"/>
    <w:p w:rsidRPr="00E00921" w:rsidR="00E00921" w:rsidP="00E00921" w:rsidRDefault="00E00921" w14:paraId="20ED578F" w14:textId="77A39C0F">
      <w:r>
        <w:t xml:space="preserve">In de brief is aangegeven dat het </w:t>
      </w:r>
      <w:r w:rsidR="00A05D38">
        <w:t xml:space="preserve">momenteel </w:t>
      </w:r>
      <w:r>
        <w:t xml:space="preserve">wachten is op uitsluitsel vanuit de Europese Commissie. </w:t>
      </w:r>
      <w:r w:rsidR="00A05D38">
        <w:t>D</w:t>
      </w:r>
      <w:r w:rsidRPr="00E00921">
        <w:t xml:space="preserve">e Commissie </w:t>
      </w:r>
      <w:r w:rsidR="00A05D38">
        <w:t xml:space="preserve">werkt </w:t>
      </w:r>
      <w:r w:rsidRPr="00E00921">
        <w:t xml:space="preserve">nog aan een herziening van de massabalansregels in Uitvoeringsverordening 2022/996. Dit duurt langer dan </w:t>
      </w:r>
      <w:r w:rsidR="00A05D38">
        <w:t xml:space="preserve">staatssecretaris Aartsen </w:t>
      </w:r>
      <w:r w:rsidRPr="00E00921">
        <w:t xml:space="preserve">ten tijde van het wetgevingsoverleg in september </w:t>
      </w:r>
      <w:r w:rsidR="00B62077">
        <w:t>2025 voorzag</w:t>
      </w:r>
      <w:r w:rsidRPr="00E00921">
        <w:t xml:space="preserve">. </w:t>
      </w:r>
      <w:r w:rsidR="00B62077">
        <w:t xml:space="preserve">De huidige verwachting is dat de Commissie na de zomer met een publiek consultatie-voorstel komt. </w:t>
      </w:r>
      <w:r w:rsidRPr="00E00921">
        <w:t xml:space="preserve">Het is goed dat deze herziening plaatsvindt, want er bestaat geen eenduidige interpretatie van massabalansregels binnen de Europese Unie. Net als Kamerleden baart dit </w:t>
      </w:r>
      <w:r w:rsidR="00780D84">
        <w:t xml:space="preserve">mij </w:t>
      </w:r>
      <w:r w:rsidRPr="00E00921">
        <w:t>ook zorgen. Daarom zet het ministerie zich in voor een duidelijkere beschrijving van de regels. De Europese Commissie is hier bepalend.</w:t>
      </w:r>
    </w:p>
    <w:p w:rsidR="00E00921" w:rsidP="004C1F00" w:rsidRDefault="00E00921" w14:paraId="717431B7" w14:textId="77777777">
      <w:pPr>
        <w:pStyle w:val="WitregelW1bodytekst"/>
      </w:pPr>
    </w:p>
    <w:p w:rsidRPr="00CF1458" w:rsidR="0031120D" w:rsidP="00A05D38" w:rsidRDefault="00E00921" w14:paraId="59BA8A6D" w14:textId="5AA6E38F">
      <w:pPr>
        <w:pStyle w:val="WitregelW1bodytekst"/>
      </w:pPr>
      <w:r>
        <w:t xml:space="preserve">Voor </w:t>
      </w:r>
      <w:r w:rsidR="00A05D38">
        <w:t xml:space="preserve">een </w:t>
      </w:r>
      <w:r>
        <w:t xml:space="preserve">nadere toelichting op </w:t>
      </w:r>
      <w:r w:rsidR="00A05D38">
        <w:t xml:space="preserve">de </w:t>
      </w:r>
      <w:r w:rsidR="00B62077">
        <w:t xml:space="preserve">huidige </w:t>
      </w:r>
      <w:r w:rsidR="00A05D38">
        <w:t xml:space="preserve">massabalans-regels </w:t>
      </w:r>
      <w:r w:rsidRPr="00A05D38" w:rsidR="00A05D38">
        <w:t>voor het vervoeren van biobrandstoffen via netten, welke ontwikkelingen er spelen rondom de massabalansregels</w:t>
      </w:r>
      <w:r w:rsidR="00A05D38">
        <w:t xml:space="preserve">, </w:t>
      </w:r>
      <w:r w:rsidRPr="00A05D38" w:rsidR="00A05D38">
        <w:t>hoe administratief vergroenen werkt en waar groen gas in Nederland toegepast kan worden</w:t>
      </w:r>
      <w:r w:rsidR="00A05D38">
        <w:t xml:space="preserve"> verwijs ik</w:t>
      </w:r>
      <w:r w:rsidR="006D1907">
        <w:t xml:space="preserve"> naar de brief </w:t>
      </w:r>
      <w:r w:rsidR="00A05D38">
        <w:t>van 7 mei</w:t>
      </w:r>
      <w:r w:rsidR="006D1907">
        <w:t xml:space="preserve">, </w:t>
      </w:r>
      <w:r w:rsidR="00A05D38">
        <w:t>(</w:t>
      </w:r>
      <w:r w:rsidR="006D1907">
        <w:t>Kamerstuk 3813, nr. 1560</w:t>
      </w:r>
      <w:r w:rsidR="00A05D38">
        <w:t>)</w:t>
      </w:r>
      <w:r w:rsidR="006D1907">
        <w:t>.</w:t>
      </w:r>
      <w:r w:rsidR="00A05D38">
        <w:t xml:space="preserve"> </w:t>
      </w:r>
      <w:r w:rsidRPr="00A05D38" w:rsidR="00A05D38">
        <w:t xml:space="preserve">Deze informatie is eerder – deels mondeling, deels schriftelijk – gedeeld met Eerste en Tweede Kamer. </w:t>
      </w:r>
    </w:p>
    <w:p w:rsidR="00D940E6" w:rsidRDefault="00BC7DE0" w14:paraId="2FE4ABBB" w14:textId="77777777">
      <w:pPr>
        <w:pStyle w:val="Slotzin"/>
      </w:pPr>
      <w:r>
        <w:lastRenderedPageBreak/>
        <w:t>Hoogachtend,</w:t>
      </w:r>
    </w:p>
    <w:p w:rsidR="00D940E6" w:rsidRDefault="00BC7DE0" w14:paraId="729CF8DA" w14:textId="77777777">
      <w:pPr>
        <w:pStyle w:val="OndertekeningArea1"/>
      </w:pPr>
      <w:r>
        <w:t>DE STAATSSECRETARIS VAN INFRASTRUCTUUR EN WATERSTAAT,</w:t>
      </w:r>
    </w:p>
    <w:p w:rsidR="00D940E6" w:rsidRDefault="00D940E6" w14:paraId="0B03ADD2" w14:textId="77777777"/>
    <w:p w:rsidR="00D940E6" w:rsidRDefault="00D940E6" w14:paraId="2730170D" w14:textId="77777777"/>
    <w:p w:rsidR="00D940E6" w:rsidRDefault="00D940E6" w14:paraId="7AF10551" w14:textId="77777777"/>
    <w:p w:rsidR="00D940E6" w:rsidRDefault="00D940E6" w14:paraId="0B65EC17" w14:textId="77777777"/>
    <w:p w:rsidR="00D940E6" w:rsidRDefault="00BC7DE0" w14:paraId="601EE4FA" w14:textId="77777777">
      <w:r>
        <w:t>Annet Bertram</w:t>
      </w:r>
    </w:p>
    <w:sectPr w:rsidR="00D94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1C31" w14:textId="77777777" w:rsidR="007D4896" w:rsidRDefault="007D4896">
      <w:pPr>
        <w:spacing w:line="240" w:lineRule="auto"/>
      </w:pPr>
      <w:r>
        <w:separator/>
      </w:r>
    </w:p>
  </w:endnote>
  <w:endnote w:type="continuationSeparator" w:id="0">
    <w:p w14:paraId="397C6563" w14:textId="77777777" w:rsidR="007D4896" w:rsidRDefault="007D4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275B" w14:textId="77777777" w:rsidR="00780D84" w:rsidRDefault="00780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73A6" w14:textId="77777777" w:rsidR="00780D84" w:rsidRDefault="00780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11F8" w14:textId="77777777" w:rsidR="00780D84" w:rsidRDefault="00780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61ACC" w14:textId="77777777" w:rsidR="007D4896" w:rsidRDefault="007D4896">
      <w:pPr>
        <w:spacing w:line="240" w:lineRule="auto"/>
      </w:pPr>
      <w:r>
        <w:separator/>
      </w:r>
    </w:p>
  </w:footnote>
  <w:footnote w:type="continuationSeparator" w:id="0">
    <w:p w14:paraId="7F8A2AE6" w14:textId="77777777" w:rsidR="007D4896" w:rsidRDefault="007D48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2C77F" w14:textId="77777777" w:rsidR="00780D84" w:rsidRDefault="00780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D8B95" w14:textId="77777777" w:rsidR="00D940E6" w:rsidRDefault="00BC7DE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FBE70A3" wp14:editId="47F40AAF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F0693" w14:textId="77777777" w:rsidR="00D940E6" w:rsidRDefault="00BC7DE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E9C049A" w14:textId="77777777" w:rsidR="00D940E6" w:rsidRDefault="00D940E6">
                          <w:pPr>
                            <w:pStyle w:val="WitregelW2"/>
                          </w:pPr>
                        </w:p>
                        <w:p w14:paraId="755142F2" w14:textId="77777777" w:rsidR="00BC7DE0" w:rsidRDefault="00BC7DE0" w:rsidP="00BC7DE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9822C22" w14:textId="77777777" w:rsidR="00BC7DE0" w:rsidRDefault="00BC7DE0" w:rsidP="00BC7DE0">
                          <w:pPr>
                            <w:pStyle w:val="Referentiegegevens"/>
                          </w:pPr>
                          <w:r w:rsidRPr="00BC7DE0">
                            <w:t>IENW/BSK-2026/107433</w:t>
                          </w:r>
                        </w:p>
                        <w:p w14:paraId="0FD08E15" w14:textId="695B7981" w:rsidR="00D940E6" w:rsidRDefault="00D940E6" w:rsidP="00BC7DE0">
                          <w:pPr>
                            <w:pStyle w:val="Referentiegegevenskop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BE70A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DAF0693" w14:textId="77777777" w:rsidR="00D940E6" w:rsidRDefault="00BC7DE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E9C049A" w14:textId="77777777" w:rsidR="00D940E6" w:rsidRDefault="00D940E6">
                    <w:pPr>
                      <w:pStyle w:val="WitregelW2"/>
                    </w:pPr>
                  </w:p>
                  <w:p w14:paraId="755142F2" w14:textId="77777777" w:rsidR="00BC7DE0" w:rsidRDefault="00BC7DE0" w:rsidP="00BC7DE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9822C22" w14:textId="77777777" w:rsidR="00BC7DE0" w:rsidRDefault="00BC7DE0" w:rsidP="00BC7DE0">
                    <w:pPr>
                      <w:pStyle w:val="Referentiegegevens"/>
                    </w:pPr>
                    <w:r w:rsidRPr="00BC7DE0">
                      <w:t>IENW/BSK-2026/107433</w:t>
                    </w:r>
                  </w:p>
                  <w:p w14:paraId="0FD08E15" w14:textId="695B7981" w:rsidR="00D940E6" w:rsidRDefault="00D940E6" w:rsidP="00BC7DE0">
                    <w:pPr>
                      <w:pStyle w:val="Referentiegegevenskop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84AC3F2" wp14:editId="674C1C1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73BEB" w14:textId="1751F2E8" w:rsidR="00D940E6" w:rsidRDefault="00BC7DE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0C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12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4AC3F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1673BEB" w14:textId="1751F2E8" w:rsidR="00D940E6" w:rsidRDefault="00BC7DE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0C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12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DDE7DE3" wp14:editId="0B905E0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64F5F" w14:textId="77777777" w:rsidR="00D0194C" w:rsidRDefault="00D019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E7DE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3264F5F" w14:textId="77777777" w:rsidR="00D0194C" w:rsidRDefault="00D019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C7345F9" wp14:editId="2D5033B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33320" w14:textId="77777777" w:rsidR="00D0194C" w:rsidRDefault="00D019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345F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6133320" w14:textId="77777777" w:rsidR="00D0194C" w:rsidRDefault="00D0194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7C36" w14:textId="77777777" w:rsidR="00D940E6" w:rsidRDefault="00BC7DE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DD5157" wp14:editId="5D86709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20665" w14:textId="77777777" w:rsidR="00D0194C" w:rsidRDefault="00D019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DD515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D720665" w14:textId="77777777" w:rsidR="00D0194C" w:rsidRDefault="00D019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99A1F9C" wp14:editId="78BB537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49C74" w14:textId="548EB8AD" w:rsidR="00D940E6" w:rsidRDefault="00BC7DE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78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78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A1F9C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2049C74" w14:textId="548EB8AD" w:rsidR="00D940E6" w:rsidRDefault="00BC7DE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78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78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57E44D0" wp14:editId="1822C32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E74B3" w14:textId="77777777" w:rsidR="00D940E6" w:rsidRDefault="00BC7DE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2EFE2B0" w14:textId="77777777" w:rsidR="00D940E6" w:rsidRDefault="00D940E6">
                          <w:pPr>
                            <w:pStyle w:val="WitregelW1"/>
                          </w:pPr>
                        </w:p>
                        <w:p w14:paraId="57D86B87" w14:textId="77777777" w:rsidR="00D940E6" w:rsidRDefault="00BC7DE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4A201F8" w14:textId="77777777" w:rsidR="00D940E6" w:rsidRPr="0031120D" w:rsidRDefault="00BC7D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120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6325E75" w14:textId="77777777" w:rsidR="00D940E6" w:rsidRPr="0031120D" w:rsidRDefault="00BC7D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120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55EA6C5" w14:textId="77777777" w:rsidR="00D940E6" w:rsidRPr="0031120D" w:rsidRDefault="00BC7D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120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B307536" w14:textId="77777777" w:rsidR="00D940E6" w:rsidRPr="0031120D" w:rsidRDefault="00D940E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D0D6173" w14:textId="77777777" w:rsidR="00D940E6" w:rsidRPr="0031120D" w:rsidRDefault="00BC7D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120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5604188" w14:textId="77777777" w:rsidR="00D940E6" w:rsidRDefault="00BC7DE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8BEE68F" w14:textId="77777777" w:rsidR="00D940E6" w:rsidRPr="00BC7DE0" w:rsidRDefault="00D940E6" w:rsidP="00BC7DE0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E9FC202" w14:textId="77777777" w:rsidR="00D940E6" w:rsidRPr="00BC7DE0" w:rsidRDefault="00BC7DE0" w:rsidP="00BC7DE0">
                          <w:pPr>
                            <w:pStyle w:val="Referentiegegevenskop"/>
                            <w:spacing w:line="276" w:lineRule="auto"/>
                          </w:pPr>
                          <w:r w:rsidRPr="00BC7DE0">
                            <w:t>Ons kenmerk</w:t>
                          </w:r>
                        </w:p>
                        <w:p w14:paraId="71E29A32" w14:textId="671E2D2B" w:rsidR="00D940E6" w:rsidRPr="00BC7DE0" w:rsidRDefault="00BC7DE0" w:rsidP="00BC7DE0">
                          <w:pPr>
                            <w:pStyle w:val="Referentiegegevens"/>
                            <w:spacing w:line="276" w:lineRule="auto"/>
                          </w:pPr>
                          <w:r w:rsidRPr="00BC7DE0">
                            <w:t>IENW/BSK-2026/107433</w:t>
                          </w:r>
                        </w:p>
                        <w:p w14:paraId="1D425758" w14:textId="77777777" w:rsidR="00D940E6" w:rsidRPr="00BC7DE0" w:rsidRDefault="00D940E6" w:rsidP="00BC7DE0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51D8318" w14:textId="77777777" w:rsidR="00D940E6" w:rsidRPr="00BC7DE0" w:rsidRDefault="00BC7DE0" w:rsidP="00BC7DE0">
                          <w:pPr>
                            <w:pStyle w:val="Referentiegegevenskop"/>
                            <w:spacing w:line="276" w:lineRule="auto"/>
                          </w:pPr>
                          <w:r w:rsidRPr="00BC7DE0">
                            <w:t>Uw kenmerk</w:t>
                          </w:r>
                        </w:p>
                        <w:p w14:paraId="283AE512" w14:textId="77777777" w:rsidR="00D940E6" w:rsidRPr="00BC7DE0" w:rsidRDefault="00BC7DE0" w:rsidP="00BC7DE0">
                          <w:pPr>
                            <w:pStyle w:val="Referentiegegevens"/>
                            <w:spacing w:line="276" w:lineRule="auto"/>
                          </w:pPr>
                          <w:r w:rsidRPr="00BC7DE0">
                            <w:t>32813-1560/2026D23734</w:t>
                          </w:r>
                        </w:p>
                        <w:p w14:paraId="20DC4124" w14:textId="77777777" w:rsidR="00BC7DE0" w:rsidRPr="00BC7DE0" w:rsidRDefault="00BC7DE0" w:rsidP="00BC7DE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D38A053" w14:textId="2EBB60D1" w:rsidR="00BC7DE0" w:rsidRPr="00BC7DE0" w:rsidRDefault="00BC7DE0" w:rsidP="00BC7DE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C7DE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0652691" w14:textId="338545E5" w:rsidR="00BC7DE0" w:rsidRPr="00BC7DE0" w:rsidRDefault="00BC7DE0" w:rsidP="00BC7DE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BC7DE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E44D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D9E74B3" w14:textId="77777777" w:rsidR="00D940E6" w:rsidRDefault="00BC7DE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2EFE2B0" w14:textId="77777777" w:rsidR="00D940E6" w:rsidRDefault="00D940E6">
                    <w:pPr>
                      <w:pStyle w:val="WitregelW1"/>
                    </w:pPr>
                  </w:p>
                  <w:p w14:paraId="57D86B87" w14:textId="77777777" w:rsidR="00D940E6" w:rsidRDefault="00BC7DE0">
                    <w:pPr>
                      <w:pStyle w:val="Afzendgegevens"/>
                    </w:pPr>
                    <w:r>
                      <w:t>Rijnstraat 8</w:t>
                    </w:r>
                  </w:p>
                  <w:p w14:paraId="24A201F8" w14:textId="77777777" w:rsidR="00D940E6" w:rsidRPr="0031120D" w:rsidRDefault="00BC7DE0">
                    <w:pPr>
                      <w:pStyle w:val="Afzendgegevens"/>
                      <w:rPr>
                        <w:lang w:val="de-DE"/>
                      </w:rPr>
                    </w:pPr>
                    <w:r w:rsidRPr="0031120D">
                      <w:rPr>
                        <w:lang w:val="de-DE"/>
                      </w:rPr>
                      <w:t>2515 XP  Den Haag</w:t>
                    </w:r>
                  </w:p>
                  <w:p w14:paraId="76325E75" w14:textId="77777777" w:rsidR="00D940E6" w:rsidRPr="0031120D" w:rsidRDefault="00BC7DE0">
                    <w:pPr>
                      <w:pStyle w:val="Afzendgegevens"/>
                      <w:rPr>
                        <w:lang w:val="de-DE"/>
                      </w:rPr>
                    </w:pPr>
                    <w:r w:rsidRPr="0031120D">
                      <w:rPr>
                        <w:lang w:val="de-DE"/>
                      </w:rPr>
                      <w:t>Postbus 20901</w:t>
                    </w:r>
                  </w:p>
                  <w:p w14:paraId="055EA6C5" w14:textId="77777777" w:rsidR="00D940E6" w:rsidRPr="0031120D" w:rsidRDefault="00BC7DE0">
                    <w:pPr>
                      <w:pStyle w:val="Afzendgegevens"/>
                      <w:rPr>
                        <w:lang w:val="de-DE"/>
                      </w:rPr>
                    </w:pPr>
                    <w:r w:rsidRPr="0031120D">
                      <w:rPr>
                        <w:lang w:val="de-DE"/>
                      </w:rPr>
                      <w:t>2500 EX Den Haag</w:t>
                    </w:r>
                  </w:p>
                  <w:p w14:paraId="1B307536" w14:textId="77777777" w:rsidR="00D940E6" w:rsidRPr="0031120D" w:rsidRDefault="00D940E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D0D6173" w14:textId="77777777" w:rsidR="00D940E6" w:rsidRPr="0031120D" w:rsidRDefault="00BC7DE0">
                    <w:pPr>
                      <w:pStyle w:val="Afzendgegevens"/>
                      <w:rPr>
                        <w:lang w:val="de-DE"/>
                      </w:rPr>
                    </w:pPr>
                    <w:r w:rsidRPr="0031120D">
                      <w:rPr>
                        <w:lang w:val="de-DE"/>
                      </w:rPr>
                      <w:t>T   070-456 0000</w:t>
                    </w:r>
                  </w:p>
                  <w:p w14:paraId="75604188" w14:textId="77777777" w:rsidR="00D940E6" w:rsidRDefault="00BC7DE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8BEE68F" w14:textId="77777777" w:rsidR="00D940E6" w:rsidRPr="00BC7DE0" w:rsidRDefault="00D940E6" w:rsidP="00BC7DE0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E9FC202" w14:textId="77777777" w:rsidR="00D940E6" w:rsidRPr="00BC7DE0" w:rsidRDefault="00BC7DE0" w:rsidP="00BC7DE0">
                    <w:pPr>
                      <w:pStyle w:val="Referentiegegevenskop"/>
                      <w:spacing w:line="276" w:lineRule="auto"/>
                    </w:pPr>
                    <w:r w:rsidRPr="00BC7DE0">
                      <w:t>Ons kenmerk</w:t>
                    </w:r>
                  </w:p>
                  <w:p w14:paraId="71E29A32" w14:textId="671E2D2B" w:rsidR="00D940E6" w:rsidRPr="00BC7DE0" w:rsidRDefault="00BC7DE0" w:rsidP="00BC7DE0">
                    <w:pPr>
                      <w:pStyle w:val="Referentiegegevens"/>
                      <w:spacing w:line="276" w:lineRule="auto"/>
                    </w:pPr>
                    <w:r w:rsidRPr="00BC7DE0">
                      <w:t>IENW/BSK-2026/107433</w:t>
                    </w:r>
                  </w:p>
                  <w:p w14:paraId="1D425758" w14:textId="77777777" w:rsidR="00D940E6" w:rsidRPr="00BC7DE0" w:rsidRDefault="00D940E6" w:rsidP="00BC7DE0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51D8318" w14:textId="77777777" w:rsidR="00D940E6" w:rsidRPr="00BC7DE0" w:rsidRDefault="00BC7DE0" w:rsidP="00BC7DE0">
                    <w:pPr>
                      <w:pStyle w:val="Referentiegegevenskop"/>
                      <w:spacing w:line="276" w:lineRule="auto"/>
                    </w:pPr>
                    <w:r w:rsidRPr="00BC7DE0">
                      <w:t>Uw kenmerk</w:t>
                    </w:r>
                  </w:p>
                  <w:p w14:paraId="283AE512" w14:textId="77777777" w:rsidR="00D940E6" w:rsidRPr="00BC7DE0" w:rsidRDefault="00BC7DE0" w:rsidP="00BC7DE0">
                    <w:pPr>
                      <w:pStyle w:val="Referentiegegevens"/>
                      <w:spacing w:line="276" w:lineRule="auto"/>
                    </w:pPr>
                    <w:r w:rsidRPr="00BC7DE0">
                      <w:t>32813-1560/2026D23734</w:t>
                    </w:r>
                  </w:p>
                  <w:p w14:paraId="20DC4124" w14:textId="77777777" w:rsidR="00BC7DE0" w:rsidRPr="00BC7DE0" w:rsidRDefault="00BC7DE0" w:rsidP="00BC7DE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D38A053" w14:textId="2EBB60D1" w:rsidR="00BC7DE0" w:rsidRPr="00BC7DE0" w:rsidRDefault="00BC7DE0" w:rsidP="00BC7DE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C7DE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0652691" w14:textId="338545E5" w:rsidR="00BC7DE0" w:rsidRPr="00BC7DE0" w:rsidRDefault="00BC7DE0" w:rsidP="00BC7DE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BC7DE0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A52548" wp14:editId="4293EF8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B3066" w14:textId="77777777" w:rsidR="00D940E6" w:rsidRDefault="00BC7D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26F889" wp14:editId="47197FE7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A52548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6FB3066" w14:textId="77777777" w:rsidR="00D940E6" w:rsidRDefault="00BC7DE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26F889" wp14:editId="47197FE7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0590CF9" wp14:editId="33537AC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BB07B" w14:textId="77777777" w:rsidR="00D940E6" w:rsidRDefault="00BC7D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84C9C7B" wp14:editId="6E1BF32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90CF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ECBB07B" w14:textId="77777777" w:rsidR="00D940E6" w:rsidRDefault="00BC7DE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84C9C7B" wp14:editId="6E1BF32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993733" wp14:editId="24E7676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53C78" w14:textId="77777777" w:rsidR="00D940E6" w:rsidRDefault="00BC7DE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9373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EC53C78" w14:textId="77777777" w:rsidR="00D940E6" w:rsidRDefault="00BC7DE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75FBDB" wp14:editId="354BF7E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D3785" w14:textId="77777777" w:rsidR="00D940E6" w:rsidRDefault="00BC7DE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75FBD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54D3785" w14:textId="77777777" w:rsidR="00D940E6" w:rsidRDefault="00BC7DE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72D9C6" wp14:editId="57194DE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940E6" w14:paraId="42CB695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E6D2B6" w14:textId="77777777" w:rsidR="00D940E6" w:rsidRDefault="00D940E6"/>
                            </w:tc>
                            <w:tc>
                              <w:tcPr>
                                <w:tcW w:w="5400" w:type="dxa"/>
                              </w:tcPr>
                              <w:p w14:paraId="702E7F02" w14:textId="77777777" w:rsidR="00D940E6" w:rsidRDefault="00D940E6"/>
                            </w:tc>
                          </w:tr>
                          <w:tr w:rsidR="00D940E6" w14:paraId="48CD33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94DA97" w14:textId="77777777" w:rsidR="00D940E6" w:rsidRDefault="00BC7D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929E3C" w14:textId="52600BB0" w:rsidR="00D940E6" w:rsidRDefault="00522A31">
                                <w:r>
                                  <w:t>29 juni 2026</w:t>
                                </w:r>
                              </w:p>
                            </w:tc>
                          </w:tr>
                          <w:tr w:rsidR="00D940E6" w14:paraId="448C8B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35B9BD" w14:textId="77777777" w:rsidR="00D940E6" w:rsidRDefault="00BC7D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2333F1" w14:textId="77777777" w:rsidR="00D940E6" w:rsidRDefault="00BC7DE0">
                                <w:r>
                                  <w:t>Reactie op CE Delft-rapport Chain of custody systemen voor bio-LNG en toelichting op de stand van zaken inzake de Uitvoeringsverordening (EU) 2022/996</w:t>
                                </w:r>
                              </w:p>
                            </w:tc>
                          </w:tr>
                          <w:tr w:rsidR="00D940E6" w14:paraId="58E2E4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DC33DA" w14:textId="77777777" w:rsidR="00D940E6" w:rsidRDefault="00D940E6"/>
                            </w:tc>
                            <w:tc>
                              <w:tcPr>
                                <w:tcW w:w="5400" w:type="dxa"/>
                              </w:tcPr>
                              <w:p w14:paraId="40BE201E" w14:textId="77777777" w:rsidR="00D940E6" w:rsidRDefault="00D940E6"/>
                            </w:tc>
                          </w:tr>
                        </w:tbl>
                        <w:p w14:paraId="135C7FA4" w14:textId="77777777" w:rsidR="00D0194C" w:rsidRDefault="00D019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2D9C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940E6" w14:paraId="42CB695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E6D2B6" w14:textId="77777777" w:rsidR="00D940E6" w:rsidRDefault="00D940E6"/>
                      </w:tc>
                      <w:tc>
                        <w:tcPr>
                          <w:tcW w:w="5400" w:type="dxa"/>
                        </w:tcPr>
                        <w:p w14:paraId="702E7F02" w14:textId="77777777" w:rsidR="00D940E6" w:rsidRDefault="00D940E6"/>
                      </w:tc>
                    </w:tr>
                    <w:tr w:rsidR="00D940E6" w14:paraId="48CD33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94DA97" w14:textId="77777777" w:rsidR="00D940E6" w:rsidRDefault="00BC7DE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929E3C" w14:textId="52600BB0" w:rsidR="00D940E6" w:rsidRDefault="00522A31">
                          <w:r>
                            <w:t>29 juni 2026</w:t>
                          </w:r>
                        </w:p>
                      </w:tc>
                    </w:tr>
                    <w:tr w:rsidR="00D940E6" w14:paraId="448C8B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35B9BD" w14:textId="77777777" w:rsidR="00D940E6" w:rsidRDefault="00BC7DE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2333F1" w14:textId="77777777" w:rsidR="00D940E6" w:rsidRDefault="00BC7DE0">
                          <w:r>
                            <w:t>Reactie op CE Delft-rapport Chain of custody systemen voor bio-LNG en toelichting op de stand van zaken inzake de Uitvoeringsverordening (EU) 2022/996</w:t>
                          </w:r>
                        </w:p>
                      </w:tc>
                    </w:tr>
                    <w:tr w:rsidR="00D940E6" w14:paraId="58E2E4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DC33DA" w14:textId="77777777" w:rsidR="00D940E6" w:rsidRDefault="00D940E6"/>
                      </w:tc>
                      <w:tc>
                        <w:tcPr>
                          <w:tcW w:w="5400" w:type="dxa"/>
                        </w:tcPr>
                        <w:p w14:paraId="40BE201E" w14:textId="77777777" w:rsidR="00D940E6" w:rsidRDefault="00D940E6"/>
                      </w:tc>
                    </w:tr>
                  </w:tbl>
                  <w:p w14:paraId="135C7FA4" w14:textId="77777777" w:rsidR="00D0194C" w:rsidRDefault="00D019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0CD9F7D" wp14:editId="6B6C1D5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5537F0" w14:textId="77777777" w:rsidR="00D0194C" w:rsidRDefault="00D019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D9F7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05537F0" w14:textId="77777777" w:rsidR="00D0194C" w:rsidRDefault="00D0194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7542B"/>
    <w:multiLevelType w:val="multilevel"/>
    <w:tmpl w:val="8E923D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C0B5BEA"/>
    <w:multiLevelType w:val="multilevel"/>
    <w:tmpl w:val="945D01D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81C984"/>
    <w:multiLevelType w:val="multilevel"/>
    <w:tmpl w:val="D0C6690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CB5C29"/>
    <w:multiLevelType w:val="multilevel"/>
    <w:tmpl w:val="01AF3A2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3B3828"/>
    <w:multiLevelType w:val="multilevel"/>
    <w:tmpl w:val="1FAADAF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9522F9"/>
    <w:multiLevelType w:val="multilevel"/>
    <w:tmpl w:val="9C35885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B5BFE9"/>
    <w:multiLevelType w:val="multilevel"/>
    <w:tmpl w:val="B0EC658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45E56BA"/>
    <w:multiLevelType w:val="multilevel"/>
    <w:tmpl w:val="3CED02E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6E0DFA1"/>
    <w:multiLevelType w:val="multilevel"/>
    <w:tmpl w:val="5760DEF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369F22"/>
    <w:multiLevelType w:val="multilevel"/>
    <w:tmpl w:val="C48D5C2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9CF57DD"/>
    <w:multiLevelType w:val="multilevel"/>
    <w:tmpl w:val="30A48EE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958287D"/>
    <w:multiLevelType w:val="multilevel"/>
    <w:tmpl w:val="657A38E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E72318A"/>
    <w:multiLevelType w:val="multilevel"/>
    <w:tmpl w:val="61D5DD4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67C262"/>
    <w:multiLevelType w:val="multilevel"/>
    <w:tmpl w:val="8377A8D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C422D4"/>
    <w:multiLevelType w:val="multilevel"/>
    <w:tmpl w:val="2D97A2D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F74BA9"/>
    <w:multiLevelType w:val="hybridMultilevel"/>
    <w:tmpl w:val="FCBA2ECC"/>
    <w:lvl w:ilvl="0" w:tplc="F08E1E3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532DB"/>
    <w:multiLevelType w:val="multilevel"/>
    <w:tmpl w:val="89A5A4A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4F44B4"/>
    <w:multiLevelType w:val="multilevel"/>
    <w:tmpl w:val="54FF077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1B13A3"/>
    <w:multiLevelType w:val="multilevel"/>
    <w:tmpl w:val="7DF4D4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5C494D9D"/>
    <w:multiLevelType w:val="multilevel"/>
    <w:tmpl w:val="F4387BC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6AF04A"/>
    <w:multiLevelType w:val="multilevel"/>
    <w:tmpl w:val="0147782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9A3589"/>
    <w:multiLevelType w:val="multilevel"/>
    <w:tmpl w:val="066FF52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16951B"/>
    <w:multiLevelType w:val="multilevel"/>
    <w:tmpl w:val="299A6E6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0B44D1"/>
    <w:multiLevelType w:val="hybridMultilevel"/>
    <w:tmpl w:val="F36AC0FE"/>
    <w:lvl w:ilvl="0" w:tplc="C502648E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88AF3"/>
    <w:multiLevelType w:val="multilevel"/>
    <w:tmpl w:val="01360A6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7"/>
  </w:num>
  <w:num w:numId="5">
    <w:abstractNumId w:val="18"/>
  </w:num>
  <w:num w:numId="6">
    <w:abstractNumId w:val="21"/>
  </w:num>
  <w:num w:numId="7">
    <w:abstractNumId w:val="5"/>
  </w:num>
  <w:num w:numId="8">
    <w:abstractNumId w:val="17"/>
  </w:num>
  <w:num w:numId="9">
    <w:abstractNumId w:val="16"/>
  </w:num>
  <w:num w:numId="10">
    <w:abstractNumId w:val="10"/>
  </w:num>
  <w:num w:numId="11">
    <w:abstractNumId w:val="19"/>
  </w:num>
  <w:num w:numId="12">
    <w:abstractNumId w:val="0"/>
  </w:num>
  <w:num w:numId="13">
    <w:abstractNumId w:val="11"/>
  </w:num>
  <w:num w:numId="14">
    <w:abstractNumId w:val="2"/>
  </w:num>
  <w:num w:numId="15">
    <w:abstractNumId w:val="13"/>
  </w:num>
  <w:num w:numId="16">
    <w:abstractNumId w:val="9"/>
  </w:num>
  <w:num w:numId="17">
    <w:abstractNumId w:val="8"/>
  </w:num>
  <w:num w:numId="18">
    <w:abstractNumId w:val="12"/>
  </w:num>
  <w:num w:numId="19">
    <w:abstractNumId w:val="3"/>
  </w:num>
  <w:num w:numId="20">
    <w:abstractNumId w:val="14"/>
  </w:num>
  <w:num w:numId="21">
    <w:abstractNumId w:val="1"/>
  </w:num>
  <w:num w:numId="22">
    <w:abstractNumId w:val="6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0D"/>
    <w:rsid w:val="00031607"/>
    <w:rsid w:val="00112FD9"/>
    <w:rsid w:val="00137560"/>
    <w:rsid w:val="001A24FE"/>
    <w:rsid w:val="002532CE"/>
    <w:rsid w:val="002A3038"/>
    <w:rsid w:val="00300A59"/>
    <w:rsid w:val="0031120D"/>
    <w:rsid w:val="003A018B"/>
    <w:rsid w:val="003C3C2E"/>
    <w:rsid w:val="00442F1F"/>
    <w:rsid w:val="004A3E22"/>
    <w:rsid w:val="004C1F00"/>
    <w:rsid w:val="00504CAD"/>
    <w:rsid w:val="00522A31"/>
    <w:rsid w:val="0054172E"/>
    <w:rsid w:val="005527A9"/>
    <w:rsid w:val="00583B46"/>
    <w:rsid w:val="00595556"/>
    <w:rsid w:val="005C509C"/>
    <w:rsid w:val="00610C8B"/>
    <w:rsid w:val="006B4E89"/>
    <w:rsid w:val="006D1907"/>
    <w:rsid w:val="006D1AE9"/>
    <w:rsid w:val="00704E4F"/>
    <w:rsid w:val="00747CCB"/>
    <w:rsid w:val="00780D84"/>
    <w:rsid w:val="007C6E8A"/>
    <w:rsid w:val="007D4896"/>
    <w:rsid w:val="007F5DC0"/>
    <w:rsid w:val="008C2860"/>
    <w:rsid w:val="008E0339"/>
    <w:rsid w:val="009B4ECA"/>
    <w:rsid w:val="00A05D38"/>
    <w:rsid w:val="00A36229"/>
    <w:rsid w:val="00A437B9"/>
    <w:rsid w:val="00A808BD"/>
    <w:rsid w:val="00B62077"/>
    <w:rsid w:val="00B851FC"/>
    <w:rsid w:val="00BA4D63"/>
    <w:rsid w:val="00BC04E9"/>
    <w:rsid w:val="00BC7DE0"/>
    <w:rsid w:val="00C8102B"/>
    <w:rsid w:val="00CF1458"/>
    <w:rsid w:val="00D0194C"/>
    <w:rsid w:val="00D940E6"/>
    <w:rsid w:val="00E00921"/>
    <w:rsid w:val="00E2163B"/>
    <w:rsid w:val="00EB00F5"/>
    <w:rsid w:val="00EE6D3F"/>
    <w:rsid w:val="00F67838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50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112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12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0D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C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610C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5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58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59555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325</ap:Words>
  <ap:Characters>1857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op CE Delft-rapport Chain of custody systemen voor bio-LNG en toelichting op de stand van zaken inzake de Uitvoeringsverordening (EU) 2022/996</vt:lpstr>
    </vt:vector>
  </ap:TitlesOfParts>
  <ap:LinksUpToDate>false</ap:LinksUpToDate>
  <ap:CharactersWithSpaces>2178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2026-06-29T13:30:00.0000000Z</dcterms:created>
  <dcterms:modified xsi:type="dcterms:W3CDTF">2026-06-29T13:30:00.0000000Z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CE Delft-rapport Chain of custody systemen voor bio-LNG en toelichting op de stand van zaken inzake de Uitvoeringsverordening (EU) 2022/996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L.H.H.M. Roefs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