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122" w:rsidR="00947B47" w:rsidP="009D3122" w:rsidRDefault="00947B47" w14:paraId="6B059177" w14:textId="77777777">
      <w:pPr>
        <w:pStyle w:val="StandaardAanhef"/>
        <w:spacing w:before="0" w:after="0" w:line="240" w:lineRule="atLeast"/>
        <w:contextualSpacing/>
      </w:pPr>
      <w:r w:rsidRPr="009D3122">
        <w:t>Geachte voorzitter,</w:t>
      </w:r>
      <w:r w:rsidRPr="009D3122">
        <w:rPr>
          <w:b/>
          <w:bCs/>
        </w:rPr>
        <w:t xml:space="preserve"> </w:t>
      </w:r>
    </w:p>
    <w:p w:rsidRPr="009D3122" w:rsidR="009866BA" w:rsidP="009866BA" w:rsidRDefault="009866BA" w14:paraId="4FAA7A44" w14:textId="77777777">
      <w:pPr>
        <w:contextualSpacing/>
      </w:pPr>
    </w:p>
    <w:p w:rsidRPr="009D3122" w:rsidR="00947B47" w:rsidP="009D3122" w:rsidRDefault="00947B47" w14:paraId="5A215C3E" w14:textId="77777777">
      <w:pPr>
        <w:contextualSpacing/>
      </w:pPr>
      <w:r w:rsidRPr="009D3122">
        <w:t xml:space="preserve">Transparantie van informatie en bestuur is </w:t>
      </w:r>
      <w:r w:rsidR="00EB7484">
        <w:t xml:space="preserve">voor mij </w:t>
      </w:r>
      <w:r w:rsidRPr="009D3122">
        <w:t>een groot goed.</w:t>
      </w:r>
      <w:r w:rsidRPr="009D3122" w:rsidR="00807407">
        <w:t xml:space="preserve"> Transparantie helpt belastingplichtigen te begrijpen waarom beslissingen worden genomen, welke rechten en plichten zij hebben en hoe belastingregels worden toegepast. Daarnaast draagt transparant bestuur bij aan rechtszekerheid, gelijke behandeling en democratische controle.</w:t>
      </w:r>
      <w:r w:rsidRPr="009D3122">
        <w:t xml:space="preserve"> </w:t>
      </w:r>
    </w:p>
    <w:p w:rsidRPr="009D3122" w:rsidR="000A69C7" w:rsidP="009D3122" w:rsidRDefault="000A69C7" w14:paraId="4CDC92AF" w14:textId="77777777">
      <w:pPr>
        <w:contextualSpacing/>
      </w:pPr>
    </w:p>
    <w:p w:rsidRPr="009D3122" w:rsidR="000A69C7" w:rsidP="009D3122" w:rsidRDefault="000A69C7" w14:paraId="44F42D73" w14:textId="77777777">
      <w:pPr>
        <w:contextualSpacing/>
      </w:pPr>
      <w:r w:rsidRPr="009D3122">
        <w:t>De invoering van artikel 66a AWR, voortvloeiend uit het amendement Omtzigt c.s.</w:t>
      </w:r>
      <w:r w:rsidRPr="009D3122">
        <w:rPr>
          <w:rStyle w:val="Voetnootmarkering"/>
        </w:rPr>
        <w:footnoteReference w:id="1"/>
      </w:r>
      <w:r w:rsidRPr="009D3122">
        <w:t>, vormde een belangrijke stap naar meer transparantie voor burgers en bedrijven door een recht op inzage in het eigen fiscale dossier te introduceren. Met de Wet stroomlijning fiscaal inzagerecht</w:t>
      </w:r>
      <w:r w:rsidRPr="009D3122">
        <w:rPr>
          <w:rStyle w:val="Voetnootmarkering"/>
        </w:rPr>
        <w:footnoteReference w:id="2"/>
      </w:r>
      <w:r w:rsidRPr="009D3122">
        <w:t xml:space="preserve"> is dit inzagerecht vervolgens aangepast om de uitvoerbaarheid ervan te verbeteren.</w:t>
      </w:r>
    </w:p>
    <w:p w:rsidRPr="009D3122" w:rsidR="00947B47" w:rsidP="009D3122" w:rsidRDefault="00947B47" w14:paraId="66806180" w14:textId="77777777">
      <w:pPr>
        <w:contextualSpacing/>
      </w:pPr>
    </w:p>
    <w:p w:rsidRPr="009D3122" w:rsidR="00947B47" w:rsidP="009D3122" w:rsidRDefault="00947B47" w14:paraId="66296BB3" w14:textId="77777777">
      <w:pPr>
        <w:contextualSpacing/>
      </w:pPr>
      <w:r w:rsidRPr="009D3122">
        <w:t>Het doel dat met het inzagerecht nagestreefd wordt, onders</w:t>
      </w:r>
      <w:r w:rsidR="004C56BC">
        <w:t>chrijf</w:t>
      </w:r>
      <w:r w:rsidRPr="009D3122">
        <w:t xml:space="preserve"> ik volledig. Transparantie over het handelen van de overheid draagt bij aan een betere positie van belastingplichtigen, vergroot de uitlegbaarheid van besluitvorming en versterkt het vertrouwen in de overheid. Het fiscaal inzagerecht past daarbij ook binnen een bredere ontwikkeling waarin de Belastingdienst werkt aan meer openheid en toegankelijkheid van informatie. </w:t>
      </w:r>
      <w:r w:rsidRPr="009D3122" w:rsidR="00E923DD">
        <w:t>Enkele voorbeelden zijn d</w:t>
      </w:r>
      <w:r w:rsidRPr="009D3122">
        <w:t xml:space="preserve">e vooraf ingevulde aangifte (VIA), het geanonimiseerd publiceren van kennisgroepstandpunten </w:t>
      </w:r>
      <w:r w:rsidRPr="009D3122" w:rsidR="00E923DD">
        <w:t>en het publiceren van beleidsbesluiten met het oog op rechtsgelijkheid en rechtszekerheid</w:t>
      </w:r>
      <w:r w:rsidRPr="009D3122">
        <w:t>.</w:t>
      </w:r>
    </w:p>
    <w:p w:rsidRPr="009D3122" w:rsidR="00947B47" w:rsidP="009D3122" w:rsidRDefault="00947B47" w14:paraId="5E15AA10" w14:textId="77777777">
      <w:pPr>
        <w:contextualSpacing/>
      </w:pPr>
    </w:p>
    <w:p w:rsidRPr="009D3122" w:rsidR="009B5997" w:rsidP="009D3122" w:rsidRDefault="00947B47" w14:paraId="002A0135" w14:textId="77777777">
      <w:pPr>
        <w:contextualSpacing/>
        <w:rPr>
          <w:b/>
          <w:bCs/>
        </w:rPr>
      </w:pPr>
      <w:r w:rsidRPr="009D3122">
        <w:t>Een zorgvuldige en uitvoerbare invoering van het fiscaal inzagerecht vraagt tegelijkertijd om een realistische benadering van de uitvoeringsopgave</w:t>
      </w:r>
      <w:r w:rsidRPr="009D3122" w:rsidR="00185578">
        <w:t xml:space="preserve"> om de informatie </w:t>
      </w:r>
      <w:r w:rsidR="00EB7484">
        <w:t xml:space="preserve">de komende jaren </w:t>
      </w:r>
      <w:r w:rsidRPr="009D3122" w:rsidR="00185578">
        <w:t>op een goede manier te kunnen ontsluiten</w:t>
      </w:r>
      <w:r w:rsidRPr="009D3122">
        <w:t xml:space="preserve">. </w:t>
      </w:r>
      <w:r w:rsidR="00A16560">
        <w:t xml:space="preserve">Vanuit </w:t>
      </w:r>
      <w:r w:rsidRPr="0039027B" w:rsidR="00A16560">
        <w:t>het</w:t>
      </w:r>
      <w:r w:rsidR="00EB7484">
        <w:t xml:space="preserve"> hierboven geschetste</w:t>
      </w:r>
      <w:r w:rsidRPr="0039027B" w:rsidR="00A16560">
        <w:t xml:space="preserve"> belang van transparantie </w:t>
      </w:r>
      <w:r w:rsidR="00A16560">
        <w:t xml:space="preserve">licht ik in deze brief toe wat de Belastingdienst </w:t>
      </w:r>
      <w:r w:rsidR="00EB7484">
        <w:t xml:space="preserve">doet en </w:t>
      </w:r>
      <w:r w:rsidR="00A16560">
        <w:t>gaat doen om het inzagerecht stapsgewijs in te voeren</w:t>
      </w:r>
      <w:r w:rsidR="00EB7484">
        <w:t xml:space="preserve"> </w:t>
      </w:r>
      <w:r w:rsidRPr="0039027B" w:rsidR="00A16560">
        <w:t>en wat daarvoor nodig</w:t>
      </w:r>
      <w:r w:rsidR="00A16560">
        <w:t xml:space="preserve"> is</w:t>
      </w:r>
      <w:r w:rsidRPr="0039027B" w:rsidR="00A16560">
        <w:t>.</w:t>
      </w:r>
      <w:r w:rsidR="00A16560">
        <w:t xml:space="preserve"> </w:t>
      </w:r>
      <w:r w:rsidR="00EB7484">
        <w:t xml:space="preserve">Met een duidelijk doel: </w:t>
      </w:r>
      <w:r w:rsidR="00A16560">
        <w:t>z</w:t>
      </w:r>
      <w:r w:rsidRPr="00C95EB7" w:rsidR="00A16560">
        <w:t>odat burgers en bedrijven hun fiscale dossier zo spoedig mogelijk en op een verantwoorde wijze kunnen inzien</w:t>
      </w:r>
      <w:r w:rsidR="00A16560">
        <w:t xml:space="preserve">, rekening houdend met de beschikbare capaciteit en uitvoerbaarheid. </w:t>
      </w:r>
      <w:r w:rsidRPr="009D3122" w:rsidR="009B5997">
        <w:rPr>
          <w:b/>
          <w:bCs/>
        </w:rPr>
        <w:br w:type="page"/>
      </w:r>
    </w:p>
    <w:p w:rsidRPr="009D3122" w:rsidR="00A5684D" w:rsidP="009D3122" w:rsidRDefault="00A5684D" w14:paraId="667CF61D" w14:textId="77777777">
      <w:pPr>
        <w:contextualSpacing/>
        <w:rPr>
          <w:b/>
          <w:bCs/>
        </w:rPr>
      </w:pPr>
      <w:r w:rsidRPr="009D3122">
        <w:rPr>
          <w:b/>
          <w:bCs/>
        </w:rPr>
        <w:lastRenderedPageBreak/>
        <w:t xml:space="preserve">Inzage Fiscaal Dossier: </w:t>
      </w:r>
      <w:r w:rsidRPr="009D3122" w:rsidR="009B56CE">
        <w:rPr>
          <w:b/>
          <w:bCs/>
        </w:rPr>
        <w:t>wat is de opgave?</w:t>
      </w:r>
    </w:p>
    <w:p w:rsidRPr="009D3122" w:rsidR="007004AB" w:rsidP="009D3122" w:rsidRDefault="007004AB" w14:paraId="62FAA8A7" w14:textId="77777777">
      <w:pPr>
        <w:contextualSpacing/>
      </w:pPr>
      <w:r w:rsidRPr="009D3122">
        <w:t>Zoals toegelicht in de Kamerbrief van 20 januari 2025</w:t>
      </w:r>
      <w:r w:rsidRPr="009D3122" w:rsidR="00D103E8">
        <w:rPr>
          <w:rStyle w:val="Voetnootmarkering"/>
        </w:rPr>
        <w:footnoteReference w:id="3"/>
      </w:r>
      <w:r w:rsidRPr="009D3122">
        <w:t xml:space="preserve"> was het oorspronkelijke plan voor de implementatie van het fiscaal inzagerecht om uiterlijk begin 2026 een addendum bij de Uitvoeringstoets op te stellen en om in de loop van dit jaar tot de eerste inzage over te gaan.</w:t>
      </w:r>
      <w:r w:rsidRPr="009D3122" w:rsidDel="007004AB">
        <w:t xml:space="preserve"> </w:t>
      </w:r>
      <w:r w:rsidRPr="009D3122">
        <w:t xml:space="preserve">In aanloop naar de uitrol van het Inzage Fiscaal Dossier heeft de Belastingdienst </w:t>
      </w:r>
      <w:r w:rsidRPr="009D3122" w:rsidR="006D4D1C">
        <w:t xml:space="preserve">daarom </w:t>
      </w:r>
      <w:r w:rsidRPr="009D3122">
        <w:t xml:space="preserve">een technische pilot voor een eerste versie van een digitaal inzageportaal voor het belastingmiddel ‘inkomstenbelasting (niet-winst)’ uitgevoerd. Ik neem uw Kamer graag mee in </w:t>
      </w:r>
      <w:r w:rsidR="00716F09">
        <w:t>de</w:t>
      </w:r>
      <w:r w:rsidRPr="009D3122" w:rsidR="00716F09">
        <w:t xml:space="preserve"> </w:t>
      </w:r>
      <w:r w:rsidRPr="009D3122">
        <w:t>bevindingen.</w:t>
      </w:r>
    </w:p>
    <w:p w:rsidRPr="009D3122" w:rsidR="0063773C" w:rsidP="009D3122" w:rsidRDefault="0063773C" w14:paraId="4524E908" w14:textId="77777777">
      <w:pPr>
        <w:contextualSpacing/>
        <w:rPr>
          <w:i/>
          <w:iCs/>
        </w:rPr>
      </w:pPr>
    </w:p>
    <w:p w:rsidRPr="009D3122" w:rsidR="00A5684D" w:rsidP="009D3122" w:rsidRDefault="00A5684D" w14:paraId="340CB3FF" w14:textId="77777777">
      <w:pPr>
        <w:contextualSpacing/>
      </w:pPr>
      <w:r w:rsidRPr="009D3122">
        <w:t>Momenteel is de informatie van het fiscale dossier waarmee de behandelaar bij de Belastingdienst werkt versnipperd</w:t>
      </w:r>
      <w:r w:rsidRPr="009D3122" w:rsidR="008F243A">
        <w:t>; er is geen centrale dossiervorming</w:t>
      </w:r>
      <w:r w:rsidRPr="009D3122">
        <w:t xml:space="preserve">. Informatie wordt geraadpleegd en vastgelegd in tientallen niet aan elkaar gekoppelde systemen. Daarnaast worden ook interne memo’s, berekeningen en verslagen opgesteld en is sprake van intern en extern e-mailverkeer, dat niet centraal wordt opgeslagen. </w:t>
      </w:r>
      <w:r w:rsidR="003929D2">
        <w:t>A</w:t>
      </w:r>
      <w:r w:rsidRPr="009D3122">
        <w:t xml:space="preserve">ctieve vorm van ontsluiting, die volgt uit de Wet stroomlijning fiscaal inzagerecht, brengt met zich mee dat voornoemde stukken handmatig beoordeeld moeten worden, om te bepalen of deze aan de norm ‘op de zaak betrekking hebbende stukken’ voldoen. Daar komt bij, dat ook </w:t>
      </w:r>
      <w:r w:rsidRPr="009D3122" w:rsidR="007F1660">
        <w:t>per geval</w:t>
      </w:r>
      <w:r w:rsidRPr="009D3122">
        <w:t xml:space="preserve"> handmatig dient te worden beoordeeld of gegevens al dan niet gedeeltelijk moeten worden afgeschermd</w:t>
      </w:r>
      <w:r w:rsidRPr="009D3122" w:rsidR="00871133">
        <w:t xml:space="preserve"> vanwege gewichtige redenen</w:t>
      </w:r>
      <w:r w:rsidRPr="009D3122">
        <w:t xml:space="preserve">, bijvoorbeeld om de privacy van andere belastingplichtigen of belastingdienstmedewerkers te beschermen. Dit alles </w:t>
      </w:r>
      <w:r w:rsidRPr="009D3122" w:rsidR="007F1660">
        <w:t xml:space="preserve">maakt </w:t>
      </w:r>
      <w:r w:rsidRPr="009D3122">
        <w:t xml:space="preserve">de uitvoering van het inzagerecht </w:t>
      </w:r>
      <w:r w:rsidRPr="009D3122" w:rsidR="007F1660">
        <w:t xml:space="preserve">in deze vorm </w:t>
      </w:r>
      <w:r w:rsidRPr="009D3122">
        <w:t>voor de Belastingdienst</w:t>
      </w:r>
      <w:r w:rsidRPr="009D3122" w:rsidR="007F1660">
        <w:t xml:space="preserve"> </w:t>
      </w:r>
      <w:r w:rsidR="004866A1">
        <w:t>zeer moeilijk</w:t>
      </w:r>
      <w:r w:rsidRPr="009D3122">
        <w:t>.</w:t>
      </w:r>
    </w:p>
    <w:p w:rsidRPr="009D3122" w:rsidR="0063773C" w:rsidP="009D3122" w:rsidRDefault="0063773C" w14:paraId="6661FA2D" w14:textId="77777777">
      <w:pPr>
        <w:contextualSpacing/>
      </w:pPr>
    </w:p>
    <w:p w:rsidRPr="009D3122" w:rsidR="00A5684D" w:rsidP="009D3122" w:rsidRDefault="00A5684D" w14:paraId="57C7878F" w14:textId="77777777">
      <w:pPr>
        <w:contextualSpacing/>
      </w:pPr>
      <w:r w:rsidRPr="009D3122">
        <w:t>Naar aanleiding van deze bevindingen is besloten tot het uitvoeren van een Gateway Review</w:t>
      </w:r>
      <w:r w:rsidRPr="009D3122" w:rsidR="00861FD8">
        <w:t xml:space="preserve"> (bijlage 1)</w:t>
      </w:r>
      <w:r w:rsidRPr="009D3122">
        <w:t>. Dit is een interdepartementaal instrument om te toetsen of een project op de juiste koers ligt voor een succesvolle implementatie.</w:t>
      </w:r>
      <w:r w:rsidRPr="009D3122" w:rsidR="00125B68">
        <w:t xml:space="preserve"> </w:t>
      </w:r>
      <w:bookmarkStart w:name="_Hlk231978898" w:id="0"/>
      <w:r w:rsidRPr="009D3122" w:rsidR="005D3BC8">
        <w:t>De Gateway Review heeft een aantal belangrijke aandachtspunten blootgelegd, waaronder de noodzaak om duidelijk vast te stellen wat onder transparantie wordt verstaan en welke reikwijdte en implicaties de opgave met zich meebrengt</w:t>
      </w:r>
      <w:r w:rsidRPr="009D3122" w:rsidR="00911E4D">
        <w:t xml:space="preserve">. </w:t>
      </w:r>
      <w:r w:rsidRPr="009D3122" w:rsidR="00385AC2">
        <w:t xml:space="preserve">Deze punten bevestigen </w:t>
      </w:r>
      <w:r w:rsidRPr="009D3122">
        <w:t>samen met de eerder genoemde bevindingen van de Belastingdienst,</w:t>
      </w:r>
      <w:bookmarkEnd w:id="0"/>
      <w:r w:rsidRPr="009D3122">
        <w:t xml:space="preserve"> de noodzaak om de </w:t>
      </w:r>
      <w:r w:rsidRPr="009D3122" w:rsidR="0015410D">
        <w:t>uitdagingen rond het fiscaal inzagerecht</w:t>
      </w:r>
      <w:r w:rsidRPr="009D3122">
        <w:t xml:space="preserve"> </w:t>
      </w:r>
      <w:r w:rsidRPr="009D3122" w:rsidR="0015410D">
        <w:t>anders</w:t>
      </w:r>
      <w:r w:rsidRPr="009D3122">
        <w:t xml:space="preserve"> te </w:t>
      </w:r>
      <w:r w:rsidRPr="009D3122" w:rsidR="0015410D">
        <w:t>benaderen</w:t>
      </w:r>
      <w:r w:rsidRPr="009D3122">
        <w:t>.</w:t>
      </w:r>
      <w:r w:rsidRPr="009D3122" w:rsidR="0015410D">
        <w:t xml:space="preserve"> Niet als een technische opgave, maar als een fundamentele verandering in de manier </w:t>
      </w:r>
      <w:r w:rsidRPr="009D3122" w:rsidR="005D3BC8">
        <w:t>waarop</w:t>
      </w:r>
      <w:r w:rsidRPr="009D3122" w:rsidR="0015410D">
        <w:t xml:space="preserve"> de Belastingdienst werkt.</w:t>
      </w:r>
      <w:r w:rsidRPr="009D3122">
        <w:t xml:space="preserve"> </w:t>
      </w:r>
      <w:r w:rsidRPr="009D3122" w:rsidR="00FC560F">
        <w:rPr>
          <w:rStyle w:val="Verwijzingopmerking"/>
          <w:color w:val="auto"/>
          <w:sz w:val="18"/>
        </w:rPr>
        <w:t xml:space="preserve">Medewerkers zullen tijdens de behandeling </w:t>
      </w:r>
      <w:r w:rsidRPr="009D3122" w:rsidR="004D3027">
        <w:rPr>
          <w:rStyle w:val="Verwijzingopmerking"/>
          <w:color w:val="auto"/>
          <w:sz w:val="18"/>
        </w:rPr>
        <w:t>die ze verrichten bezig moeten zijn met de opbouw van een inzichtelijk fiscaal dossier.</w:t>
      </w:r>
      <w:r w:rsidRPr="009D3122" w:rsidR="00FC560F">
        <w:rPr>
          <w:rStyle w:val="Verwijzingopmerking"/>
          <w:color w:val="auto"/>
          <w:sz w:val="18"/>
        </w:rPr>
        <w:t xml:space="preserve"> </w:t>
      </w:r>
      <w:r w:rsidRPr="009D3122">
        <w:t xml:space="preserve">Daarom heb ik de Belastingdienst gevraagd om een realistische route voor implementatie uit te werken en heb ik besloten om het addendum bij de Uitvoeringstoets op dit moment nog niet </w:t>
      </w:r>
      <w:r w:rsidRPr="009D3122" w:rsidR="00EE05AC">
        <w:t>op te stellen</w:t>
      </w:r>
      <w:r w:rsidRPr="009D3122">
        <w:t xml:space="preserve">. </w:t>
      </w:r>
    </w:p>
    <w:p w:rsidRPr="009D3122" w:rsidR="008F243A" w:rsidP="009D3122" w:rsidRDefault="008F243A" w14:paraId="1CA8526B" w14:textId="77777777">
      <w:pPr>
        <w:contextualSpacing/>
        <w:rPr>
          <w:b/>
          <w:bCs/>
        </w:rPr>
      </w:pPr>
    </w:p>
    <w:p w:rsidRPr="009D3122" w:rsidR="00536C90" w:rsidP="009D3122" w:rsidRDefault="00536C90" w14:paraId="006E81B5" w14:textId="77777777">
      <w:pPr>
        <w:contextualSpacing/>
        <w:rPr>
          <w:b/>
          <w:bCs/>
        </w:rPr>
      </w:pPr>
      <w:r w:rsidRPr="009D3122">
        <w:rPr>
          <w:b/>
          <w:bCs/>
        </w:rPr>
        <w:t>Realisatie van de inzage in het fiscale dossier</w:t>
      </w:r>
    </w:p>
    <w:p w:rsidRPr="009D3122" w:rsidR="00536C90" w:rsidP="009D3122" w:rsidRDefault="00716F09" w14:paraId="2A729E06" w14:textId="77777777">
      <w:pPr>
        <w:contextualSpacing/>
      </w:pPr>
      <w:r>
        <w:t>Aangezien</w:t>
      </w:r>
      <w:r w:rsidRPr="009D3122">
        <w:t xml:space="preserve"> </w:t>
      </w:r>
      <w:r w:rsidRPr="009D3122" w:rsidR="005D3BC8">
        <w:t xml:space="preserve">het inzagerecht een </w:t>
      </w:r>
      <w:r w:rsidRPr="009D3122" w:rsidR="001D062F">
        <w:t xml:space="preserve">complete </w:t>
      </w:r>
      <w:r w:rsidRPr="009D3122" w:rsidR="005D3BC8">
        <w:t xml:space="preserve">veranderopgave voor de hele organisatie is, </w:t>
      </w:r>
      <w:r w:rsidRPr="009D3122" w:rsidR="001D062F">
        <w:t xml:space="preserve">acht ik een stapsgewijze implementatie </w:t>
      </w:r>
      <w:r w:rsidRPr="009D3122" w:rsidR="00125B68">
        <w:t>verstandig</w:t>
      </w:r>
      <w:r w:rsidRPr="009D3122" w:rsidR="001D062F">
        <w:t>.</w:t>
      </w:r>
      <w:r w:rsidRPr="009D3122" w:rsidR="00125B68">
        <w:t xml:space="preserve"> </w:t>
      </w:r>
      <w:bookmarkStart w:name="_Hlk233205090" w:id="1"/>
      <w:r w:rsidRPr="009D3122" w:rsidR="00125B68">
        <w:t xml:space="preserve">De </w:t>
      </w:r>
      <w:r w:rsidRPr="009D3122" w:rsidR="0015410D">
        <w:t>uitgangspun</w:t>
      </w:r>
      <w:r w:rsidRPr="009D3122" w:rsidR="00412797">
        <w:t>t</w:t>
      </w:r>
      <w:r w:rsidRPr="009D3122" w:rsidR="00125B68">
        <w:t>en zijn</w:t>
      </w:r>
      <w:r w:rsidRPr="009D3122" w:rsidR="00412797">
        <w:t xml:space="preserve"> dan ook</w:t>
      </w:r>
      <w:r w:rsidRPr="009D3122" w:rsidR="0015410D">
        <w:t xml:space="preserve"> om het fiscale dossier </w:t>
      </w:r>
      <w:r w:rsidRPr="009D3122" w:rsidR="00412797">
        <w:t>gefaseerd</w:t>
      </w:r>
      <w:r w:rsidRPr="009D3122" w:rsidR="00125B68">
        <w:t xml:space="preserve"> </w:t>
      </w:r>
      <w:r w:rsidRPr="009D3122" w:rsidR="0015410D">
        <w:t xml:space="preserve">op te bouwen en completer te maken, en om zoveel mogelijk aan te sluiten bij de bestaande en </w:t>
      </w:r>
      <w:proofErr w:type="gramStart"/>
      <w:r w:rsidRPr="009D3122" w:rsidR="0015410D">
        <w:t>reeds</w:t>
      </w:r>
      <w:proofErr w:type="gramEnd"/>
      <w:r w:rsidRPr="009D3122" w:rsidR="0015410D">
        <w:t xml:space="preserve"> geplande ontwikkeling</w:t>
      </w:r>
      <w:r w:rsidRPr="009D3122" w:rsidR="003E1218">
        <w:t>en</w:t>
      </w:r>
      <w:r w:rsidRPr="009D3122" w:rsidR="0015410D">
        <w:t xml:space="preserve"> in het IV-portfolio van de Belastingdienst, conform de motie Van Eijk/Grinwis</w:t>
      </w:r>
      <w:bookmarkEnd w:id="1"/>
      <w:r w:rsidRPr="009D3122" w:rsidR="0015410D">
        <w:rPr>
          <w:rStyle w:val="Voetnootmarkering"/>
        </w:rPr>
        <w:footnoteReference w:id="4"/>
      </w:r>
      <w:r w:rsidRPr="009D3122" w:rsidR="0015410D">
        <w:t>.</w:t>
      </w:r>
      <w:r w:rsidRPr="009D3122" w:rsidR="008F243A">
        <w:t xml:space="preserve"> </w:t>
      </w:r>
      <w:r w:rsidRPr="009D3122" w:rsidR="00536C90">
        <w:t>Het uiteindelijke doel van het inzagerecht is om tot een situatie te komen waarbij vanaf het eerste moment wordt gewerkt aan gestructureerde</w:t>
      </w:r>
      <w:r w:rsidRPr="009D3122" w:rsidR="003E1218">
        <w:t>, extern gerichte en ontsluit</w:t>
      </w:r>
      <w:r w:rsidRPr="009D3122" w:rsidR="009D3122">
        <w:t>bare</w:t>
      </w:r>
      <w:r w:rsidRPr="009D3122" w:rsidR="00536C90">
        <w:t xml:space="preserve"> dossiervorming. Openbaarmaking van dossiers zal vervolgens slechts een beperkte extra stap zijn. </w:t>
      </w:r>
    </w:p>
    <w:p w:rsidRPr="009D3122" w:rsidR="00536C90" w:rsidP="009D3122" w:rsidRDefault="00536C90" w14:paraId="0A251889" w14:textId="77777777">
      <w:pPr>
        <w:contextualSpacing/>
      </w:pPr>
    </w:p>
    <w:p w:rsidRPr="009D3122" w:rsidR="00536C90" w:rsidP="009D3122" w:rsidRDefault="00536C90" w14:paraId="4C2B0245" w14:textId="77777777">
      <w:pPr>
        <w:contextualSpacing/>
      </w:pPr>
      <w:r w:rsidRPr="009D3122">
        <w:lastRenderedPageBreak/>
        <w:t xml:space="preserve">In het programma ‘Keuze digitaal’ worden </w:t>
      </w:r>
      <w:proofErr w:type="gramStart"/>
      <w:r w:rsidRPr="009D3122">
        <w:t>reeds</w:t>
      </w:r>
      <w:proofErr w:type="gramEnd"/>
      <w:r w:rsidRPr="009D3122">
        <w:t xml:space="preserve"> goede stappen gezet richting de digitalisering van massale communicatie. Met dit programma komen beschikkingen, uitnodigingen, herinneringen en ingediende stukken </w:t>
      </w:r>
      <w:proofErr w:type="gramStart"/>
      <w:r w:rsidR="004C56BC">
        <w:t>conform</w:t>
      </w:r>
      <w:proofErr w:type="gramEnd"/>
      <w:r w:rsidR="004C56BC">
        <w:t xml:space="preserve"> huidige planning </w:t>
      </w:r>
      <w:r w:rsidRPr="009D3122">
        <w:t xml:space="preserve">tot 2030 stapsgewijs beschikbaar in </w:t>
      </w:r>
      <w:r w:rsidR="00756B9A">
        <w:t xml:space="preserve">het inzageportaal </w:t>
      </w:r>
      <w:r w:rsidRPr="009D3122">
        <w:t>MijnBelastingdienst</w:t>
      </w:r>
      <w:r w:rsidRPr="009D3122" w:rsidR="003E1218">
        <w:t xml:space="preserve"> (Zakelijk)</w:t>
      </w:r>
      <w:r w:rsidRPr="009D3122">
        <w:t xml:space="preserve">. Zo wordt </w:t>
      </w:r>
      <w:r w:rsidRPr="009D3122" w:rsidR="007F1660">
        <w:t>overzicht</w:t>
      </w:r>
      <w:r w:rsidRPr="009D3122">
        <w:t xml:space="preserve"> in besluiten en ontvangen en verzonden communicatie gegeven. Het programma legt een basis voor inzage in het fiscaal dossier. Het is daarnaast nodig om nieuwe informatiesystemen te ontwikkelen, waarmee informatie over het behandelproces ontsloten wordt op MijnBelastingdienst</w:t>
      </w:r>
      <w:r w:rsidRPr="009D3122" w:rsidR="009D3122">
        <w:t>.</w:t>
      </w:r>
      <w:r w:rsidRPr="009D3122">
        <w:t xml:space="preserve"> Het gaat dan om het vastleggen van het verloop van dit behandelproces zowel aan de kant van de Belastingdienst als aan de kant van burger</w:t>
      </w:r>
      <w:r w:rsidRPr="009D3122" w:rsidR="003E1218">
        <w:t>s</w:t>
      </w:r>
      <w:r w:rsidRPr="009D3122">
        <w:t xml:space="preserve"> en bedrijven. </w:t>
      </w:r>
    </w:p>
    <w:p w:rsidRPr="009D3122" w:rsidR="00536C90" w:rsidP="009D3122" w:rsidRDefault="00536C90" w14:paraId="2902DFA1" w14:textId="77777777">
      <w:pPr>
        <w:contextualSpacing/>
      </w:pPr>
    </w:p>
    <w:p w:rsidRPr="009D3122" w:rsidR="00536C90" w:rsidP="009D3122" w:rsidRDefault="008F243A" w14:paraId="6E49FB74" w14:textId="77777777">
      <w:pPr>
        <w:contextualSpacing/>
      </w:pPr>
      <w:r w:rsidRPr="009D3122">
        <w:t>De</w:t>
      </w:r>
      <w:r w:rsidRPr="009D3122" w:rsidR="00536C90">
        <w:t xml:space="preserve"> implementatie </w:t>
      </w:r>
      <w:r w:rsidRPr="009D3122" w:rsidR="005D1F62">
        <w:t>zal</w:t>
      </w:r>
      <w:r w:rsidRPr="009D3122" w:rsidR="00536C90">
        <w:t xml:space="preserve"> een fasering </w:t>
      </w:r>
      <w:r w:rsidRPr="009D3122" w:rsidR="005D1F62">
        <w:t xml:space="preserve">volgen </w:t>
      </w:r>
      <w:r w:rsidRPr="009D3122" w:rsidR="00536C90">
        <w:t xml:space="preserve">per belastingmiddel en per documenttype. De Belastingdienst start vanaf heden tot </w:t>
      </w:r>
      <w:r w:rsidRPr="009D3122" w:rsidR="003E1218">
        <w:t xml:space="preserve">en met </w:t>
      </w:r>
      <w:r w:rsidRPr="009D3122" w:rsidR="00536C90">
        <w:t>2029 met het ontsluiten van de zogenoemde massale stromen op het inzagep</w:t>
      </w:r>
      <w:r w:rsidR="00D627F4">
        <w:t>ortaal</w:t>
      </w:r>
      <w:r w:rsidRPr="009D3122" w:rsidR="00536C90">
        <w:t xml:space="preserve"> zoals standaardbrieven en automatische berichten. Dit breidt de Belastingdienst vervolgens uit met informatie uit de individuele behandeling van een dossier, zoals de behandeling van een aangifte. In zijn algemeenheid geldt dat de Belastingdienst prioriteit geeft aan het tonen van informatie die belastingplichtigen beter inzicht geeft in het beoordelingsproces bij de behandeling van hun dossier. In de volgende tabel ziet u grofmazig de voorgenomen gefaseerde invoering per belastingmiddel</w:t>
      </w:r>
      <w:r w:rsidRPr="009D3122" w:rsidR="00226D7F">
        <w:t xml:space="preserve"> inclusief een indicatief overzicht van stukken</w:t>
      </w:r>
      <w:r w:rsidRPr="009D3122" w:rsidR="00536C90">
        <w:t xml:space="preserve">. </w:t>
      </w:r>
      <w:r w:rsidRPr="009D3122" w:rsidR="002618CB">
        <w:t>De planning zal afhankelijk zijn van andere lopende IV-trajecten en tussentijdse deadlines.</w:t>
      </w:r>
      <w:r w:rsidRPr="009D3122">
        <w:t xml:space="preserve"> </w:t>
      </w:r>
      <w:r w:rsidRPr="009D3122" w:rsidR="00536C90">
        <w:t xml:space="preserve">In </w:t>
      </w:r>
      <w:r w:rsidRPr="009D3122" w:rsidR="00DA7E46">
        <w:t xml:space="preserve">de </w:t>
      </w:r>
      <w:r w:rsidRPr="009D3122" w:rsidR="00D83C3E">
        <w:t xml:space="preserve">tweede helft van </w:t>
      </w:r>
      <w:r w:rsidRPr="009D3122" w:rsidR="00536C90">
        <w:t>2026 wil ik u een meer gedetailleerde routekaart van de verdere implementatie aanbieden.</w:t>
      </w:r>
    </w:p>
    <w:p w:rsidRPr="009D3122" w:rsidR="009B5997" w:rsidP="009D3122" w:rsidRDefault="009B5997" w14:paraId="2740746C" w14:textId="77777777">
      <w:pPr>
        <w:contextualSpacing/>
      </w:pPr>
    </w:p>
    <w:tbl>
      <w:tblPr>
        <w:tblStyle w:val="Tabelraster"/>
        <w:tblW w:w="8603" w:type="dxa"/>
        <w:tblLayout w:type="fixed"/>
        <w:tblLook w:val="04A0" w:firstRow="1" w:lastRow="0" w:firstColumn="1" w:lastColumn="0" w:noHBand="0" w:noVBand="1"/>
      </w:tblPr>
      <w:tblGrid>
        <w:gridCol w:w="1129"/>
        <w:gridCol w:w="1701"/>
        <w:gridCol w:w="3686"/>
        <w:gridCol w:w="2087"/>
      </w:tblGrid>
      <w:tr w:rsidRPr="009D3122" w:rsidR="00536C90" w:rsidTr="0011174D" w14:paraId="1D1F191C" w14:textId="77777777">
        <w:tc>
          <w:tcPr>
            <w:tcW w:w="1129" w:type="dxa"/>
            <w:shd w:val="clear" w:color="auto" w:fill="808080" w:themeFill="background1" w:themeFillShade="80"/>
          </w:tcPr>
          <w:p w:rsidRPr="009D3122" w:rsidR="00536C90" w:rsidP="00552C88" w:rsidRDefault="00D83C3E" w14:paraId="6EBF20A2" w14:textId="77777777">
            <w:pPr>
              <w:rPr>
                <w:b/>
                <w:bCs/>
                <w:color w:val="FFFFFF" w:themeColor="background1"/>
              </w:rPr>
            </w:pPr>
            <w:r w:rsidRPr="009D3122">
              <w:rPr>
                <w:b/>
                <w:bCs/>
                <w:color w:val="FFFFFF" w:themeColor="background1"/>
              </w:rPr>
              <w:t>Planning</w:t>
            </w:r>
          </w:p>
        </w:tc>
        <w:tc>
          <w:tcPr>
            <w:tcW w:w="1701" w:type="dxa"/>
            <w:shd w:val="clear" w:color="auto" w:fill="808080" w:themeFill="background1" w:themeFillShade="80"/>
          </w:tcPr>
          <w:p w:rsidRPr="009D3122" w:rsidR="00536C90" w:rsidP="00552C88" w:rsidRDefault="00536C90" w14:paraId="3553D90B" w14:textId="77777777">
            <w:pPr>
              <w:rPr>
                <w:b/>
                <w:bCs/>
                <w:color w:val="FFFFFF" w:themeColor="background1"/>
              </w:rPr>
            </w:pPr>
            <w:r w:rsidRPr="009D3122">
              <w:rPr>
                <w:b/>
                <w:bCs/>
                <w:color w:val="FFFFFF" w:themeColor="background1"/>
              </w:rPr>
              <w:t>Fase</w:t>
            </w:r>
          </w:p>
        </w:tc>
        <w:tc>
          <w:tcPr>
            <w:tcW w:w="3686" w:type="dxa"/>
            <w:shd w:val="clear" w:color="auto" w:fill="808080" w:themeFill="background1" w:themeFillShade="80"/>
          </w:tcPr>
          <w:p w:rsidRPr="009D3122" w:rsidR="00536C90" w:rsidP="00552C88" w:rsidRDefault="00536C90" w14:paraId="6CBA4DF0" w14:textId="77777777">
            <w:pPr>
              <w:rPr>
                <w:b/>
                <w:bCs/>
                <w:color w:val="FFFFFF" w:themeColor="background1"/>
              </w:rPr>
            </w:pPr>
            <w:r w:rsidRPr="009D3122">
              <w:rPr>
                <w:b/>
                <w:bCs/>
                <w:color w:val="FFFFFF" w:themeColor="background1"/>
              </w:rPr>
              <w:t>Type gegevens</w:t>
            </w:r>
          </w:p>
        </w:tc>
        <w:tc>
          <w:tcPr>
            <w:tcW w:w="2087" w:type="dxa"/>
            <w:shd w:val="clear" w:color="auto" w:fill="808080" w:themeFill="background1" w:themeFillShade="80"/>
          </w:tcPr>
          <w:p w:rsidRPr="009D3122" w:rsidR="00536C90" w:rsidP="00552C88" w:rsidRDefault="00536C90" w14:paraId="424CF350" w14:textId="77777777">
            <w:pPr>
              <w:rPr>
                <w:b/>
                <w:bCs/>
                <w:color w:val="FFFFFF" w:themeColor="background1"/>
              </w:rPr>
            </w:pPr>
            <w:r w:rsidRPr="009D3122">
              <w:rPr>
                <w:b/>
                <w:bCs/>
                <w:color w:val="FFFFFF" w:themeColor="background1"/>
              </w:rPr>
              <w:t>Belastingmiddel</w:t>
            </w:r>
          </w:p>
        </w:tc>
      </w:tr>
      <w:tr w:rsidRPr="009D3122" w:rsidR="00536C90" w:rsidTr="004B3A1F" w14:paraId="0D918DDA" w14:textId="77777777">
        <w:tc>
          <w:tcPr>
            <w:tcW w:w="1129" w:type="dxa"/>
            <w:shd w:val="clear" w:color="auto" w:fill="F2F2F2" w:themeFill="background1" w:themeFillShade="F2"/>
          </w:tcPr>
          <w:p w:rsidRPr="009D3122" w:rsidR="00536C90" w:rsidP="00552C88" w:rsidRDefault="00536C90" w14:paraId="4D1300DE" w14:textId="77777777">
            <w:pPr>
              <w:rPr>
                <w:b/>
                <w:bCs/>
              </w:rPr>
            </w:pPr>
            <w:r w:rsidRPr="009D3122">
              <w:rPr>
                <w:b/>
                <w:bCs/>
              </w:rPr>
              <w:t>2026</w:t>
            </w:r>
          </w:p>
        </w:tc>
        <w:tc>
          <w:tcPr>
            <w:tcW w:w="1701" w:type="dxa"/>
            <w:vMerge w:val="restart"/>
            <w:shd w:val="clear" w:color="auto" w:fill="F2F2F2" w:themeFill="background1" w:themeFillShade="F2"/>
          </w:tcPr>
          <w:p w:rsidRPr="009D3122" w:rsidR="00536C90" w:rsidP="00552C88" w:rsidRDefault="00536C90" w14:paraId="6D15193D" w14:textId="77777777">
            <w:r w:rsidRPr="009D3122">
              <w:t>Fase 1: inzicht in formele communicatie</w:t>
            </w:r>
          </w:p>
        </w:tc>
        <w:tc>
          <w:tcPr>
            <w:tcW w:w="3686" w:type="dxa"/>
            <w:vMerge w:val="restart"/>
            <w:shd w:val="clear" w:color="auto" w:fill="F2F2F2" w:themeFill="background1" w:themeFillShade="F2"/>
          </w:tcPr>
          <w:p w:rsidRPr="009D3122" w:rsidR="00536C90" w:rsidP="00CF39E0" w:rsidRDefault="00D83C3E" w14:paraId="5D763C22" w14:textId="77777777">
            <w:pPr>
              <w:pStyle w:val="Geenafstand"/>
              <w:numPr>
                <w:ilvl w:val="0"/>
                <w:numId w:val="37"/>
              </w:numPr>
              <w:spacing w:line="240" w:lineRule="atLeast"/>
              <w:contextualSpacing/>
            </w:pPr>
            <w:r w:rsidRPr="009D3122">
              <w:t>Massale uitgaande berichten (gefaseerd per belastingmiddel), hierbij valt te denken aan beschikkingen, aanslagen, formele brieven en ingediende formulieren</w:t>
            </w:r>
          </w:p>
        </w:tc>
        <w:tc>
          <w:tcPr>
            <w:tcW w:w="2087" w:type="dxa"/>
            <w:shd w:val="clear" w:color="auto" w:fill="F2F2F2" w:themeFill="background1" w:themeFillShade="F2"/>
          </w:tcPr>
          <w:p w:rsidRPr="009D3122" w:rsidR="00536C90" w:rsidP="00552C88" w:rsidRDefault="00536C90" w14:paraId="1BEDD1AD" w14:textId="77777777">
            <w:r w:rsidRPr="009D3122">
              <w:t>Omzetbelasting</w:t>
            </w:r>
          </w:p>
        </w:tc>
      </w:tr>
      <w:tr w:rsidRPr="009D3122" w:rsidR="00536C90" w:rsidTr="004B3A1F" w14:paraId="6D1A9330" w14:textId="77777777">
        <w:tc>
          <w:tcPr>
            <w:tcW w:w="1129" w:type="dxa"/>
            <w:shd w:val="clear" w:color="auto" w:fill="F2F2F2" w:themeFill="background1" w:themeFillShade="F2"/>
          </w:tcPr>
          <w:p w:rsidRPr="009D3122" w:rsidR="00536C90" w:rsidP="009D3122" w:rsidRDefault="00536C90" w14:paraId="23FB99EC" w14:textId="77777777">
            <w:pPr>
              <w:rPr>
                <w:b/>
                <w:bCs/>
              </w:rPr>
            </w:pPr>
            <w:r w:rsidRPr="009D3122">
              <w:rPr>
                <w:b/>
                <w:bCs/>
              </w:rPr>
              <w:t>2027</w:t>
            </w:r>
            <w:r w:rsidRPr="009D3122" w:rsidR="00D83C3E">
              <w:rPr>
                <w:b/>
                <w:bCs/>
              </w:rPr>
              <w:t>-2028</w:t>
            </w:r>
          </w:p>
        </w:tc>
        <w:tc>
          <w:tcPr>
            <w:tcW w:w="1701" w:type="dxa"/>
            <w:vMerge/>
            <w:shd w:val="clear" w:color="auto" w:fill="F2F2F2" w:themeFill="background1" w:themeFillShade="F2"/>
          </w:tcPr>
          <w:p w:rsidRPr="009D3122" w:rsidR="00536C90" w:rsidP="009D3122" w:rsidRDefault="00536C90" w14:paraId="064CAF48" w14:textId="77777777"/>
        </w:tc>
        <w:tc>
          <w:tcPr>
            <w:tcW w:w="3686" w:type="dxa"/>
            <w:vMerge/>
            <w:shd w:val="clear" w:color="auto" w:fill="F2F2F2" w:themeFill="background1" w:themeFillShade="F2"/>
          </w:tcPr>
          <w:p w:rsidRPr="009D3122" w:rsidR="00536C90" w:rsidP="009D3122" w:rsidRDefault="00536C90" w14:paraId="46ED07A4" w14:textId="77777777"/>
        </w:tc>
        <w:tc>
          <w:tcPr>
            <w:tcW w:w="2087" w:type="dxa"/>
            <w:shd w:val="clear" w:color="auto" w:fill="F2F2F2" w:themeFill="background1" w:themeFillShade="F2"/>
          </w:tcPr>
          <w:p w:rsidRPr="009D3122" w:rsidR="00536C90" w:rsidP="009D3122" w:rsidRDefault="00536C90" w14:paraId="0E4AF80C" w14:textId="77777777">
            <w:r w:rsidRPr="009D3122">
              <w:t xml:space="preserve">Autoheffingen, loonheffingen, </w:t>
            </w:r>
            <w:r w:rsidRPr="009D3122" w:rsidR="003E1218">
              <w:t>vennootschapsbelasting</w:t>
            </w:r>
            <w:r w:rsidRPr="009D3122">
              <w:t xml:space="preserve">, </w:t>
            </w:r>
            <w:r w:rsidRPr="009D3122" w:rsidR="003E1218">
              <w:t>s</w:t>
            </w:r>
            <w:r w:rsidRPr="009D3122">
              <w:t>chenk</w:t>
            </w:r>
            <w:r w:rsidRPr="009D3122" w:rsidR="003E1218">
              <w:t>-</w:t>
            </w:r>
            <w:r w:rsidRPr="009D3122">
              <w:t xml:space="preserve"> en erfbelasting</w:t>
            </w:r>
          </w:p>
        </w:tc>
      </w:tr>
      <w:tr w:rsidRPr="009D3122" w:rsidR="00536C90" w:rsidTr="004B3A1F" w14:paraId="672B79EC" w14:textId="77777777">
        <w:tc>
          <w:tcPr>
            <w:tcW w:w="1129" w:type="dxa"/>
            <w:shd w:val="clear" w:color="auto" w:fill="F2F2F2" w:themeFill="background1" w:themeFillShade="F2"/>
          </w:tcPr>
          <w:p w:rsidRPr="009D3122" w:rsidR="00536C90" w:rsidP="009D3122" w:rsidRDefault="00D83C3E" w14:paraId="2F8D866F" w14:textId="77777777">
            <w:pPr>
              <w:rPr>
                <w:b/>
                <w:bCs/>
              </w:rPr>
            </w:pPr>
            <w:r w:rsidRPr="009D3122">
              <w:rPr>
                <w:b/>
                <w:bCs/>
              </w:rPr>
              <w:t>2029</w:t>
            </w:r>
          </w:p>
        </w:tc>
        <w:tc>
          <w:tcPr>
            <w:tcW w:w="1701" w:type="dxa"/>
            <w:vMerge/>
            <w:shd w:val="clear" w:color="auto" w:fill="F2F2F2" w:themeFill="background1" w:themeFillShade="F2"/>
          </w:tcPr>
          <w:p w:rsidRPr="009D3122" w:rsidR="00536C90" w:rsidP="009D3122" w:rsidRDefault="00536C90" w14:paraId="636B1CAD" w14:textId="77777777"/>
        </w:tc>
        <w:tc>
          <w:tcPr>
            <w:tcW w:w="3686" w:type="dxa"/>
            <w:vMerge/>
            <w:shd w:val="clear" w:color="auto" w:fill="F2F2F2" w:themeFill="background1" w:themeFillShade="F2"/>
          </w:tcPr>
          <w:p w:rsidRPr="009D3122" w:rsidR="00536C90" w:rsidP="009D3122" w:rsidRDefault="00536C90" w14:paraId="1F37F636" w14:textId="77777777"/>
        </w:tc>
        <w:tc>
          <w:tcPr>
            <w:tcW w:w="2087" w:type="dxa"/>
            <w:shd w:val="clear" w:color="auto" w:fill="F2F2F2" w:themeFill="background1" w:themeFillShade="F2"/>
          </w:tcPr>
          <w:p w:rsidRPr="009D3122" w:rsidR="00536C90" w:rsidP="009D3122" w:rsidRDefault="00536C90" w14:paraId="40ED3588" w14:textId="77777777">
            <w:r w:rsidRPr="009D3122">
              <w:t>Inkomstenbelasting</w:t>
            </w:r>
          </w:p>
        </w:tc>
      </w:tr>
      <w:tr w:rsidRPr="009D3122" w:rsidR="00D83C3E" w:rsidTr="0011174D" w14:paraId="72065859" w14:textId="77777777">
        <w:trPr>
          <w:trHeight w:val="2400"/>
        </w:trPr>
        <w:tc>
          <w:tcPr>
            <w:tcW w:w="1129" w:type="dxa"/>
            <w:shd w:val="clear" w:color="auto" w:fill="D9D9D9" w:themeFill="background1" w:themeFillShade="D9"/>
          </w:tcPr>
          <w:p w:rsidRPr="009D3122" w:rsidR="00D83C3E" w:rsidP="009D3122" w:rsidRDefault="00D83C3E" w14:paraId="09F13292" w14:textId="77777777">
            <w:pPr>
              <w:rPr>
                <w:b/>
                <w:bCs/>
              </w:rPr>
            </w:pPr>
            <w:r w:rsidRPr="009D3122">
              <w:rPr>
                <w:b/>
                <w:bCs/>
              </w:rPr>
              <w:t>2029</w:t>
            </w:r>
            <w:r w:rsidRPr="009D3122" w:rsidR="001D1EEF">
              <w:rPr>
                <w:b/>
                <w:bCs/>
              </w:rPr>
              <w:t xml:space="preserve"> </w:t>
            </w:r>
            <w:r w:rsidRPr="009D3122">
              <w:rPr>
                <w:b/>
                <w:bCs/>
              </w:rPr>
              <w:t>t/m 2031</w:t>
            </w:r>
          </w:p>
          <w:p w:rsidRPr="009D3122" w:rsidR="00D83C3E" w:rsidP="009D3122" w:rsidRDefault="00D83C3E" w14:paraId="052DCABB" w14:textId="77777777">
            <w:pPr>
              <w:rPr>
                <w:b/>
                <w:bCs/>
              </w:rPr>
            </w:pPr>
          </w:p>
          <w:p w:rsidRPr="009D3122" w:rsidR="00D83C3E" w:rsidP="009D3122" w:rsidRDefault="00D83C3E" w14:paraId="48C72A8B" w14:textId="77777777">
            <w:pPr>
              <w:rPr>
                <w:b/>
                <w:bCs/>
              </w:rPr>
            </w:pPr>
          </w:p>
        </w:tc>
        <w:tc>
          <w:tcPr>
            <w:tcW w:w="1701" w:type="dxa"/>
            <w:shd w:val="clear" w:color="auto" w:fill="D9D9D9" w:themeFill="background1" w:themeFillShade="D9"/>
          </w:tcPr>
          <w:p w:rsidRPr="009D3122" w:rsidR="00D83C3E" w:rsidP="009D3122" w:rsidRDefault="00D83C3E" w14:paraId="1BB802B2" w14:textId="77777777">
            <w:r w:rsidRPr="009D3122">
              <w:t>Fase 2: inzicht in de onderbouwing van besluiten</w:t>
            </w:r>
          </w:p>
        </w:tc>
        <w:tc>
          <w:tcPr>
            <w:tcW w:w="3686" w:type="dxa"/>
            <w:shd w:val="clear" w:color="auto" w:fill="D9D9D9" w:themeFill="background1" w:themeFillShade="D9"/>
          </w:tcPr>
          <w:p w:rsidRPr="009D3122" w:rsidR="00D83C3E" w:rsidP="00CB0693" w:rsidRDefault="00D83C3E" w14:paraId="7D4C253A" w14:textId="77777777">
            <w:pPr>
              <w:pStyle w:val="Lijstalinea"/>
              <w:numPr>
                <w:ilvl w:val="0"/>
                <w:numId w:val="35"/>
              </w:numPr>
            </w:pPr>
            <w:r w:rsidRPr="009D3122">
              <w:rPr>
                <w:color w:val="000000" w:themeColor="text1"/>
              </w:rPr>
              <w:t>De aanleiding voor beoordeling;</w:t>
            </w:r>
          </w:p>
          <w:p w:rsidRPr="009D3122" w:rsidR="00D83C3E" w:rsidP="00CB0693" w:rsidRDefault="00D83C3E" w14:paraId="6D3D159B" w14:textId="77777777">
            <w:pPr>
              <w:pStyle w:val="Lijstalinea"/>
              <w:numPr>
                <w:ilvl w:val="0"/>
                <w:numId w:val="35"/>
              </w:numPr>
            </w:pPr>
            <w:r w:rsidRPr="009D3122">
              <w:rPr>
                <w:color w:val="000000" w:themeColor="text1"/>
              </w:rPr>
              <w:t xml:space="preserve">Het verloop van een zaak: welke stappen zijn gezet en welke </w:t>
            </w:r>
            <w:r w:rsidRPr="009D3122" w:rsidR="007F1660">
              <w:rPr>
                <w:color w:val="000000" w:themeColor="text1"/>
              </w:rPr>
              <w:t>zaak</w:t>
            </w:r>
            <w:r w:rsidRPr="009D3122">
              <w:rPr>
                <w:color w:val="000000" w:themeColor="text1"/>
              </w:rPr>
              <w:t>informatie daarbij is gebruikt;</w:t>
            </w:r>
          </w:p>
          <w:p w:rsidRPr="009D3122" w:rsidR="00D83C3E" w:rsidP="00CB0693" w:rsidRDefault="00D83C3E" w14:paraId="5B72DF1B" w14:textId="77777777">
            <w:pPr>
              <w:pStyle w:val="Lijstalinea"/>
              <w:numPr>
                <w:ilvl w:val="0"/>
                <w:numId w:val="35"/>
              </w:numPr>
            </w:pPr>
            <w:r w:rsidRPr="009D3122">
              <w:rPr>
                <w:color w:val="000000" w:themeColor="text1"/>
              </w:rPr>
              <w:t>Kennisintensieve kantoorbrieven, met feitelijke en vaktechnische onderbouwing</w:t>
            </w:r>
            <w:r w:rsidRPr="009D3122" w:rsidR="003E1218">
              <w:rPr>
                <w:color w:val="000000" w:themeColor="text1"/>
              </w:rPr>
              <w:t>.</w:t>
            </w:r>
            <w:r w:rsidRPr="009D3122">
              <w:rPr>
                <w:color w:val="000000" w:themeColor="text1"/>
              </w:rPr>
              <w:t xml:space="preserve"> </w:t>
            </w:r>
          </w:p>
        </w:tc>
        <w:tc>
          <w:tcPr>
            <w:tcW w:w="2087" w:type="dxa"/>
            <w:shd w:val="clear" w:color="auto" w:fill="D9D9D9" w:themeFill="background1" w:themeFillShade="D9"/>
          </w:tcPr>
          <w:p w:rsidRPr="009D3122" w:rsidR="00D83C3E" w:rsidP="009D3122" w:rsidRDefault="00CF39E0" w14:paraId="60E5FC21" w14:textId="77777777">
            <w:r>
              <w:t>Voor alle bovengenoemde belastingmiddelen</w:t>
            </w:r>
          </w:p>
        </w:tc>
      </w:tr>
      <w:tr w:rsidRPr="009D3122" w:rsidR="00536C90" w:rsidTr="0011174D" w14:paraId="6404A288" w14:textId="77777777">
        <w:tc>
          <w:tcPr>
            <w:tcW w:w="1129" w:type="dxa"/>
            <w:shd w:val="clear" w:color="auto" w:fill="BFBFBF" w:themeFill="background1" w:themeFillShade="BF"/>
          </w:tcPr>
          <w:p w:rsidRPr="009D3122" w:rsidR="00536C90" w:rsidP="00552C88" w:rsidRDefault="00536C90" w14:paraId="787850C7" w14:textId="77777777">
            <w:pPr>
              <w:rPr>
                <w:b/>
                <w:bCs/>
              </w:rPr>
            </w:pPr>
            <w:r w:rsidRPr="009D3122">
              <w:rPr>
                <w:b/>
                <w:bCs/>
              </w:rPr>
              <w:t>2032</w:t>
            </w:r>
            <w:r w:rsidRPr="009D3122" w:rsidR="00D83C3E">
              <w:rPr>
                <w:b/>
                <w:bCs/>
              </w:rPr>
              <w:t xml:space="preserve"> e.v.</w:t>
            </w:r>
          </w:p>
        </w:tc>
        <w:tc>
          <w:tcPr>
            <w:tcW w:w="1701" w:type="dxa"/>
            <w:shd w:val="clear" w:color="auto" w:fill="BFBFBF" w:themeFill="background1" w:themeFillShade="BF"/>
          </w:tcPr>
          <w:p w:rsidRPr="009D3122" w:rsidR="00536C90" w:rsidP="00552C88" w:rsidRDefault="00536C90" w14:paraId="3ABFEBA3" w14:textId="77777777">
            <w:r w:rsidRPr="009D3122">
              <w:t>Fase 3: inzicht in integraal en samenhangend dossier</w:t>
            </w:r>
          </w:p>
        </w:tc>
        <w:tc>
          <w:tcPr>
            <w:tcW w:w="3686" w:type="dxa"/>
            <w:shd w:val="clear" w:color="auto" w:fill="BFBFBF" w:themeFill="background1" w:themeFillShade="BF"/>
          </w:tcPr>
          <w:p w:rsidRPr="009D3122" w:rsidR="00536C90" w:rsidP="00552C88" w:rsidRDefault="00536C90" w14:paraId="6FBFA41A" w14:textId="77777777">
            <w:pPr>
              <w:numPr>
                <w:ilvl w:val="0"/>
                <w:numId w:val="36"/>
              </w:numPr>
            </w:pPr>
            <w:r w:rsidRPr="009D3122">
              <w:t xml:space="preserve">Interne </w:t>
            </w:r>
            <w:r w:rsidRPr="009D3122" w:rsidR="003E1218">
              <w:t>zaak</w:t>
            </w:r>
            <w:r w:rsidRPr="009D3122">
              <w:t>stukken;</w:t>
            </w:r>
          </w:p>
          <w:p w:rsidRPr="009D3122" w:rsidR="00536C90" w:rsidP="00552C88" w:rsidRDefault="00536C90" w14:paraId="26077C1F" w14:textId="77777777">
            <w:pPr>
              <w:numPr>
                <w:ilvl w:val="0"/>
                <w:numId w:val="36"/>
              </w:numPr>
            </w:pPr>
            <w:r w:rsidRPr="009D3122">
              <w:t>Waar nodig met een rijkere en completere onderbouwing van besluiten;</w:t>
            </w:r>
          </w:p>
          <w:p w:rsidRPr="009D3122" w:rsidR="00536C90" w:rsidP="00552C88" w:rsidRDefault="00536C90" w14:paraId="083182B6" w14:textId="77777777">
            <w:pPr>
              <w:numPr>
                <w:ilvl w:val="0"/>
                <w:numId w:val="36"/>
              </w:numPr>
            </w:pPr>
            <w:r w:rsidRPr="009D3122">
              <w:t>Een beter herleidbare samenhang tussen gebruikte informatie en gemaakte keuzes.</w:t>
            </w:r>
          </w:p>
        </w:tc>
        <w:tc>
          <w:tcPr>
            <w:tcW w:w="2087" w:type="dxa"/>
            <w:shd w:val="clear" w:color="auto" w:fill="BFBFBF" w:themeFill="background1" w:themeFillShade="BF"/>
          </w:tcPr>
          <w:p w:rsidRPr="009D3122" w:rsidR="00536C90" w:rsidP="00552C88" w:rsidRDefault="00CF39E0" w14:paraId="6E704499" w14:textId="77777777">
            <w:r>
              <w:t>Voor alle bovengenoemde belastingmiddelen</w:t>
            </w:r>
          </w:p>
        </w:tc>
      </w:tr>
    </w:tbl>
    <w:p w:rsidRPr="009D3122" w:rsidR="00536C90" w:rsidP="00601AFB" w:rsidRDefault="00536C90" w14:paraId="20DC2C7A" w14:textId="77777777">
      <w:pPr>
        <w:spacing w:line="240" w:lineRule="auto"/>
        <w:contextualSpacing/>
        <w:rPr>
          <w:sz w:val="14"/>
          <w:szCs w:val="14"/>
        </w:rPr>
      </w:pPr>
      <w:r w:rsidRPr="009D3122">
        <w:rPr>
          <w:sz w:val="14"/>
          <w:szCs w:val="14"/>
        </w:rPr>
        <w:t>NB: De verschillende fases overlappen met elkaar. De tabel geeft per fase aan waar het zwaartepunt zit in de tijdlijn</w:t>
      </w:r>
      <w:r w:rsidRPr="009D3122" w:rsidR="003E1218">
        <w:rPr>
          <w:sz w:val="14"/>
          <w:szCs w:val="14"/>
        </w:rPr>
        <w:t>.</w:t>
      </w:r>
    </w:p>
    <w:p w:rsidR="001B3507" w:rsidP="001B3507" w:rsidRDefault="001B3507" w14:paraId="39A2FB78" w14:textId="77777777">
      <w:pPr>
        <w:contextualSpacing/>
      </w:pPr>
      <w:r w:rsidRPr="009D3122">
        <w:lastRenderedPageBreak/>
        <w:t xml:space="preserve">De hiervoor genoemde benadering moet ertoe leiden dat burgers en bedrijven stap voor stap inzage krijgen in een steeds vollediger en samenhangender fiscaal dossier. </w:t>
      </w:r>
      <w:r>
        <w:t>Dat brengt mij tot de uitvoering van de motie van Dijk c.s.</w:t>
      </w:r>
      <w:r>
        <w:rPr>
          <w:rStyle w:val="Voetnootmarkering"/>
        </w:rPr>
        <w:footnoteReference w:id="5"/>
      </w:r>
      <w:r>
        <w:t xml:space="preserve"> die oproept tot een aanvullend inzagerecht, waarbij de nodige waarborgen in acht worden genomen. Deze waarborgen zien op de uitvoerbaarheid van een dergelijk aanvullend inzagerecht, bijvoorbeeld duidelijke afbakening tot een specifieke aangelegenheid of stuk, een gefaseerde invoering, een langer beslistermijn, geen terugwerkende kracht en eventueel een aangepaste proceskostenvergoeding om aanzuigende werking op commerciële procespartijen te voorkomen.</w:t>
      </w:r>
    </w:p>
    <w:p w:rsidR="001B3507" w:rsidP="001B3507" w:rsidRDefault="001B3507" w14:paraId="3C95F872" w14:textId="77777777">
      <w:pPr>
        <w:contextualSpacing/>
      </w:pPr>
    </w:p>
    <w:p w:rsidR="001B3507" w:rsidP="001B3507" w:rsidRDefault="001B3507" w14:paraId="6068FCB0" w14:textId="77777777">
      <w:pPr>
        <w:contextualSpacing/>
      </w:pPr>
      <w:r>
        <w:t xml:space="preserve">Gelet op het tijdpad, wil ik in het lopende proces tot steeds volledigere inzage zoals bedoeld in artikel 66a AWR bekijken waar mogelijkheden bestaan tot het creëren van een grondslag voor uitbreiding van het fiscaal inzagerecht. In deze fase kan worden onderzocht waar het aanvullend inzagerecht op zou moeten zien en welke waarborgen nodig zijn. Ook kunnen we dan zien of een aanvullende rechtsingang nodig is, of dat dit met een eventueel bezwaar tegen de aanslag mee kan lopen. Om dit goed in beeld te krijgen is noodzakelijk dat ervaring wordt opgedaan met de uitvoering van artikel 66a AWR. Naarmate burgers en bedrijven inzage krijgen in een steeds vollediger en samenhangender fiscaal dossier, kan gerichter worden bezien waar een mogelijke lacune zit, zodat het aanvullend inzagerecht die zou kunnen opvullen. De gefaseerde inwerkingtreding biedt hiervoor de ruimte. </w:t>
      </w:r>
    </w:p>
    <w:p w:rsidRPr="009D3122" w:rsidR="008F243A" w:rsidP="009D3122" w:rsidRDefault="008F243A" w14:paraId="36B2CC85" w14:textId="77777777">
      <w:pPr>
        <w:contextualSpacing/>
        <w:rPr>
          <w:b/>
          <w:bCs/>
        </w:rPr>
      </w:pPr>
    </w:p>
    <w:p w:rsidRPr="009D3122" w:rsidR="00987F1B" w:rsidP="009D3122" w:rsidRDefault="00987F1B" w14:paraId="045CE954" w14:textId="77777777">
      <w:pPr>
        <w:contextualSpacing/>
        <w:rPr>
          <w:b/>
          <w:bCs/>
        </w:rPr>
      </w:pPr>
      <w:r w:rsidRPr="009D3122">
        <w:rPr>
          <w:b/>
          <w:bCs/>
        </w:rPr>
        <w:t>Kosten en prioritering IT-portfolio</w:t>
      </w:r>
    </w:p>
    <w:p w:rsidRPr="009D3122" w:rsidR="003101A7" w:rsidP="009D3122" w:rsidRDefault="003101A7" w14:paraId="7B6FFB47" w14:textId="77777777">
      <w:pPr>
        <w:contextualSpacing/>
      </w:pPr>
      <w:r w:rsidRPr="009D3122">
        <w:t xml:space="preserve">Met de invoering van het fiscaal inzagerecht zijn kosten gemoeid. Die kosten hebben betrekking op de realisatie van het behandelplatform, doorontwikkeling van het inzageportaal en mensuren aan de kant van de Belastingdienst. </w:t>
      </w:r>
      <w:r w:rsidRPr="00067805" w:rsidR="003E1218">
        <w:t>D</w:t>
      </w:r>
      <w:r w:rsidRPr="009D3122">
        <w:t xml:space="preserve">ocumenten </w:t>
      </w:r>
      <w:r w:rsidR="00552C88">
        <w:t xml:space="preserve">zullen </w:t>
      </w:r>
      <w:r w:rsidRPr="009D3122">
        <w:t>geautomatiseerd aan het portaal worden toegevoegd</w:t>
      </w:r>
      <w:r w:rsidRPr="009D3122" w:rsidR="003E1218">
        <w:t>.</w:t>
      </w:r>
      <w:r w:rsidRPr="009D3122">
        <w:t xml:space="preserve"> </w:t>
      </w:r>
      <w:r w:rsidRPr="009D3122" w:rsidR="003E1218">
        <w:t>Daarnaast</w:t>
      </w:r>
      <w:r w:rsidRPr="009D3122">
        <w:t xml:space="preserve"> zal handmatig werk altijd noodzakelijk blijven. Welke </w:t>
      </w:r>
      <w:r w:rsidRPr="00552C88" w:rsidR="003E1218">
        <w:t xml:space="preserve">capaciteit </w:t>
      </w:r>
      <w:r w:rsidRPr="009D3122">
        <w:t xml:space="preserve">hiervoor nodig </w:t>
      </w:r>
      <w:r w:rsidRPr="009D3122" w:rsidR="003E1218">
        <w:t xml:space="preserve">zal </w:t>
      </w:r>
      <w:r w:rsidRPr="009D3122">
        <w:t xml:space="preserve">zijn, is pas in te schatten wanneer het behandelplatform is ontwikkeld. Dit zal uit het addendum bij de Uitvoeringstoets moeten blijken. </w:t>
      </w:r>
    </w:p>
    <w:p w:rsidRPr="009D3122" w:rsidR="003101A7" w:rsidP="009D3122" w:rsidRDefault="003101A7" w14:paraId="1207C2BD" w14:textId="77777777">
      <w:pPr>
        <w:contextualSpacing/>
      </w:pPr>
    </w:p>
    <w:p w:rsidRPr="009D3122" w:rsidR="003101A7" w:rsidP="009D3122" w:rsidRDefault="003101A7" w14:paraId="4EC68E86" w14:textId="77777777">
      <w:pPr>
        <w:contextualSpacing/>
      </w:pPr>
      <w:r w:rsidRPr="009D3122">
        <w:t xml:space="preserve">Bij het indienen van het amendement </w:t>
      </w:r>
      <w:r w:rsidRPr="009D3122" w:rsidR="003E1218">
        <w:t xml:space="preserve">en </w:t>
      </w:r>
      <w:r w:rsidRPr="009D3122" w:rsidR="00C1172C">
        <w:t>het</w:t>
      </w:r>
      <w:r w:rsidRPr="009D3122" w:rsidR="003E1218">
        <w:t xml:space="preserve"> artikel 66a AW</w:t>
      </w:r>
      <w:r w:rsidR="00552C88">
        <w:t>R is</w:t>
      </w:r>
      <w:r w:rsidRPr="009D3122" w:rsidR="00C1172C">
        <w:t xml:space="preserve"> </w:t>
      </w:r>
      <w:r w:rsidRPr="009D3122">
        <w:t>door de Kamer</w:t>
      </w:r>
      <w:r w:rsidR="00552C88">
        <w:t xml:space="preserve"> </w:t>
      </w:r>
      <w:r w:rsidRPr="009D3122">
        <w:t xml:space="preserve">geen </w:t>
      </w:r>
      <w:r w:rsidRPr="009D3122" w:rsidR="003E1218">
        <w:t xml:space="preserve">financiële </w:t>
      </w:r>
      <w:r w:rsidRPr="009D3122">
        <w:t>dekking voorzien. Daarom worden de kosten zoveel mogelijk ingepast binnen het IV-portfolio. De vrije ruimte in het IV</w:t>
      </w:r>
      <w:r w:rsidRPr="009D3122" w:rsidR="00C1172C">
        <w:t>-</w:t>
      </w:r>
      <w:r w:rsidRPr="009D3122">
        <w:t>portfolio dicteert daarmee het tempo waarin het fiscaal dossier ontwikkeld en geïmplementeerd kan worden</w:t>
      </w:r>
      <w:r w:rsidRPr="009D3122" w:rsidR="00987F1B">
        <w:t>. Zoals mijn ambtsvoorgangers en ik al vaker met uw Kamer hebben gedeeld</w:t>
      </w:r>
      <w:r w:rsidRPr="009D3122" w:rsidR="00987F1B">
        <w:rPr>
          <w:rStyle w:val="Voetnootmarkering"/>
        </w:rPr>
        <w:footnoteReference w:id="6"/>
      </w:r>
      <w:r w:rsidRPr="009D3122" w:rsidR="00987F1B">
        <w:t>, is de druk op het IV-portfolio van de Belastingdienst momenteel hoog en is de (vrije) ruimte daarom beperkt.</w:t>
      </w:r>
      <w:r w:rsidRPr="009D3122">
        <w:t xml:space="preserve"> Dit ondersteunt mijn keuze voor een stapsgewijze ontwikkeling.</w:t>
      </w:r>
    </w:p>
    <w:p w:rsidRPr="009D3122" w:rsidR="00451747" w:rsidP="009D3122" w:rsidRDefault="00451747" w14:paraId="3256778F" w14:textId="77777777">
      <w:pPr>
        <w:contextualSpacing/>
      </w:pPr>
    </w:p>
    <w:p w:rsidRPr="009D3122" w:rsidR="00625A32" w:rsidP="009D3122" w:rsidRDefault="00625A32" w14:paraId="3A356A5D" w14:textId="77777777">
      <w:pPr>
        <w:contextualSpacing/>
        <w:rPr>
          <w:b/>
          <w:bCs/>
        </w:rPr>
      </w:pPr>
      <w:r w:rsidRPr="009D3122">
        <w:rPr>
          <w:b/>
          <w:bCs/>
        </w:rPr>
        <w:t>Het fiscaal inzagerecht bij de Douane</w:t>
      </w:r>
    </w:p>
    <w:p w:rsidRPr="009D3122" w:rsidR="00625A32" w:rsidP="009D3122" w:rsidRDefault="00625A32" w14:paraId="2E3E3B37" w14:textId="77777777">
      <w:pPr>
        <w:contextualSpacing/>
      </w:pPr>
      <w:r w:rsidRPr="009D3122">
        <w:t xml:space="preserve">Het fiscaal inzagerecht raakt naast de Belastingdienst ook de Douane. Voor de Douane is dit inzagerecht alleen van toepassing op accijns en verbruiksbelasting. Ik acht het echter geoorloofd om deze rijksbelastingen uit te zonderen van dit inzagerecht. Ik licht dit besluit graag toe. </w:t>
      </w:r>
    </w:p>
    <w:p w:rsidRPr="009D3122" w:rsidR="00625A32" w:rsidP="009D3122" w:rsidRDefault="00625A32" w14:paraId="2472871F" w14:textId="77777777">
      <w:pPr>
        <w:contextualSpacing/>
        <w:rPr>
          <w:color w:val="auto"/>
        </w:rPr>
      </w:pPr>
    </w:p>
    <w:p w:rsidRPr="009D3122" w:rsidR="00625A32" w:rsidP="009D3122" w:rsidRDefault="00625A32" w14:paraId="58B67771" w14:textId="77777777">
      <w:pPr>
        <w:contextualSpacing/>
        <w:rPr>
          <w:color w:val="auto"/>
        </w:rPr>
      </w:pPr>
      <w:r w:rsidRPr="009D3122">
        <w:rPr>
          <w:color w:val="auto"/>
        </w:rPr>
        <w:t xml:space="preserve">Bij het type aangiftebelastingen waar bij de Douane sprake van is, beschikt de belastingplichtige over een andere informatiepositie. Deze levert zelf de meeste informatie aan, waardoor het dossier vooral bestaat uit door de belastingplichtige zelf verstrekte gegevens. Het fiscaal inzagerecht zal in deze gevallen de </w:t>
      </w:r>
      <w:r w:rsidRPr="009D3122">
        <w:rPr>
          <w:color w:val="auto"/>
        </w:rPr>
        <w:lastRenderedPageBreak/>
        <w:t>informatiepositie van belastingplichtigen veelal niet veranderen. Ook geldt het fiscaal inzagerecht niet voor alle heffingen waarop de Douane toezicht houdt, zoals de douanerechten. Dat verschil in toepassing van het fiscaal inzagerecht binnen één uitvoeringsorganisatie maakt de implementatie complex en kan zorgen voor onduidelijkheid bij belanghebbenden. Zo valt bijvoorbeeld accijns bij invoer niet onder dit fiscaal inzagerecht, terwijl accijns die binnen Nederland wordt geheven daar wel onder valt.</w:t>
      </w:r>
    </w:p>
    <w:p w:rsidRPr="009D3122" w:rsidR="00625A32" w:rsidP="009D3122" w:rsidRDefault="00625A32" w14:paraId="6B111951" w14:textId="77777777">
      <w:pPr>
        <w:contextualSpacing/>
        <w:rPr>
          <w:color w:val="auto"/>
        </w:rPr>
      </w:pPr>
    </w:p>
    <w:p w:rsidRPr="005741A3" w:rsidR="005741A3" w:rsidP="005741A3" w:rsidRDefault="00625A32" w14:paraId="0A052E84" w14:textId="77777777">
      <w:pPr>
        <w:contextualSpacing/>
        <w:rPr>
          <w:color w:val="auto"/>
        </w:rPr>
      </w:pPr>
      <w:r w:rsidRPr="009D3122">
        <w:rPr>
          <w:color w:val="auto"/>
        </w:rPr>
        <w:t xml:space="preserve">Het uitzonderen van accijns en verbruiksbelasting van het fiscaal inzagerecht betekent niet dat de Douane niet inzet op het verder verbeteren van de informatiepositie en rechtsbescherming van belastingplichtigen. Hier is al veel aandacht voor. Zo zet de Douane stappen met het opstellen van duidelijke voornemenbrieven, verwijzing naar relevante stukken en betere dossieropbouw. </w:t>
      </w:r>
      <w:r w:rsidRPr="005741A3" w:rsidR="005741A3">
        <w:rPr>
          <w:color w:val="auto"/>
        </w:rPr>
        <w:t xml:space="preserve">De IBTD heeft zeer recent een onderzoek naar rechtsbescherming bij de Douane afgerond. </w:t>
      </w:r>
      <w:r w:rsidRPr="00A738C7" w:rsidR="00A738C7">
        <w:rPr>
          <w:color w:val="auto"/>
        </w:rPr>
        <w:t>De Douane analyseert de resultaten van dit onderzoek en benut deze actief om de rechtsbescherming en informatiepositie van belastingplichtigen verder te versterken</w:t>
      </w:r>
      <w:r w:rsidRPr="005741A3" w:rsidR="005741A3">
        <w:rPr>
          <w:color w:val="auto"/>
        </w:rPr>
        <w:t xml:space="preserve">. </w:t>
      </w:r>
    </w:p>
    <w:p w:rsidRPr="009D3122" w:rsidR="00625A32" w:rsidP="009D3122" w:rsidRDefault="00625A32" w14:paraId="03D63BA0" w14:textId="77777777">
      <w:pPr>
        <w:contextualSpacing/>
        <w:rPr>
          <w:color w:val="auto"/>
        </w:rPr>
      </w:pPr>
    </w:p>
    <w:p w:rsidRPr="009D3122" w:rsidR="00625A32" w:rsidP="009D3122" w:rsidRDefault="00625A32" w14:paraId="4CBA090B" w14:textId="77777777">
      <w:pPr>
        <w:contextualSpacing/>
      </w:pPr>
      <w:r w:rsidRPr="009D3122">
        <w:rPr>
          <w:color w:val="auto"/>
        </w:rPr>
        <w:t xml:space="preserve">Het uitzonderen van accijns en verbruiksbelasting van het fiscaal inzagerecht vergt een beperkte wijziging van het Uitvoeringsbesluit Algemene wet </w:t>
      </w:r>
      <w:proofErr w:type="gramStart"/>
      <w:r w:rsidRPr="009D3122">
        <w:rPr>
          <w:color w:val="auto"/>
        </w:rPr>
        <w:t>inzake</w:t>
      </w:r>
      <w:proofErr w:type="gramEnd"/>
      <w:r w:rsidRPr="009D3122">
        <w:rPr>
          <w:color w:val="auto"/>
        </w:rPr>
        <w:t xml:space="preserve"> rijksbelastingen 1964, waarbij uitsluitend deze rijksbelastingen </w:t>
      </w:r>
      <w:r w:rsidRPr="009D3122">
        <w:t xml:space="preserve">worden verwijderd uit het nog niet in werking getreden artikel 5b (letters a en s). </w:t>
      </w:r>
    </w:p>
    <w:p w:rsidRPr="009D3122" w:rsidR="00451747" w:rsidP="00552C88" w:rsidRDefault="00451747" w14:paraId="17F9D360" w14:textId="77777777">
      <w:pPr>
        <w:contextualSpacing/>
      </w:pPr>
    </w:p>
    <w:p w:rsidRPr="009D3122" w:rsidR="00451747" w:rsidP="00552C88" w:rsidRDefault="00451747" w14:paraId="662EBE53" w14:textId="77777777">
      <w:pPr>
        <w:contextualSpacing/>
      </w:pPr>
      <w:r w:rsidRPr="009D3122">
        <w:t>Aangezien accijns en verbruiksbelasting worden uitgezonderd, geldt voor de Douane dat er geen dekking nodig is voor de implementatie- en uitvoeringskosten. Dit zou ten koste gaan van andere Douaneprioriteiten.</w:t>
      </w:r>
    </w:p>
    <w:p w:rsidRPr="009D3122" w:rsidR="002904EF" w:rsidP="00552C88" w:rsidRDefault="002904EF" w14:paraId="2A4855B0" w14:textId="77777777">
      <w:pPr>
        <w:contextualSpacing/>
      </w:pPr>
    </w:p>
    <w:p w:rsidRPr="009D3122" w:rsidR="006233D6" w:rsidP="00552C88" w:rsidRDefault="006233D6" w14:paraId="340C0B1E" w14:textId="77777777">
      <w:pPr>
        <w:contextualSpacing/>
        <w:rPr>
          <w:b/>
          <w:bCs/>
        </w:rPr>
      </w:pPr>
      <w:r w:rsidRPr="009D3122">
        <w:rPr>
          <w:b/>
          <w:bCs/>
        </w:rPr>
        <w:t>Tot slot</w:t>
      </w:r>
    </w:p>
    <w:p w:rsidRPr="009D3122" w:rsidR="00947B47" w:rsidP="00552C88" w:rsidRDefault="006B7636" w14:paraId="4D1350FE" w14:textId="77777777">
      <w:pPr>
        <w:spacing w:line="276" w:lineRule="auto"/>
      </w:pPr>
      <w:r w:rsidRPr="009D3122">
        <w:t xml:space="preserve">Transparantie richting burgers en bedrijven zal de komende jaren een speerpunt blijven voor de Belastingdienst. </w:t>
      </w:r>
      <w:r w:rsidRPr="009D3122" w:rsidR="009B5997">
        <w:t xml:space="preserve">Met de voorgestelde aanpak geeft de Belastingdienst invulling aan de uitvoering van de Wet stroomlijning fiscaal inzagerecht, op een wijze die gericht is op een beoogd uitvoerbaar en duurzame inrichting van het fiscaal inzagerecht, met bestaande initiatieven en ontwikkelingen binnen het IV-portfolio als uitgangspunt. </w:t>
      </w:r>
      <w:r w:rsidRPr="009D3122" w:rsidR="003E1218">
        <w:t>Burgers en bedrijven</w:t>
      </w:r>
      <w:r w:rsidRPr="009D3122">
        <w:t xml:space="preserve"> verdienen het om te weten waar ze aan toe zijn</w:t>
      </w:r>
      <w:r w:rsidRPr="009D3122" w:rsidR="009B5997">
        <w:t xml:space="preserve">. Ondanks de uitdagingen zie ik het traject om inzicht in het fiscale dossier te implementeren als een kans om onze transparantie zichtbaar te verbeteren. </w:t>
      </w:r>
    </w:p>
    <w:p w:rsidRPr="009D3122" w:rsidR="00947B47" w:rsidP="00552C88" w:rsidRDefault="00947B47" w14:paraId="79170AF8" w14:textId="77777777">
      <w:pPr>
        <w:contextualSpacing/>
      </w:pPr>
    </w:p>
    <w:p w:rsidR="00947B47" w:rsidP="00552C88" w:rsidRDefault="00947B47" w14:paraId="040CBF1D" w14:textId="77777777">
      <w:pPr>
        <w:contextualSpacing/>
      </w:pPr>
      <w:r w:rsidRPr="009D3122">
        <w:t>Hoogachtend,</w:t>
      </w:r>
    </w:p>
    <w:p w:rsidRPr="009D3122" w:rsidR="008B581D" w:rsidP="00552C88" w:rsidRDefault="008B581D" w14:paraId="780C681D" w14:textId="77777777">
      <w:pPr>
        <w:contextualSpacing/>
      </w:pPr>
    </w:p>
    <w:tbl>
      <w:tblPr>
        <w:tblStyle w:val="Tabelzonderranden"/>
        <w:tblW w:w="7484" w:type="dxa"/>
        <w:tblInd w:w="0" w:type="dxa"/>
        <w:tblLayout w:type="fixed"/>
        <w:tblLook w:val="07E0" w:firstRow="1" w:lastRow="1" w:firstColumn="1" w:lastColumn="1" w:noHBand="1" w:noVBand="1"/>
      </w:tblPr>
      <w:tblGrid>
        <w:gridCol w:w="3592"/>
        <w:gridCol w:w="3892"/>
      </w:tblGrid>
      <w:tr w:rsidR="00947B47" w:rsidTr="00CB0693" w14:paraId="1CE1968B" w14:textId="77777777">
        <w:tc>
          <w:tcPr>
            <w:tcW w:w="3592" w:type="dxa"/>
          </w:tcPr>
          <w:p w:rsidRPr="009D3122" w:rsidR="00947B47" w:rsidP="00552C88" w:rsidRDefault="00947B47" w14:paraId="0F0323AA" w14:textId="77777777">
            <w:r w:rsidRPr="009D3122">
              <w:t>de staatssecretaris van Financiën,</w:t>
            </w:r>
            <w:r w:rsidRPr="009D3122">
              <w:br/>
            </w:r>
          </w:p>
          <w:p w:rsidRPr="009D3122" w:rsidR="00947B47" w:rsidP="00552C88" w:rsidRDefault="00947B47" w14:paraId="067BDF71" w14:textId="77777777"/>
          <w:p w:rsidRPr="009D3122" w:rsidR="00947B47" w:rsidP="00552C88" w:rsidRDefault="00947B47" w14:paraId="5937ABBF" w14:textId="77777777"/>
          <w:p w:rsidRPr="009D3122" w:rsidR="00947B47" w:rsidP="00552C88" w:rsidRDefault="00947B47" w14:paraId="47C492FB" w14:textId="77777777"/>
          <w:p w:rsidR="00947B47" w:rsidP="00552C88" w:rsidRDefault="00947B47" w14:paraId="5B4783CB" w14:textId="77777777">
            <w:r w:rsidRPr="009D3122">
              <w:br/>
              <w:t>Eelco Eerenberg</w:t>
            </w:r>
            <w:r>
              <w:t xml:space="preserve"> </w:t>
            </w:r>
          </w:p>
        </w:tc>
        <w:tc>
          <w:tcPr>
            <w:tcW w:w="3892" w:type="dxa"/>
          </w:tcPr>
          <w:p w:rsidR="00947B47" w:rsidP="00552C88" w:rsidRDefault="00947B47" w14:paraId="6197F011" w14:textId="77777777"/>
        </w:tc>
      </w:tr>
    </w:tbl>
    <w:p w:rsidRPr="006525FF" w:rsidR="00947B47" w:rsidP="00552C88" w:rsidRDefault="00947B47" w14:paraId="15590839" w14:textId="77777777">
      <w:pPr>
        <w:contextualSpacing/>
      </w:pPr>
    </w:p>
    <w:p w:rsidRPr="00947B47" w:rsidR="006525FF" w:rsidP="00552C88" w:rsidRDefault="006525FF" w14:paraId="139D2F41" w14:textId="77777777">
      <w:pPr>
        <w:contextualSpacing/>
      </w:pPr>
    </w:p>
    <w:sectPr w:rsidRPr="00947B47" w:rsidR="006525FF">
      <w:headerReference w:type="default" r:id="rId7"/>
      <w:footerReference w:type="default" r:id="rId8"/>
      <w:headerReference w:type="first" r:id="rId9"/>
      <w:foot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9488" w14:textId="77777777" w:rsidR="008E40C8" w:rsidRDefault="008E40C8">
      <w:pPr>
        <w:spacing w:line="240" w:lineRule="auto"/>
      </w:pPr>
      <w:r>
        <w:separator/>
      </w:r>
    </w:p>
  </w:endnote>
  <w:endnote w:type="continuationSeparator" w:id="0">
    <w:p w14:paraId="010625E1" w14:textId="77777777" w:rsidR="008E40C8" w:rsidRDefault="008E4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90"/>
      <w:gridCol w:w="2490"/>
      <w:gridCol w:w="2490"/>
    </w:tblGrid>
    <w:tr w:rsidR="6E455C32" w14:paraId="3058B7A1" w14:textId="77777777" w:rsidTr="6E455C32">
      <w:trPr>
        <w:trHeight w:val="300"/>
      </w:trPr>
      <w:tc>
        <w:tcPr>
          <w:tcW w:w="2490" w:type="dxa"/>
        </w:tcPr>
        <w:p w14:paraId="3B2F0BAD" w14:textId="77777777" w:rsidR="6E455C32" w:rsidRDefault="6E455C32" w:rsidP="6E455C32">
          <w:pPr>
            <w:pStyle w:val="Koptekst"/>
            <w:ind w:left="-115"/>
          </w:pPr>
        </w:p>
      </w:tc>
      <w:tc>
        <w:tcPr>
          <w:tcW w:w="2490" w:type="dxa"/>
        </w:tcPr>
        <w:p w14:paraId="16DFAEB0" w14:textId="77777777" w:rsidR="6E455C32" w:rsidRDefault="6E455C32" w:rsidP="6E455C32">
          <w:pPr>
            <w:pStyle w:val="Koptekst"/>
            <w:jc w:val="center"/>
          </w:pPr>
        </w:p>
      </w:tc>
      <w:tc>
        <w:tcPr>
          <w:tcW w:w="2490" w:type="dxa"/>
        </w:tcPr>
        <w:p w14:paraId="1E3D4A51" w14:textId="77777777" w:rsidR="6E455C32" w:rsidRDefault="6E455C32" w:rsidP="6E455C32">
          <w:pPr>
            <w:pStyle w:val="Koptekst"/>
            <w:ind w:right="-115"/>
            <w:jc w:val="right"/>
          </w:pPr>
        </w:p>
      </w:tc>
    </w:tr>
  </w:tbl>
  <w:p w14:paraId="568969CA" w14:textId="77777777" w:rsidR="008111B7" w:rsidRDefault="008111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90"/>
      <w:gridCol w:w="2490"/>
      <w:gridCol w:w="2490"/>
    </w:tblGrid>
    <w:tr w:rsidR="6E455C32" w14:paraId="5B9E8A82" w14:textId="77777777" w:rsidTr="6E455C32">
      <w:trPr>
        <w:trHeight w:val="300"/>
      </w:trPr>
      <w:tc>
        <w:tcPr>
          <w:tcW w:w="2490" w:type="dxa"/>
        </w:tcPr>
        <w:p w14:paraId="4C833552" w14:textId="77777777" w:rsidR="6E455C32" w:rsidRDefault="6E455C32" w:rsidP="6E455C32">
          <w:pPr>
            <w:pStyle w:val="Koptekst"/>
            <w:ind w:left="-115"/>
          </w:pPr>
        </w:p>
      </w:tc>
      <w:tc>
        <w:tcPr>
          <w:tcW w:w="2490" w:type="dxa"/>
        </w:tcPr>
        <w:p w14:paraId="60A16E11" w14:textId="77777777" w:rsidR="6E455C32" w:rsidRDefault="6E455C32" w:rsidP="6E455C32">
          <w:pPr>
            <w:pStyle w:val="Koptekst"/>
            <w:jc w:val="center"/>
          </w:pPr>
        </w:p>
      </w:tc>
      <w:tc>
        <w:tcPr>
          <w:tcW w:w="2490" w:type="dxa"/>
        </w:tcPr>
        <w:p w14:paraId="2C0875DE" w14:textId="77777777" w:rsidR="6E455C32" w:rsidRDefault="6E455C32" w:rsidP="6E455C32">
          <w:pPr>
            <w:pStyle w:val="Koptekst"/>
            <w:ind w:right="-115"/>
            <w:jc w:val="right"/>
          </w:pPr>
        </w:p>
      </w:tc>
    </w:tr>
  </w:tbl>
  <w:p w14:paraId="6C34744A" w14:textId="77777777" w:rsidR="008111B7" w:rsidRDefault="00811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8BF6" w14:textId="77777777" w:rsidR="008E40C8" w:rsidRDefault="008E40C8">
      <w:pPr>
        <w:spacing w:line="240" w:lineRule="auto"/>
      </w:pPr>
      <w:r>
        <w:separator/>
      </w:r>
    </w:p>
  </w:footnote>
  <w:footnote w:type="continuationSeparator" w:id="0">
    <w:p w14:paraId="41AE8726" w14:textId="77777777" w:rsidR="008E40C8" w:rsidRDefault="008E40C8">
      <w:pPr>
        <w:spacing w:line="240" w:lineRule="auto"/>
      </w:pPr>
      <w:r>
        <w:continuationSeparator/>
      </w:r>
    </w:p>
  </w:footnote>
  <w:footnote w:id="1">
    <w:p w14:paraId="2F84EF58" w14:textId="77777777" w:rsidR="000A69C7" w:rsidRPr="001B3507" w:rsidRDefault="000A69C7">
      <w:pPr>
        <w:pStyle w:val="Voetnoottekst"/>
        <w:rPr>
          <w:sz w:val="14"/>
          <w:szCs w:val="14"/>
        </w:rPr>
      </w:pPr>
      <w:r w:rsidRPr="001B3507">
        <w:rPr>
          <w:rStyle w:val="Voetnootmarkering"/>
          <w:sz w:val="14"/>
          <w:szCs w:val="14"/>
        </w:rPr>
        <w:footnoteRef/>
      </w:r>
      <w:r w:rsidRPr="001B3507">
        <w:rPr>
          <w:sz w:val="14"/>
          <w:szCs w:val="14"/>
        </w:rPr>
        <w:t xml:space="preserve"> Kamerstukken II 2023-2024, 36 418, nr. 110.</w:t>
      </w:r>
    </w:p>
  </w:footnote>
  <w:footnote w:id="2">
    <w:p w14:paraId="19DEDB89" w14:textId="77777777" w:rsidR="000A69C7" w:rsidRPr="001B3507" w:rsidRDefault="000A69C7">
      <w:pPr>
        <w:pStyle w:val="Voetnoottekst"/>
        <w:rPr>
          <w:sz w:val="14"/>
          <w:szCs w:val="14"/>
        </w:rPr>
      </w:pPr>
      <w:r w:rsidRPr="001B3507">
        <w:rPr>
          <w:rStyle w:val="Voetnootmarkering"/>
          <w:sz w:val="14"/>
          <w:szCs w:val="14"/>
        </w:rPr>
        <w:footnoteRef/>
      </w:r>
      <w:r w:rsidRPr="001B3507">
        <w:rPr>
          <w:sz w:val="14"/>
          <w:szCs w:val="14"/>
        </w:rPr>
        <w:t xml:space="preserve"> Het bij koninklijke boodschap van 16 september 2025 ingediende voorstel van wet tot wijziging van de Algemene wet </w:t>
      </w:r>
      <w:proofErr w:type="gramStart"/>
      <w:r w:rsidRPr="001B3507">
        <w:rPr>
          <w:sz w:val="14"/>
          <w:szCs w:val="14"/>
        </w:rPr>
        <w:t>inzake</w:t>
      </w:r>
      <w:proofErr w:type="gramEnd"/>
      <w:r w:rsidRPr="001B3507">
        <w:rPr>
          <w:sz w:val="14"/>
          <w:szCs w:val="14"/>
        </w:rPr>
        <w:t xml:space="preserve"> rijksbelastingen en enkele andere wetten in verband met het stroomlijnen van het fiscale inzagerecht (Wet stroomlijning fiscaal inzagerecht) (Kamerstukken 36 816).</w:t>
      </w:r>
    </w:p>
  </w:footnote>
  <w:footnote w:id="3">
    <w:p w14:paraId="1598E513" w14:textId="77777777" w:rsidR="00D103E8" w:rsidRPr="001B3507" w:rsidRDefault="00D103E8">
      <w:pPr>
        <w:pStyle w:val="Voetnoottekst"/>
        <w:rPr>
          <w:sz w:val="14"/>
          <w:szCs w:val="14"/>
        </w:rPr>
      </w:pPr>
      <w:r w:rsidRPr="001B3507">
        <w:rPr>
          <w:rStyle w:val="Voetnootmarkering"/>
          <w:sz w:val="14"/>
          <w:szCs w:val="14"/>
        </w:rPr>
        <w:footnoteRef/>
      </w:r>
      <w:r w:rsidRPr="001B3507">
        <w:rPr>
          <w:sz w:val="14"/>
          <w:szCs w:val="14"/>
        </w:rPr>
        <w:t xml:space="preserve"> Kamerstukken II, 202</w:t>
      </w:r>
      <w:r w:rsidR="000F7C33" w:rsidRPr="001B3507">
        <w:rPr>
          <w:sz w:val="14"/>
          <w:szCs w:val="14"/>
        </w:rPr>
        <w:t>4</w:t>
      </w:r>
      <w:r w:rsidRPr="001B3507">
        <w:rPr>
          <w:sz w:val="14"/>
          <w:szCs w:val="14"/>
        </w:rPr>
        <w:t>-202</w:t>
      </w:r>
      <w:r w:rsidR="000F7C33" w:rsidRPr="001B3507">
        <w:rPr>
          <w:sz w:val="14"/>
          <w:szCs w:val="14"/>
        </w:rPr>
        <w:t>5</w:t>
      </w:r>
      <w:r w:rsidRPr="001B3507">
        <w:rPr>
          <w:sz w:val="14"/>
          <w:szCs w:val="14"/>
        </w:rPr>
        <w:t xml:space="preserve">, </w:t>
      </w:r>
      <w:r w:rsidR="000F7C33" w:rsidRPr="001B3507">
        <w:rPr>
          <w:sz w:val="14"/>
          <w:szCs w:val="14"/>
        </w:rPr>
        <w:t>36 602, nr. 151</w:t>
      </w:r>
    </w:p>
  </w:footnote>
  <w:footnote w:id="4">
    <w:p w14:paraId="2598B643" w14:textId="77777777" w:rsidR="0015410D" w:rsidRPr="001B3507" w:rsidRDefault="0015410D" w:rsidP="0015410D">
      <w:pPr>
        <w:pStyle w:val="Voetnoottekst"/>
        <w:rPr>
          <w:sz w:val="14"/>
          <w:szCs w:val="14"/>
        </w:rPr>
      </w:pPr>
      <w:r w:rsidRPr="001B3507">
        <w:rPr>
          <w:rStyle w:val="Voetnootmarkering"/>
          <w:sz w:val="14"/>
          <w:szCs w:val="14"/>
        </w:rPr>
        <w:footnoteRef/>
      </w:r>
      <w:r w:rsidRPr="001B3507">
        <w:rPr>
          <w:sz w:val="14"/>
          <w:szCs w:val="14"/>
        </w:rPr>
        <w:t xml:space="preserve"> Kamerstukken II 2025/26, 36812, nr. 78.</w:t>
      </w:r>
    </w:p>
  </w:footnote>
  <w:footnote w:id="5">
    <w:p w14:paraId="6E94F032" w14:textId="77777777" w:rsidR="001B3507" w:rsidRPr="006B57D3" w:rsidRDefault="001B3507">
      <w:pPr>
        <w:pStyle w:val="Voetnoottekst"/>
        <w:rPr>
          <w:sz w:val="14"/>
          <w:szCs w:val="14"/>
        </w:rPr>
      </w:pPr>
      <w:r w:rsidRPr="006B57D3">
        <w:rPr>
          <w:rStyle w:val="Voetnootmarkering"/>
          <w:sz w:val="14"/>
          <w:szCs w:val="14"/>
        </w:rPr>
        <w:footnoteRef/>
      </w:r>
      <w:r w:rsidRPr="006B57D3">
        <w:rPr>
          <w:sz w:val="14"/>
          <w:szCs w:val="14"/>
        </w:rPr>
        <w:t xml:space="preserve"> Kamerstukken II, 2025–2026, 36 812, nr. 84</w:t>
      </w:r>
    </w:p>
  </w:footnote>
  <w:footnote w:id="6">
    <w:p w14:paraId="62CF8F6B" w14:textId="77777777" w:rsidR="00987F1B" w:rsidRPr="001B3507" w:rsidRDefault="00987F1B" w:rsidP="00987F1B">
      <w:pPr>
        <w:pStyle w:val="Voetnoottekst"/>
        <w:rPr>
          <w:sz w:val="14"/>
          <w:szCs w:val="14"/>
        </w:rPr>
      </w:pPr>
      <w:r w:rsidRPr="001B3507">
        <w:rPr>
          <w:rStyle w:val="Voetnootmarkering"/>
          <w:sz w:val="14"/>
          <w:szCs w:val="14"/>
        </w:rPr>
        <w:footnoteRef/>
      </w:r>
      <w:r w:rsidRPr="001B3507">
        <w:rPr>
          <w:sz w:val="14"/>
          <w:szCs w:val="14"/>
        </w:rPr>
        <w:t xml:space="preserve"> Kamerstukken II 2023</w:t>
      </w:r>
      <w:r w:rsidR="00067805" w:rsidRPr="001B3507">
        <w:rPr>
          <w:sz w:val="14"/>
          <w:szCs w:val="14"/>
        </w:rPr>
        <w:t>-20</w:t>
      </w:r>
      <w:r w:rsidRPr="001B3507">
        <w:rPr>
          <w:sz w:val="14"/>
          <w:szCs w:val="14"/>
        </w:rPr>
        <w:t>24, 36 418 nr. 131, Kamerstukken II 2024/25, 36 602, nr. 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5A9E" w14:textId="77777777" w:rsidR="0099383A" w:rsidRDefault="00197811">
    <w:r>
      <w:rPr>
        <w:noProof/>
      </w:rPr>
      <mc:AlternateContent>
        <mc:Choice Requires="wps">
          <w:drawing>
            <wp:anchor distT="0" distB="0" distL="0" distR="0" simplePos="0" relativeHeight="251658240" behindDoc="0" locked="1" layoutInCell="1" allowOverlap="1" wp14:anchorId="65371F4C" wp14:editId="0EB8A3D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2EC593" w14:textId="77777777" w:rsidR="0099383A" w:rsidRDefault="00197811">
                          <w:pPr>
                            <w:pStyle w:val="StandaardReferentiegegevensKop"/>
                          </w:pPr>
                          <w:r>
                            <w:t>Ons kenmerk</w:t>
                          </w:r>
                        </w:p>
                        <w:p w14:paraId="2E5E837A" w14:textId="77777777" w:rsidR="00942816" w:rsidRDefault="000E3DFE">
                          <w:pPr>
                            <w:pStyle w:val="StandaardReferentiegegevens"/>
                          </w:pPr>
                          <w:fldSimple w:instr=" DOCPROPERTY  &quot;Kenmerk&quot;  \* MERGEFORMAT ">
                            <w:r w:rsidR="00504902">
                              <w:t>2026-0000269893</w:t>
                            </w:r>
                          </w:fldSimple>
                        </w:p>
                      </w:txbxContent>
                    </wps:txbx>
                    <wps:bodyPr vert="horz" wrap="square" lIns="0" tIns="0" rIns="0" bIns="0" anchor="t" anchorCtr="0"/>
                  </wps:wsp>
                </a:graphicData>
              </a:graphic>
            </wp:anchor>
          </w:drawing>
        </mc:Choice>
        <mc:Fallback>
          <w:pict>
            <v:shapetype w14:anchorId="65371F4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52EC593" w14:textId="77777777" w:rsidR="0099383A" w:rsidRDefault="00197811">
                    <w:pPr>
                      <w:pStyle w:val="StandaardReferentiegegevensKop"/>
                    </w:pPr>
                    <w:r>
                      <w:t>Ons kenmerk</w:t>
                    </w:r>
                  </w:p>
                  <w:p w14:paraId="2E5E837A" w14:textId="77777777" w:rsidR="00942816" w:rsidRDefault="000E3DFE">
                    <w:pPr>
                      <w:pStyle w:val="StandaardReferentiegegevens"/>
                    </w:pPr>
                    <w:fldSimple w:instr=" DOCPROPERTY  &quot;Kenmerk&quot;  \* MERGEFORMAT ">
                      <w:r w:rsidR="00504902">
                        <w:t>2026-0000269893</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5C715068" wp14:editId="02268A9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D92867" w14:textId="77777777" w:rsidR="00A7381B" w:rsidRDefault="0050490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C715068"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DD92867" w14:textId="77777777" w:rsidR="00A7381B" w:rsidRDefault="0050490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1B9E758E" wp14:editId="291087C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6AAE422" w14:textId="77777777" w:rsidR="00A7381B" w:rsidRDefault="0050490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B9E758E"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6AAE422" w14:textId="77777777" w:rsidR="00A7381B" w:rsidRDefault="0050490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FCAB" w14:textId="77777777" w:rsidR="0099383A" w:rsidRDefault="00197811">
    <w:pPr>
      <w:spacing w:after="7029" w:line="14" w:lineRule="exact"/>
    </w:pPr>
    <w:r>
      <w:rPr>
        <w:noProof/>
      </w:rPr>
      <mc:AlternateContent>
        <mc:Choice Requires="wps">
          <w:drawing>
            <wp:anchor distT="0" distB="0" distL="0" distR="0" simplePos="0" relativeHeight="251658243" behindDoc="0" locked="1" layoutInCell="1" allowOverlap="1" wp14:anchorId="7A34C64F" wp14:editId="55A8C4A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84BEDEB" w14:textId="77777777" w:rsidR="0099383A" w:rsidRDefault="00197811">
                          <w:pPr>
                            <w:spacing w:line="240" w:lineRule="auto"/>
                          </w:pPr>
                          <w:r>
                            <w:rPr>
                              <w:noProof/>
                            </w:rPr>
                            <w:drawing>
                              <wp:inline distT="0" distB="0" distL="0" distR="0" wp14:anchorId="68832942" wp14:editId="0AD2C8F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34C64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84BEDEB" w14:textId="77777777" w:rsidR="0099383A" w:rsidRDefault="00197811">
                    <w:pPr>
                      <w:spacing w:line="240" w:lineRule="auto"/>
                    </w:pPr>
                    <w:r>
                      <w:rPr>
                        <w:noProof/>
                      </w:rPr>
                      <w:drawing>
                        <wp:inline distT="0" distB="0" distL="0" distR="0" wp14:anchorId="68832942" wp14:editId="0AD2C8F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468E03FA" wp14:editId="513B739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3E07D32" w14:textId="77777777" w:rsidR="00197811" w:rsidRDefault="00197811"/>
                      </w:txbxContent>
                    </wps:txbx>
                    <wps:bodyPr vert="horz" wrap="square" lIns="0" tIns="0" rIns="0" bIns="0" anchor="t" anchorCtr="0"/>
                  </wps:wsp>
                </a:graphicData>
              </a:graphic>
            </wp:anchor>
          </w:drawing>
        </mc:Choice>
        <mc:Fallback>
          <w:pict>
            <v:shape w14:anchorId="468E03FA"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3E07D32" w14:textId="77777777" w:rsidR="00197811" w:rsidRDefault="00197811"/>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70CD9B80" wp14:editId="1AD37A2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CE764C2" w14:textId="77777777" w:rsidR="0099383A" w:rsidRDefault="00197811">
                          <w:pPr>
                            <w:pStyle w:val="StandaardReferentiegegevens"/>
                          </w:pPr>
                          <w:r>
                            <w:t>Korte Voorhout 7</w:t>
                          </w:r>
                        </w:p>
                        <w:p w14:paraId="44113201" w14:textId="77777777" w:rsidR="0099383A" w:rsidRDefault="00197811">
                          <w:pPr>
                            <w:pStyle w:val="StandaardReferentiegegevens"/>
                          </w:pPr>
                          <w:r>
                            <w:t>2511 CW  's-Gravenhage</w:t>
                          </w:r>
                        </w:p>
                        <w:p w14:paraId="62B82DCC" w14:textId="77777777" w:rsidR="0099383A" w:rsidRDefault="00197811">
                          <w:pPr>
                            <w:pStyle w:val="StandaardReferentiegegevens"/>
                          </w:pPr>
                          <w:r>
                            <w:t>POSTBUS 20201</w:t>
                          </w:r>
                        </w:p>
                        <w:p w14:paraId="4EC1D85B" w14:textId="77777777" w:rsidR="0099383A" w:rsidRPr="00A403B3" w:rsidRDefault="00197811">
                          <w:pPr>
                            <w:pStyle w:val="StandaardReferentiegegevens"/>
                            <w:rPr>
                              <w:lang w:val="es-ES"/>
                            </w:rPr>
                          </w:pPr>
                          <w:r w:rsidRPr="00A403B3">
                            <w:rPr>
                              <w:lang w:val="es-ES"/>
                            </w:rPr>
                            <w:t xml:space="preserve">2500 </w:t>
                          </w:r>
                          <w:proofErr w:type="gramStart"/>
                          <w:r w:rsidRPr="00A403B3">
                            <w:rPr>
                              <w:lang w:val="es-ES"/>
                            </w:rPr>
                            <w:t>EE  '</w:t>
                          </w:r>
                          <w:proofErr w:type="gramEnd"/>
                          <w:r w:rsidRPr="00A403B3">
                            <w:rPr>
                              <w:lang w:val="es-ES"/>
                            </w:rPr>
                            <w:t>s-Gravenhage</w:t>
                          </w:r>
                        </w:p>
                        <w:p w14:paraId="7D95EE73" w14:textId="77777777" w:rsidR="0099383A" w:rsidRPr="00A403B3" w:rsidRDefault="00197811">
                          <w:pPr>
                            <w:pStyle w:val="StandaardReferentiegegevens"/>
                            <w:rPr>
                              <w:lang w:val="es-ES"/>
                            </w:rPr>
                          </w:pPr>
                          <w:r w:rsidRPr="00A403B3">
                            <w:rPr>
                              <w:lang w:val="es-ES"/>
                            </w:rPr>
                            <w:t>www.rijksoverheid.nl/fin</w:t>
                          </w:r>
                        </w:p>
                        <w:p w14:paraId="7BE9B858" w14:textId="77777777" w:rsidR="0099383A" w:rsidRPr="00A403B3" w:rsidRDefault="0099383A">
                          <w:pPr>
                            <w:pStyle w:val="WitregelW2"/>
                            <w:rPr>
                              <w:lang w:val="es-ES"/>
                            </w:rPr>
                          </w:pPr>
                        </w:p>
                        <w:p w14:paraId="505210DD" w14:textId="77777777" w:rsidR="0099383A" w:rsidRDefault="00197811">
                          <w:pPr>
                            <w:pStyle w:val="StandaardReferentiegegevensKop"/>
                          </w:pPr>
                          <w:r>
                            <w:t>Ons kenmerk</w:t>
                          </w:r>
                        </w:p>
                        <w:p w14:paraId="775DC2BA" w14:textId="77777777" w:rsidR="00942816" w:rsidRDefault="000E3DFE">
                          <w:pPr>
                            <w:pStyle w:val="StandaardReferentiegegevens"/>
                          </w:pPr>
                          <w:fldSimple w:instr=" DOCPROPERTY  &quot;Kenmerk&quot;  \* MERGEFORMAT ">
                            <w:r w:rsidR="00504902">
                              <w:t>2026-0000269893</w:t>
                            </w:r>
                          </w:fldSimple>
                        </w:p>
                        <w:p w14:paraId="63044E9B" w14:textId="77777777" w:rsidR="0099383A" w:rsidRDefault="0099383A">
                          <w:pPr>
                            <w:pStyle w:val="WitregelW1"/>
                          </w:pPr>
                        </w:p>
                        <w:p w14:paraId="37488606" w14:textId="77777777" w:rsidR="0099383A" w:rsidRDefault="00197811">
                          <w:pPr>
                            <w:pStyle w:val="StandaardReferentiegegevensKop"/>
                          </w:pPr>
                          <w:r>
                            <w:t>Uw brief (kenmerk)</w:t>
                          </w:r>
                        </w:p>
                        <w:p w14:paraId="744A555D" w14:textId="77777777" w:rsidR="0099383A" w:rsidRDefault="0099383A">
                          <w:pPr>
                            <w:pStyle w:val="WitregelW1"/>
                          </w:pPr>
                        </w:p>
                        <w:p w14:paraId="62B9D209" w14:textId="77777777" w:rsidR="008B581D" w:rsidRPr="008B581D" w:rsidRDefault="008B581D" w:rsidP="008B581D"/>
                        <w:p w14:paraId="0DBB89DA" w14:textId="77777777" w:rsidR="0099383A" w:rsidRDefault="00197811">
                          <w:pPr>
                            <w:pStyle w:val="StandaardReferentiegegevensKop"/>
                          </w:pPr>
                          <w:r>
                            <w:t>Bijlage</w:t>
                          </w:r>
                        </w:p>
                        <w:p w14:paraId="6EA416DB" w14:textId="77777777" w:rsidR="0099383A" w:rsidRDefault="007A7D28">
                          <w:pPr>
                            <w:pStyle w:val="StandaardReferentiegegevens"/>
                          </w:pPr>
                          <w:r w:rsidRPr="001543F3">
                            <w:t>1. Gateway Review</w:t>
                          </w:r>
                        </w:p>
                      </w:txbxContent>
                    </wps:txbx>
                    <wps:bodyPr vert="horz" wrap="square" lIns="0" tIns="0" rIns="0" bIns="0" anchor="t" anchorCtr="0"/>
                  </wps:wsp>
                </a:graphicData>
              </a:graphic>
            </wp:anchor>
          </w:drawing>
        </mc:Choice>
        <mc:Fallback>
          <w:pict>
            <v:shape w14:anchorId="70CD9B80"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CE764C2" w14:textId="77777777" w:rsidR="0099383A" w:rsidRDefault="00197811">
                    <w:pPr>
                      <w:pStyle w:val="StandaardReferentiegegevens"/>
                    </w:pPr>
                    <w:r>
                      <w:t>Korte Voorhout 7</w:t>
                    </w:r>
                  </w:p>
                  <w:p w14:paraId="44113201" w14:textId="77777777" w:rsidR="0099383A" w:rsidRDefault="00197811">
                    <w:pPr>
                      <w:pStyle w:val="StandaardReferentiegegevens"/>
                    </w:pPr>
                    <w:r>
                      <w:t>2511 CW  's-Gravenhage</w:t>
                    </w:r>
                  </w:p>
                  <w:p w14:paraId="62B82DCC" w14:textId="77777777" w:rsidR="0099383A" w:rsidRDefault="00197811">
                    <w:pPr>
                      <w:pStyle w:val="StandaardReferentiegegevens"/>
                    </w:pPr>
                    <w:r>
                      <w:t>POSTBUS 20201</w:t>
                    </w:r>
                  </w:p>
                  <w:p w14:paraId="4EC1D85B" w14:textId="77777777" w:rsidR="0099383A" w:rsidRPr="00A403B3" w:rsidRDefault="00197811">
                    <w:pPr>
                      <w:pStyle w:val="StandaardReferentiegegevens"/>
                      <w:rPr>
                        <w:lang w:val="es-ES"/>
                      </w:rPr>
                    </w:pPr>
                    <w:r w:rsidRPr="00A403B3">
                      <w:rPr>
                        <w:lang w:val="es-ES"/>
                      </w:rPr>
                      <w:t xml:space="preserve">2500 </w:t>
                    </w:r>
                    <w:proofErr w:type="gramStart"/>
                    <w:r w:rsidRPr="00A403B3">
                      <w:rPr>
                        <w:lang w:val="es-ES"/>
                      </w:rPr>
                      <w:t>EE  '</w:t>
                    </w:r>
                    <w:proofErr w:type="gramEnd"/>
                    <w:r w:rsidRPr="00A403B3">
                      <w:rPr>
                        <w:lang w:val="es-ES"/>
                      </w:rPr>
                      <w:t>s-Gravenhage</w:t>
                    </w:r>
                  </w:p>
                  <w:p w14:paraId="7D95EE73" w14:textId="77777777" w:rsidR="0099383A" w:rsidRPr="00A403B3" w:rsidRDefault="00197811">
                    <w:pPr>
                      <w:pStyle w:val="StandaardReferentiegegevens"/>
                      <w:rPr>
                        <w:lang w:val="es-ES"/>
                      </w:rPr>
                    </w:pPr>
                    <w:r w:rsidRPr="00A403B3">
                      <w:rPr>
                        <w:lang w:val="es-ES"/>
                      </w:rPr>
                      <w:t>www.rijksoverheid.nl/fin</w:t>
                    </w:r>
                  </w:p>
                  <w:p w14:paraId="7BE9B858" w14:textId="77777777" w:rsidR="0099383A" w:rsidRPr="00A403B3" w:rsidRDefault="0099383A">
                    <w:pPr>
                      <w:pStyle w:val="WitregelW2"/>
                      <w:rPr>
                        <w:lang w:val="es-ES"/>
                      </w:rPr>
                    </w:pPr>
                  </w:p>
                  <w:p w14:paraId="505210DD" w14:textId="77777777" w:rsidR="0099383A" w:rsidRDefault="00197811">
                    <w:pPr>
                      <w:pStyle w:val="StandaardReferentiegegevensKop"/>
                    </w:pPr>
                    <w:r>
                      <w:t>Ons kenmerk</w:t>
                    </w:r>
                  </w:p>
                  <w:p w14:paraId="775DC2BA" w14:textId="77777777" w:rsidR="00942816" w:rsidRDefault="000E3DFE">
                    <w:pPr>
                      <w:pStyle w:val="StandaardReferentiegegevens"/>
                    </w:pPr>
                    <w:fldSimple w:instr=" DOCPROPERTY  &quot;Kenmerk&quot;  \* MERGEFORMAT ">
                      <w:r w:rsidR="00504902">
                        <w:t>2026-0000269893</w:t>
                      </w:r>
                    </w:fldSimple>
                  </w:p>
                  <w:p w14:paraId="63044E9B" w14:textId="77777777" w:rsidR="0099383A" w:rsidRDefault="0099383A">
                    <w:pPr>
                      <w:pStyle w:val="WitregelW1"/>
                    </w:pPr>
                  </w:p>
                  <w:p w14:paraId="37488606" w14:textId="77777777" w:rsidR="0099383A" w:rsidRDefault="00197811">
                    <w:pPr>
                      <w:pStyle w:val="StandaardReferentiegegevensKop"/>
                    </w:pPr>
                    <w:r>
                      <w:t>Uw brief (kenmerk)</w:t>
                    </w:r>
                  </w:p>
                  <w:p w14:paraId="744A555D" w14:textId="77777777" w:rsidR="0099383A" w:rsidRDefault="0099383A">
                    <w:pPr>
                      <w:pStyle w:val="WitregelW1"/>
                    </w:pPr>
                  </w:p>
                  <w:p w14:paraId="62B9D209" w14:textId="77777777" w:rsidR="008B581D" w:rsidRPr="008B581D" w:rsidRDefault="008B581D" w:rsidP="008B581D"/>
                  <w:p w14:paraId="0DBB89DA" w14:textId="77777777" w:rsidR="0099383A" w:rsidRDefault="00197811">
                    <w:pPr>
                      <w:pStyle w:val="StandaardReferentiegegevensKop"/>
                    </w:pPr>
                    <w:r>
                      <w:t>Bijlage</w:t>
                    </w:r>
                  </w:p>
                  <w:p w14:paraId="6EA416DB" w14:textId="77777777" w:rsidR="0099383A" w:rsidRDefault="007A7D28">
                    <w:pPr>
                      <w:pStyle w:val="StandaardReferentiegegevens"/>
                    </w:pPr>
                    <w:r w:rsidRPr="001543F3">
                      <w:t>1. Gateway Review</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3E031A24" wp14:editId="180EB25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355CFB1" w14:textId="77777777" w:rsidR="0099383A" w:rsidRDefault="0019781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E031A24"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355CFB1" w14:textId="77777777" w:rsidR="0099383A" w:rsidRDefault="0019781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06DC9697" wp14:editId="5789D04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B062FE9" w14:textId="77777777" w:rsidR="00A7381B" w:rsidRDefault="00504902">
                          <w:pPr>
                            <w:pStyle w:val="Rubricering"/>
                          </w:pPr>
                          <w:r>
                            <w:fldChar w:fldCharType="begin"/>
                          </w:r>
                          <w:r>
                            <w:instrText xml:space="preserve"> DOCPROPERTY  "Rubricering"  \* MERGEFORMAT </w:instrText>
                          </w:r>
                          <w:r>
                            <w:fldChar w:fldCharType="end"/>
                          </w:r>
                        </w:p>
                        <w:p w14:paraId="6768EA83" w14:textId="77777777" w:rsidR="00504902" w:rsidRDefault="00197811">
                          <w:r>
                            <w:fldChar w:fldCharType="begin"/>
                          </w:r>
                          <w:r w:rsidR="00504902">
                            <w:instrText xml:space="preserve"> DOCPROPERTY  "Aan"  \* MERGEFORMAT </w:instrText>
                          </w:r>
                          <w:r>
                            <w:fldChar w:fldCharType="separate"/>
                          </w:r>
                          <w:r w:rsidR="00504902">
                            <w:t>Voorzitter van de Tweede Kamer der Staten-Generaal</w:t>
                          </w:r>
                        </w:p>
                        <w:p w14:paraId="3EF9A0F2" w14:textId="77777777" w:rsidR="00504902" w:rsidRDefault="00504902">
                          <w:r>
                            <w:t>Postbus 20018</w:t>
                          </w:r>
                        </w:p>
                        <w:p w14:paraId="09A03956" w14:textId="77777777" w:rsidR="00504902" w:rsidRDefault="00504902">
                          <w:r>
                            <w:t>2500 EA  DEN HAAG</w:t>
                          </w:r>
                        </w:p>
                        <w:p w14:paraId="62C44E6A" w14:textId="77777777" w:rsidR="0099383A" w:rsidRDefault="00197811">
                          <w:r>
                            <w:fldChar w:fldCharType="end"/>
                          </w:r>
                        </w:p>
                      </w:txbxContent>
                    </wps:txbx>
                    <wps:bodyPr vert="horz" wrap="square" lIns="0" tIns="0" rIns="0" bIns="0" anchor="t" anchorCtr="0"/>
                  </wps:wsp>
                </a:graphicData>
              </a:graphic>
            </wp:anchor>
          </w:drawing>
        </mc:Choice>
        <mc:Fallback>
          <w:pict>
            <v:shape w14:anchorId="06DC9697"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B062FE9" w14:textId="77777777" w:rsidR="00A7381B" w:rsidRDefault="00504902">
                    <w:pPr>
                      <w:pStyle w:val="Rubricering"/>
                    </w:pPr>
                    <w:r>
                      <w:fldChar w:fldCharType="begin"/>
                    </w:r>
                    <w:r>
                      <w:instrText xml:space="preserve"> DOCPROPERTY  "Rubricering"  \* MERGEFORMAT </w:instrText>
                    </w:r>
                    <w:r>
                      <w:fldChar w:fldCharType="end"/>
                    </w:r>
                  </w:p>
                  <w:p w14:paraId="6768EA83" w14:textId="77777777" w:rsidR="00504902" w:rsidRDefault="00197811">
                    <w:r>
                      <w:fldChar w:fldCharType="begin"/>
                    </w:r>
                    <w:r w:rsidR="00504902">
                      <w:instrText xml:space="preserve"> DOCPROPERTY  "Aan"  \* MERGEFORMAT </w:instrText>
                    </w:r>
                    <w:r>
                      <w:fldChar w:fldCharType="separate"/>
                    </w:r>
                    <w:r w:rsidR="00504902">
                      <w:t>Voorzitter van de Tweede Kamer der Staten-Generaal</w:t>
                    </w:r>
                  </w:p>
                  <w:p w14:paraId="3EF9A0F2" w14:textId="77777777" w:rsidR="00504902" w:rsidRDefault="00504902">
                    <w:r>
                      <w:t>Postbus 20018</w:t>
                    </w:r>
                  </w:p>
                  <w:p w14:paraId="09A03956" w14:textId="77777777" w:rsidR="00504902" w:rsidRDefault="00504902">
                    <w:r>
                      <w:t>2500 EA  DEN HAAG</w:t>
                    </w:r>
                  </w:p>
                  <w:p w14:paraId="62C44E6A" w14:textId="77777777" w:rsidR="0099383A" w:rsidRDefault="00197811">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5D093C0B" wp14:editId="4651479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609BC68" w14:textId="77777777" w:rsidR="00A7381B" w:rsidRDefault="0050490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093C0B"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609BC68" w14:textId="77777777" w:rsidR="00A7381B" w:rsidRDefault="0050490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373349C9" wp14:editId="45A2822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99383A" w14:paraId="1406F2C7" w14:textId="77777777" w:rsidTr="007A7D28">
                            <w:trPr>
                              <w:trHeight w:val="200"/>
                            </w:trPr>
                            <w:tc>
                              <w:tcPr>
                                <w:tcW w:w="1140" w:type="dxa"/>
                              </w:tcPr>
                              <w:p w14:paraId="3EAB7133" w14:textId="77777777" w:rsidR="0099383A" w:rsidRDefault="0099383A"/>
                            </w:tc>
                            <w:tc>
                              <w:tcPr>
                                <w:tcW w:w="5400" w:type="dxa"/>
                              </w:tcPr>
                              <w:p w14:paraId="522296FB" w14:textId="77777777" w:rsidR="0099383A" w:rsidRDefault="0099383A"/>
                            </w:tc>
                          </w:tr>
                          <w:tr w:rsidR="0099383A" w14:paraId="02BD4EA3" w14:textId="77777777" w:rsidTr="007A7D28">
                            <w:trPr>
                              <w:trHeight w:val="240"/>
                            </w:trPr>
                            <w:tc>
                              <w:tcPr>
                                <w:tcW w:w="1140" w:type="dxa"/>
                              </w:tcPr>
                              <w:p w14:paraId="699C7CBB" w14:textId="77777777" w:rsidR="0099383A" w:rsidRDefault="00197811">
                                <w:r>
                                  <w:t>Datum</w:t>
                                </w:r>
                              </w:p>
                            </w:tc>
                            <w:tc>
                              <w:tcPr>
                                <w:tcW w:w="5400" w:type="dxa"/>
                              </w:tcPr>
                              <w:p w14:paraId="3369F3DE" w14:textId="1BEC29E5" w:rsidR="0099383A" w:rsidRDefault="00504902">
                                <w:r>
                                  <w:t>29 juni 2026</w:t>
                                </w:r>
                              </w:p>
                            </w:tc>
                          </w:tr>
                          <w:tr w:rsidR="007A7D28" w14:paraId="6F456833" w14:textId="77777777" w:rsidTr="007A7D28">
                            <w:trPr>
                              <w:trHeight w:val="240"/>
                            </w:trPr>
                            <w:tc>
                              <w:tcPr>
                                <w:tcW w:w="1140" w:type="dxa"/>
                              </w:tcPr>
                              <w:p w14:paraId="337E8587" w14:textId="77777777" w:rsidR="007A7D28" w:rsidRDefault="007A7D28" w:rsidP="007A7D28">
                                <w:r>
                                  <w:t>Betreft</w:t>
                                </w:r>
                              </w:p>
                            </w:tc>
                            <w:tc>
                              <w:tcPr>
                                <w:tcW w:w="5400" w:type="dxa"/>
                              </w:tcPr>
                              <w:p w14:paraId="17D55C5F" w14:textId="77777777" w:rsidR="007A7D28" w:rsidRDefault="000E3DFE" w:rsidP="007A7D28">
                                <w:fldSimple w:instr=" DOCPROPERTY  &quot;Onderwerp&quot;  \* MERGEFORMAT ">
                                  <w:r w:rsidR="00504902">
                                    <w:t>Herijking Fiscaal Inzagerecht</w:t>
                                  </w:r>
                                </w:fldSimple>
                              </w:p>
                            </w:tc>
                          </w:tr>
                          <w:tr w:rsidR="0099383A" w14:paraId="7986A076" w14:textId="77777777" w:rsidTr="007A7D28">
                            <w:trPr>
                              <w:trHeight w:val="200"/>
                            </w:trPr>
                            <w:tc>
                              <w:tcPr>
                                <w:tcW w:w="1140" w:type="dxa"/>
                              </w:tcPr>
                              <w:p w14:paraId="54BB5580" w14:textId="77777777" w:rsidR="0099383A" w:rsidRDefault="0099383A"/>
                            </w:tc>
                            <w:tc>
                              <w:tcPr>
                                <w:tcW w:w="5400" w:type="dxa"/>
                              </w:tcPr>
                              <w:p w14:paraId="31CBFBC6" w14:textId="77777777" w:rsidR="0099383A" w:rsidRDefault="0099383A"/>
                            </w:tc>
                          </w:tr>
                        </w:tbl>
                        <w:p w14:paraId="3CC6BE49" w14:textId="77777777" w:rsidR="00197811" w:rsidRDefault="00197811"/>
                      </w:txbxContent>
                    </wps:txbx>
                    <wps:bodyPr vert="horz" wrap="square" lIns="0" tIns="0" rIns="0" bIns="0" anchor="t" anchorCtr="0"/>
                  </wps:wsp>
                </a:graphicData>
              </a:graphic>
            </wp:anchor>
          </w:drawing>
        </mc:Choice>
        <mc:Fallback>
          <w:pict>
            <v:shape w14:anchorId="373349C9"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6540" w:type="dxa"/>
                      <w:tblLayout w:type="fixed"/>
                      <w:tblLook w:val="07E0" w:firstRow="1" w:lastRow="1" w:firstColumn="1" w:lastColumn="1" w:noHBand="1" w:noVBand="1"/>
                    </w:tblPr>
                    <w:tblGrid>
                      <w:gridCol w:w="1140"/>
                      <w:gridCol w:w="5400"/>
                    </w:tblGrid>
                    <w:tr w:rsidR="0099383A" w14:paraId="1406F2C7" w14:textId="77777777" w:rsidTr="007A7D28">
                      <w:trPr>
                        <w:trHeight w:val="200"/>
                      </w:trPr>
                      <w:tc>
                        <w:tcPr>
                          <w:tcW w:w="1140" w:type="dxa"/>
                        </w:tcPr>
                        <w:p w14:paraId="3EAB7133" w14:textId="77777777" w:rsidR="0099383A" w:rsidRDefault="0099383A"/>
                      </w:tc>
                      <w:tc>
                        <w:tcPr>
                          <w:tcW w:w="5400" w:type="dxa"/>
                        </w:tcPr>
                        <w:p w14:paraId="522296FB" w14:textId="77777777" w:rsidR="0099383A" w:rsidRDefault="0099383A"/>
                      </w:tc>
                    </w:tr>
                    <w:tr w:rsidR="0099383A" w14:paraId="02BD4EA3" w14:textId="77777777" w:rsidTr="007A7D28">
                      <w:trPr>
                        <w:trHeight w:val="240"/>
                      </w:trPr>
                      <w:tc>
                        <w:tcPr>
                          <w:tcW w:w="1140" w:type="dxa"/>
                        </w:tcPr>
                        <w:p w14:paraId="699C7CBB" w14:textId="77777777" w:rsidR="0099383A" w:rsidRDefault="00197811">
                          <w:r>
                            <w:t>Datum</w:t>
                          </w:r>
                        </w:p>
                      </w:tc>
                      <w:tc>
                        <w:tcPr>
                          <w:tcW w:w="5400" w:type="dxa"/>
                        </w:tcPr>
                        <w:p w14:paraId="3369F3DE" w14:textId="1BEC29E5" w:rsidR="0099383A" w:rsidRDefault="00504902">
                          <w:r>
                            <w:t>29 juni 2026</w:t>
                          </w:r>
                        </w:p>
                      </w:tc>
                    </w:tr>
                    <w:tr w:rsidR="007A7D28" w14:paraId="6F456833" w14:textId="77777777" w:rsidTr="007A7D28">
                      <w:trPr>
                        <w:trHeight w:val="240"/>
                      </w:trPr>
                      <w:tc>
                        <w:tcPr>
                          <w:tcW w:w="1140" w:type="dxa"/>
                        </w:tcPr>
                        <w:p w14:paraId="337E8587" w14:textId="77777777" w:rsidR="007A7D28" w:rsidRDefault="007A7D28" w:rsidP="007A7D28">
                          <w:r>
                            <w:t>Betreft</w:t>
                          </w:r>
                        </w:p>
                      </w:tc>
                      <w:tc>
                        <w:tcPr>
                          <w:tcW w:w="5400" w:type="dxa"/>
                        </w:tcPr>
                        <w:p w14:paraId="17D55C5F" w14:textId="77777777" w:rsidR="007A7D28" w:rsidRDefault="000E3DFE" w:rsidP="007A7D28">
                          <w:fldSimple w:instr=" DOCPROPERTY  &quot;Onderwerp&quot;  \* MERGEFORMAT ">
                            <w:r w:rsidR="00504902">
                              <w:t>Herijking Fiscaal Inzagerecht</w:t>
                            </w:r>
                          </w:fldSimple>
                        </w:p>
                      </w:tc>
                    </w:tr>
                    <w:tr w:rsidR="0099383A" w14:paraId="7986A076" w14:textId="77777777" w:rsidTr="007A7D28">
                      <w:trPr>
                        <w:trHeight w:val="200"/>
                      </w:trPr>
                      <w:tc>
                        <w:tcPr>
                          <w:tcW w:w="1140" w:type="dxa"/>
                        </w:tcPr>
                        <w:p w14:paraId="54BB5580" w14:textId="77777777" w:rsidR="0099383A" w:rsidRDefault="0099383A"/>
                      </w:tc>
                      <w:tc>
                        <w:tcPr>
                          <w:tcW w:w="5400" w:type="dxa"/>
                        </w:tcPr>
                        <w:p w14:paraId="31CBFBC6" w14:textId="77777777" w:rsidR="0099383A" w:rsidRDefault="0099383A"/>
                      </w:tc>
                    </w:tr>
                  </w:tbl>
                  <w:p w14:paraId="3CC6BE49" w14:textId="77777777" w:rsidR="00197811" w:rsidRDefault="00197811"/>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06670B3A" wp14:editId="3A265E6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FA1A45F" w14:textId="77777777" w:rsidR="00A7381B" w:rsidRDefault="0050490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670B3A"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FA1A45F" w14:textId="77777777" w:rsidR="00A7381B" w:rsidRDefault="0050490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6CFF6C74" wp14:editId="1DF08758">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DC377F2" w14:textId="77777777" w:rsidR="00197811" w:rsidRDefault="00197811"/>
                      </w:txbxContent>
                    </wps:txbx>
                    <wps:bodyPr vert="horz" wrap="square" lIns="0" tIns="0" rIns="0" bIns="0" anchor="t" anchorCtr="0"/>
                  </wps:wsp>
                </a:graphicData>
              </a:graphic>
            </wp:anchor>
          </w:drawing>
        </mc:Choice>
        <mc:Fallback>
          <w:pict>
            <v:shape w14:anchorId="6CFF6C74"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DC377F2" w14:textId="77777777" w:rsidR="00197811" w:rsidRDefault="0019781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7294E"/>
    <w:multiLevelType w:val="multilevel"/>
    <w:tmpl w:val="48C0AA6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946244"/>
    <w:multiLevelType w:val="multilevel"/>
    <w:tmpl w:val="1FA3064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F174A3"/>
    <w:multiLevelType w:val="multilevel"/>
    <w:tmpl w:val="8949A4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3FDB789"/>
    <w:multiLevelType w:val="multilevel"/>
    <w:tmpl w:val="0B56D93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CE7756"/>
    <w:multiLevelType w:val="hybridMultilevel"/>
    <w:tmpl w:val="E88851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8B1B65"/>
    <w:multiLevelType w:val="multilevel"/>
    <w:tmpl w:val="67581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33A16"/>
    <w:multiLevelType w:val="multilevel"/>
    <w:tmpl w:val="2EDC0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32914"/>
    <w:multiLevelType w:val="hybridMultilevel"/>
    <w:tmpl w:val="24287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A4C78B8"/>
    <w:multiLevelType w:val="hybridMultilevel"/>
    <w:tmpl w:val="03EA6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E15978"/>
    <w:multiLevelType w:val="multilevel"/>
    <w:tmpl w:val="122EA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B0398"/>
    <w:multiLevelType w:val="hybridMultilevel"/>
    <w:tmpl w:val="4DBEF54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126673D"/>
    <w:multiLevelType w:val="hybridMultilevel"/>
    <w:tmpl w:val="CD801BA2"/>
    <w:lvl w:ilvl="0" w:tplc="7726567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7A5835"/>
    <w:multiLevelType w:val="hybridMultilevel"/>
    <w:tmpl w:val="4E4E71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E1286F5"/>
    <w:multiLevelType w:val="multilevel"/>
    <w:tmpl w:val="5AC481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BA62F3"/>
    <w:multiLevelType w:val="hybridMultilevel"/>
    <w:tmpl w:val="9E9E8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11508F"/>
    <w:multiLevelType w:val="multilevel"/>
    <w:tmpl w:val="8CA06F78"/>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6" w15:restartNumberingAfterBreak="0">
    <w:nsid w:val="400A0883"/>
    <w:multiLevelType w:val="hybridMultilevel"/>
    <w:tmpl w:val="6EECC47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4B76063"/>
    <w:multiLevelType w:val="hybridMultilevel"/>
    <w:tmpl w:val="062C2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F9419F"/>
    <w:multiLevelType w:val="hybridMultilevel"/>
    <w:tmpl w:val="96329E7C"/>
    <w:lvl w:ilvl="0" w:tplc="C7163C6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342E18"/>
    <w:multiLevelType w:val="hybridMultilevel"/>
    <w:tmpl w:val="EDACA452"/>
    <w:lvl w:ilvl="0" w:tplc="685295D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44A003"/>
    <w:multiLevelType w:val="multilevel"/>
    <w:tmpl w:val="1C4EC8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4AC40BD2"/>
    <w:multiLevelType w:val="hybridMultilevel"/>
    <w:tmpl w:val="6B389C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7F77727"/>
    <w:multiLevelType w:val="hybridMultilevel"/>
    <w:tmpl w:val="BD14636E"/>
    <w:lvl w:ilvl="0" w:tplc="E524113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B91F14"/>
    <w:multiLevelType w:val="hybridMultilevel"/>
    <w:tmpl w:val="C2B653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541AB2"/>
    <w:multiLevelType w:val="multilevel"/>
    <w:tmpl w:val="A38A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E696B"/>
    <w:multiLevelType w:val="hybridMultilevel"/>
    <w:tmpl w:val="08BEE1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D517902"/>
    <w:multiLevelType w:val="hybridMultilevel"/>
    <w:tmpl w:val="C2EEAD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F431AF1"/>
    <w:multiLevelType w:val="multilevel"/>
    <w:tmpl w:val="6C80C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712A0B"/>
    <w:multiLevelType w:val="hybridMultilevel"/>
    <w:tmpl w:val="FF40F1B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B61278"/>
    <w:multiLevelType w:val="hybridMultilevel"/>
    <w:tmpl w:val="71089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CC4B43"/>
    <w:multiLevelType w:val="hybridMultilevel"/>
    <w:tmpl w:val="15CCB2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A502338"/>
    <w:multiLevelType w:val="multilevel"/>
    <w:tmpl w:val="B23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8853FE"/>
    <w:multiLevelType w:val="hybridMultilevel"/>
    <w:tmpl w:val="E37CB8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990471783">
    <w:abstractNumId w:val="1"/>
  </w:num>
  <w:num w:numId="2" w16cid:durableId="1419717265">
    <w:abstractNumId w:val="3"/>
  </w:num>
  <w:num w:numId="3" w16cid:durableId="277374408">
    <w:abstractNumId w:val="20"/>
  </w:num>
  <w:num w:numId="4" w16cid:durableId="746657794">
    <w:abstractNumId w:val="2"/>
  </w:num>
  <w:num w:numId="5" w16cid:durableId="801311213">
    <w:abstractNumId w:val="0"/>
  </w:num>
  <w:num w:numId="6" w16cid:durableId="1307470976">
    <w:abstractNumId w:val="13"/>
  </w:num>
  <w:num w:numId="7" w16cid:durableId="564220580">
    <w:abstractNumId w:val="10"/>
  </w:num>
  <w:num w:numId="8" w16cid:durableId="2104498210">
    <w:abstractNumId w:val="26"/>
  </w:num>
  <w:num w:numId="9" w16cid:durableId="2009478093">
    <w:abstractNumId w:val="5"/>
  </w:num>
  <w:num w:numId="10" w16cid:durableId="580913979">
    <w:abstractNumId w:val="10"/>
  </w:num>
  <w:num w:numId="11" w16cid:durableId="2828449">
    <w:abstractNumId w:val="26"/>
  </w:num>
  <w:num w:numId="12" w16cid:durableId="924337516">
    <w:abstractNumId w:val="29"/>
  </w:num>
  <w:num w:numId="13" w16cid:durableId="1314868953">
    <w:abstractNumId w:val="25"/>
  </w:num>
  <w:num w:numId="14" w16cid:durableId="281765845">
    <w:abstractNumId w:val="24"/>
  </w:num>
  <w:num w:numId="15" w16cid:durableId="609091950">
    <w:abstractNumId w:val="25"/>
  </w:num>
  <w:num w:numId="16" w16cid:durableId="1125738860">
    <w:abstractNumId w:val="8"/>
  </w:num>
  <w:num w:numId="17" w16cid:durableId="990064631">
    <w:abstractNumId w:val="17"/>
  </w:num>
  <w:num w:numId="18" w16cid:durableId="1891501453">
    <w:abstractNumId w:val="15"/>
  </w:num>
  <w:num w:numId="19" w16cid:durableId="548763867">
    <w:abstractNumId w:val="19"/>
  </w:num>
  <w:num w:numId="20" w16cid:durableId="1775438222">
    <w:abstractNumId w:val="11"/>
  </w:num>
  <w:num w:numId="21" w16cid:durableId="492987042">
    <w:abstractNumId w:val="12"/>
  </w:num>
  <w:num w:numId="22" w16cid:durableId="1428041842">
    <w:abstractNumId w:val="14"/>
  </w:num>
  <w:num w:numId="23" w16cid:durableId="1495030891">
    <w:abstractNumId w:val="16"/>
  </w:num>
  <w:num w:numId="24" w16cid:durableId="615983205">
    <w:abstractNumId w:val="28"/>
  </w:num>
  <w:num w:numId="25" w16cid:durableId="1635914207">
    <w:abstractNumId w:val="23"/>
  </w:num>
  <w:num w:numId="26" w16cid:durableId="2144304339">
    <w:abstractNumId w:val="22"/>
  </w:num>
  <w:num w:numId="27" w16cid:durableId="1662153204">
    <w:abstractNumId w:val="18"/>
  </w:num>
  <w:num w:numId="28" w16cid:durableId="300766616">
    <w:abstractNumId w:val="9"/>
  </w:num>
  <w:num w:numId="29" w16cid:durableId="1924755872">
    <w:abstractNumId w:val="27"/>
  </w:num>
  <w:num w:numId="30" w16cid:durableId="1001736781">
    <w:abstractNumId w:val="6"/>
  </w:num>
  <w:num w:numId="31" w16cid:durableId="557783178">
    <w:abstractNumId w:val="31"/>
  </w:num>
  <w:num w:numId="32" w16cid:durableId="1219778407">
    <w:abstractNumId w:val="21"/>
  </w:num>
  <w:num w:numId="33" w16cid:durableId="2133133127">
    <w:abstractNumId w:val="7"/>
  </w:num>
  <w:num w:numId="34" w16cid:durableId="366370300">
    <w:abstractNumId w:val="7"/>
  </w:num>
  <w:num w:numId="35" w16cid:durableId="190653238">
    <w:abstractNumId w:val="30"/>
  </w:num>
  <w:num w:numId="36" w16cid:durableId="179394062">
    <w:abstractNumId w:val="32"/>
  </w:num>
  <w:num w:numId="37" w16cid:durableId="1882470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B3"/>
    <w:rsid w:val="00000D15"/>
    <w:rsid w:val="00002CCE"/>
    <w:rsid w:val="000031BC"/>
    <w:rsid w:val="000037D6"/>
    <w:rsid w:val="0000662F"/>
    <w:rsid w:val="00011C7D"/>
    <w:rsid w:val="00011E41"/>
    <w:rsid w:val="00012B0E"/>
    <w:rsid w:val="0001487C"/>
    <w:rsid w:val="00022060"/>
    <w:rsid w:val="000277E9"/>
    <w:rsid w:val="00030A63"/>
    <w:rsid w:val="0003112A"/>
    <w:rsid w:val="00040E77"/>
    <w:rsid w:val="000414FB"/>
    <w:rsid w:val="00042007"/>
    <w:rsid w:val="0004389F"/>
    <w:rsid w:val="000476ED"/>
    <w:rsid w:val="00052CE3"/>
    <w:rsid w:val="000609DB"/>
    <w:rsid w:val="0006755B"/>
    <w:rsid w:val="00067805"/>
    <w:rsid w:val="00067FC5"/>
    <w:rsid w:val="00070002"/>
    <w:rsid w:val="00072AD6"/>
    <w:rsid w:val="00073B52"/>
    <w:rsid w:val="000761A4"/>
    <w:rsid w:val="000845D8"/>
    <w:rsid w:val="00085976"/>
    <w:rsid w:val="000873E7"/>
    <w:rsid w:val="00090310"/>
    <w:rsid w:val="00094917"/>
    <w:rsid w:val="000A12E0"/>
    <w:rsid w:val="000A3C5D"/>
    <w:rsid w:val="000A415D"/>
    <w:rsid w:val="000A69C7"/>
    <w:rsid w:val="000B075E"/>
    <w:rsid w:val="000B22BD"/>
    <w:rsid w:val="000B2F31"/>
    <w:rsid w:val="000B704D"/>
    <w:rsid w:val="000B7E31"/>
    <w:rsid w:val="000C117E"/>
    <w:rsid w:val="000C6283"/>
    <w:rsid w:val="000C6F76"/>
    <w:rsid w:val="000E139F"/>
    <w:rsid w:val="000E3091"/>
    <w:rsid w:val="000E32F1"/>
    <w:rsid w:val="000E3DFE"/>
    <w:rsid w:val="000E46F2"/>
    <w:rsid w:val="000E7505"/>
    <w:rsid w:val="000F712A"/>
    <w:rsid w:val="000F7C33"/>
    <w:rsid w:val="0010316B"/>
    <w:rsid w:val="00103289"/>
    <w:rsid w:val="001049CD"/>
    <w:rsid w:val="00106260"/>
    <w:rsid w:val="0010680C"/>
    <w:rsid w:val="001078DF"/>
    <w:rsid w:val="0011174D"/>
    <w:rsid w:val="0011766D"/>
    <w:rsid w:val="001206C1"/>
    <w:rsid w:val="00120BD7"/>
    <w:rsid w:val="00123A19"/>
    <w:rsid w:val="00125B68"/>
    <w:rsid w:val="001267AE"/>
    <w:rsid w:val="00137624"/>
    <w:rsid w:val="00140901"/>
    <w:rsid w:val="00140F5A"/>
    <w:rsid w:val="001415D5"/>
    <w:rsid w:val="00142FFA"/>
    <w:rsid w:val="00144AC0"/>
    <w:rsid w:val="001471FF"/>
    <w:rsid w:val="0015410D"/>
    <w:rsid w:val="001543F3"/>
    <w:rsid w:val="00160C24"/>
    <w:rsid w:val="0016167B"/>
    <w:rsid w:val="0016334C"/>
    <w:rsid w:val="00163370"/>
    <w:rsid w:val="0016765D"/>
    <w:rsid w:val="0017135F"/>
    <w:rsid w:val="00175400"/>
    <w:rsid w:val="00176832"/>
    <w:rsid w:val="0017772E"/>
    <w:rsid w:val="00180611"/>
    <w:rsid w:val="00181BA6"/>
    <w:rsid w:val="00182C76"/>
    <w:rsid w:val="00184074"/>
    <w:rsid w:val="00185526"/>
    <w:rsid w:val="00185578"/>
    <w:rsid w:val="001918C1"/>
    <w:rsid w:val="00191D79"/>
    <w:rsid w:val="0019311D"/>
    <w:rsid w:val="0019341E"/>
    <w:rsid w:val="001952C8"/>
    <w:rsid w:val="0019716F"/>
    <w:rsid w:val="00197811"/>
    <w:rsid w:val="001A0421"/>
    <w:rsid w:val="001A0D11"/>
    <w:rsid w:val="001A327F"/>
    <w:rsid w:val="001A4ED2"/>
    <w:rsid w:val="001A658D"/>
    <w:rsid w:val="001B28E9"/>
    <w:rsid w:val="001B2AF5"/>
    <w:rsid w:val="001B3233"/>
    <w:rsid w:val="001B3507"/>
    <w:rsid w:val="001B372A"/>
    <w:rsid w:val="001B67D1"/>
    <w:rsid w:val="001C0782"/>
    <w:rsid w:val="001C1352"/>
    <w:rsid w:val="001C3920"/>
    <w:rsid w:val="001C4CDE"/>
    <w:rsid w:val="001C646A"/>
    <w:rsid w:val="001C6730"/>
    <w:rsid w:val="001D062F"/>
    <w:rsid w:val="001D1EEF"/>
    <w:rsid w:val="001D3938"/>
    <w:rsid w:val="001D4D14"/>
    <w:rsid w:val="001E38ED"/>
    <w:rsid w:val="001E4530"/>
    <w:rsid w:val="001E5BB7"/>
    <w:rsid w:val="001E74C4"/>
    <w:rsid w:val="001F0E8C"/>
    <w:rsid w:val="001F220E"/>
    <w:rsid w:val="001F3E49"/>
    <w:rsid w:val="001F41BD"/>
    <w:rsid w:val="001F6937"/>
    <w:rsid w:val="001F7AA4"/>
    <w:rsid w:val="0021078D"/>
    <w:rsid w:val="00214938"/>
    <w:rsid w:val="00214BF4"/>
    <w:rsid w:val="00225467"/>
    <w:rsid w:val="00226D7F"/>
    <w:rsid w:val="002276B4"/>
    <w:rsid w:val="00230EC8"/>
    <w:rsid w:val="002354D1"/>
    <w:rsid w:val="00244B4E"/>
    <w:rsid w:val="002469E6"/>
    <w:rsid w:val="00251759"/>
    <w:rsid w:val="00254EC1"/>
    <w:rsid w:val="00255F34"/>
    <w:rsid w:val="002618CB"/>
    <w:rsid w:val="00262569"/>
    <w:rsid w:val="00262B32"/>
    <w:rsid w:val="00265945"/>
    <w:rsid w:val="0026682B"/>
    <w:rsid w:val="002729D1"/>
    <w:rsid w:val="00272C68"/>
    <w:rsid w:val="00275B0D"/>
    <w:rsid w:val="00276D4F"/>
    <w:rsid w:val="002809C1"/>
    <w:rsid w:val="00280F48"/>
    <w:rsid w:val="002819DE"/>
    <w:rsid w:val="00282C2B"/>
    <w:rsid w:val="0028617A"/>
    <w:rsid w:val="00287092"/>
    <w:rsid w:val="002904EF"/>
    <w:rsid w:val="00290BC0"/>
    <w:rsid w:val="00292A2B"/>
    <w:rsid w:val="00293BC3"/>
    <w:rsid w:val="00294716"/>
    <w:rsid w:val="00296F05"/>
    <w:rsid w:val="002977A8"/>
    <w:rsid w:val="002A2A4A"/>
    <w:rsid w:val="002A32F2"/>
    <w:rsid w:val="002A378A"/>
    <w:rsid w:val="002A3D8A"/>
    <w:rsid w:val="002A53D6"/>
    <w:rsid w:val="002A5D2A"/>
    <w:rsid w:val="002A61E2"/>
    <w:rsid w:val="002A6369"/>
    <w:rsid w:val="002A79C0"/>
    <w:rsid w:val="002B05DD"/>
    <w:rsid w:val="002B18D8"/>
    <w:rsid w:val="002B4781"/>
    <w:rsid w:val="002B496E"/>
    <w:rsid w:val="002B7F91"/>
    <w:rsid w:val="002C13C7"/>
    <w:rsid w:val="002C2653"/>
    <w:rsid w:val="002C6C8F"/>
    <w:rsid w:val="002D0209"/>
    <w:rsid w:val="002D322A"/>
    <w:rsid w:val="002D53FF"/>
    <w:rsid w:val="002D57EA"/>
    <w:rsid w:val="002E232E"/>
    <w:rsid w:val="002E342F"/>
    <w:rsid w:val="002E3510"/>
    <w:rsid w:val="002E3D00"/>
    <w:rsid w:val="002E69C1"/>
    <w:rsid w:val="002F16EA"/>
    <w:rsid w:val="002F2F8C"/>
    <w:rsid w:val="002F30E7"/>
    <w:rsid w:val="002F6BAA"/>
    <w:rsid w:val="0030107A"/>
    <w:rsid w:val="003011E7"/>
    <w:rsid w:val="003051AF"/>
    <w:rsid w:val="0030637F"/>
    <w:rsid w:val="003101A7"/>
    <w:rsid w:val="003141F2"/>
    <w:rsid w:val="00320C44"/>
    <w:rsid w:val="00321A39"/>
    <w:rsid w:val="00323FE7"/>
    <w:rsid w:val="003256FC"/>
    <w:rsid w:val="003277C0"/>
    <w:rsid w:val="00332AC4"/>
    <w:rsid w:val="003414F8"/>
    <w:rsid w:val="003502B9"/>
    <w:rsid w:val="00351D9A"/>
    <w:rsid w:val="00352893"/>
    <w:rsid w:val="00353504"/>
    <w:rsid w:val="00353742"/>
    <w:rsid w:val="00354541"/>
    <w:rsid w:val="00355A67"/>
    <w:rsid w:val="0035672E"/>
    <w:rsid w:val="00361171"/>
    <w:rsid w:val="0036443F"/>
    <w:rsid w:val="00365053"/>
    <w:rsid w:val="0036509D"/>
    <w:rsid w:val="003651AB"/>
    <w:rsid w:val="00366A66"/>
    <w:rsid w:val="00370B49"/>
    <w:rsid w:val="003735CF"/>
    <w:rsid w:val="00374F19"/>
    <w:rsid w:val="00375DB3"/>
    <w:rsid w:val="00377A14"/>
    <w:rsid w:val="00377DD2"/>
    <w:rsid w:val="00381812"/>
    <w:rsid w:val="00385AC2"/>
    <w:rsid w:val="00387D69"/>
    <w:rsid w:val="0039027B"/>
    <w:rsid w:val="003929D2"/>
    <w:rsid w:val="003962F1"/>
    <w:rsid w:val="003A09D4"/>
    <w:rsid w:val="003A7CEB"/>
    <w:rsid w:val="003C73A4"/>
    <w:rsid w:val="003D03F3"/>
    <w:rsid w:val="003D495A"/>
    <w:rsid w:val="003D55B9"/>
    <w:rsid w:val="003E1218"/>
    <w:rsid w:val="003E151A"/>
    <w:rsid w:val="003E3D64"/>
    <w:rsid w:val="003E59AD"/>
    <w:rsid w:val="003E79A7"/>
    <w:rsid w:val="003F0237"/>
    <w:rsid w:val="003F2E10"/>
    <w:rsid w:val="003F4917"/>
    <w:rsid w:val="003F5A63"/>
    <w:rsid w:val="00402C7F"/>
    <w:rsid w:val="004043B2"/>
    <w:rsid w:val="00404C7D"/>
    <w:rsid w:val="00404E6C"/>
    <w:rsid w:val="0040544A"/>
    <w:rsid w:val="0041259D"/>
    <w:rsid w:val="00412797"/>
    <w:rsid w:val="00413763"/>
    <w:rsid w:val="004169C5"/>
    <w:rsid w:val="004203E1"/>
    <w:rsid w:val="00421C9A"/>
    <w:rsid w:val="00421CE6"/>
    <w:rsid w:val="00433197"/>
    <w:rsid w:val="00434F02"/>
    <w:rsid w:val="004413F2"/>
    <w:rsid w:val="004414A4"/>
    <w:rsid w:val="0044550B"/>
    <w:rsid w:val="00446451"/>
    <w:rsid w:val="00447E9F"/>
    <w:rsid w:val="00450BC5"/>
    <w:rsid w:val="00451747"/>
    <w:rsid w:val="00453C97"/>
    <w:rsid w:val="00454BA5"/>
    <w:rsid w:val="00460E32"/>
    <w:rsid w:val="00466AC3"/>
    <w:rsid w:val="0047508E"/>
    <w:rsid w:val="004758D6"/>
    <w:rsid w:val="00480C4F"/>
    <w:rsid w:val="0048206D"/>
    <w:rsid w:val="004866A1"/>
    <w:rsid w:val="004872D0"/>
    <w:rsid w:val="00487567"/>
    <w:rsid w:val="0049523D"/>
    <w:rsid w:val="004B041B"/>
    <w:rsid w:val="004B2294"/>
    <w:rsid w:val="004B306E"/>
    <w:rsid w:val="004B3A1F"/>
    <w:rsid w:val="004B43FC"/>
    <w:rsid w:val="004B7332"/>
    <w:rsid w:val="004C56BC"/>
    <w:rsid w:val="004C59DF"/>
    <w:rsid w:val="004C717F"/>
    <w:rsid w:val="004D1EF3"/>
    <w:rsid w:val="004D3027"/>
    <w:rsid w:val="004D4158"/>
    <w:rsid w:val="004D4400"/>
    <w:rsid w:val="004D55C0"/>
    <w:rsid w:val="004D6460"/>
    <w:rsid w:val="004E550D"/>
    <w:rsid w:val="004E5D9E"/>
    <w:rsid w:val="004E7575"/>
    <w:rsid w:val="004F077C"/>
    <w:rsid w:val="004F1029"/>
    <w:rsid w:val="004F25CA"/>
    <w:rsid w:val="004F6341"/>
    <w:rsid w:val="004F6A5A"/>
    <w:rsid w:val="004F6DF4"/>
    <w:rsid w:val="00501ACF"/>
    <w:rsid w:val="005036CE"/>
    <w:rsid w:val="00504902"/>
    <w:rsid w:val="0050516E"/>
    <w:rsid w:val="0051020D"/>
    <w:rsid w:val="005111C7"/>
    <w:rsid w:val="00512E86"/>
    <w:rsid w:val="00514C36"/>
    <w:rsid w:val="005150E9"/>
    <w:rsid w:val="0051545E"/>
    <w:rsid w:val="005200D4"/>
    <w:rsid w:val="005238A8"/>
    <w:rsid w:val="005266FD"/>
    <w:rsid w:val="00527477"/>
    <w:rsid w:val="0053025A"/>
    <w:rsid w:val="00534177"/>
    <w:rsid w:val="00536C90"/>
    <w:rsid w:val="00541791"/>
    <w:rsid w:val="00543732"/>
    <w:rsid w:val="00550CD8"/>
    <w:rsid w:val="00551C63"/>
    <w:rsid w:val="00552C88"/>
    <w:rsid w:val="005536A0"/>
    <w:rsid w:val="0055661D"/>
    <w:rsid w:val="005615C5"/>
    <w:rsid w:val="00563C6F"/>
    <w:rsid w:val="00565484"/>
    <w:rsid w:val="00571C14"/>
    <w:rsid w:val="005741A3"/>
    <w:rsid w:val="005750D6"/>
    <w:rsid w:val="00577A44"/>
    <w:rsid w:val="0058044B"/>
    <w:rsid w:val="00581D49"/>
    <w:rsid w:val="00583B97"/>
    <w:rsid w:val="005856C9"/>
    <w:rsid w:val="00592E14"/>
    <w:rsid w:val="005A161E"/>
    <w:rsid w:val="005A1B98"/>
    <w:rsid w:val="005A245B"/>
    <w:rsid w:val="005A2B69"/>
    <w:rsid w:val="005B114C"/>
    <w:rsid w:val="005D0062"/>
    <w:rsid w:val="005D025E"/>
    <w:rsid w:val="005D1F62"/>
    <w:rsid w:val="005D3BC8"/>
    <w:rsid w:val="005D5A3B"/>
    <w:rsid w:val="005E18C4"/>
    <w:rsid w:val="005E1BE3"/>
    <w:rsid w:val="005F0F20"/>
    <w:rsid w:val="005F24D6"/>
    <w:rsid w:val="0060175F"/>
    <w:rsid w:val="00601AFB"/>
    <w:rsid w:val="00602A8C"/>
    <w:rsid w:val="006039AC"/>
    <w:rsid w:val="006070ED"/>
    <w:rsid w:val="00611AF5"/>
    <w:rsid w:val="006139FE"/>
    <w:rsid w:val="0061589C"/>
    <w:rsid w:val="00615C09"/>
    <w:rsid w:val="00620165"/>
    <w:rsid w:val="006217F6"/>
    <w:rsid w:val="0062304F"/>
    <w:rsid w:val="006233D6"/>
    <w:rsid w:val="00623CA1"/>
    <w:rsid w:val="00625A32"/>
    <w:rsid w:val="00625DB7"/>
    <w:rsid w:val="00626D59"/>
    <w:rsid w:val="0063773C"/>
    <w:rsid w:val="00637A9F"/>
    <w:rsid w:val="00640C12"/>
    <w:rsid w:val="00644ED1"/>
    <w:rsid w:val="0064598B"/>
    <w:rsid w:val="006467B3"/>
    <w:rsid w:val="0064785D"/>
    <w:rsid w:val="00651683"/>
    <w:rsid w:val="00651BC4"/>
    <w:rsid w:val="00651F78"/>
    <w:rsid w:val="006525FF"/>
    <w:rsid w:val="00657C85"/>
    <w:rsid w:val="00657FA5"/>
    <w:rsid w:val="0066320A"/>
    <w:rsid w:val="00666FB9"/>
    <w:rsid w:val="00667A85"/>
    <w:rsid w:val="006707FC"/>
    <w:rsid w:val="006752D1"/>
    <w:rsid w:val="0068238F"/>
    <w:rsid w:val="00684A83"/>
    <w:rsid w:val="006859A8"/>
    <w:rsid w:val="00687429"/>
    <w:rsid w:val="00694665"/>
    <w:rsid w:val="00695575"/>
    <w:rsid w:val="00695C24"/>
    <w:rsid w:val="006975DA"/>
    <w:rsid w:val="006A2CB5"/>
    <w:rsid w:val="006A4155"/>
    <w:rsid w:val="006A5ABC"/>
    <w:rsid w:val="006A6AC0"/>
    <w:rsid w:val="006A6D44"/>
    <w:rsid w:val="006B57D3"/>
    <w:rsid w:val="006B6F16"/>
    <w:rsid w:val="006B7636"/>
    <w:rsid w:val="006C3A23"/>
    <w:rsid w:val="006C5153"/>
    <w:rsid w:val="006C5B32"/>
    <w:rsid w:val="006C5B3F"/>
    <w:rsid w:val="006C6BCA"/>
    <w:rsid w:val="006D0009"/>
    <w:rsid w:val="006D329B"/>
    <w:rsid w:val="006D4D1C"/>
    <w:rsid w:val="006D6D27"/>
    <w:rsid w:val="006D7324"/>
    <w:rsid w:val="006D777C"/>
    <w:rsid w:val="006E003F"/>
    <w:rsid w:val="006E0BA5"/>
    <w:rsid w:val="006E1185"/>
    <w:rsid w:val="006F49BD"/>
    <w:rsid w:val="007004AB"/>
    <w:rsid w:val="007034DA"/>
    <w:rsid w:val="00706FAC"/>
    <w:rsid w:val="007079AE"/>
    <w:rsid w:val="00710BFB"/>
    <w:rsid w:val="007121BC"/>
    <w:rsid w:val="00712C2F"/>
    <w:rsid w:val="00714020"/>
    <w:rsid w:val="00715C2F"/>
    <w:rsid w:val="00716F09"/>
    <w:rsid w:val="00725D97"/>
    <w:rsid w:val="00725F8E"/>
    <w:rsid w:val="00730ACE"/>
    <w:rsid w:val="007346BD"/>
    <w:rsid w:val="00746C80"/>
    <w:rsid w:val="007537CD"/>
    <w:rsid w:val="00756B9A"/>
    <w:rsid w:val="00760114"/>
    <w:rsid w:val="00760B76"/>
    <w:rsid w:val="00762988"/>
    <w:rsid w:val="00763C94"/>
    <w:rsid w:val="00766D09"/>
    <w:rsid w:val="0076750B"/>
    <w:rsid w:val="007726B5"/>
    <w:rsid w:val="007812F7"/>
    <w:rsid w:val="007854EB"/>
    <w:rsid w:val="00792D47"/>
    <w:rsid w:val="00795FFC"/>
    <w:rsid w:val="00796E44"/>
    <w:rsid w:val="007A068B"/>
    <w:rsid w:val="007A5483"/>
    <w:rsid w:val="007A56AB"/>
    <w:rsid w:val="007A5725"/>
    <w:rsid w:val="007A57DD"/>
    <w:rsid w:val="007A7D28"/>
    <w:rsid w:val="007B2281"/>
    <w:rsid w:val="007B4DA0"/>
    <w:rsid w:val="007C005A"/>
    <w:rsid w:val="007C0EC3"/>
    <w:rsid w:val="007C7785"/>
    <w:rsid w:val="007D1B07"/>
    <w:rsid w:val="007D787B"/>
    <w:rsid w:val="007E0EBE"/>
    <w:rsid w:val="007E1D90"/>
    <w:rsid w:val="007E6FF6"/>
    <w:rsid w:val="007F143F"/>
    <w:rsid w:val="007F1660"/>
    <w:rsid w:val="007F33E7"/>
    <w:rsid w:val="007F4105"/>
    <w:rsid w:val="00800FF7"/>
    <w:rsid w:val="00803EB6"/>
    <w:rsid w:val="00807407"/>
    <w:rsid w:val="00807540"/>
    <w:rsid w:val="008111B7"/>
    <w:rsid w:val="00814087"/>
    <w:rsid w:val="00827DC8"/>
    <w:rsid w:val="008305E6"/>
    <w:rsid w:val="008315FD"/>
    <w:rsid w:val="0083175A"/>
    <w:rsid w:val="0083406D"/>
    <w:rsid w:val="00836932"/>
    <w:rsid w:val="00837D4F"/>
    <w:rsid w:val="00840071"/>
    <w:rsid w:val="008408E5"/>
    <w:rsid w:val="00841280"/>
    <w:rsid w:val="00841BDC"/>
    <w:rsid w:val="00843B65"/>
    <w:rsid w:val="00850538"/>
    <w:rsid w:val="00850717"/>
    <w:rsid w:val="0085623D"/>
    <w:rsid w:val="00856B42"/>
    <w:rsid w:val="0086077F"/>
    <w:rsid w:val="00861FD8"/>
    <w:rsid w:val="0086388C"/>
    <w:rsid w:val="008644AE"/>
    <w:rsid w:val="008645AD"/>
    <w:rsid w:val="008662A1"/>
    <w:rsid w:val="00866D2A"/>
    <w:rsid w:val="008673AA"/>
    <w:rsid w:val="00871133"/>
    <w:rsid w:val="008733A7"/>
    <w:rsid w:val="00876964"/>
    <w:rsid w:val="00881722"/>
    <w:rsid w:val="008848FF"/>
    <w:rsid w:val="00887B3E"/>
    <w:rsid w:val="00891E89"/>
    <w:rsid w:val="008A612A"/>
    <w:rsid w:val="008B2566"/>
    <w:rsid w:val="008B4A17"/>
    <w:rsid w:val="008B581D"/>
    <w:rsid w:val="008B6B13"/>
    <w:rsid w:val="008C2B0E"/>
    <w:rsid w:val="008C77B3"/>
    <w:rsid w:val="008C7DC4"/>
    <w:rsid w:val="008D088F"/>
    <w:rsid w:val="008D2AD0"/>
    <w:rsid w:val="008D7515"/>
    <w:rsid w:val="008E1ED1"/>
    <w:rsid w:val="008E40C8"/>
    <w:rsid w:val="008E5174"/>
    <w:rsid w:val="008F0BD5"/>
    <w:rsid w:val="008F243A"/>
    <w:rsid w:val="008F2693"/>
    <w:rsid w:val="008F28AD"/>
    <w:rsid w:val="008F584F"/>
    <w:rsid w:val="008F7131"/>
    <w:rsid w:val="009076B0"/>
    <w:rsid w:val="00911E4D"/>
    <w:rsid w:val="009145BE"/>
    <w:rsid w:val="009166D2"/>
    <w:rsid w:val="00920B86"/>
    <w:rsid w:val="00923F70"/>
    <w:rsid w:val="00925CED"/>
    <w:rsid w:val="00930BF6"/>
    <w:rsid w:val="00941302"/>
    <w:rsid w:val="00942816"/>
    <w:rsid w:val="009454DD"/>
    <w:rsid w:val="009466E2"/>
    <w:rsid w:val="00947B47"/>
    <w:rsid w:val="00954CD6"/>
    <w:rsid w:val="00956E4A"/>
    <w:rsid w:val="00956EA2"/>
    <w:rsid w:val="00962CF6"/>
    <w:rsid w:val="00965289"/>
    <w:rsid w:val="009669E1"/>
    <w:rsid w:val="00966A86"/>
    <w:rsid w:val="00967E36"/>
    <w:rsid w:val="009765C8"/>
    <w:rsid w:val="00984F3B"/>
    <w:rsid w:val="009866BA"/>
    <w:rsid w:val="00987F1B"/>
    <w:rsid w:val="00991CAD"/>
    <w:rsid w:val="0099383A"/>
    <w:rsid w:val="009939DD"/>
    <w:rsid w:val="00995409"/>
    <w:rsid w:val="00996B30"/>
    <w:rsid w:val="00996E1C"/>
    <w:rsid w:val="0099736B"/>
    <w:rsid w:val="009A3B28"/>
    <w:rsid w:val="009B53CF"/>
    <w:rsid w:val="009B56CE"/>
    <w:rsid w:val="009B5997"/>
    <w:rsid w:val="009B785C"/>
    <w:rsid w:val="009B7A92"/>
    <w:rsid w:val="009B7EAB"/>
    <w:rsid w:val="009C450F"/>
    <w:rsid w:val="009C4E6A"/>
    <w:rsid w:val="009D08EA"/>
    <w:rsid w:val="009D3122"/>
    <w:rsid w:val="009E6063"/>
    <w:rsid w:val="009F3DAE"/>
    <w:rsid w:val="009F415E"/>
    <w:rsid w:val="009F41BB"/>
    <w:rsid w:val="009F5F89"/>
    <w:rsid w:val="009F73FD"/>
    <w:rsid w:val="00A0027C"/>
    <w:rsid w:val="00A057CF"/>
    <w:rsid w:val="00A10C4F"/>
    <w:rsid w:val="00A11D56"/>
    <w:rsid w:val="00A12CBF"/>
    <w:rsid w:val="00A15126"/>
    <w:rsid w:val="00A16560"/>
    <w:rsid w:val="00A24659"/>
    <w:rsid w:val="00A306B3"/>
    <w:rsid w:val="00A32446"/>
    <w:rsid w:val="00A373AC"/>
    <w:rsid w:val="00A374D6"/>
    <w:rsid w:val="00A403B3"/>
    <w:rsid w:val="00A43DA0"/>
    <w:rsid w:val="00A449D5"/>
    <w:rsid w:val="00A45283"/>
    <w:rsid w:val="00A45EAA"/>
    <w:rsid w:val="00A47332"/>
    <w:rsid w:val="00A50DC0"/>
    <w:rsid w:val="00A519DD"/>
    <w:rsid w:val="00A542A0"/>
    <w:rsid w:val="00A557D5"/>
    <w:rsid w:val="00A5684D"/>
    <w:rsid w:val="00A61896"/>
    <w:rsid w:val="00A70919"/>
    <w:rsid w:val="00A71AA5"/>
    <w:rsid w:val="00A73453"/>
    <w:rsid w:val="00A7381B"/>
    <w:rsid w:val="00A738C7"/>
    <w:rsid w:val="00A77005"/>
    <w:rsid w:val="00A9637D"/>
    <w:rsid w:val="00AA4165"/>
    <w:rsid w:val="00AB5CE6"/>
    <w:rsid w:val="00AC042D"/>
    <w:rsid w:val="00AC26F8"/>
    <w:rsid w:val="00AC3942"/>
    <w:rsid w:val="00AD649F"/>
    <w:rsid w:val="00AE3749"/>
    <w:rsid w:val="00AF0998"/>
    <w:rsid w:val="00AF32A6"/>
    <w:rsid w:val="00AF7442"/>
    <w:rsid w:val="00B0348F"/>
    <w:rsid w:val="00B04A8D"/>
    <w:rsid w:val="00B12A60"/>
    <w:rsid w:val="00B1302F"/>
    <w:rsid w:val="00B14665"/>
    <w:rsid w:val="00B16AC3"/>
    <w:rsid w:val="00B17AF7"/>
    <w:rsid w:val="00B216A1"/>
    <w:rsid w:val="00B226B3"/>
    <w:rsid w:val="00B24BD1"/>
    <w:rsid w:val="00B3295D"/>
    <w:rsid w:val="00B37036"/>
    <w:rsid w:val="00B420B9"/>
    <w:rsid w:val="00B4389E"/>
    <w:rsid w:val="00B458B4"/>
    <w:rsid w:val="00B52AB9"/>
    <w:rsid w:val="00B533E5"/>
    <w:rsid w:val="00B63546"/>
    <w:rsid w:val="00B730BF"/>
    <w:rsid w:val="00B81444"/>
    <w:rsid w:val="00B843C1"/>
    <w:rsid w:val="00B850A3"/>
    <w:rsid w:val="00B86487"/>
    <w:rsid w:val="00B90B18"/>
    <w:rsid w:val="00B93628"/>
    <w:rsid w:val="00B955BB"/>
    <w:rsid w:val="00BA147E"/>
    <w:rsid w:val="00BA18C3"/>
    <w:rsid w:val="00BA4FD3"/>
    <w:rsid w:val="00BA7BBA"/>
    <w:rsid w:val="00BB1032"/>
    <w:rsid w:val="00BB66B0"/>
    <w:rsid w:val="00BB6E50"/>
    <w:rsid w:val="00BC4DA8"/>
    <w:rsid w:val="00BC7282"/>
    <w:rsid w:val="00BC775D"/>
    <w:rsid w:val="00BC77C4"/>
    <w:rsid w:val="00BD2E90"/>
    <w:rsid w:val="00BD4477"/>
    <w:rsid w:val="00BE108C"/>
    <w:rsid w:val="00BE33D8"/>
    <w:rsid w:val="00BE5E0A"/>
    <w:rsid w:val="00BE7A49"/>
    <w:rsid w:val="00BE7BE7"/>
    <w:rsid w:val="00BF06E3"/>
    <w:rsid w:val="00BF242A"/>
    <w:rsid w:val="00BF5EF8"/>
    <w:rsid w:val="00C00269"/>
    <w:rsid w:val="00C002DF"/>
    <w:rsid w:val="00C03355"/>
    <w:rsid w:val="00C06C95"/>
    <w:rsid w:val="00C07C06"/>
    <w:rsid w:val="00C1172C"/>
    <w:rsid w:val="00C11B7E"/>
    <w:rsid w:val="00C12040"/>
    <w:rsid w:val="00C32F31"/>
    <w:rsid w:val="00C33317"/>
    <w:rsid w:val="00C43364"/>
    <w:rsid w:val="00C44A7B"/>
    <w:rsid w:val="00C475F8"/>
    <w:rsid w:val="00C57B37"/>
    <w:rsid w:val="00C62B34"/>
    <w:rsid w:val="00C63811"/>
    <w:rsid w:val="00C65784"/>
    <w:rsid w:val="00C66664"/>
    <w:rsid w:val="00C6738C"/>
    <w:rsid w:val="00C67A60"/>
    <w:rsid w:val="00C71574"/>
    <w:rsid w:val="00C81A8E"/>
    <w:rsid w:val="00C84469"/>
    <w:rsid w:val="00C860CE"/>
    <w:rsid w:val="00C86E58"/>
    <w:rsid w:val="00C90BF3"/>
    <w:rsid w:val="00C922F4"/>
    <w:rsid w:val="00C9518D"/>
    <w:rsid w:val="00C95EB7"/>
    <w:rsid w:val="00CA417A"/>
    <w:rsid w:val="00CA46A0"/>
    <w:rsid w:val="00CA6D07"/>
    <w:rsid w:val="00CB2EEE"/>
    <w:rsid w:val="00CC135F"/>
    <w:rsid w:val="00CC193A"/>
    <w:rsid w:val="00CC4D8C"/>
    <w:rsid w:val="00CC69D9"/>
    <w:rsid w:val="00CC7A22"/>
    <w:rsid w:val="00CD1493"/>
    <w:rsid w:val="00CD4AD9"/>
    <w:rsid w:val="00CD4D31"/>
    <w:rsid w:val="00CE048E"/>
    <w:rsid w:val="00CE063A"/>
    <w:rsid w:val="00CE0F4D"/>
    <w:rsid w:val="00CE3D53"/>
    <w:rsid w:val="00CE7ADE"/>
    <w:rsid w:val="00CF39E0"/>
    <w:rsid w:val="00CF44A9"/>
    <w:rsid w:val="00CF66D4"/>
    <w:rsid w:val="00CF6723"/>
    <w:rsid w:val="00CF6BAB"/>
    <w:rsid w:val="00CF6D95"/>
    <w:rsid w:val="00CF71E0"/>
    <w:rsid w:val="00D004F2"/>
    <w:rsid w:val="00D076DA"/>
    <w:rsid w:val="00D103E8"/>
    <w:rsid w:val="00D11230"/>
    <w:rsid w:val="00D13C75"/>
    <w:rsid w:val="00D14DD6"/>
    <w:rsid w:val="00D163D5"/>
    <w:rsid w:val="00D17928"/>
    <w:rsid w:val="00D20285"/>
    <w:rsid w:val="00D22E9A"/>
    <w:rsid w:val="00D26D00"/>
    <w:rsid w:val="00D31497"/>
    <w:rsid w:val="00D32B5A"/>
    <w:rsid w:val="00D33019"/>
    <w:rsid w:val="00D34FB2"/>
    <w:rsid w:val="00D40B15"/>
    <w:rsid w:val="00D433A4"/>
    <w:rsid w:val="00D43801"/>
    <w:rsid w:val="00D45FF7"/>
    <w:rsid w:val="00D528E1"/>
    <w:rsid w:val="00D55D97"/>
    <w:rsid w:val="00D55E8C"/>
    <w:rsid w:val="00D56BCA"/>
    <w:rsid w:val="00D56C5D"/>
    <w:rsid w:val="00D60ACA"/>
    <w:rsid w:val="00D627F4"/>
    <w:rsid w:val="00D67B23"/>
    <w:rsid w:val="00D7006E"/>
    <w:rsid w:val="00D7293C"/>
    <w:rsid w:val="00D77368"/>
    <w:rsid w:val="00D77611"/>
    <w:rsid w:val="00D829A6"/>
    <w:rsid w:val="00D8337B"/>
    <w:rsid w:val="00D83C3E"/>
    <w:rsid w:val="00D84B4D"/>
    <w:rsid w:val="00DA4775"/>
    <w:rsid w:val="00DA7162"/>
    <w:rsid w:val="00DA7E46"/>
    <w:rsid w:val="00DB0285"/>
    <w:rsid w:val="00DB0876"/>
    <w:rsid w:val="00DB12DA"/>
    <w:rsid w:val="00DB389C"/>
    <w:rsid w:val="00DB3F29"/>
    <w:rsid w:val="00DB4CEE"/>
    <w:rsid w:val="00DB4FC5"/>
    <w:rsid w:val="00DB60D3"/>
    <w:rsid w:val="00DC207C"/>
    <w:rsid w:val="00DC5CA7"/>
    <w:rsid w:val="00DC6899"/>
    <w:rsid w:val="00DC77AC"/>
    <w:rsid w:val="00DD06A6"/>
    <w:rsid w:val="00DD096A"/>
    <w:rsid w:val="00DD282B"/>
    <w:rsid w:val="00DD394F"/>
    <w:rsid w:val="00DD5E13"/>
    <w:rsid w:val="00DD5EC6"/>
    <w:rsid w:val="00DE0059"/>
    <w:rsid w:val="00DE6C99"/>
    <w:rsid w:val="00DF6234"/>
    <w:rsid w:val="00DF7157"/>
    <w:rsid w:val="00E052DA"/>
    <w:rsid w:val="00E05CA2"/>
    <w:rsid w:val="00E05D2D"/>
    <w:rsid w:val="00E0694F"/>
    <w:rsid w:val="00E07107"/>
    <w:rsid w:val="00E074F1"/>
    <w:rsid w:val="00E135BE"/>
    <w:rsid w:val="00E14D0D"/>
    <w:rsid w:val="00E1612C"/>
    <w:rsid w:val="00E16FB3"/>
    <w:rsid w:val="00E22308"/>
    <w:rsid w:val="00E34972"/>
    <w:rsid w:val="00E3666B"/>
    <w:rsid w:val="00E371CA"/>
    <w:rsid w:val="00E4085D"/>
    <w:rsid w:val="00E42911"/>
    <w:rsid w:val="00E51162"/>
    <w:rsid w:val="00E5154A"/>
    <w:rsid w:val="00E5762C"/>
    <w:rsid w:val="00E63B50"/>
    <w:rsid w:val="00E63D0F"/>
    <w:rsid w:val="00E66A09"/>
    <w:rsid w:val="00E700D2"/>
    <w:rsid w:val="00E714BE"/>
    <w:rsid w:val="00E73A9C"/>
    <w:rsid w:val="00E74E77"/>
    <w:rsid w:val="00E7698C"/>
    <w:rsid w:val="00E838B8"/>
    <w:rsid w:val="00E83AE3"/>
    <w:rsid w:val="00E85CC8"/>
    <w:rsid w:val="00E86DAA"/>
    <w:rsid w:val="00E923DD"/>
    <w:rsid w:val="00E96E6D"/>
    <w:rsid w:val="00E97087"/>
    <w:rsid w:val="00E975A6"/>
    <w:rsid w:val="00EA06E9"/>
    <w:rsid w:val="00EA23C5"/>
    <w:rsid w:val="00EA45BD"/>
    <w:rsid w:val="00EA4CE7"/>
    <w:rsid w:val="00EA66B6"/>
    <w:rsid w:val="00EA6772"/>
    <w:rsid w:val="00EB5D9E"/>
    <w:rsid w:val="00EB7484"/>
    <w:rsid w:val="00EB7988"/>
    <w:rsid w:val="00EC331C"/>
    <w:rsid w:val="00ED4D1B"/>
    <w:rsid w:val="00ED69BB"/>
    <w:rsid w:val="00EE05AC"/>
    <w:rsid w:val="00EE137E"/>
    <w:rsid w:val="00EE2A97"/>
    <w:rsid w:val="00EE6E9B"/>
    <w:rsid w:val="00EE7D52"/>
    <w:rsid w:val="00EF2343"/>
    <w:rsid w:val="00EF3551"/>
    <w:rsid w:val="00EF7513"/>
    <w:rsid w:val="00F00A23"/>
    <w:rsid w:val="00F0287D"/>
    <w:rsid w:val="00F0371E"/>
    <w:rsid w:val="00F0615C"/>
    <w:rsid w:val="00F06CED"/>
    <w:rsid w:val="00F1498F"/>
    <w:rsid w:val="00F15004"/>
    <w:rsid w:val="00F15306"/>
    <w:rsid w:val="00F202A1"/>
    <w:rsid w:val="00F203BB"/>
    <w:rsid w:val="00F20B45"/>
    <w:rsid w:val="00F2264E"/>
    <w:rsid w:val="00F23404"/>
    <w:rsid w:val="00F276C8"/>
    <w:rsid w:val="00F4491A"/>
    <w:rsid w:val="00F44FFC"/>
    <w:rsid w:val="00F452EC"/>
    <w:rsid w:val="00F459E0"/>
    <w:rsid w:val="00F54ADD"/>
    <w:rsid w:val="00F56735"/>
    <w:rsid w:val="00F571B2"/>
    <w:rsid w:val="00F61C87"/>
    <w:rsid w:val="00F64953"/>
    <w:rsid w:val="00F66029"/>
    <w:rsid w:val="00F66749"/>
    <w:rsid w:val="00F80E32"/>
    <w:rsid w:val="00F82EB4"/>
    <w:rsid w:val="00F865EF"/>
    <w:rsid w:val="00F86A04"/>
    <w:rsid w:val="00F90F6A"/>
    <w:rsid w:val="00F912B6"/>
    <w:rsid w:val="00F92900"/>
    <w:rsid w:val="00F94E8E"/>
    <w:rsid w:val="00F9542B"/>
    <w:rsid w:val="00F9586A"/>
    <w:rsid w:val="00F97D04"/>
    <w:rsid w:val="00FA53BD"/>
    <w:rsid w:val="00FA7078"/>
    <w:rsid w:val="00FB0C40"/>
    <w:rsid w:val="00FB41FD"/>
    <w:rsid w:val="00FB693F"/>
    <w:rsid w:val="00FB7F39"/>
    <w:rsid w:val="00FC0F92"/>
    <w:rsid w:val="00FC560F"/>
    <w:rsid w:val="00FD3E38"/>
    <w:rsid w:val="00FE194F"/>
    <w:rsid w:val="00FE259D"/>
    <w:rsid w:val="00FE2D69"/>
    <w:rsid w:val="00FF04F5"/>
    <w:rsid w:val="00FF21EF"/>
    <w:rsid w:val="00FF4648"/>
    <w:rsid w:val="00FF67B5"/>
    <w:rsid w:val="00FF7088"/>
    <w:rsid w:val="00FF7D91"/>
    <w:rsid w:val="04E5D80F"/>
    <w:rsid w:val="05CFD77D"/>
    <w:rsid w:val="067C811D"/>
    <w:rsid w:val="06D2455E"/>
    <w:rsid w:val="0A904CB9"/>
    <w:rsid w:val="11B00DA8"/>
    <w:rsid w:val="158A8C4F"/>
    <w:rsid w:val="15FB7B34"/>
    <w:rsid w:val="16730575"/>
    <w:rsid w:val="17012585"/>
    <w:rsid w:val="204F5F46"/>
    <w:rsid w:val="238853BD"/>
    <w:rsid w:val="26A5840C"/>
    <w:rsid w:val="2B77C0F7"/>
    <w:rsid w:val="2EDAA978"/>
    <w:rsid w:val="35ADBB01"/>
    <w:rsid w:val="39D8D76F"/>
    <w:rsid w:val="3AF4532B"/>
    <w:rsid w:val="3BF3CD8F"/>
    <w:rsid w:val="3CA6A740"/>
    <w:rsid w:val="3EC9994D"/>
    <w:rsid w:val="405098CB"/>
    <w:rsid w:val="4220132E"/>
    <w:rsid w:val="44538B12"/>
    <w:rsid w:val="448C4A6C"/>
    <w:rsid w:val="4FC33EF0"/>
    <w:rsid w:val="5293B4F6"/>
    <w:rsid w:val="534040B4"/>
    <w:rsid w:val="5716E794"/>
    <w:rsid w:val="5A85FE2B"/>
    <w:rsid w:val="5BC264B8"/>
    <w:rsid w:val="5C48A579"/>
    <w:rsid w:val="5C5B59AE"/>
    <w:rsid w:val="5C9FB6D6"/>
    <w:rsid w:val="629587BD"/>
    <w:rsid w:val="687F1F05"/>
    <w:rsid w:val="6E455C32"/>
    <w:rsid w:val="7390C6EB"/>
    <w:rsid w:val="73D63089"/>
    <w:rsid w:val="76C75392"/>
    <w:rsid w:val="770ACCB8"/>
    <w:rsid w:val="77E293E0"/>
    <w:rsid w:val="7BAEF566"/>
    <w:rsid w:val="7E09075D"/>
    <w:rsid w:val="7F1BF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C28E4"/>
  <w15:docId w15:val="{43B4CC2D-8D8D-448B-99BE-44F7091D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57FA5"/>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403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03B3"/>
    <w:rPr>
      <w:rFonts w:ascii="Verdana" w:hAnsi="Verdana"/>
      <w:color w:val="000000"/>
      <w:sz w:val="18"/>
      <w:szCs w:val="18"/>
    </w:rPr>
  </w:style>
  <w:style w:type="paragraph" w:styleId="Voettekst">
    <w:name w:val="footer"/>
    <w:basedOn w:val="Standaard"/>
    <w:link w:val="VoettekstChar"/>
    <w:uiPriority w:val="99"/>
    <w:unhideWhenUsed/>
    <w:rsid w:val="00A403B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403B3"/>
    <w:rPr>
      <w:rFonts w:ascii="Verdana" w:hAnsi="Verdana"/>
      <w:color w:val="000000"/>
      <w:sz w:val="18"/>
      <w:szCs w:val="18"/>
    </w:rPr>
  </w:style>
  <w:style w:type="paragraph" w:styleId="Tekstopmerking">
    <w:name w:val="annotation text"/>
    <w:basedOn w:val="Standaard"/>
    <w:link w:val="TekstopmerkingChar"/>
    <w:uiPriority w:val="99"/>
    <w:unhideWhenUsed/>
    <w:rsid w:val="00320C44"/>
    <w:pPr>
      <w:autoSpaceDN/>
      <w:spacing w:line="240" w:lineRule="auto"/>
      <w:textAlignment w:val="auto"/>
    </w:pPr>
    <w:rPr>
      <w:rFonts w:eastAsia="Times New Roman" w:cs="Aptos"/>
      <w:color w:val="auto"/>
      <w:sz w:val="20"/>
      <w:szCs w:val="20"/>
    </w:rPr>
  </w:style>
  <w:style w:type="character" w:customStyle="1" w:styleId="TekstopmerkingChar">
    <w:name w:val="Tekst opmerking Char"/>
    <w:basedOn w:val="Standaardalinea-lettertype"/>
    <w:link w:val="Tekstopmerking"/>
    <w:uiPriority w:val="99"/>
    <w:rsid w:val="00320C44"/>
    <w:rPr>
      <w:rFonts w:ascii="Verdana" w:eastAsia="Times New Roman" w:hAnsi="Verdana" w:cs="Aptos"/>
    </w:rPr>
  </w:style>
  <w:style w:type="character" w:styleId="Verwijzingopmerking">
    <w:name w:val="annotation reference"/>
    <w:basedOn w:val="Standaardalinea-lettertype"/>
    <w:uiPriority w:val="99"/>
    <w:semiHidden/>
    <w:unhideWhenUsed/>
    <w:rsid w:val="00320C44"/>
    <w:rPr>
      <w:sz w:val="16"/>
      <w:szCs w:val="16"/>
    </w:rPr>
  </w:style>
  <w:style w:type="paragraph" w:styleId="Lijstalinea">
    <w:name w:val="List Paragraph"/>
    <w:basedOn w:val="Standaard"/>
    <w:uiPriority w:val="34"/>
    <w:rsid w:val="003651A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640C12"/>
    <w:pPr>
      <w:autoSpaceDN w:val="0"/>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640C12"/>
    <w:rPr>
      <w:rFonts w:ascii="Verdana" w:eastAsia="Times New Roman" w:hAnsi="Verdana" w:cs="Aptos"/>
      <w:b/>
      <w:bCs/>
      <w:color w:val="000000"/>
    </w:rPr>
  </w:style>
  <w:style w:type="paragraph" w:styleId="Normaalweb">
    <w:name w:val="Normal (Web)"/>
    <w:basedOn w:val="Standaard"/>
    <w:uiPriority w:val="99"/>
    <w:semiHidden/>
    <w:unhideWhenUsed/>
    <w:rsid w:val="00640C12"/>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D56B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56BCA"/>
    <w:rPr>
      <w:rFonts w:ascii="Verdana" w:hAnsi="Verdana"/>
      <w:color w:val="000000"/>
    </w:rPr>
  </w:style>
  <w:style w:type="character" w:styleId="Voetnootmarkering">
    <w:name w:val="footnote reference"/>
    <w:basedOn w:val="Standaardalinea-lettertype"/>
    <w:uiPriority w:val="99"/>
    <w:semiHidden/>
    <w:unhideWhenUsed/>
    <w:rsid w:val="00D56BCA"/>
    <w:rPr>
      <w:vertAlign w:val="superscript"/>
    </w:rPr>
  </w:style>
  <w:style w:type="paragraph" w:styleId="Revisie">
    <w:name w:val="Revision"/>
    <w:hidden/>
    <w:uiPriority w:val="99"/>
    <w:semiHidden/>
    <w:rsid w:val="00B730BF"/>
    <w:pPr>
      <w:autoSpaceDN/>
      <w:textAlignment w:val="auto"/>
    </w:pPr>
    <w:rPr>
      <w:rFonts w:ascii="Verdana" w:hAnsi="Verdana"/>
      <w:color w:val="000000"/>
      <w:sz w:val="18"/>
      <w:szCs w:val="18"/>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Standaard"/>
    <w:rsid w:val="00C475F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Geenafstand">
    <w:name w:val="No Spacing"/>
    <w:uiPriority w:val="3"/>
    <w:qFormat/>
    <w:rsid w:val="00275B0D"/>
    <w:pPr>
      <w:autoSpaceDN/>
      <w:textAlignment w:val="auto"/>
    </w:pPr>
    <w:rPr>
      <w:rFonts w:ascii="Verdana" w:eastAsiaTheme="minorHAnsi" w:hAnsi="Verdana" w:cstheme="minorBidi"/>
      <w:sz w:val="18"/>
      <w:szCs w:val="22"/>
      <w:lang w:eastAsia="en-US"/>
    </w:rPr>
  </w:style>
  <w:style w:type="character" w:styleId="Onopgelostemelding">
    <w:name w:val="Unresolved Mention"/>
    <w:basedOn w:val="Standaardalinea-lettertype"/>
    <w:uiPriority w:val="99"/>
    <w:semiHidden/>
    <w:unhideWhenUsed/>
    <w:rsid w:val="00D83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39830">
      <w:bodyDiv w:val="1"/>
      <w:marLeft w:val="0"/>
      <w:marRight w:val="0"/>
      <w:marTop w:val="0"/>
      <w:marBottom w:val="0"/>
      <w:divBdr>
        <w:top w:val="none" w:sz="0" w:space="0" w:color="auto"/>
        <w:left w:val="none" w:sz="0" w:space="0" w:color="auto"/>
        <w:bottom w:val="none" w:sz="0" w:space="0" w:color="auto"/>
        <w:right w:val="none" w:sz="0" w:space="0" w:color="auto"/>
      </w:divBdr>
    </w:div>
    <w:div w:id="193155257">
      <w:bodyDiv w:val="1"/>
      <w:marLeft w:val="0"/>
      <w:marRight w:val="0"/>
      <w:marTop w:val="0"/>
      <w:marBottom w:val="0"/>
      <w:divBdr>
        <w:top w:val="none" w:sz="0" w:space="0" w:color="auto"/>
        <w:left w:val="none" w:sz="0" w:space="0" w:color="auto"/>
        <w:bottom w:val="none" w:sz="0" w:space="0" w:color="auto"/>
        <w:right w:val="none" w:sz="0" w:space="0" w:color="auto"/>
      </w:divBdr>
    </w:div>
    <w:div w:id="233127984">
      <w:bodyDiv w:val="1"/>
      <w:marLeft w:val="0"/>
      <w:marRight w:val="0"/>
      <w:marTop w:val="0"/>
      <w:marBottom w:val="0"/>
      <w:divBdr>
        <w:top w:val="none" w:sz="0" w:space="0" w:color="auto"/>
        <w:left w:val="none" w:sz="0" w:space="0" w:color="auto"/>
        <w:bottom w:val="none" w:sz="0" w:space="0" w:color="auto"/>
        <w:right w:val="none" w:sz="0" w:space="0" w:color="auto"/>
      </w:divBdr>
    </w:div>
    <w:div w:id="247858732">
      <w:bodyDiv w:val="1"/>
      <w:marLeft w:val="0"/>
      <w:marRight w:val="0"/>
      <w:marTop w:val="0"/>
      <w:marBottom w:val="0"/>
      <w:divBdr>
        <w:top w:val="none" w:sz="0" w:space="0" w:color="auto"/>
        <w:left w:val="none" w:sz="0" w:space="0" w:color="auto"/>
        <w:bottom w:val="none" w:sz="0" w:space="0" w:color="auto"/>
        <w:right w:val="none" w:sz="0" w:space="0" w:color="auto"/>
      </w:divBdr>
    </w:div>
    <w:div w:id="288979701">
      <w:bodyDiv w:val="1"/>
      <w:marLeft w:val="0"/>
      <w:marRight w:val="0"/>
      <w:marTop w:val="0"/>
      <w:marBottom w:val="0"/>
      <w:divBdr>
        <w:top w:val="none" w:sz="0" w:space="0" w:color="auto"/>
        <w:left w:val="none" w:sz="0" w:space="0" w:color="auto"/>
        <w:bottom w:val="none" w:sz="0" w:space="0" w:color="auto"/>
        <w:right w:val="none" w:sz="0" w:space="0" w:color="auto"/>
      </w:divBdr>
    </w:div>
    <w:div w:id="330522873">
      <w:bodyDiv w:val="1"/>
      <w:marLeft w:val="0"/>
      <w:marRight w:val="0"/>
      <w:marTop w:val="0"/>
      <w:marBottom w:val="0"/>
      <w:divBdr>
        <w:top w:val="none" w:sz="0" w:space="0" w:color="auto"/>
        <w:left w:val="none" w:sz="0" w:space="0" w:color="auto"/>
        <w:bottom w:val="none" w:sz="0" w:space="0" w:color="auto"/>
        <w:right w:val="none" w:sz="0" w:space="0" w:color="auto"/>
      </w:divBdr>
    </w:div>
    <w:div w:id="337316643">
      <w:bodyDiv w:val="1"/>
      <w:marLeft w:val="0"/>
      <w:marRight w:val="0"/>
      <w:marTop w:val="0"/>
      <w:marBottom w:val="0"/>
      <w:divBdr>
        <w:top w:val="none" w:sz="0" w:space="0" w:color="auto"/>
        <w:left w:val="none" w:sz="0" w:space="0" w:color="auto"/>
        <w:bottom w:val="none" w:sz="0" w:space="0" w:color="auto"/>
        <w:right w:val="none" w:sz="0" w:space="0" w:color="auto"/>
      </w:divBdr>
    </w:div>
    <w:div w:id="369300885">
      <w:bodyDiv w:val="1"/>
      <w:marLeft w:val="0"/>
      <w:marRight w:val="0"/>
      <w:marTop w:val="0"/>
      <w:marBottom w:val="0"/>
      <w:divBdr>
        <w:top w:val="none" w:sz="0" w:space="0" w:color="auto"/>
        <w:left w:val="none" w:sz="0" w:space="0" w:color="auto"/>
        <w:bottom w:val="none" w:sz="0" w:space="0" w:color="auto"/>
        <w:right w:val="none" w:sz="0" w:space="0" w:color="auto"/>
      </w:divBdr>
    </w:div>
    <w:div w:id="447356521">
      <w:bodyDiv w:val="1"/>
      <w:marLeft w:val="0"/>
      <w:marRight w:val="0"/>
      <w:marTop w:val="0"/>
      <w:marBottom w:val="0"/>
      <w:divBdr>
        <w:top w:val="none" w:sz="0" w:space="0" w:color="auto"/>
        <w:left w:val="none" w:sz="0" w:space="0" w:color="auto"/>
        <w:bottom w:val="none" w:sz="0" w:space="0" w:color="auto"/>
        <w:right w:val="none" w:sz="0" w:space="0" w:color="auto"/>
      </w:divBdr>
    </w:div>
    <w:div w:id="465928087">
      <w:bodyDiv w:val="1"/>
      <w:marLeft w:val="0"/>
      <w:marRight w:val="0"/>
      <w:marTop w:val="0"/>
      <w:marBottom w:val="0"/>
      <w:divBdr>
        <w:top w:val="none" w:sz="0" w:space="0" w:color="auto"/>
        <w:left w:val="none" w:sz="0" w:space="0" w:color="auto"/>
        <w:bottom w:val="none" w:sz="0" w:space="0" w:color="auto"/>
        <w:right w:val="none" w:sz="0" w:space="0" w:color="auto"/>
      </w:divBdr>
    </w:div>
    <w:div w:id="507449985">
      <w:bodyDiv w:val="1"/>
      <w:marLeft w:val="0"/>
      <w:marRight w:val="0"/>
      <w:marTop w:val="0"/>
      <w:marBottom w:val="0"/>
      <w:divBdr>
        <w:top w:val="none" w:sz="0" w:space="0" w:color="auto"/>
        <w:left w:val="none" w:sz="0" w:space="0" w:color="auto"/>
        <w:bottom w:val="none" w:sz="0" w:space="0" w:color="auto"/>
        <w:right w:val="none" w:sz="0" w:space="0" w:color="auto"/>
      </w:divBdr>
    </w:div>
    <w:div w:id="519509817">
      <w:bodyDiv w:val="1"/>
      <w:marLeft w:val="0"/>
      <w:marRight w:val="0"/>
      <w:marTop w:val="0"/>
      <w:marBottom w:val="0"/>
      <w:divBdr>
        <w:top w:val="none" w:sz="0" w:space="0" w:color="auto"/>
        <w:left w:val="none" w:sz="0" w:space="0" w:color="auto"/>
        <w:bottom w:val="none" w:sz="0" w:space="0" w:color="auto"/>
        <w:right w:val="none" w:sz="0" w:space="0" w:color="auto"/>
      </w:divBdr>
    </w:div>
    <w:div w:id="547372969">
      <w:bodyDiv w:val="1"/>
      <w:marLeft w:val="0"/>
      <w:marRight w:val="0"/>
      <w:marTop w:val="0"/>
      <w:marBottom w:val="0"/>
      <w:divBdr>
        <w:top w:val="none" w:sz="0" w:space="0" w:color="auto"/>
        <w:left w:val="none" w:sz="0" w:space="0" w:color="auto"/>
        <w:bottom w:val="none" w:sz="0" w:space="0" w:color="auto"/>
        <w:right w:val="none" w:sz="0" w:space="0" w:color="auto"/>
      </w:divBdr>
    </w:div>
    <w:div w:id="559904719">
      <w:bodyDiv w:val="1"/>
      <w:marLeft w:val="0"/>
      <w:marRight w:val="0"/>
      <w:marTop w:val="0"/>
      <w:marBottom w:val="0"/>
      <w:divBdr>
        <w:top w:val="none" w:sz="0" w:space="0" w:color="auto"/>
        <w:left w:val="none" w:sz="0" w:space="0" w:color="auto"/>
        <w:bottom w:val="none" w:sz="0" w:space="0" w:color="auto"/>
        <w:right w:val="none" w:sz="0" w:space="0" w:color="auto"/>
      </w:divBdr>
    </w:div>
    <w:div w:id="615452547">
      <w:bodyDiv w:val="1"/>
      <w:marLeft w:val="0"/>
      <w:marRight w:val="0"/>
      <w:marTop w:val="0"/>
      <w:marBottom w:val="0"/>
      <w:divBdr>
        <w:top w:val="none" w:sz="0" w:space="0" w:color="auto"/>
        <w:left w:val="none" w:sz="0" w:space="0" w:color="auto"/>
        <w:bottom w:val="none" w:sz="0" w:space="0" w:color="auto"/>
        <w:right w:val="none" w:sz="0" w:space="0" w:color="auto"/>
      </w:divBdr>
    </w:div>
    <w:div w:id="670572238">
      <w:bodyDiv w:val="1"/>
      <w:marLeft w:val="0"/>
      <w:marRight w:val="0"/>
      <w:marTop w:val="0"/>
      <w:marBottom w:val="0"/>
      <w:divBdr>
        <w:top w:val="none" w:sz="0" w:space="0" w:color="auto"/>
        <w:left w:val="none" w:sz="0" w:space="0" w:color="auto"/>
        <w:bottom w:val="none" w:sz="0" w:space="0" w:color="auto"/>
        <w:right w:val="none" w:sz="0" w:space="0" w:color="auto"/>
      </w:divBdr>
    </w:div>
    <w:div w:id="697396022">
      <w:bodyDiv w:val="1"/>
      <w:marLeft w:val="0"/>
      <w:marRight w:val="0"/>
      <w:marTop w:val="0"/>
      <w:marBottom w:val="0"/>
      <w:divBdr>
        <w:top w:val="none" w:sz="0" w:space="0" w:color="auto"/>
        <w:left w:val="none" w:sz="0" w:space="0" w:color="auto"/>
        <w:bottom w:val="none" w:sz="0" w:space="0" w:color="auto"/>
        <w:right w:val="none" w:sz="0" w:space="0" w:color="auto"/>
      </w:divBdr>
    </w:div>
    <w:div w:id="733544597">
      <w:bodyDiv w:val="1"/>
      <w:marLeft w:val="0"/>
      <w:marRight w:val="0"/>
      <w:marTop w:val="0"/>
      <w:marBottom w:val="0"/>
      <w:divBdr>
        <w:top w:val="none" w:sz="0" w:space="0" w:color="auto"/>
        <w:left w:val="none" w:sz="0" w:space="0" w:color="auto"/>
        <w:bottom w:val="none" w:sz="0" w:space="0" w:color="auto"/>
        <w:right w:val="none" w:sz="0" w:space="0" w:color="auto"/>
      </w:divBdr>
    </w:div>
    <w:div w:id="746539497">
      <w:bodyDiv w:val="1"/>
      <w:marLeft w:val="0"/>
      <w:marRight w:val="0"/>
      <w:marTop w:val="0"/>
      <w:marBottom w:val="0"/>
      <w:divBdr>
        <w:top w:val="none" w:sz="0" w:space="0" w:color="auto"/>
        <w:left w:val="none" w:sz="0" w:space="0" w:color="auto"/>
        <w:bottom w:val="none" w:sz="0" w:space="0" w:color="auto"/>
        <w:right w:val="none" w:sz="0" w:space="0" w:color="auto"/>
      </w:divBdr>
    </w:div>
    <w:div w:id="793523449">
      <w:bodyDiv w:val="1"/>
      <w:marLeft w:val="0"/>
      <w:marRight w:val="0"/>
      <w:marTop w:val="0"/>
      <w:marBottom w:val="0"/>
      <w:divBdr>
        <w:top w:val="none" w:sz="0" w:space="0" w:color="auto"/>
        <w:left w:val="none" w:sz="0" w:space="0" w:color="auto"/>
        <w:bottom w:val="none" w:sz="0" w:space="0" w:color="auto"/>
        <w:right w:val="none" w:sz="0" w:space="0" w:color="auto"/>
      </w:divBdr>
    </w:div>
    <w:div w:id="809516855">
      <w:bodyDiv w:val="1"/>
      <w:marLeft w:val="0"/>
      <w:marRight w:val="0"/>
      <w:marTop w:val="0"/>
      <w:marBottom w:val="0"/>
      <w:divBdr>
        <w:top w:val="none" w:sz="0" w:space="0" w:color="auto"/>
        <w:left w:val="none" w:sz="0" w:space="0" w:color="auto"/>
        <w:bottom w:val="none" w:sz="0" w:space="0" w:color="auto"/>
        <w:right w:val="none" w:sz="0" w:space="0" w:color="auto"/>
      </w:divBdr>
    </w:div>
    <w:div w:id="819425503">
      <w:bodyDiv w:val="1"/>
      <w:marLeft w:val="0"/>
      <w:marRight w:val="0"/>
      <w:marTop w:val="0"/>
      <w:marBottom w:val="0"/>
      <w:divBdr>
        <w:top w:val="none" w:sz="0" w:space="0" w:color="auto"/>
        <w:left w:val="none" w:sz="0" w:space="0" w:color="auto"/>
        <w:bottom w:val="none" w:sz="0" w:space="0" w:color="auto"/>
        <w:right w:val="none" w:sz="0" w:space="0" w:color="auto"/>
      </w:divBdr>
    </w:div>
    <w:div w:id="873999817">
      <w:bodyDiv w:val="1"/>
      <w:marLeft w:val="0"/>
      <w:marRight w:val="0"/>
      <w:marTop w:val="0"/>
      <w:marBottom w:val="0"/>
      <w:divBdr>
        <w:top w:val="none" w:sz="0" w:space="0" w:color="auto"/>
        <w:left w:val="none" w:sz="0" w:space="0" w:color="auto"/>
        <w:bottom w:val="none" w:sz="0" w:space="0" w:color="auto"/>
        <w:right w:val="none" w:sz="0" w:space="0" w:color="auto"/>
      </w:divBdr>
    </w:div>
    <w:div w:id="923535554">
      <w:bodyDiv w:val="1"/>
      <w:marLeft w:val="0"/>
      <w:marRight w:val="0"/>
      <w:marTop w:val="0"/>
      <w:marBottom w:val="0"/>
      <w:divBdr>
        <w:top w:val="none" w:sz="0" w:space="0" w:color="auto"/>
        <w:left w:val="none" w:sz="0" w:space="0" w:color="auto"/>
        <w:bottom w:val="none" w:sz="0" w:space="0" w:color="auto"/>
        <w:right w:val="none" w:sz="0" w:space="0" w:color="auto"/>
      </w:divBdr>
    </w:div>
    <w:div w:id="940142403">
      <w:bodyDiv w:val="1"/>
      <w:marLeft w:val="0"/>
      <w:marRight w:val="0"/>
      <w:marTop w:val="0"/>
      <w:marBottom w:val="0"/>
      <w:divBdr>
        <w:top w:val="none" w:sz="0" w:space="0" w:color="auto"/>
        <w:left w:val="none" w:sz="0" w:space="0" w:color="auto"/>
        <w:bottom w:val="none" w:sz="0" w:space="0" w:color="auto"/>
        <w:right w:val="none" w:sz="0" w:space="0" w:color="auto"/>
      </w:divBdr>
    </w:div>
    <w:div w:id="944387238">
      <w:bodyDiv w:val="1"/>
      <w:marLeft w:val="0"/>
      <w:marRight w:val="0"/>
      <w:marTop w:val="0"/>
      <w:marBottom w:val="0"/>
      <w:divBdr>
        <w:top w:val="none" w:sz="0" w:space="0" w:color="auto"/>
        <w:left w:val="none" w:sz="0" w:space="0" w:color="auto"/>
        <w:bottom w:val="none" w:sz="0" w:space="0" w:color="auto"/>
        <w:right w:val="none" w:sz="0" w:space="0" w:color="auto"/>
      </w:divBdr>
    </w:div>
    <w:div w:id="946229472">
      <w:bodyDiv w:val="1"/>
      <w:marLeft w:val="0"/>
      <w:marRight w:val="0"/>
      <w:marTop w:val="0"/>
      <w:marBottom w:val="0"/>
      <w:divBdr>
        <w:top w:val="none" w:sz="0" w:space="0" w:color="auto"/>
        <w:left w:val="none" w:sz="0" w:space="0" w:color="auto"/>
        <w:bottom w:val="none" w:sz="0" w:space="0" w:color="auto"/>
        <w:right w:val="none" w:sz="0" w:space="0" w:color="auto"/>
      </w:divBdr>
    </w:div>
    <w:div w:id="1006059495">
      <w:bodyDiv w:val="1"/>
      <w:marLeft w:val="0"/>
      <w:marRight w:val="0"/>
      <w:marTop w:val="0"/>
      <w:marBottom w:val="0"/>
      <w:divBdr>
        <w:top w:val="none" w:sz="0" w:space="0" w:color="auto"/>
        <w:left w:val="none" w:sz="0" w:space="0" w:color="auto"/>
        <w:bottom w:val="none" w:sz="0" w:space="0" w:color="auto"/>
        <w:right w:val="none" w:sz="0" w:space="0" w:color="auto"/>
      </w:divBdr>
    </w:div>
    <w:div w:id="1038312360">
      <w:bodyDiv w:val="1"/>
      <w:marLeft w:val="0"/>
      <w:marRight w:val="0"/>
      <w:marTop w:val="0"/>
      <w:marBottom w:val="0"/>
      <w:divBdr>
        <w:top w:val="none" w:sz="0" w:space="0" w:color="auto"/>
        <w:left w:val="none" w:sz="0" w:space="0" w:color="auto"/>
        <w:bottom w:val="none" w:sz="0" w:space="0" w:color="auto"/>
        <w:right w:val="none" w:sz="0" w:space="0" w:color="auto"/>
      </w:divBdr>
    </w:div>
    <w:div w:id="1256281349">
      <w:bodyDiv w:val="1"/>
      <w:marLeft w:val="0"/>
      <w:marRight w:val="0"/>
      <w:marTop w:val="0"/>
      <w:marBottom w:val="0"/>
      <w:divBdr>
        <w:top w:val="none" w:sz="0" w:space="0" w:color="auto"/>
        <w:left w:val="none" w:sz="0" w:space="0" w:color="auto"/>
        <w:bottom w:val="none" w:sz="0" w:space="0" w:color="auto"/>
        <w:right w:val="none" w:sz="0" w:space="0" w:color="auto"/>
      </w:divBdr>
    </w:div>
    <w:div w:id="1257439983">
      <w:bodyDiv w:val="1"/>
      <w:marLeft w:val="0"/>
      <w:marRight w:val="0"/>
      <w:marTop w:val="0"/>
      <w:marBottom w:val="0"/>
      <w:divBdr>
        <w:top w:val="none" w:sz="0" w:space="0" w:color="auto"/>
        <w:left w:val="none" w:sz="0" w:space="0" w:color="auto"/>
        <w:bottom w:val="none" w:sz="0" w:space="0" w:color="auto"/>
        <w:right w:val="none" w:sz="0" w:space="0" w:color="auto"/>
      </w:divBdr>
    </w:div>
    <w:div w:id="1272398057">
      <w:bodyDiv w:val="1"/>
      <w:marLeft w:val="0"/>
      <w:marRight w:val="0"/>
      <w:marTop w:val="0"/>
      <w:marBottom w:val="0"/>
      <w:divBdr>
        <w:top w:val="none" w:sz="0" w:space="0" w:color="auto"/>
        <w:left w:val="none" w:sz="0" w:space="0" w:color="auto"/>
        <w:bottom w:val="none" w:sz="0" w:space="0" w:color="auto"/>
        <w:right w:val="none" w:sz="0" w:space="0" w:color="auto"/>
      </w:divBdr>
    </w:div>
    <w:div w:id="1326397398">
      <w:bodyDiv w:val="1"/>
      <w:marLeft w:val="0"/>
      <w:marRight w:val="0"/>
      <w:marTop w:val="0"/>
      <w:marBottom w:val="0"/>
      <w:divBdr>
        <w:top w:val="none" w:sz="0" w:space="0" w:color="auto"/>
        <w:left w:val="none" w:sz="0" w:space="0" w:color="auto"/>
        <w:bottom w:val="none" w:sz="0" w:space="0" w:color="auto"/>
        <w:right w:val="none" w:sz="0" w:space="0" w:color="auto"/>
      </w:divBdr>
    </w:div>
    <w:div w:id="1386949653">
      <w:bodyDiv w:val="1"/>
      <w:marLeft w:val="0"/>
      <w:marRight w:val="0"/>
      <w:marTop w:val="0"/>
      <w:marBottom w:val="0"/>
      <w:divBdr>
        <w:top w:val="none" w:sz="0" w:space="0" w:color="auto"/>
        <w:left w:val="none" w:sz="0" w:space="0" w:color="auto"/>
        <w:bottom w:val="none" w:sz="0" w:space="0" w:color="auto"/>
        <w:right w:val="none" w:sz="0" w:space="0" w:color="auto"/>
      </w:divBdr>
    </w:div>
    <w:div w:id="1414744650">
      <w:bodyDiv w:val="1"/>
      <w:marLeft w:val="0"/>
      <w:marRight w:val="0"/>
      <w:marTop w:val="0"/>
      <w:marBottom w:val="0"/>
      <w:divBdr>
        <w:top w:val="none" w:sz="0" w:space="0" w:color="auto"/>
        <w:left w:val="none" w:sz="0" w:space="0" w:color="auto"/>
        <w:bottom w:val="none" w:sz="0" w:space="0" w:color="auto"/>
        <w:right w:val="none" w:sz="0" w:space="0" w:color="auto"/>
      </w:divBdr>
    </w:div>
    <w:div w:id="1439251847">
      <w:bodyDiv w:val="1"/>
      <w:marLeft w:val="0"/>
      <w:marRight w:val="0"/>
      <w:marTop w:val="0"/>
      <w:marBottom w:val="0"/>
      <w:divBdr>
        <w:top w:val="none" w:sz="0" w:space="0" w:color="auto"/>
        <w:left w:val="none" w:sz="0" w:space="0" w:color="auto"/>
        <w:bottom w:val="none" w:sz="0" w:space="0" w:color="auto"/>
        <w:right w:val="none" w:sz="0" w:space="0" w:color="auto"/>
      </w:divBdr>
    </w:div>
    <w:div w:id="1535582431">
      <w:bodyDiv w:val="1"/>
      <w:marLeft w:val="0"/>
      <w:marRight w:val="0"/>
      <w:marTop w:val="0"/>
      <w:marBottom w:val="0"/>
      <w:divBdr>
        <w:top w:val="none" w:sz="0" w:space="0" w:color="auto"/>
        <w:left w:val="none" w:sz="0" w:space="0" w:color="auto"/>
        <w:bottom w:val="none" w:sz="0" w:space="0" w:color="auto"/>
        <w:right w:val="none" w:sz="0" w:space="0" w:color="auto"/>
      </w:divBdr>
    </w:div>
    <w:div w:id="1591036516">
      <w:bodyDiv w:val="1"/>
      <w:marLeft w:val="0"/>
      <w:marRight w:val="0"/>
      <w:marTop w:val="0"/>
      <w:marBottom w:val="0"/>
      <w:divBdr>
        <w:top w:val="none" w:sz="0" w:space="0" w:color="auto"/>
        <w:left w:val="none" w:sz="0" w:space="0" w:color="auto"/>
        <w:bottom w:val="none" w:sz="0" w:space="0" w:color="auto"/>
        <w:right w:val="none" w:sz="0" w:space="0" w:color="auto"/>
      </w:divBdr>
    </w:div>
    <w:div w:id="1598364961">
      <w:bodyDiv w:val="1"/>
      <w:marLeft w:val="0"/>
      <w:marRight w:val="0"/>
      <w:marTop w:val="0"/>
      <w:marBottom w:val="0"/>
      <w:divBdr>
        <w:top w:val="none" w:sz="0" w:space="0" w:color="auto"/>
        <w:left w:val="none" w:sz="0" w:space="0" w:color="auto"/>
        <w:bottom w:val="none" w:sz="0" w:space="0" w:color="auto"/>
        <w:right w:val="none" w:sz="0" w:space="0" w:color="auto"/>
      </w:divBdr>
    </w:div>
    <w:div w:id="1701391621">
      <w:bodyDiv w:val="1"/>
      <w:marLeft w:val="0"/>
      <w:marRight w:val="0"/>
      <w:marTop w:val="0"/>
      <w:marBottom w:val="0"/>
      <w:divBdr>
        <w:top w:val="none" w:sz="0" w:space="0" w:color="auto"/>
        <w:left w:val="none" w:sz="0" w:space="0" w:color="auto"/>
        <w:bottom w:val="none" w:sz="0" w:space="0" w:color="auto"/>
        <w:right w:val="none" w:sz="0" w:space="0" w:color="auto"/>
      </w:divBdr>
    </w:div>
    <w:div w:id="1771466872">
      <w:bodyDiv w:val="1"/>
      <w:marLeft w:val="0"/>
      <w:marRight w:val="0"/>
      <w:marTop w:val="0"/>
      <w:marBottom w:val="0"/>
      <w:divBdr>
        <w:top w:val="none" w:sz="0" w:space="0" w:color="auto"/>
        <w:left w:val="none" w:sz="0" w:space="0" w:color="auto"/>
        <w:bottom w:val="none" w:sz="0" w:space="0" w:color="auto"/>
        <w:right w:val="none" w:sz="0" w:space="0" w:color="auto"/>
      </w:divBdr>
    </w:div>
    <w:div w:id="1797024090">
      <w:bodyDiv w:val="1"/>
      <w:marLeft w:val="0"/>
      <w:marRight w:val="0"/>
      <w:marTop w:val="0"/>
      <w:marBottom w:val="0"/>
      <w:divBdr>
        <w:top w:val="none" w:sz="0" w:space="0" w:color="auto"/>
        <w:left w:val="none" w:sz="0" w:space="0" w:color="auto"/>
        <w:bottom w:val="none" w:sz="0" w:space="0" w:color="auto"/>
        <w:right w:val="none" w:sz="0" w:space="0" w:color="auto"/>
      </w:divBdr>
    </w:div>
    <w:div w:id="1819569736">
      <w:bodyDiv w:val="1"/>
      <w:marLeft w:val="0"/>
      <w:marRight w:val="0"/>
      <w:marTop w:val="0"/>
      <w:marBottom w:val="0"/>
      <w:divBdr>
        <w:top w:val="none" w:sz="0" w:space="0" w:color="auto"/>
        <w:left w:val="none" w:sz="0" w:space="0" w:color="auto"/>
        <w:bottom w:val="none" w:sz="0" w:space="0" w:color="auto"/>
        <w:right w:val="none" w:sz="0" w:space="0" w:color="auto"/>
      </w:divBdr>
    </w:div>
    <w:div w:id="1820658020">
      <w:bodyDiv w:val="1"/>
      <w:marLeft w:val="0"/>
      <w:marRight w:val="0"/>
      <w:marTop w:val="0"/>
      <w:marBottom w:val="0"/>
      <w:divBdr>
        <w:top w:val="none" w:sz="0" w:space="0" w:color="auto"/>
        <w:left w:val="none" w:sz="0" w:space="0" w:color="auto"/>
        <w:bottom w:val="none" w:sz="0" w:space="0" w:color="auto"/>
        <w:right w:val="none" w:sz="0" w:space="0" w:color="auto"/>
      </w:divBdr>
    </w:div>
    <w:div w:id="1847285733">
      <w:bodyDiv w:val="1"/>
      <w:marLeft w:val="0"/>
      <w:marRight w:val="0"/>
      <w:marTop w:val="0"/>
      <w:marBottom w:val="0"/>
      <w:divBdr>
        <w:top w:val="none" w:sz="0" w:space="0" w:color="auto"/>
        <w:left w:val="none" w:sz="0" w:space="0" w:color="auto"/>
        <w:bottom w:val="none" w:sz="0" w:space="0" w:color="auto"/>
        <w:right w:val="none" w:sz="0" w:space="0" w:color="auto"/>
      </w:divBdr>
    </w:div>
    <w:div w:id="1937711497">
      <w:bodyDiv w:val="1"/>
      <w:marLeft w:val="0"/>
      <w:marRight w:val="0"/>
      <w:marTop w:val="0"/>
      <w:marBottom w:val="0"/>
      <w:divBdr>
        <w:top w:val="none" w:sz="0" w:space="0" w:color="auto"/>
        <w:left w:val="none" w:sz="0" w:space="0" w:color="auto"/>
        <w:bottom w:val="none" w:sz="0" w:space="0" w:color="auto"/>
        <w:right w:val="none" w:sz="0" w:space="0" w:color="auto"/>
      </w:divBdr>
    </w:div>
    <w:div w:id="212765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24" Type="http://schemas.openxmlformats.org/officeDocument/2006/relationships/webSetting" Target="webSettings0.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5</ap:Pages>
  <ap:Words>2146</ap:Words>
  <ap:Characters>11808</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aan Eerste of Tweede Kamer - TITEL HIER</vt:lpstr>
    </vt:vector>
  </ap:TitlesOfParts>
  <ap:LinksUpToDate>false</ap:LinksUpToDate>
  <ap:CharactersWithSpaces>13927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2026-06-22T07:00:00.0000000Z</lastPrinted>
  <dcterms:created xsi:type="dcterms:W3CDTF">2026-06-29T10:42:00.0000000Z</dcterms:created>
  <dcterms:modified xsi:type="dcterms:W3CDTF">2026-06-29T10:42:00.0000000Z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2026-0000269893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Herijking Fiscaal Inzagerecht</vt:lpwstr>
  </property>
  <property fmtid="{D5CDD505-2E9C-101B-9397-08002B2CF9AE}" pid="30" name="UwKenmerk">
    <vt:lpwstr>PM</vt:lpwstr>
  </property>
  <property fmtid="{D5CDD505-2E9C-101B-9397-08002B2CF9AE}" pid="31" name="MSIP_Label_b2aa6e22-2c82-48c6-bf24-1790f4b9c128_Enabled">
    <vt:lpwstr>true</vt:lpwstr>
  </property>
  <property fmtid="{D5CDD505-2E9C-101B-9397-08002B2CF9AE}" pid="32" name="MSIP_Label_b2aa6e22-2c82-48c6-bf24-1790f4b9c128_SetDate">
    <vt:lpwstr>2026-06-03T07:17:14Z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09b8f944-cf62-4de6-b94f-3a77b0de4a1d</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y fmtid="{D5CDD505-2E9C-101B-9397-08002B2CF9AE}" pid="39" name="ContentTypeId">
    <vt:lpwstr>0x010100A1DDCD8B53D80040B2FFF53C986AEC7D</vt:lpwstr>
  </property>
  <property fmtid="{D5CDD505-2E9C-101B-9397-08002B2CF9AE}" pid="40" name="MediaServiceImageTags">
    <vt:lpwstr/>
  </property>
</Properties>
</file>